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app.xml" ContentType="application/vnd.openxmlformats-officedocument.extended-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07FC07" w14:textId="0498916C" w:rsidR="000457A8" w:rsidRPr="000457A8" w:rsidRDefault="000457A8" w:rsidP="000457A8">
      <w:pPr>
        <w:widowControl w:val="0"/>
        <w:suppressAutoHyphens/>
        <w:rPr>
          <w:szCs w:val="24"/>
          <w:lang w:val="es-ES"/>
        </w:rPr>
      </w:pPr>
      <w:r>
        <w:rPr>
          <w:noProof/>
          <w:szCs w:val="24"/>
          <w:lang w:eastAsia="en-US"/>
        </w:rPr>
        <mc:AlternateContent>
          <mc:Choice Requires="wps">
            <w:drawing>
              <wp:anchor distT="0" distB="0" distL="114300" distR="114300" simplePos="0" relativeHeight="251665408" behindDoc="0" locked="0" layoutInCell="1" allowOverlap="1" wp14:anchorId="329E2423" wp14:editId="77DD328C">
                <wp:simplePos x="0" y="0"/>
                <wp:positionH relativeFrom="column">
                  <wp:posOffset>-33600</wp:posOffset>
                </wp:positionH>
                <wp:positionV relativeFrom="paragraph">
                  <wp:posOffset>-48825</wp:posOffset>
                </wp:positionV>
                <wp:extent cx="6131237" cy="1030682"/>
                <wp:effectExtent l="0" t="0" r="22225" b="17145"/>
                <wp:wrapNone/>
                <wp:docPr id="706437129" name="Rectangle 1"/>
                <wp:cNvGraphicFramePr/>
                <a:graphic xmlns:a="http://schemas.openxmlformats.org/drawingml/2006/main">
                  <a:graphicData uri="http://schemas.microsoft.com/office/word/2010/wordprocessingShape">
                    <wps:wsp>
                      <wps:cNvSpPr/>
                      <wps:spPr>
                        <a:xfrm>
                          <a:off x="0" y="0"/>
                          <a:ext cx="6131237" cy="1030682"/>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06608640" id="Rectangle 1" o:spid="_x0000_s1026" style="position:absolute;margin-left:-2.65pt;margin-top:-3.85pt;width:482.75pt;height:81.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" filled="f" strokecolor="black [3213]" strokeweight="1pt"/>
            </w:pict>
          </mc:Fallback>
        </mc:AlternateContent>
      </w:r>
      <w:r w:rsidRPr="00E25BA6">
        <w:rPr>
          <w:szCs w:val="24"/>
          <w:lang w:val="bg-BG"/>
        </w:rPr>
        <w:t xml:space="preserve">Este documento es la información sobre el producto aprobada para </w:t>
      </w:r>
      <w:r>
        <w:rPr>
          <w:szCs w:val="24"/>
          <w:lang w:val="es-ES"/>
        </w:rPr>
        <w:t>Roactemra</w:t>
      </w:r>
      <w:r w:rsidRPr="00E25BA6">
        <w:rPr>
          <w:szCs w:val="24"/>
          <w:lang w:val="bg-BG"/>
        </w:rPr>
        <w:t xml:space="preserve"> en el que se destacan las modificaciones introducidas en el procedimiento anterior que afectan a la información sobre el producto </w:t>
      </w:r>
      <w:r w:rsidRPr="000457A8">
        <w:rPr>
          <w:szCs w:val="22"/>
          <w:lang w:val="es-ES"/>
        </w:rPr>
        <w:t>(EMEA/H/C/000955/IB/0123/G)</w:t>
      </w:r>
    </w:p>
    <w:p w14:paraId="715C95C8" w14:textId="77777777" w:rsidR="000457A8" w:rsidRPr="00E25BA6" w:rsidRDefault="000457A8" w:rsidP="000457A8">
      <w:pPr>
        <w:widowControl w:val="0"/>
        <w:suppressAutoHyphens/>
        <w:rPr>
          <w:szCs w:val="24"/>
          <w:lang w:val="bg-BG"/>
        </w:rPr>
      </w:pPr>
    </w:p>
    <w:p w14:paraId="07EB1E35" w14:textId="3FB475EE" w:rsidR="000457A8" w:rsidRDefault="000457A8" w:rsidP="000457A8">
      <w:pPr>
        <w:suppressAutoHyphens/>
        <w:rPr>
          <w:szCs w:val="22"/>
          <w:lang w:val="es-ES"/>
        </w:rPr>
      </w:pPr>
      <w:r w:rsidRPr="00E25BA6">
        <w:rPr>
          <w:szCs w:val="24"/>
          <w:lang w:val="bg-BG"/>
        </w:rPr>
        <w:t xml:space="preserve">Para más información, consulte el sitio web de la Agencia Europea de Medicamentos: </w:t>
      </w:r>
      <w:hyperlink r:id="rId9" w:history="1">
        <w:r w:rsidR="00D33DBC" w:rsidRPr="006B101B">
          <w:rPr>
            <w:rStyle w:val="Hyperlink"/>
            <w:szCs w:val="22"/>
            <w:lang w:val="es-ES"/>
          </w:rPr>
          <w:t>https://www.ema.europa.eu/en/medicines/human/epar/roactemra</w:t>
        </w:r>
      </w:hyperlink>
      <w:hyperlink r:id="rId10" w:history="1"/>
    </w:p>
    <w:p w14:paraId="61F2972A" w14:textId="77777777" w:rsidR="000457A8" w:rsidRPr="00873348" w:rsidRDefault="000457A8" w:rsidP="000457A8">
      <w:pPr>
        <w:outlineLvl w:val="0"/>
        <w:rPr>
          <w:b/>
          <w:lang w:val="es-ES"/>
        </w:rPr>
      </w:pPr>
    </w:p>
    <w:p w14:paraId="555CBC65" w14:textId="77777777" w:rsidR="00147541" w:rsidRPr="007A38AF" w:rsidRDefault="00147541">
      <w:pPr>
        <w:rPr>
          <w:lang w:val="es-ES"/>
        </w:rPr>
      </w:pPr>
    </w:p>
    <w:p w14:paraId="61B452B8" w14:textId="77777777" w:rsidR="00147541" w:rsidRPr="007A38AF" w:rsidRDefault="00147541">
      <w:pPr>
        <w:rPr>
          <w:lang w:val="es-ES"/>
        </w:rPr>
      </w:pPr>
    </w:p>
    <w:p w14:paraId="5DD6497D" w14:textId="77777777" w:rsidR="00147541" w:rsidRPr="007A38AF" w:rsidRDefault="00147541">
      <w:pPr>
        <w:rPr>
          <w:lang w:val="es-ES"/>
        </w:rPr>
      </w:pPr>
    </w:p>
    <w:p w14:paraId="00CE28CA" w14:textId="77777777" w:rsidR="00147541" w:rsidRPr="007A38AF" w:rsidRDefault="00147541">
      <w:pPr>
        <w:rPr>
          <w:lang w:val="es-ES"/>
        </w:rPr>
      </w:pPr>
    </w:p>
    <w:p w14:paraId="7FFF81D4" w14:textId="77777777" w:rsidR="00147541" w:rsidRPr="007A38AF" w:rsidRDefault="00147541">
      <w:pPr>
        <w:rPr>
          <w:lang w:val="es-ES"/>
        </w:rPr>
      </w:pPr>
    </w:p>
    <w:p w14:paraId="0824A7EB" w14:textId="77777777" w:rsidR="00147541" w:rsidRPr="007A38AF" w:rsidRDefault="00147541">
      <w:pPr>
        <w:rPr>
          <w:lang w:val="es-ES"/>
        </w:rPr>
      </w:pPr>
    </w:p>
    <w:p w14:paraId="014A91CE" w14:textId="77777777" w:rsidR="00147541" w:rsidRPr="007A38AF" w:rsidRDefault="00147541">
      <w:pPr>
        <w:rPr>
          <w:lang w:val="es-ES"/>
        </w:rPr>
      </w:pPr>
    </w:p>
    <w:p w14:paraId="31121329" w14:textId="2EECBE5F" w:rsidR="00147541" w:rsidRPr="007A38AF" w:rsidRDefault="00147541">
      <w:pPr>
        <w:rPr>
          <w:lang w:val="es-ES"/>
        </w:rPr>
      </w:pPr>
    </w:p>
    <w:p w14:paraId="1D75D165" w14:textId="77777777" w:rsidR="00147541" w:rsidRPr="007A38AF" w:rsidRDefault="00147541">
      <w:pPr>
        <w:rPr>
          <w:lang w:val="es-ES"/>
        </w:rPr>
      </w:pPr>
    </w:p>
    <w:p w14:paraId="4BEEC215" w14:textId="77777777" w:rsidR="00147541" w:rsidRPr="007A38AF" w:rsidRDefault="00147541">
      <w:pPr>
        <w:rPr>
          <w:lang w:val="es-ES"/>
        </w:rPr>
      </w:pPr>
    </w:p>
    <w:p w14:paraId="21986C2C" w14:textId="77777777" w:rsidR="00147541" w:rsidRPr="007A38AF" w:rsidRDefault="00147541">
      <w:pPr>
        <w:rPr>
          <w:lang w:val="es-ES"/>
        </w:rPr>
      </w:pPr>
    </w:p>
    <w:p w14:paraId="6F7A892E" w14:textId="77777777" w:rsidR="00147541" w:rsidRPr="007A38AF" w:rsidRDefault="00147541">
      <w:pPr>
        <w:rPr>
          <w:lang w:val="es-ES"/>
        </w:rPr>
      </w:pPr>
    </w:p>
    <w:p w14:paraId="4AEDA890" w14:textId="77777777" w:rsidR="00147541" w:rsidRDefault="00147541">
      <w:pPr>
        <w:tabs>
          <w:tab w:val="left" w:pos="-1440"/>
          <w:tab w:val="left" w:pos="-720"/>
        </w:tabs>
        <w:jc w:val="center"/>
        <w:rPr>
          <w:b/>
          <w:lang w:val="es-ES"/>
        </w:rPr>
      </w:pPr>
    </w:p>
    <w:p w14:paraId="31502171" w14:textId="77777777" w:rsidR="00F3264F" w:rsidRPr="007A38AF" w:rsidRDefault="00F3264F">
      <w:pPr>
        <w:tabs>
          <w:tab w:val="left" w:pos="-1440"/>
          <w:tab w:val="left" w:pos="-720"/>
        </w:tabs>
        <w:jc w:val="center"/>
        <w:rPr>
          <w:b/>
          <w:lang w:val="es-ES"/>
        </w:rPr>
      </w:pPr>
    </w:p>
    <w:p w14:paraId="1A688A16" w14:textId="77777777" w:rsidR="003E50F8" w:rsidRPr="008A106B" w:rsidRDefault="003E50F8" w:rsidP="003E50F8">
      <w:pPr>
        <w:tabs>
          <w:tab w:val="left" w:pos="-1440"/>
          <w:tab w:val="left" w:pos="-720"/>
        </w:tabs>
        <w:jc w:val="center"/>
        <w:rPr>
          <w:lang w:val="es-ES"/>
        </w:rPr>
      </w:pPr>
      <w:r w:rsidRPr="008A106B">
        <w:rPr>
          <w:b/>
          <w:bCs/>
          <w:lang w:val="es-ES_tradnl"/>
        </w:rPr>
        <w:t>ANEXO I</w:t>
      </w:r>
    </w:p>
    <w:p w14:paraId="37862571" w14:textId="77777777" w:rsidR="00147541" w:rsidRPr="008A106B" w:rsidRDefault="00147541">
      <w:pPr>
        <w:tabs>
          <w:tab w:val="left" w:pos="-1440"/>
          <w:tab w:val="left" w:pos="-720"/>
        </w:tabs>
        <w:jc w:val="center"/>
        <w:rPr>
          <w:lang w:val="es-ES"/>
        </w:rPr>
      </w:pPr>
    </w:p>
    <w:p w14:paraId="3057236A" w14:textId="77777777" w:rsidR="003E50F8" w:rsidRPr="008A106B" w:rsidRDefault="00687E97" w:rsidP="002211A3">
      <w:pPr>
        <w:pStyle w:val="Annex"/>
        <w:rPr>
          <w:lang w:val="es-ES"/>
        </w:rPr>
      </w:pPr>
      <w:r>
        <w:rPr>
          <w:lang w:val="es-ES_tradnl"/>
        </w:rPr>
        <w:t xml:space="preserve">FICHA TÉCNICA O </w:t>
      </w:r>
      <w:r w:rsidR="003E50F8" w:rsidRPr="008A106B">
        <w:rPr>
          <w:lang w:val="es-ES_tradnl"/>
        </w:rPr>
        <w:t>RESUMEN DE LAS CARACTERÍSTICAS DEL PRODUCTO</w:t>
      </w:r>
    </w:p>
    <w:p w14:paraId="19F6584D" w14:textId="77777777" w:rsidR="00147541" w:rsidRPr="008A106B" w:rsidRDefault="00147541">
      <w:pPr>
        <w:tabs>
          <w:tab w:val="left" w:pos="-1440"/>
          <w:tab w:val="left" w:pos="-720"/>
        </w:tabs>
        <w:jc w:val="center"/>
        <w:rPr>
          <w:lang w:val="es-ES"/>
        </w:rPr>
      </w:pPr>
    </w:p>
    <w:p w14:paraId="1AA63DB1" w14:textId="77777777" w:rsidR="007927FC" w:rsidRPr="008A106B" w:rsidRDefault="003E50F8" w:rsidP="007927FC">
      <w:pPr>
        <w:ind w:left="567" w:hanging="567"/>
        <w:rPr>
          <w:lang w:val="es-ES"/>
        </w:rPr>
      </w:pPr>
      <w:r w:rsidRPr="008A106B">
        <w:rPr>
          <w:lang w:val="es-ES"/>
        </w:rPr>
        <w:br w:type="page"/>
      </w:r>
      <w:r w:rsidR="007927FC" w:rsidRPr="008A106B">
        <w:rPr>
          <w:b/>
          <w:bCs/>
          <w:lang w:val="es-ES"/>
        </w:rPr>
        <w:lastRenderedPageBreak/>
        <w:t>1.</w:t>
      </w:r>
      <w:r w:rsidR="007927FC" w:rsidRPr="008A106B">
        <w:rPr>
          <w:b/>
          <w:bCs/>
          <w:lang w:val="es-ES"/>
        </w:rPr>
        <w:tab/>
      </w:r>
      <w:r w:rsidR="007927FC" w:rsidRPr="008A106B">
        <w:rPr>
          <w:b/>
          <w:bCs/>
          <w:lang w:val="es-ES_tradnl"/>
        </w:rPr>
        <w:t>NOMBRE DEL MEDICAMENTO</w:t>
      </w:r>
    </w:p>
    <w:p w14:paraId="76998038" w14:textId="77777777" w:rsidR="007927FC" w:rsidRPr="008A106B" w:rsidRDefault="007927FC" w:rsidP="007927FC">
      <w:pPr>
        <w:rPr>
          <w:iCs/>
          <w:lang w:val="es-ES"/>
        </w:rPr>
      </w:pPr>
    </w:p>
    <w:p w14:paraId="79D8EB23" w14:textId="77777777" w:rsidR="007927FC" w:rsidRPr="008A106B" w:rsidRDefault="007927FC" w:rsidP="007927FC">
      <w:pPr>
        <w:rPr>
          <w:lang w:val="es-ES"/>
        </w:rPr>
      </w:pPr>
      <w:r w:rsidRPr="008A106B">
        <w:rPr>
          <w:lang w:val="es-ES_tradnl"/>
        </w:rPr>
        <w:t>RoActemra 20 mg/ml concentrado para solución para perfusión</w:t>
      </w:r>
    </w:p>
    <w:p w14:paraId="11C1953B" w14:textId="77777777" w:rsidR="007927FC" w:rsidRPr="008A106B" w:rsidRDefault="007927FC" w:rsidP="007927FC">
      <w:pPr>
        <w:autoSpaceDE w:val="0"/>
        <w:autoSpaceDN w:val="0"/>
        <w:adjustRightInd w:val="0"/>
        <w:rPr>
          <w:szCs w:val="22"/>
          <w:lang w:val="es-ES"/>
        </w:rPr>
      </w:pPr>
    </w:p>
    <w:p w14:paraId="4A86A11F" w14:textId="77777777" w:rsidR="007927FC" w:rsidRPr="008A106B" w:rsidRDefault="007927FC" w:rsidP="007927FC">
      <w:pPr>
        <w:widowControl w:val="0"/>
        <w:rPr>
          <w:bCs/>
          <w:lang w:val="es-ES"/>
        </w:rPr>
      </w:pPr>
    </w:p>
    <w:p w14:paraId="29DFEDF1" w14:textId="77777777" w:rsidR="007927FC" w:rsidRPr="008A106B" w:rsidRDefault="007927FC" w:rsidP="007927FC">
      <w:pPr>
        <w:widowControl w:val="0"/>
        <w:ind w:left="567" w:hanging="567"/>
        <w:rPr>
          <w:lang w:val="es-ES"/>
        </w:rPr>
      </w:pPr>
      <w:r w:rsidRPr="008A106B">
        <w:rPr>
          <w:b/>
          <w:bCs/>
          <w:lang w:val="es-ES"/>
        </w:rPr>
        <w:t>2.</w:t>
      </w:r>
      <w:r w:rsidRPr="008A106B">
        <w:rPr>
          <w:b/>
          <w:bCs/>
          <w:lang w:val="es-ES"/>
        </w:rPr>
        <w:tab/>
      </w:r>
      <w:r w:rsidRPr="008A106B">
        <w:rPr>
          <w:b/>
          <w:bCs/>
          <w:lang w:val="es-ES_tradnl"/>
        </w:rPr>
        <w:t>COMPOSICIÓN CUALITATIVA Y CUANTITATIVA</w:t>
      </w:r>
    </w:p>
    <w:p w14:paraId="0EB7FB90" w14:textId="77777777" w:rsidR="007927FC" w:rsidRPr="008A106B" w:rsidRDefault="007927FC" w:rsidP="007927FC">
      <w:pPr>
        <w:rPr>
          <w:lang w:val="es-ES"/>
        </w:rPr>
      </w:pPr>
    </w:p>
    <w:p w14:paraId="433A81F4" w14:textId="099C0479" w:rsidR="007927FC" w:rsidRPr="008A106B" w:rsidRDefault="007927FC" w:rsidP="007927FC">
      <w:pPr>
        <w:rPr>
          <w:lang w:val="es-ES"/>
        </w:rPr>
      </w:pPr>
      <w:del w:id="0" w:author="AUTHOR">
        <w:r w:rsidRPr="008A106B" w:rsidDel="00E57AFE">
          <w:rPr>
            <w:lang w:val="es-ES"/>
          </w:rPr>
          <w:delText>Cada </w:delText>
        </w:r>
      </w:del>
      <w:ins w:id="1" w:author="AUTHOR">
        <w:r w:rsidR="00E57AFE">
          <w:rPr>
            <w:lang w:val="es-ES"/>
          </w:rPr>
          <w:t>Un</w:t>
        </w:r>
        <w:r w:rsidR="00E57AFE" w:rsidRPr="008A106B">
          <w:rPr>
            <w:lang w:val="es-ES"/>
          </w:rPr>
          <w:t> </w:t>
        </w:r>
      </w:ins>
      <w:r w:rsidRPr="008A106B">
        <w:rPr>
          <w:lang w:val="es-ES"/>
        </w:rPr>
        <w:t>ml de concentrado contiene 20 mg de tocilizumab*</w:t>
      </w:r>
    </w:p>
    <w:p w14:paraId="369841C9" w14:textId="77777777" w:rsidR="007927FC" w:rsidRPr="008A106B" w:rsidRDefault="007927FC" w:rsidP="007927FC">
      <w:pPr>
        <w:rPr>
          <w:lang w:val="es-ES"/>
        </w:rPr>
      </w:pPr>
    </w:p>
    <w:p w14:paraId="0A209530" w14:textId="77777777" w:rsidR="007927FC" w:rsidRPr="008A106B" w:rsidRDefault="007927FC" w:rsidP="007927FC">
      <w:pPr>
        <w:rPr>
          <w:lang w:val="es-ES"/>
        </w:rPr>
      </w:pPr>
      <w:r w:rsidRPr="008A106B">
        <w:rPr>
          <w:lang w:val="es-ES_tradnl"/>
        </w:rPr>
        <w:t>Cada vial contiene 80 mg de tocilizumab* en 4 ml (20 mg/ml).</w:t>
      </w:r>
    </w:p>
    <w:p w14:paraId="1F080BC3" w14:textId="77777777" w:rsidR="007927FC" w:rsidRPr="008A106B" w:rsidRDefault="007927FC" w:rsidP="007927FC">
      <w:pPr>
        <w:rPr>
          <w:lang w:val="es-ES"/>
        </w:rPr>
      </w:pPr>
      <w:r w:rsidRPr="008A106B">
        <w:rPr>
          <w:lang w:val="es-ES_tradnl"/>
        </w:rPr>
        <w:t>Cada vial contiene 200 mg de tocilizumab* en 10 ml (20 mg/ml).</w:t>
      </w:r>
      <w:r w:rsidRPr="008A106B">
        <w:rPr>
          <w:lang w:val="es-ES"/>
        </w:rPr>
        <w:t xml:space="preserve"> </w:t>
      </w:r>
    </w:p>
    <w:p w14:paraId="12B7E998" w14:textId="77777777" w:rsidR="007927FC" w:rsidRPr="008A106B" w:rsidRDefault="007927FC" w:rsidP="007927FC">
      <w:pPr>
        <w:rPr>
          <w:lang w:val="es-ES"/>
        </w:rPr>
      </w:pPr>
      <w:r w:rsidRPr="008A106B">
        <w:rPr>
          <w:lang w:val="es-ES_tradnl"/>
        </w:rPr>
        <w:t>Cada vial contiene 400 mg de tocilizumab* en 20 ml (20 mg/ml).</w:t>
      </w:r>
      <w:r w:rsidRPr="008A106B">
        <w:rPr>
          <w:lang w:val="es-ES"/>
        </w:rPr>
        <w:t xml:space="preserve"> </w:t>
      </w:r>
    </w:p>
    <w:p w14:paraId="34893713" w14:textId="77777777" w:rsidR="007927FC" w:rsidRPr="008A106B" w:rsidRDefault="007927FC" w:rsidP="007927FC">
      <w:pPr>
        <w:rPr>
          <w:lang w:val="es-ES"/>
        </w:rPr>
      </w:pPr>
    </w:p>
    <w:p w14:paraId="0F1298FD" w14:textId="4B500187" w:rsidR="007927FC" w:rsidRPr="008A106B" w:rsidRDefault="007927FC" w:rsidP="007927FC">
      <w:pPr>
        <w:rPr>
          <w:lang w:val="es-ES"/>
        </w:rPr>
      </w:pPr>
      <w:r w:rsidRPr="008A106B">
        <w:rPr>
          <w:lang w:val="es-ES"/>
        </w:rPr>
        <w:t>*</w:t>
      </w:r>
      <w:r w:rsidRPr="008A106B">
        <w:rPr>
          <w:lang w:val="es-ES_tradnl"/>
        </w:rPr>
        <w:t xml:space="preserve">  anticuerpo monoclonal IgG1 recombinante humanizado, producido en células de ovario de hámster chino mediante tecnología de ADN recombinante.</w:t>
      </w:r>
    </w:p>
    <w:p w14:paraId="5783E784" w14:textId="77777777" w:rsidR="007927FC" w:rsidRPr="008A106B" w:rsidRDefault="007927FC" w:rsidP="007927FC">
      <w:pPr>
        <w:rPr>
          <w:lang w:val="es-ES"/>
        </w:rPr>
      </w:pPr>
    </w:p>
    <w:p w14:paraId="7A55A956" w14:textId="77777777" w:rsidR="007927FC" w:rsidRDefault="007927FC" w:rsidP="007927FC">
      <w:pPr>
        <w:rPr>
          <w:u w:val="single"/>
          <w:lang w:val="es-ES_tradnl"/>
        </w:rPr>
      </w:pPr>
      <w:r w:rsidRPr="008A106B">
        <w:rPr>
          <w:u w:val="single"/>
          <w:lang w:val="es-ES_tradnl"/>
        </w:rPr>
        <w:t>Excipientes</w:t>
      </w:r>
      <w:r>
        <w:rPr>
          <w:u w:val="single"/>
          <w:lang w:val="es-ES_tradnl"/>
        </w:rPr>
        <w:t xml:space="preserve"> con efecto conocido</w:t>
      </w:r>
      <w:r w:rsidRPr="008A106B">
        <w:rPr>
          <w:u w:val="single"/>
          <w:lang w:val="es-ES_tradnl"/>
        </w:rPr>
        <w:t>:</w:t>
      </w:r>
    </w:p>
    <w:p w14:paraId="434E4825" w14:textId="77777777" w:rsidR="00EF704E" w:rsidRPr="008A106B" w:rsidRDefault="00EF704E" w:rsidP="007927FC">
      <w:pPr>
        <w:rPr>
          <w:u w:val="single"/>
          <w:lang w:val="es-ES"/>
        </w:rPr>
      </w:pPr>
    </w:p>
    <w:p w14:paraId="2D328FAE" w14:textId="575768AA" w:rsidR="007927FC" w:rsidRPr="004A3215" w:rsidRDefault="007927FC" w:rsidP="007927FC">
      <w:pPr>
        <w:rPr>
          <w:lang w:val="es-ES_tradnl"/>
        </w:rPr>
      </w:pPr>
      <w:r w:rsidRPr="004A3215">
        <w:rPr>
          <w:lang w:val="es-ES_tradnl"/>
        </w:rPr>
        <w:t>Cada vial de 80 mg contiene 0,10 mmol (2,21 mg) de sodio</w:t>
      </w:r>
      <w:r w:rsidR="00B059F6" w:rsidRPr="004A3215">
        <w:rPr>
          <w:lang w:val="es-ES_tradnl"/>
        </w:rPr>
        <w:t xml:space="preserve"> y 2 mg (0,5 mg/ml) de polisorbato 80.</w:t>
      </w:r>
    </w:p>
    <w:p w14:paraId="07BED0B2" w14:textId="4F572CAE" w:rsidR="007927FC" w:rsidRPr="004A3215" w:rsidRDefault="007927FC" w:rsidP="007927FC">
      <w:pPr>
        <w:rPr>
          <w:lang w:val="es-ES_tradnl"/>
        </w:rPr>
      </w:pPr>
      <w:r w:rsidRPr="004A3215">
        <w:rPr>
          <w:lang w:val="es-ES_tradnl"/>
        </w:rPr>
        <w:t>Cada vial de 200 mg contiene 0,20 mmol (4,43 mg) de sodio</w:t>
      </w:r>
      <w:r w:rsidR="00B059F6" w:rsidRPr="004A3215">
        <w:rPr>
          <w:lang w:val="es-ES_tradnl"/>
        </w:rPr>
        <w:t xml:space="preserve"> y 5 mg (0,5 mg/ml) de polisorbato 80.</w:t>
      </w:r>
    </w:p>
    <w:p w14:paraId="3E58DEE8" w14:textId="1DBC82E4" w:rsidR="007927FC" w:rsidRDefault="007927FC" w:rsidP="007927FC">
      <w:pPr>
        <w:rPr>
          <w:lang w:val="es-ES_tradnl"/>
        </w:rPr>
      </w:pPr>
      <w:r w:rsidRPr="004A3215">
        <w:rPr>
          <w:lang w:val="es-ES_tradnl"/>
        </w:rPr>
        <w:t>Cada vial de 400 mg contiene 0,39 mmol (8,85 mg) de sodio</w:t>
      </w:r>
      <w:r w:rsidR="00B059F6" w:rsidRPr="004A3215">
        <w:rPr>
          <w:lang w:val="es-ES_tradnl"/>
        </w:rPr>
        <w:t xml:space="preserve"> y 10 mg (0,5 mg/ml) de polisorbato 80</w:t>
      </w:r>
      <w:proofErr w:type="gramStart"/>
      <w:r w:rsidR="00B059F6" w:rsidRPr="004A3215">
        <w:rPr>
          <w:lang w:val="es-ES_tradnl"/>
        </w:rPr>
        <w:t xml:space="preserve">. </w:t>
      </w:r>
      <w:r w:rsidRPr="004A3215">
        <w:rPr>
          <w:lang w:val="es-ES_tradnl"/>
        </w:rPr>
        <w:t>.</w:t>
      </w:r>
      <w:proofErr w:type="gramEnd"/>
    </w:p>
    <w:p w14:paraId="726C447E" w14:textId="77777777" w:rsidR="00EF704E" w:rsidRDefault="00EF704E" w:rsidP="007927FC">
      <w:pPr>
        <w:rPr>
          <w:lang w:val="es-ES_tradnl"/>
        </w:rPr>
      </w:pPr>
    </w:p>
    <w:p w14:paraId="6C0BF878" w14:textId="716C35BC" w:rsidR="007927FC" w:rsidRPr="008A106B" w:rsidRDefault="007927FC" w:rsidP="007927FC">
      <w:pPr>
        <w:rPr>
          <w:lang w:val="es-ES"/>
        </w:rPr>
      </w:pPr>
      <w:r w:rsidRPr="008A106B">
        <w:rPr>
          <w:lang w:val="es-ES_tradnl"/>
        </w:rPr>
        <w:t>Para consultar la lista completa de excipientes ver sección</w:t>
      </w:r>
      <w:r w:rsidR="00B059F6">
        <w:rPr>
          <w:lang w:val="es-ES_tradnl"/>
        </w:rPr>
        <w:t> </w:t>
      </w:r>
      <w:r w:rsidRPr="008A106B">
        <w:rPr>
          <w:lang w:val="es-ES_tradnl"/>
        </w:rPr>
        <w:t>6.1</w:t>
      </w:r>
    </w:p>
    <w:p w14:paraId="22480111" w14:textId="77777777" w:rsidR="007927FC" w:rsidRPr="008A106B" w:rsidRDefault="007927FC" w:rsidP="007927FC">
      <w:pPr>
        <w:rPr>
          <w:lang w:val="es-ES"/>
        </w:rPr>
      </w:pPr>
    </w:p>
    <w:p w14:paraId="3F5DAB30" w14:textId="77777777" w:rsidR="007927FC" w:rsidRPr="008A106B" w:rsidRDefault="007927FC" w:rsidP="007927FC">
      <w:pPr>
        <w:rPr>
          <w:lang w:val="es-ES"/>
        </w:rPr>
      </w:pPr>
    </w:p>
    <w:p w14:paraId="077D2B41" w14:textId="77777777" w:rsidR="007927FC" w:rsidRPr="008A106B" w:rsidRDefault="007927FC" w:rsidP="007927FC">
      <w:pPr>
        <w:ind w:left="567" w:hanging="567"/>
        <w:rPr>
          <w:caps/>
          <w:lang w:val="es-ES"/>
        </w:rPr>
      </w:pPr>
      <w:r w:rsidRPr="008A106B">
        <w:rPr>
          <w:b/>
          <w:bCs/>
          <w:lang w:val="es-ES"/>
        </w:rPr>
        <w:t>3.</w:t>
      </w:r>
      <w:r w:rsidRPr="008A106B">
        <w:rPr>
          <w:b/>
          <w:bCs/>
          <w:lang w:val="es-ES"/>
        </w:rPr>
        <w:tab/>
      </w:r>
      <w:r w:rsidRPr="008A106B">
        <w:rPr>
          <w:b/>
          <w:bCs/>
          <w:lang w:val="es-ES_tradnl"/>
        </w:rPr>
        <w:t>FORMA FARMACÉUTICA</w:t>
      </w:r>
    </w:p>
    <w:p w14:paraId="67F115C8" w14:textId="77777777" w:rsidR="007927FC" w:rsidRPr="008A106B" w:rsidRDefault="007927FC" w:rsidP="007927FC">
      <w:pPr>
        <w:rPr>
          <w:lang w:val="es-ES"/>
        </w:rPr>
      </w:pPr>
    </w:p>
    <w:p w14:paraId="26DD8A33" w14:textId="77777777" w:rsidR="007927FC" w:rsidRPr="008A106B" w:rsidRDefault="007927FC" w:rsidP="007927FC">
      <w:pPr>
        <w:rPr>
          <w:lang w:val="es-ES"/>
        </w:rPr>
      </w:pPr>
      <w:r w:rsidRPr="008A106B">
        <w:rPr>
          <w:lang w:val="es-ES_tradnl"/>
        </w:rPr>
        <w:t>Concentrado para solución para perfusión (concentrado estéril).</w:t>
      </w:r>
    </w:p>
    <w:p w14:paraId="1C0B99A0" w14:textId="77777777" w:rsidR="007927FC" w:rsidRPr="008A106B" w:rsidRDefault="007927FC" w:rsidP="007927FC">
      <w:pPr>
        <w:rPr>
          <w:lang w:val="es-ES"/>
        </w:rPr>
      </w:pPr>
    </w:p>
    <w:p w14:paraId="04115377" w14:textId="65156A2A" w:rsidR="007927FC" w:rsidRPr="00F30AB8" w:rsidRDefault="007927FC" w:rsidP="007927FC">
      <w:pPr>
        <w:rPr>
          <w:lang w:val="es-ES_tradnl"/>
        </w:rPr>
      </w:pPr>
      <w:r w:rsidRPr="008A106B">
        <w:rPr>
          <w:lang w:val="es-ES_tradnl"/>
        </w:rPr>
        <w:t>Solución transparente a opalescente, incolora a amarillo pálido</w:t>
      </w:r>
      <w:r w:rsidR="00EF704E">
        <w:rPr>
          <w:lang w:val="es-ES_tradnl"/>
        </w:rPr>
        <w:t xml:space="preserve"> con un pH de 6</w:t>
      </w:r>
      <w:r w:rsidR="00B059F6">
        <w:rPr>
          <w:lang w:val="es-ES_tradnl"/>
        </w:rPr>
        <w:t>,</w:t>
      </w:r>
      <w:r w:rsidR="00EF704E">
        <w:rPr>
          <w:lang w:val="es-ES_tradnl"/>
        </w:rPr>
        <w:t>3-6,7 y una osmolalidad de 172-229</w:t>
      </w:r>
      <w:r w:rsidR="008D7AFA" w:rsidRPr="00F30AB8">
        <w:rPr>
          <w:szCs w:val="22"/>
          <w:lang w:val="es-ES"/>
        </w:rPr>
        <w:t> </w:t>
      </w:r>
      <w:r w:rsidR="00EF704E" w:rsidRPr="00F30AB8">
        <w:rPr>
          <w:noProof/>
          <w:lang w:val="es-ES_tradnl"/>
        </w:rPr>
        <w:t>mOsm/kg</w:t>
      </w:r>
      <w:r w:rsidR="00EF704E">
        <w:rPr>
          <w:lang w:val="es-ES_tradnl"/>
        </w:rPr>
        <w:t>.</w:t>
      </w:r>
    </w:p>
    <w:p w14:paraId="27BBA285" w14:textId="77777777" w:rsidR="007927FC" w:rsidRPr="008A106B" w:rsidRDefault="007927FC" w:rsidP="007927FC">
      <w:pPr>
        <w:rPr>
          <w:szCs w:val="22"/>
          <w:lang w:val="es-ES"/>
        </w:rPr>
      </w:pPr>
    </w:p>
    <w:p w14:paraId="64569B2F" w14:textId="77777777" w:rsidR="007927FC" w:rsidRPr="008A106B" w:rsidRDefault="007927FC" w:rsidP="007927FC">
      <w:pPr>
        <w:rPr>
          <w:lang w:val="es-ES"/>
        </w:rPr>
      </w:pPr>
    </w:p>
    <w:p w14:paraId="698C563A" w14:textId="77777777" w:rsidR="007927FC" w:rsidRPr="008A106B" w:rsidRDefault="007927FC" w:rsidP="007927FC">
      <w:pPr>
        <w:ind w:left="567" w:hanging="567"/>
        <w:rPr>
          <w:caps/>
          <w:lang w:val="es-ES"/>
        </w:rPr>
      </w:pPr>
      <w:r w:rsidRPr="008A106B">
        <w:rPr>
          <w:b/>
          <w:bCs/>
          <w:caps/>
          <w:lang w:val="es-ES"/>
        </w:rPr>
        <w:t>4.</w:t>
      </w:r>
      <w:r w:rsidRPr="008A106B">
        <w:rPr>
          <w:b/>
          <w:bCs/>
          <w:caps/>
          <w:lang w:val="es-ES"/>
        </w:rPr>
        <w:tab/>
      </w:r>
      <w:r w:rsidRPr="008A106B">
        <w:rPr>
          <w:b/>
          <w:bCs/>
          <w:caps/>
          <w:lang w:val="es-ES_tradnl"/>
        </w:rPr>
        <w:t>DATOS CLÍNICOS</w:t>
      </w:r>
    </w:p>
    <w:p w14:paraId="47D4EE73" w14:textId="77777777" w:rsidR="007927FC" w:rsidRPr="008A106B" w:rsidRDefault="007927FC" w:rsidP="007927FC">
      <w:pPr>
        <w:rPr>
          <w:lang w:val="es-ES"/>
        </w:rPr>
      </w:pPr>
    </w:p>
    <w:p w14:paraId="4ECC8386" w14:textId="77777777" w:rsidR="007927FC" w:rsidRPr="008A106B" w:rsidRDefault="007927FC" w:rsidP="007927FC">
      <w:pPr>
        <w:ind w:left="567" w:hanging="567"/>
        <w:outlineLvl w:val="0"/>
        <w:rPr>
          <w:lang w:val="es-ES"/>
        </w:rPr>
      </w:pPr>
      <w:r w:rsidRPr="008A106B">
        <w:rPr>
          <w:b/>
          <w:bCs/>
          <w:lang w:val="es-ES"/>
        </w:rPr>
        <w:t>4.1</w:t>
      </w:r>
      <w:r w:rsidRPr="008A106B">
        <w:rPr>
          <w:b/>
          <w:bCs/>
          <w:lang w:val="es-ES"/>
        </w:rPr>
        <w:tab/>
      </w:r>
      <w:r w:rsidRPr="008A106B">
        <w:rPr>
          <w:b/>
          <w:bCs/>
          <w:lang w:val="es-ES_tradnl"/>
        </w:rPr>
        <w:t>Indicaciones terapéuticas</w:t>
      </w:r>
    </w:p>
    <w:p w14:paraId="16DE8C0A" w14:textId="77777777" w:rsidR="007927FC" w:rsidRDefault="007927FC" w:rsidP="007927FC">
      <w:pPr>
        <w:rPr>
          <w:lang w:val="es-ES"/>
        </w:rPr>
      </w:pPr>
    </w:p>
    <w:p w14:paraId="72AF25BC" w14:textId="77777777" w:rsidR="00EF704E" w:rsidRDefault="00EF704E" w:rsidP="007927FC">
      <w:pPr>
        <w:rPr>
          <w:u w:val="single"/>
          <w:lang w:val="es-ES"/>
        </w:rPr>
      </w:pPr>
      <w:r w:rsidRPr="00F30AB8">
        <w:rPr>
          <w:u w:val="single"/>
          <w:lang w:val="es-ES"/>
        </w:rPr>
        <w:t>Artritis reumatoide</w:t>
      </w:r>
      <w:r>
        <w:rPr>
          <w:u w:val="single"/>
          <w:lang w:val="es-ES"/>
        </w:rPr>
        <w:t xml:space="preserve"> (RA)</w:t>
      </w:r>
    </w:p>
    <w:p w14:paraId="086400D8" w14:textId="10CA9F13" w:rsidR="002B4251" w:rsidRDefault="007927FC" w:rsidP="007927FC">
      <w:pPr>
        <w:rPr>
          <w:lang w:val="es-ES_tradnl"/>
        </w:rPr>
      </w:pPr>
      <w:r w:rsidRPr="008A106B">
        <w:rPr>
          <w:lang w:val="es-ES_tradnl"/>
        </w:rPr>
        <w:t>RoActemra está indicado, en combinación con metotrexato (MTX), para</w:t>
      </w:r>
      <w:r w:rsidR="002B4251">
        <w:rPr>
          <w:lang w:val="es-ES_tradnl"/>
        </w:rPr>
        <w:t>:</w:t>
      </w:r>
    </w:p>
    <w:p w14:paraId="7F810461" w14:textId="77777777" w:rsidR="002B4251" w:rsidRDefault="002B4251" w:rsidP="007927FC">
      <w:pPr>
        <w:rPr>
          <w:lang w:val="es-ES_tradnl"/>
        </w:rPr>
      </w:pPr>
    </w:p>
    <w:p w14:paraId="1391F9FF" w14:textId="4F64CBBB" w:rsidR="002B4251" w:rsidRDefault="00A1235F" w:rsidP="00FA5AD8">
      <w:pPr>
        <w:ind w:left="360" w:hanging="360"/>
        <w:rPr>
          <w:lang w:val="es-ES"/>
        </w:rPr>
      </w:pPr>
      <w:r w:rsidRPr="005D1C98">
        <w:rPr>
          <w:noProof/>
          <w:sz w:val="28"/>
          <w:szCs w:val="28"/>
          <w:lang w:val="es-ES"/>
        </w:rPr>
        <w:t>•</w:t>
      </w:r>
      <w:r w:rsidRPr="005D1C98">
        <w:rPr>
          <w:noProof/>
          <w:sz w:val="24"/>
          <w:szCs w:val="24"/>
          <w:lang w:val="es-ES"/>
        </w:rPr>
        <w:tab/>
      </w:r>
      <w:r w:rsidR="008621A5">
        <w:rPr>
          <w:lang w:val="es-ES"/>
        </w:rPr>
        <w:t>e</w:t>
      </w:r>
      <w:r w:rsidR="00965C85">
        <w:rPr>
          <w:lang w:val="es-ES"/>
        </w:rPr>
        <w:t xml:space="preserve">l </w:t>
      </w:r>
      <w:r w:rsidR="002B4251" w:rsidRPr="00E67AA6">
        <w:rPr>
          <w:lang w:val="es-ES"/>
        </w:rPr>
        <w:t xml:space="preserve">tratamiento de </w:t>
      </w:r>
      <w:r w:rsidR="000C00FA">
        <w:rPr>
          <w:lang w:val="es-ES"/>
        </w:rPr>
        <w:t xml:space="preserve">AR </w:t>
      </w:r>
      <w:r w:rsidR="002B4251">
        <w:rPr>
          <w:lang w:val="es-ES"/>
        </w:rPr>
        <w:t xml:space="preserve">grave, activa </w:t>
      </w:r>
      <w:r w:rsidR="002B4251" w:rsidRPr="00E67AA6">
        <w:rPr>
          <w:lang w:val="es-ES"/>
        </w:rPr>
        <w:t xml:space="preserve">y progresiva en adultos </w:t>
      </w:r>
      <w:r w:rsidR="002B4251">
        <w:rPr>
          <w:lang w:val="es-ES"/>
        </w:rPr>
        <w:t>no</w:t>
      </w:r>
      <w:r w:rsidR="002B4251" w:rsidRPr="00E67AA6">
        <w:rPr>
          <w:lang w:val="es-ES"/>
        </w:rPr>
        <w:t xml:space="preserve"> tratados previamente con MTX. </w:t>
      </w:r>
    </w:p>
    <w:p w14:paraId="62306FBF" w14:textId="77777777" w:rsidR="002B4251" w:rsidRPr="002B4251" w:rsidRDefault="00A97AB1" w:rsidP="00FA5AD8">
      <w:pPr>
        <w:ind w:left="360" w:hanging="360"/>
        <w:rPr>
          <w:lang w:val="es-ES"/>
        </w:rPr>
      </w:pPr>
      <w:r w:rsidRPr="005D1C98">
        <w:rPr>
          <w:noProof/>
          <w:sz w:val="28"/>
          <w:szCs w:val="28"/>
          <w:lang w:val="es-ES"/>
        </w:rPr>
        <w:t>•</w:t>
      </w:r>
      <w:r w:rsidRPr="005D1C98">
        <w:rPr>
          <w:noProof/>
          <w:sz w:val="24"/>
          <w:szCs w:val="24"/>
          <w:lang w:val="es-ES"/>
        </w:rPr>
        <w:tab/>
      </w:r>
      <w:r w:rsidR="007927FC" w:rsidRPr="00697510">
        <w:rPr>
          <w:lang w:val="es-ES_tradnl"/>
        </w:rPr>
        <w:t xml:space="preserve">el tratamiento de la </w:t>
      </w:r>
      <w:r w:rsidR="000C00FA">
        <w:rPr>
          <w:lang w:val="es-ES"/>
        </w:rPr>
        <w:t>A</w:t>
      </w:r>
      <w:r w:rsidR="000C00FA" w:rsidRPr="00D17070">
        <w:rPr>
          <w:lang w:val="es-ES"/>
        </w:rPr>
        <w:t xml:space="preserve">R </w:t>
      </w:r>
      <w:r w:rsidR="007927FC" w:rsidRPr="00D17070">
        <w:rPr>
          <w:lang w:val="es-ES_tradnl"/>
        </w:rPr>
        <w:t>a</w:t>
      </w:r>
      <w:r w:rsidR="007927FC" w:rsidRPr="00697510">
        <w:rPr>
          <w:lang w:val="es-ES_tradnl"/>
        </w:rPr>
        <w:t xml:space="preserve">ctiva de moderada a grave en pacientes adultos con respuesta inadecuada o intolerancia a un tratamiento previo con uno o más </w:t>
      </w:r>
      <w:r w:rsidR="007927FC" w:rsidRPr="002278BF">
        <w:rPr>
          <w:szCs w:val="22"/>
          <w:lang w:val="es-ES"/>
        </w:rPr>
        <w:t>fármacos antirreumáticos modificadores de la enfermedad</w:t>
      </w:r>
      <w:r w:rsidR="007927FC" w:rsidRPr="00EF6C93">
        <w:rPr>
          <w:lang w:val="es-ES_tradnl"/>
        </w:rPr>
        <w:t xml:space="preserve"> (FAMEs) o con antagonistas del factor de necrosis tumoral (TNF). </w:t>
      </w:r>
    </w:p>
    <w:p w14:paraId="773BD07E" w14:textId="77777777" w:rsidR="002B4251" w:rsidRPr="002B4251" w:rsidRDefault="002B4251" w:rsidP="002B4251">
      <w:pPr>
        <w:jc w:val="both"/>
        <w:rPr>
          <w:lang w:val="es-ES"/>
        </w:rPr>
      </w:pPr>
    </w:p>
    <w:p w14:paraId="4CBA775F" w14:textId="77777777" w:rsidR="007927FC" w:rsidRPr="002278BF" w:rsidRDefault="007927FC" w:rsidP="002B4251">
      <w:pPr>
        <w:jc w:val="both"/>
        <w:rPr>
          <w:lang w:val="es-ES"/>
        </w:rPr>
      </w:pPr>
      <w:r w:rsidRPr="00697510">
        <w:rPr>
          <w:lang w:val="es-ES_tradnl"/>
        </w:rPr>
        <w:t xml:space="preserve">En estos pacientes RoActemra puede ser administrado como monoterapia en caso de intolerancia a MTX o cuando el tratamiento continuado con MTX es inadecuado. </w:t>
      </w:r>
    </w:p>
    <w:p w14:paraId="28824C42" w14:textId="68E8991D" w:rsidR="007927FC" w:rsidRDefault="006B4435" w:rsidP="007927FC">
      <w:pPr>
        <w:rPr>
          <w:rFonts w:eastAsia="SimSun"/>
          <w:szCs w:val="22"/>
          <w:lang w:val="es-ES" w:eastAsia="zh-CN"/>
        </w:rPr>
      </w:pPr>
      <w:r w:rsidRPr="006868F5">
        <w:rPr>
          <w:rFonts w:eastAsia="SimSun"/>
          <w:szCs w:val="22"/>
          <w:lang w:val="es-ES" w:eastAsia="zh-CN" w:bidi="th-TH"/>
        </w:rPr>
        <w:t>RoActemra</w:t>
      </w:r>
      <w:r w:rsidR="007927FC" w:rsidRPr="008A106B">
        <w:rPr>
          <w:rFonts w:eastAsia="SimSun"/>
          <w:szCs w:val="22"/>
          <w:lang w:val="es-ES" w:eastAsia="zh-CN"/>
        </w:rPr>
        <w:t xml:space="preserve"> ha demostrado reducir la tasa de progresión del daño articular medido a través de análisis radiológico y mejorar la función física, cuando se administra en combinación con </w:t>
      </w:r>
      <w:r w:rsidR="00EF704E">
        <w:rPr>
          <w:rFonts w:eastAsia="SimSun"/>
          <w:szCs w:val="22"/>
          <w:lang w:val="es-ES" w:eastAsia="zh-CN"/>
        </w:rPr>
        <w:t>MTX</w:t>
      </w:r>
      <w:r w:rsidR="003117F6">
        <w:rPr>
          <w:rFonts w:eastAsia="SimSun"/>
          <w:szCs w:val="22"/>
          <w:lang w:val="es-ES" w:eastAsia="zh-CN"/>
        </w:rPr>
        <w:t>.</w:t>
      </w:r>
    </w:p>
    <w:p w14:paraId="31E79813" w14:textId="77777777" w:rsidR="00145601" w:rsidRDefault="00145601" w:rsidP="007927FC">
      <w:pPr>
        <w:rPr>
          <w:rFonts w:eastAsia="SimSun"/>
          <w:szCs w:val="22"/>
          <w:lang w:val="es-ES" w:eastAsia="zh-CN"/>
        </w:rPr>
      </w:pPr>
    </w:p>
    <w:p w14:paraId="29B4442A" w14:textId="77777777" w:rsidR="007A00EE" w:rsidRPr="00F30AB8" w:rsidRDefault="00EF704E" w:rsidP="00F30AB8">
      <w:pPr>
        <w:keepNext/>
        <w:keepLines/>
        <w:rPr>
          <w:rFonts w:eastAsia="SimSun"/>
          <w:szCs w:val="22"/>
          <w:u w:val="single"/>
          <w:lang w:val="es-ES" w:eastAsia="zh-CN"/>
        </w:rPr>
      </w:pPr>
      <w:r w:rsidRPr="00F30AB8">
        <w:rPr>
          <w:rFonts w:eastAsia="SimSun"/>
          <w:szCs w:val="22"/>
          <w:u w:val="single"/>
          <w:lang w:val="es-ES" w:eastAsia="zh-CN"/>
        </w:rPr>
        <w:t>Enfermedad por coronavirus 2019 (COVID-19)</w:t>
      </w:r>
    </w:p>
    <w:p w14:paraId="03A7BDFA" w14:textId="77777777" w:rsidR="00EF704E" w:rsidRPr="008A106B" w:rsidRDefault="00EF704E" w:rsidP="00F30AB8">
      <w:pPr>
        <w:keepNext/>
        <w:keepLines/>
        <w:rPr>
          <w:rFonts w:eastAsia="SimSun"/>
          <w:szCs w:val="22"/>
          <w:lang w:val="es-ES" w:eastAsia="zh-CN"/>
        </w:rPr>
      </w:pPr>
    </w:p>
    <w:p w14:paraId="552FD492" w14:textId="3FA5B9A8" w:rsidR="007927FC" w:rsidRDefault="007A00EE" w:rsidP="00F30AB8">
      <w:pPr>
        <w:keepNext/>
        <w:keepLines/>
        <w:rPr>
          <w:rFonts w:eastAsia="SimSun"/>
          <w:szCs w:val="22"/>
          <w:lang w:val="es-ES" w:eastAsia="zh-CN"/>
        </w:rPr>
      </w:pPr>
      <w:r w:rsidRPr="007A00EE">
        <w:rPr>
          <w:rFonts w:eastAsia="SimSun"/>
          <w:szCs w:val="22"/>
          <w:lang w:val="es-ES" w:eastAsia="zh-CN"/>
        </w:rPr>
        <w:t xml:space="preserve">RoActemra está indicado para el COVID-19 en adultos que reciben corticosteroides sistémicos y requieren </w:t>
      </w:r>
      <w:r>
        <w:rPr>
          <w:rFonts w:eastAsia="SimSun"/>
          <w:szCs w:val="22"/>
          <w:lang w:val="es-ES" w:eastAsia="zh-CN"/>
        </w:rPr>
        <w:t>suplemento de oxígeno</w:t>
      </w:r>
      <w:r w:rsidRPr="007A00EE">
        <w:rPr>
          <w:rFonts w:eastAsia="SimSun"/>
          <w:szCs w:val="22"/>
          <w:lang w:val="es-ES" w:eastAsia="zh-CN"/>
        </w:rPr>
        <w:t xml:space="preserve"> o ventilación mecánica.</w:t>
      </w:r>
    </w:p>
    <w:p w14:paraId="26FABA16" w14:textId="77777777" w:rsidR="007A00EE" w:rsidRDefault="007A00EE" w:rsidP="007927FC">
      <w:pPr>
        <w:rPr>
          <w:rFonts w:eastAsia="SimSun"/>
          <w:szCs w:val="22"/>
          <w:lang w:val="es-ES" w:eastAsia="zh-CN"/>
        </w:rPr>
      </w:pPr>
    </w:p>
    <w:p w14:paraId="7BC197AF" w14:textId="77777777" w:rsidR="00361102" w:rsidRPr="00F30AB8" w:rsidRDefault="00361102" w:rsidP="00F30AB8">
      <w:pPr>
        <w:keepNext/>
        <w:keepLines/>
        <w:rPr>
          <w:rFonts w:eastAsia="SimSun"/>
          <w:szCs w:val="22"/>
          <w:u w:val="single"/>
          <w:lang w:val="es-ES" w:eastAsia="zh-CN"/>
        </w:rPr>
      </w:pPr>
      <w:r w:rsidRPr="00F30AB8">
        <w:rPr>
          <w:rFonts w:eastAsia="SimSun"/>
          <w:szCs w:val="22"/>
          <w:u w:val="single"/>
          <w:lang w:val="es-ES" w:eastAsia="zh-CN"/>
        </w:rPr>
        <w:lastRenderedPageBreak/>
        <w:t>Artritis idiopática juvenil sistémica (AIJs)</w:t>
      </w:r>
    </w:p>
    <w:p w14:paraId="4CE50F88" w14:textId="77777777" w:rsidR="00361102" w:rsidRPr="008A106B" w:rsidRDefault="00361102" w:rsidP="00F30AB8">
      <w:pPr>
        <w:keepNext/>
        <w:keepLines/>
        <w:rPr>
          <w:rFonts w:eastAsia="SimSun"/>
          <w:szCs w:val="22"/>
          <w:lang w:val="es-ES" w:eastAsia="zh-CN"/>
        </w:rPr>
      </w:pPr>
    </w:p>
    <w:p w14:paraId="0A91B119" w14:textId="72312050" w:rsidR="007927FC" w:rsidRPr="008A106B" w:rsidRDefault="007927FC" w:rsidP="007927FC">
      <w:pPr>
        <w:rPr>
          <w:rFonts w:eastAsia="SimSun"/>
          <w:szCs w:val="22"/>
          <w:lang w:val="es-ES" w:eastAsia="zh-CN"/>
        </w:rPr>
      </w:pPr>
      <w:r w:rsidRPr="008A106B">
        <w:rPr>
          <w:rFonts w:eastAsia="SimSun"/>
          <w:szCs w:val="22"/>
          <w:lang w:val="es-ES" w:eastAsia="zh-CN"/>
        </w:rPr>
        <w:t>RoActemra está indicado para el tratamiento de AIJs activa en pacientes desde 2</w:t>
      </w:r>
      <w:r w:rsidR="008D7AFA" w:rsidRPr="00F30AB8">
        <w:rPr>
          <w:szCs w:val="22"/>
          <w:lang w:val="es-ES"/>
        </w:rPr>
        <w:t> </w:t>
      </w:r>
      <w:r w:rsidRPr="008A106B">
        <w:rPr>
          <w:rFonts w:eastAsia="SimSun"/>
          <w:szCs w:val="22"/>
          <w:lang w:val="es-ES" w:eastAsia="zh-CN"/>
        </w:rPr>
        <w:t xml:space="preserve">años de edad </w:t>
      </w:r>
      <w:r w:rsidR="00CA5600">
        <w:rPr>
          <w:rFonts w:eastAsia="SimSun"/>
          <w:szCs w:val="22"/>
          <w:lang w:val="es-ES" w:eastAsia="zh-CN"/>
        </w:rPr>
        <w:t>y</w:t>
      </w:r>
      <w:r w:rsidRPr="008A106B">
        <w:rPr>
          <w:rFonts w:eastAsia="SimSun"/>
          <w:szCs w:val="22"/>
          <w:lang w:val="es-ES" w:eastAsia="zh-CN"/>
        </w:rPr>
        <w:t xml:space="preserve"> mayores, que no han respondido adecuadamente a terapias anteriores </w:t>
      </w:r>
      <w:proofErr w:type="gramStart"/>
      <w:r w:rsidRPr="008A106B">
        <w:rPr>
          <w:rFonts w:eastAsia="SimSun"/>
          <w:szCs w:val="22"/>
          <w:lang w:val="es-ES" w:eastAsia="zh-CN"/>
        </w:rPr>
        <w:t xml:space="preserve">con </w:t>
      </w:r>
      <w:r w:rsidR="00361102">
        <w:rPr>
          <w:rFonts w:eastAsia="SimSun"/>
          <w:szCs w:val="22"/>
          <w:lang w:val="es-ES" w:eastAsia="zh-CN"/>
        </w:rPr>
        <w:t xml:space="preserve"> anti</w:t>
      </w:r>
      <w:ins w:id="2" w:author="AUTHOR">
        <w:r w:rsidR="00E211C6">
          <w:rPr>
            <w:rFonts w:eastAsia="SimSun"/>
            <w:szCs w:val="22"/>
            <w:lang w:val="es-ES" w:eastAsia="zh-CN"/>
          </w:rPr>
          <w:t>n</w:t>
        </w:r>
      </w:ins>
      <w:r w:rsidR="00361102">
        <w:rPr>
          <w:rFonts w:eastAsia="SimSun"/>
          <w:szCs w:val="22"/>
          <w:lang w:val="es-ES" w:eastAsia="zh-CN"/>
        </w:rPr>
        <w:t>flamatorios</w:t>
      </w:r>
      <w:proofErr w:type="gramEnd"/>
      <w:r w:rsidR="00361102">
        <w:rPr>
          <w:rFonts w:eastAsia="SimSun"/>
          <w:szCs w:val="22"/>
          <w:lang w:val="es-ES" w:eastAsia="zh-CN"/>
        </w:rPr>
        <w:t xml:space="preserve"> no esteroideos (</w:t>
      </w:r>
      <w:r w:rsidRPr="008A106B">
        <w:rPr>
          <w:rFonts w:eastAsia="SimSun"/>
          <w:szCs w:val="22"/>
          <w:lang w:val="es-ES" w:eastAsia="zh-CN"/>
        </w:rPr>
        <w:t>AINEs</w:t>
      </w:r>
      <w:r w:rsidR="00361102">
        <w:rPr>
          <w:rFonts w:eastAsia="SimSun"/>
          <w:szCs w:val="22"/>
          <w:lang w:val="es-ES" w:eastAsia="zh-CN"/>
        </w:rPr>
        <w:t>)</w:t>
      </w:r>
      <w:r w:rsidRPr="008A106B">
        <w:rPr>
          <w:rFonts w:eastAsia="SimSun"/>
          <w:szCs w:val="22"/>
          <w:lang w:val="es-ES" w:eastAsia="zh-CN"/>
        </w:rPr>
        <w:t xml:space="preserve"> y corticoides sistémicos. RoActemra puede ser administrado como monoterapia (en caso de intolerancia a metotrexato o cuando el tratamiento con metotrexato no es adecuado) o en combinación con metotrexato.</w:t>
      </w:r>
    </w:p>
    <w:p w14:paraId="1243B3A6" w14:textId="77777777" w:rsidR="007927FC" w:rsidRDefault="007927FC" w:rsidP="007927FC">
      <w:pPr>
        <w:rPr>
          <w:rFonts w:eastAsia="SimSun"/>
          <w:szCs w:val="22"/>
          <w:lang w:val="es-ES" w:eastAsia="zh-CN"/>
        </w:rPr>
      </w:pPr>
    </w:p>
    <w:p w14:paraId="4F3077C6" w14:textId="1447B010" w:rsidR="007927FC" w:rsidRDefault="008D7AFA" w:rsidP="007927FC">
      <w:pPr>
        <w:rPr>
          <w:rFonts w:eastAsia="SimSun"/>
          <w:szCs w:val="22"/>
          <w:lang w:val="es-ES" w:eastAsia="zh-CN"/>
        </w:rPr>
      </w:pPr>
      <w:r w:rsidRPr="000905BB">
        <w:rPr>
          <w:rFonts w:eastAsia="SimSun"/>
          <w:szCs w:val="22"/>
          <w:u w:val="single"/>
          <w:lang w:val="es-ES" w:eastAsia="zh-CN"/>
        </w:rPr>
        <w:t>Artritis idiopática juvenil</w:t>
      </w:r>
      <w:r>
        <w:rPr>
          <w:rFonts w:eastAsia="SimSun"/>
          <w:szCs w:val="22"/>
          <w:u w:val="single"/>
          <w:lang w:val="es-ES" w:eastAsia="zh-CN"/>
        </w:rPr>
        <w:t xml:space="preserve"> poliarticular (AIJp)</w:t>
      </w:r>
      <w:ins w:id="3" w:author="AUTHOR">
        <w:r w:rsidR="00E211C6">
          <w:rPr>
            <w:rFonts w:eastAsia="SimSun"/>
            <w:szCs w:val="22"/>
            <w:u w:val="single"/>
            <w:lang w:val="es-ES" w:eastAsia="zh-CN"/>
          </w:rPr>
          <w:t xml:space="preserve"> </w:t>
        </w:r>
      </w:ins>
      <w:r w:rsidR="007927FC" w:rsidRPr="008A106B">
        <w:rPr>
          <w:rFonts w:eastAsia="SimSun"/>
          <w:szCs w:val="22"/>
          <w:lang w:val="es-ES" w:eastAsia="zh-CN"/>
        </w:rPr>
        <w:t xml:space="preserve">RoActemra en combinación con MTX está indicado para el tratamiento de </w:t>
      </w:r>
      <w:r w:rsidR="00BF3A65" w:rsidRPr="008A106B">
        <w:rPr>
          <w:rFonts w:eastAsia="SimSun"/>
          <w:szCs w:val="22"/>
          <w:lang w:val="es-ES" w:eastAsia="zh-CN"/>
        </w:rPr>
        <w:t>AIJ</w:t>
      </w:r>
      <w:r w:rsidR="00BF3A65">
        <w:rPr>
          <w:rFonts w:eastAsia="SimSun"/>
          <w:szCs w:val="22"/>
          <w:lang w:val="es-ES" w:eastAsia="zh-CN"/>
        </w:rPr>
        <w:t xml:space="preserve">p; </w:t>
      </w:r>
      <w:r w:rsidR="00361102">
        <w:rPr>
          <w:rFonts w:eastAsia="SimSun"/>
          <w:szCs w:val="22"/>
          <w:lang w:val="es-ES" w:eastAsia="zh-CN"/>
        </w:rPr>
        <w:t>(</w:t>
      </w:r>
      <w:r w:rsidR="007927FC" w:rsidRPr="008A106B">
        <w:rPr>
          <w:rFonts w:eastAsia="SimSun"/>
          <w:szCs w:val="22"/>
          <w:lang w:val="es-ES" w:eastAsia="zh-CN"/>
        </w:rPr>
        <w:t>factor reumatoide positivo o negativo y oligoartritis extendida) en pacientes de 2</w:t>
      </w:r>
      <w:r w:rsidRPr="00F30AB8">
        <w:rPr>
          <w:rFonts w:eastAsia="PMingLiU"/>
          <w:bCs/>
          <w:iCs/>
          <w:color w:val="000000"/>
          <w:szCs w:val="22"/>
          <w:lang w:val="es-ES"/>
        </w:rPr>
        <w:t> </w:t>
      </w:r>
      <w:r w:rsidR="007927FC" w:rsidRPr="008A106B">
        <w:rPr>
          <w:rFonts w:eastAsia="SimSun"/>
          <w:szCs w:val="22"/>
          <w:lang w:val="es-ES" w:eastAsia="zh-CN"/>
        </w:rPr>
        <w:t>años</w:t>
      </w:r>
      <w:r w:rsidR="007927FC">
        <w:rPr>
          <w:rFonts w:eastAsia="SimSun"/>
          <w:szCs w:val="22"/>
          <w:lang w:val="es-ES" w:eastAsia="zh-CN"/>
        </w:rPr>
        <w:t xml:space="preserve"> de edad y mayores</w:t>
      </w:r>
      <w:r w:rsidR="007927FC" w:rsidRPr="008A106B">
        <w:rPr>
          <w:rFonts w:eastAsia="SimSun"/>
          <w:szCs w:val="22"/>
          <w:lang w:val="es-ES" w:eastAsia="zh-CN"/>
        </w:rPr>
        <w:t>, que no han respondido adecuadamente al tratamiento previo con MTX. RoActemra puede administrarse como monoterapia en caso de intolerancia al MTX o cuando el tratamiento continuado con MTX no sea apropiado.</w:t>
      </w:r>
    </w:p>
    <w:p w14:paraId="116FC245" w14:textId="77777777" w:rsidR="001149DA" w:rsidRDefault="001149DA" w:rsidP="007927FC">
      <w:pPr>
        <w:rPr>
          <w:rFonts w:eastAsia="SimSun"/>
          <w:szCs w:val="22"/>
          <w:lang w:val="es-ES" w:eastAsia="zh-CN"/>
        </w:rPr>
      </w:pPr>
    </w:p>
    <w:p w14:paraId="077C94A8" w14:textId="77777777" w:rsidR="00361102" w:rsidRDefault="00361102" w:rsidP="007927FC">
      <w:pPr>
        <w:rPr>
          <w:rFonts w:eastAsia="SimSun"/>
          <w:szCs w:val="22"/>
          <w:u w:val="single"/>
          <w:lang w:val="es-ES" w:eastAsia="zh-CN"/>
        </w:rPr>
      </w:pPr>
      <w:r w:rsidRPr="00F30AB8">
        <w:rPr>
          <w:rFonts w:eastAsia="SimSun"/>
          <w:szCs w:val="22"/>
          <w:u w:val="single"/>
          <w:lang w:val="es-ES" w:eastAsia="zh-CN"/>
        </w:rPr>
        <w:t>Síndrome de liberación de citoquinas (SLC)</w:t>
      </w:r>
    </w:p>
    <w:p w14:paraId="515F9E5D" w14:textId="77777777" w:rsidR="00361102" w:rsidRPr="00F30AB8" w:rsidRDefault="00361102" w:rsidP="007927FC">
      <w:pPr>
        <w:rPr>
          <w:rFonts w:eastAsia="SimSun"/>
          <w:szCs w:val="22"/>
          <w:u w:val="single"/>
          <w:lang w:val="es-ES" w:eastAsia="zh-CN"/>
        </w:rPr>
      </w:pPr>
    </w:p>
    <w:p w14:paraId="5C4B2B80" w14:textId="4D3222D1" w:rsidR="001149DA" w:rsidRDefault="001149DA" w:rsidP="007927FC">
      <w:pPr>
        <w:rPr>
          <w:rFonts w:eastAsia="SimSun"/>
          <w:szCs w:val="22"/>
          <w:lang w:val="es-ES" w:eastAsia="zh-CN"/>
        </w:rPr>
      </w:pPr>
      <w:r>
        <w:rPr>
          <w:rFonts w:eastAsia="SimSun"/>
          <w:szCs w:val="22"/>
          <w:lang w:val="es-ES" w:eastAsia="zh-CN"/>
        </w:rPr>
        <w:t>RoActemra está indicado para el tratamiento de</w:t>
      </w:r>
      <w:ins w:id="4" w:author="AUTHOR">
        <w:r w:rsidR="00E211C6">
          <w:rPr>
            <w:rFonts w:eastAsia="SimSun"/>
            <w:szCs w:val="22"/>
            <w:lang w:val="es-ES" w:eastAsia="zh-CN"/>
          </w:rPr>
          <w:t xml:space="preserve"> </w:t>
        </w:r>
      </w:ins>
      <w:r>
        <w:rPr>
          <w:rFonts w:eastAsia="SimSun"/>
          <w:szCs w:val="22"/>
          <w:lang w:val="es-ES" w:eastAsia="zh-CN"/>
        </w:rPr>
        <w:t>SLC</w:t>
      </w:r>
      <w:r w:rsidR="00F66DDB">
        <w:rPr>
          <w:rFonts w:eastAsia="SimSun"/>
          <w:szCs w:val="22"/>
          <w:lang w:val="es-ES" w:eastAsia="zh-CN"/>
        </w:rPr>
        <w:t xml:space="preserve"> g</w:t>
      </w:r>
      <w:r w:rsidR="006C0BCB">
        <w:rPr>
          <w:rFonts w:eastAsia="SimSun"/>
          <w:szCs w:val="22"/>
          <w:lang w:val="es-ES" w:eastAsia="zh-CN"/>
        </w:rPr>
        <w:t xml:space="preserve">rave o potencialmente mortal </w:t>
      </w:r>
      <w:r w:rsidR="005D1BBA">
        <w:rPr>
          <w:rFonts w:eastAsia="SimSun"/>
          <w:szCs w:val="22"/>
          <w:lang w:val="es-ES" w:eastAsia="zh-CN"/>
        </w:rPr>
        <w:t xml:space="preserve">inducido </w:t>
      </w:r>
      <w:r w:rsidR="006C0BCB">
        <w:rPr>
          <w:rFonts w:eastAsia="SimSun"/>
          <w:szCs w:val="22"/>
          <w:lang w:val="es-ES" w:eastAsia="zh-CN"/>
        </w:rPr>
        <w:t>por</w:t>
      </w:r>
      <w:r w:rsidR="00F66DDB">
        <w:rPr>
          <w:rFonts w:eastAsia="SimSun"/>
          <w:szCs w:val="22"/>
          <w:lang w:val="es-ES" w:eastAsia="zh-CN"/>
        </w:rPr>
        <w:t xml:space="preserve"> </w:t>
      </w:r>
      <w:r w:rsidR="00583B87">
        <w:rPr>
          <w:rFonts w:eastAsia="SimSun"/>
          <w:szCs w:val="22"/>
          <w:lang w:val="es-ES" w:eastAsia="zh-CN"/>
        </w:rPr>
        <w:t>receptor de antígeno quimérico (CAR</w:t>
      </w:r>
      <w:r w:rsidR="005721D7">
        <w:rPr>
          <w:rFonts w:eastAsia="SimSun"/>
          <w:szCs w:val="22"/>
          <w:lang w:val="es-ES" w:eastAsia="zh-CN"/>
        </w:rPr>
        <w:t>, por sus siglas en inglés</w:t>
      </w:r>
      <w:r w:rsidR="00583B87">
        <w:rPr>
          <w:rFonts w:eastAsia="SimSun"/>
          <w:szCs w:val="22"/>
          <w:lang w:val="es-ES" w:eastAsia="zh-CN"/>
        </w:rPr>
        <w:t>)</w:t>
      </w:r>
      <w:r w:rsidR="005D1BBA">
        <w:rPr>
          <w:rFonts w:eastAsia="SimSun"/>
          <w:szCs w:val="22"/>
          <w:lang w:val="es-ES" w:eastAsia="zh-CN"/>
        </w:rPr>
        <w:t xml:space="preserve"> de</w:t>
      </w:r>
      <w:r w:rsidR="00583B87">
        <w:rPr>
          <w:rFonts w:eastAsia="SimSun"/>
          <w:szCs w:val="22"/>
          <w:lang w:val="es-ES" w:eastAsia="zh-CN"/>
        </w:rPr>
        <w:t xml:space="preserve"> células T</w:t>
      </w:r>
      <w:r w:rsidR="00B04BC0">
        <w:rPr>
          <w:rFonts w:eastAsia="SimSun"/>
          <w:szCs w:val="22"/>
          <w:lang w:val="es-ES" w:eastAsia="zh-CN"/>
        </w:rPr>
        <w:t>,</w:t>
      </w:r>
      <w:r w:rsidR="005D1BBA">
        <w:rPr>
          <w:rFonts w:eastAsia="SimSun"/>
          <w:szCs w:val="22"/>
          <w:lang w:val="es-ES" w:eastAsia="zh-CN"/>
        </w:rPr>
        <w:t xml:space="preserve"> en adultos y en población pediátrica de 2</w:t>
      </w:r>
      <w:r w:rsidR="00361102">
        <w:rPr>
          <w:rFonts w:eastAsia="SimSun"/>
          <w:szCs w:val="22"/>
          <w:lang w:val="es-ES" w:eastAsia="zh-CN"/>
        </w:rPr>
        <w:t> </w:t>
      </w:r>
      <w:r w:rsidR="005D1BBA">
        <w:rPr>
          <w:rFonts w:eastAsia="SimSun"/>
          <w:szCs w:val="22"/>
          <w:lang w:val="es-ES" w:eastAsia="zh-CN"/>
        </w:rPr>
        <w:t>años</w:t>
      </w:r>
      <w:r w:rsidR="00DA413E">
        <w:rPr>
          <w:rFonts w:eastAsia="SimSun"/>
          <w:szCs w:val="22"/>
          <w:lang w:val="es-ES" w:eastAsia="zh-CN"/>
        </w:rPr>
        <w:t xml:space="preserve"> de edad</w:t>
      </w:r>
      <w:r w:rsidR="005D1BBA">
        <w:rPr>
          <w:rFonts w:eastAsia="SimSun"/>
          <w:szCs w:val="22"/>
          <w:lang w:val="es-ES" w:eastAsia="zh-CN"/>
        </w:rPr>
        <w:t xml:space="preserve"> y mayores</w:t>
      </w:r>
      <w:r w:rsidR="00583B87">
        <w:rPr>
          <w:rFonts w:eastAsia="SimSun"/>
          <w:szCs w:val="22"/>
          <w:lang w:val="es-ES" w:eastAsia="zh-CN"/>
        </w:rPr>
        <w:t>.</w:t>
      </w:r>
    </w:p>
    <w:p w14:paraId="4AD0C5E9" w14:textId="77777777" w:rsidR="000F12C4" w:rsidRPr="008A106B" w:rsidRDefault="000F12C4" w:rsidP="007927FC">
      <w:pPr>
        <w:rPr>
          <w:rFonts w:eastAsia="SimSun"/>
          <w:szCs w:val="22"/>
          <w:lang w:val="es-ES" w:eastAsia="zh-CN"/>
        </w:rPr>
      </w:pPr>
    </w:p>
    <w:p w14:paraId="46455183" w14:textId="77777777" w:rsidR="007927FC" w:rsidRPr="008A106B" w:rsidRDefault="007927FC" w:rsidP="007927FC">
      <w:pPr>
        <w:keepNext/>
        <w:keepLines/>
        <w:ind w:left="567" w:hanging="567"/>
        <w:outlineLvl w:val="0"/>
        <w:rPr>
          <w:b/>
          <w:bCs/>
          <w:lang w:val="es-ES"/>
        </w:rPr>
      </w:pPr>
      <w:r w:rsidRPr="008A106B">
        <w:rPr>
          <w:b/>
          <w:bCs/>
          <w:lang w:val="es-ES"/>
        </w:rPr>
        <w:t>4.2</w:t>
      </w:r>
      <w:r w:rsidRPr="008A106B">
        <w:rPr>
          <w:b/>
          <w:bCs/>
          <w:lang w:val="es-ES"/>
        </w:rPr>
        <w:tab/>
      </w:r>
      <w:r w:rsidRPr="008A106B">
        <w:rPr>
          <w:b/>
          <w:bCs/>
          <w:lang w:val="es-ES_tradnl"/>
        </w:rPr>
        <w:t>Posología y forma de administración</w:t>
      </w:r>
    </w:p>
    <w:p w14:paraId="6C54EE92" w14:textId="77777777" w:rsidR="007927FC" w:rsidRPr="008A106B" w:rsidRDefault="007927FC" w:rsidP="007927FC">
      <w:pPr>
        <w:keepNext/>
        <w:keepLines/>
        <w:rPr>
          <w:b/>
          <w:lang w:val="es-ES"/>
        </w:rPr>
      </w:pPr>
    </w:p>
    <w:p w14:paraId="11514B08" w14:textId="3A1E8FD5" w:rsidR="00CA46FC" w:rsidRDefault="007927FC" w:rsidP="007927FC">
      <w:pPr>
        <w:rPr>
          <w:lang w:val="es-ES_tradnl"/>
        </w:rPr>
      </w:pPr>
      <w:r w:rsidRPr="008A106B">
        <w:rPr>
          <w:lang w:val="es-ES_tradnl"/>
        </w:rPr>
        <w:t xml:space="preserve">El tratamiento debe ser iniciado por profesionales sanitarios con experiencia en el diagnóstico y el tratamiento de </w:t>
      </w:r>
      <w:proofErr w:type="gramStart"/>
      <w:r w:rsidR="00361102">
        <w:rPr>
          <w:lang w:val="es-ES_tradnl"/>
        </w:rPr>
        <w:t xml:space="preserve">AR, </w:t>
      </w:r>
      <w:r w:rsidRPr="008A106B">
        <w:rPr>
          <w:lang w:val="es-ES_tradnl"/>
        </w:rPr>
        <w:t xml:space="preserve"> </w:t>
      </w:r>
      <w:r w:rsidR="007A00EE">
        <w:rPr>
          <w:lang w:val="es-ES_tradnl"/>
        </w:rPr>
        <w:t>COVID</w:t>
      </w:r>
      <w:proofErr w:type="gramEnd"/>
      <w:r w:rsidR="007A00EE">
        <w:rPr>
          <w:lang w:val="es-ES_tradnl"/>
        </w:rPr>
        <w:t xml:space="preserve">-19, </w:t>
      </w:r>
      <w:r w:rsidRPr="008A106B">
        <w:rPr>
          <w:lang w:val="es-ES_tradnl"/>
        </w:rPr>
        <w:t>AIJs</w:t>
      </w:r>
      <w:r w:rsidR="00583B87">
        <w:rPr>
          <w:lang w:val="es-ES_tradnl"/>
        </w:rPr>
        <w:t>,</w:t>
      </w:r>
      <w:r w:rsidRPr="008A106B">
        <w:rPr>
          <w:lang w:val="es-ES_tradnl"/>
        </w:rPr>
        <w:t xml:space="preserve"> AIJp</w:t>
      </w:r>
      <w:r w:rsidR="00583B87">
        <w:rPr>
          <w:lang w:val="es-ES_tradnl"/>
        </w:rPr>
        <w:t xml:space="preserve"> o </w:t>
      </w:r>
      <w:r w:rsidR="00361102">
        <w:rPr>
          <w:lang w:val="es-ES_tradnl"/>
        </w:rPr>
        <w:t>el</w:t>
      </w:r>
      <w:ins w:id="5" w:author="AUTHOR">
        <w:r w:rsidR="00E211C6">
          <w:rPr>
            <w:lang w:val="es-ES_tradnl"/>
          </w:rPr>
          <w:t xml:space="preserve"> </w:t>
        </w:r>
      </w:ins>
      <w:r w:rsidR="00583B87">
        <w:rPr>
          <w:lang w:val="es-ES_tradnl"/>
        </w:rPr>
        <w:t>SLC</w:t>
      </w:r>
      <w:r w:rsidRPr="008A106B">
        <w:rPr>
          <w:lang w:val="es-ES_tradnl"/>
        </w:rPr>
        <w:t xml:space="preserve">. </w:t>
      </w:r>
    </w:p>
    <w:p w14:paraId="76B82C46" w14:textId="77777777" w:rsidR="00CA46FC" w:rsidRDefault="00CA46FC" w:rsidP="007927FC">
      <w:pPr>
        <w:rPr>
          <w:lang w:val="es-ES_tradnl"/>
        </w:rPr>
      </w:pPr>
    </w:p>
    <w:p w14:paraId="12876661" w14:textId="117EC949" w:rsidR="007927FC" w:rsidRDefault="007927FC" w:rsidP="007927FC">
      <w:pPr>
        <w:rPr>
          <w:ins w:id="6" w:author="AUTHOR"/>
          <w:lang w:val="es-ES_tradnl"/>
        </w:rPr>
      </w:pPr>
      <w:r w:rsidRPr="008A106B">
        <w:rPr>
          <w:lang w:val="es-ES_tradnl"/>
        </w:rPr>
        <w:t xml:space="preserve">Todos los pacientes tratados con RoActemra deben recibir la Tarjeta </w:t>
      </w:r>
      <w:r w:rsidR="005E06DA">
        <w:rPr>
          <w:lang w:val="es-ES_tradnl"/>
        </w:rPr>
        <w:t>para el</w:t>
      </w:r>
      <w:r w:rsidRPr="008A106B">
        <w:rPr>
          <w:lang w:val="es-ES_tradnl"/>
        </w:rPr>
        <w:t xml:space="preserve"> Paciente.</w:t>
      </w:r>
    </w:p>
    <w:p w14:paraId="6449F5C8" w14:textId="77777777" w:rsidR="00801229" w:rsidRPr="008A106B" w:rsidRDefault="00801229" w:rsidP="007927FC">
      <w:pPr>
        <w:rPr>
          <w:lang w:val="es-ES"/>
        </w:rPr>
      </w:pPr>
    </w:p>
    <w:p w14:paraId="1C3318EA" w14:textId="77777777" w:rsidR="007927FC" w:rsidRDefault="007927FC" w:rsidP="007927FC">
      <w:pPr>
        <w:keepNext/>
        <w:autoSpaceDE w:val="0"/>
        <w:autoSpaceDN w:val="0"/>
        <w:adjustRightInd w:val="0"/>
        <w:rPr>
          <w:u w:val="single"/>
          <w:lang w:val="es-ES_tradnl"/>
        </w:rPr>
      </w:pPr>
      <w:r w:rsidRPr="008A106B">
        <w:rPr>
          <w:u w:val="single"/>
          <w:lang w:val="es-ES_tradnl"/>
        </w:rPr>
        <w:t>Posología</w:t>
      </w:r>
    </w:p>
    <w:p w14:paraId="6F4F7B95" w14:textId="77777777" w:rsidR="004947E9" w:rsidDel="00801229" w:rsidRDefault="004947E9" w:rsidP="007927FC">
      <w:pPr>
        <w:keepNext/>
        <w:autoSpaceDE w:val="0"/>
        <w:autoSpaceDN w:val="0"/>
        <w:adjustRightInd w:val="0"/>
        <w:rPr>
          <w:del w:id="7" w:author="AUTHOR"/>
          <w:u w:val="single"/>
          <w:lang w:val="es-ES_tradnl"/>
        </w:rPr>
      </w:pPr>
    </w:p>
    <w:p w14:paraId="5744F445" w14:textId="742F0E44" w:rsidR="0093360B" w:rsidRPr="00F30AB8" w:rsidRDefault="001E0F8E" w:rsidP="007927FC">
      <w:pPr>
        <w:keepNext/>
        <w:autoSpaceDE w:val="0"/>
        <w:autoSpaceDN w:val="0"/>
        <w:adjustRightInd w:val="0"/>
        <w:rPr>
          <w:i/>
          <w:lang w:val="es-ES_tradnl"/>
        </w:rPr>
      </w:pPr>
      <w:r w:rsidRPr="00F30AB8">
        <w:rPr>
          <w:i/>
          <w:lang w:val="es-ES_tradnl"/>
        </w:rPr>
        <w:t>Pacientes con AR</w:t>
      </w:r>
    </w:p>
    <w:p w14:paraId="0B5BDFB3" w14:textId="77777777" w:rsidR="001E0F8E" w:rsidRPr="008A106B" w:rsidRDefault="001E0F8E" w:rsidP="007927FC">
      <w:pPr>
        <w:keepNext/>
        <w:autoSpaceDE w:val="0"/>
        <w:autoSpaceDN w:val="0"/>
        <w:adjustRightInd w:val="0"/>
        <w:rPr>
          <w:u w:val="single"/>
          <w:lang w:val="es-ES_tradnl"/>
        </w:rPr>
      </w:pPr>
    </w:p>
    <w:p w14:paraId="5EA18754" w14:textId="77777777" w:rsidR="007927FC" w:rsidRPr="008A106B" w:rsidRDefault="007927FC" w:rsidP="007927FC">
      <w:pPr>
        <w:autoSpaceDE w:val="0"/>
        <w:autoSpaceDN w:val="0"/>
        <w:adjustRightInd w:val="0"/>
        <w:rPr>
          <w:sz w:val="20"/>
          <w:lang w:val="es-ES"/>
        </w:rPr>
      </w:pPr>
      <w:r w:rsidRPr="008A106B">
        <w:rPr>
          <w:lang w:val="es-ES_tradnl"/>
        </w:rPr>
        <w:t xml:space="preserve">La posología recomendada es de 8 mg/kg de peso corporal, administrados una vez cada cuatro semanas. </w:t>
      </w:r>
    </w:p>
    <w:p w14:paraId="75D18F48" w14:textId="77777777" w:rsidR="007927FC" w:rsidRPr="008A106B" w:rsidRDefault="007927FC" w:rsidP="007927FC">
      <w:pPr>
        <w:rPr>
          <w:lang w:val="es-ES"/>
        </w:rPr>
      </w:pPr>
    </w:p>
    <w:p w14:paraId="0372C155" w14:textId="125AD168" w:rsidR="007927FC" w:rsidRPr="008A106B" w:rsidRDefault="007927FC" w:rsidP="007927FC">
      <w:pPr>
        <w:rPr>
          <w:lang w:val="es-ES"/>
        </w:rPr>
      </w:pPr>
      <w:r w:rsidRPr="008A106B">
        <w:rPr>
          <w:lang w:val="es-ES"/>
        </w:rPr>
        <w:t xml:space="preserve">Para individuos cuyo peso corporal sea superior a 100 kg, no se recomiendan dosis que excedan de 800 mg </w:t>
      </w:r>
      <w:ins w:id="8" w:author="AUTHOR">
        <w:r w:rsidR="00E211C6" w:rsidRPr="00E211C6">
          <w:rPr>
            <w:lang w:val="es-ES"/>
          </w:rPr>
          <w:t>por perfusión</w:t>
        </w:r>
        <w:r w:rsidR="00D33DBC">
          <w:rPr>
            <w:lang w:val="es-ES"/>
          </w:rPr>
          <w:t xml:space="preserve"> </w:t>
        </w:r>
        <w:del w:id="9" w:author="AUTHOR">
          <w:r w:rsidR="00E211C6" w:rsidDel="00D33DBC">
            <w:rPr>
              <w:lang w:val="es-ES"/>
            </w:rPr>
            <w:delText>.</w:delText>
          </w:r>
        </w:del>
      </w:ins>
      <w:r w:rsidRPr="008A106B">
        <w:rPr>
          <w:lang w:val="es-ES"/>
        </w:rPr>
        <w:t>(ver sección</w:t>
      </w:r>
      <w:r w:rsidR="004947E9">
        <w:rPr>
          <w:lang w:val="es-ES"/>
        </w:rPr>
        <w:t> </w:t>
      </w:r>
      <w:r w:rsidRPr="008A106B">
        <w:rPr>
          <w:lang w:val="es-ES"/>
        </w:rPr>
        <w:t>5.2)</w:t>
      </w:r>
      <w:r w:rsidR="001C24BB">
        <w:rPr>
          <w:lang w:val="es-ES"/>
        </w:rPr>
        <w:t>.</w:t>
      </w:r>
      <w:r w:rsidRPr="008A106B">
        <w:rPr>
          <w:lang w:val="es-ES"/>
        </w:rPr>
        <w:t xml:space="preserve"> </w:t>
      </w:r>
    </w:p>
    <w:p w14:paraId="646F9D3D" w14:textId="77777777" w:rsidR="007927FC" w:rsidRPr="008A106B" w:rsidRDefault="007927FC" w:rsidP="007927FC">
      <w:pPr>
        <w:rPr>
          <w:lang w:val="es-ES"/>
        </w:rPr>
      </w:pPr>
    </w:p>
    <w:p w14:paraId="28F01251" w14:textId="4F72B70D" w:rsidR="007927FC" w:rsidRPr="008A106B" w:rsidRDefault="007927FC" w:rsidP="007927FC">
      <w:pPr>
        <w:rPr>
          <w:lang w:val="es-ES"/>
        </w:rPr>
      </w:pPr>
      <w:r w:rsidRPr="008A106B">
        <w:rPr>
          <w:lang w:val="es-ES_tradnl"/>
        </w:rPr>
        <w:t>No se han evaluado dosis por encima de 1,2</w:t>
      </w:r>
      <w:r w:rsidR="00B059F6">
        <w:rPr>
          <w:lang w:val="es-ES_tradnl"/>
        </w:rPr>
        <w:t> </w:t>
      </w:r>
      <w:r w:rsidRPr="008A106B">
        <w:rPr>
          <w:lang w:val="es-ES_tradnl"/>
        </w:rPr>
        <w:t>g en estudios clínicos (ver sección</w:t>
      </w:r>
      <w:r w:rsidR="004947E9">
        <w:rPr>
          <w:lang w:val="es-ES_tradnl"/>
        </w:rPr>
        <w:t> </w:t>
      </w:r>
      <w:r w:rsidRPr="008A106B">
        <w:rPr>
          <w:lang w:val="es-ES_tradnl"/>
        </w:rPr>
        <w:t>5.1).</w:t>
      </w:r>
    </w:p>
    <w:p w14:paraId="1CFB6925" w14:textId="77777777" w:rsidR="007927FC" w:rsidRPr="008A106B" w:rsidRDefault="007927FC" w:rsidP="007927FC">
      <w:pPr>
        <w:rPr>
          <w:lang w:val="es-ES"/>
        </w:rPr>
      </w:pPr>
    </w:p>
    <w:p w14:paraId="73FD815C" w14:textId="7EE5465C" w:rsidR="007927FC" w:rsidRPr="00F30AB8" w:rsidRDefault="007927FC" w:rsidP="007927FC">
      <w:pPr>
        <w:keepNext/>
        <w:rPr>
          <w:i/>
          <w:u w:val="single"/>
          <w:lang w:val="es-ES"/>
        </w:rPr>
      </w:pPr>
      <w:r w:rsidRPr="00F30AB8">
        <w:rPr>
          <w:i/>
          <w:u w:val="single"/>
          <w:lang w:val="es-ES"/>
        </w:rPr>
        <w:lastRenderedPageBreak/>
        <w:t>Ajustes de dosis si los valores de laboratorio están fuera de los parámetros normales (ver sección</w:t>
      </w:r>
      <w:r w:rsidR="004947E9" w:rsidRPr="00F30AB8">
        <w:rPr>
          <w:i/>
          <w:noProof/>
          <w:lang w:val="es-ES"/>
        </w:rPr>
        <w:t> </w:t>
      </w:r>
      <w:r w:rsidRPr="00F30AB8">
        <w:rPr>
          <w:i/>
          <w:u w:val="single"/>
          <w:lang w:val="es-ES"/>
        </w:rPr>
        <w:t>4.4)</w:t>
      </w:r>
      <w:r w:rsidR="00EA3124" w:rsidRPr="00F30AB8">
        <w:rPr>
          <w:i/>
          <w:u w:val="single"/>
          <w:lang w:val="es-ES"/>
        </w:rPr>
        <w:t>.</w:t>
      </w:r>
    </w:p>
    <w:p w14:paraId="5F58AD37" w14:textId="77777777" w:rsidR="007927FC" w:rsidRPr="008A106B" w:rsidRDefault="007927FC" w:rsidP="007927FC">
      <w:pPr>
        <w:keepNext/>
        <w:rPr>
          <w:lang w:val="es-ES"/>
        </w:rPr>
      </w:pPr>
    </w:p>
    <w:p w14:paraId="67FA0E7D" w14:textId="77777777" w:rsidR="007927FC" w:rsidRPr="008A106B" w:rsidRDefault="007927FC" w:rsidP="007927FC">
      <w:pPr>
        <w:keepNext/>
        <w:rPr>
          <w:lang w:val="es-ES"/>
        </w:rPr>
      </w:pPr>
      <w:r w:rsidRPr="008A106B">
        <w:rPr>
          <w:lang w:val="es-ES"/>
        </w:rPr>
        <w:sym w:font="Symbol" w:char="F0B7"/>
      </w:r>
      <w:r w:rsidRPr="008A106B">
        <w:rPr>
          <w:lang w:val="es-ES"/>
        </w:rPr>
        <w:tab/>
        <w:t>Enzimas hepáticas fuera de los valores normales</w:t>
      </w:r>
    </w:p>
    <w:p w14:paraId="7F0AC6BF" w14:textId="77777777" w:rsidR="007927FC" w:rsidRPr="008A106B" w:rsidRDefault="007927FC" w:rsidP="007927FC">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3"/>
        <w:gridCol w:w="7128"/>
      </w:tblGrid>
      <w:tr w:rsidR="007927FC" w:rsidRPr="005A5612" w14:paraId="07566E24" w14:textId="77777777" w:rsidTr="00FC7454">
        <w:tc>
          <w:tcPr>
            <w:tcW w:w="2040" w:type="dxa"/>
          </w:tcPr>
          <w:p w14:paraId="5B777875" w14:textId="77777777" w:rsidR="007927FC" w:rsidRPr="008D7AFA" w:rsidRDefault="007927FC" w:rsidP="00F30AB8">
            <w:pPr>
              <w:pStyle w:val="TextTi12"/>
              <w:keepNext/>
              <w:keepLines/>
              <w:jc w:val="center"/>
              <w:rPr>
                <w:sz w:val="22"/>
                <w:szCs w:val="22"/>
              </w:rPr>
            </w:pPr>
            <w:r w:rsidRPr="008D7AFA">
              <w:rPr>
                <w:sz w:val="22"/>
                <w:szCs w:val="22"/>
              </w:rPr>
              <w:t>Valor de laboratorio</w:t>
            </w:r>
          </w:p>
        </w:tc>
        <w:tc>
          <w:tcPr>
            <w:tcW w:w="8040" w:type="dxa"/>
          </w:tcPr>
          <w:p w14:paraId="11551013" w14:textId="77777777" w:rsidR="007927FC" w:rsidRPr="008D7AFA" w:rsidRDefault="007927FC" w:rsidP="00F30AB8">
            <w:pPr>
              <w:pStyle w:val="TextTi12"/>
              <w:keepNext/>
              <w:keepLines/>
              <w:jc w:val="center"/>
              <w:rPr>
                <w:sz w:val="22"/>
                <w:szCs w:val="22"/>
              </w:rPr>
            </w:pPr>
            <w:r w:rsidRPr="008D7AFA">
              <w:rPr>
                <w:sz w:val="22"/>
                <w:szCs w:val="22"/>
              </w:rPr>
              <w:t>Acción</w:t>
            </w:r>
          </w:p>
        </w:tc>
      </w:tr>
      <w:tr w:rsidR="007927FC" w:rsidRPr="00541248" w14:paraId="05C0A7A3" w14:textId="77777777" w:rsidTr="00FC7454">
        <w:tc>
          <w:tcPr>
            <w:tcW w:w="2040" w:type="dxa"/>
          </w:tcPr>
          <w:p w14:paraId="19CC0843" w14:textId="7780DDE8" w:rsidR="007927FC" w:rsidRPr="008D7AFA" w:rsidRDefault="007A2443" w:rsidP="00F30AB8">
            <w:pPr>
              <w:pStyle w:val="TextTi12"/>
              <w:keepNext/>
              <w:keepLines/>
              <w:rPr>
                <w:sz w:val="22"/>
                <w:szCs w:val="22"/>
                <w:lang w:val="es-ES"/>
              </w:rPr>
            </w:pPr>
            <w:r w:rsidRPr="00F30AB8">
              <w:rPr>
                <w:rFonts w:eastAsia="MS Mincho"/>
                <w:sz w:val="22"/>
                <w:szCs w:val="22"/>
                <w:lang w:val="es-ES" w:eastAsia="ja-JP"/>
              </w:rPr>
              <w:t> &gt; </w:t>
            </w:r>
            <w:r w:rsidR="007927FC" w:rsidRPr="008D7AFA">
              <w:rPr>
                <w:sz w:val="22"/>
                <w:szCs w:val="22"/>
                <w:lang w:val="es-ES"/>
              </w:rPr>
              <w:t> 1 a 3</w:t>
            </w:r>
            <w:r w:rsidR="00AA6F40" w:rsidRPr="00F30AB8">
              <w:rPr>
                <w:rFonts w:eastAsia="MS Mincho"/>
                <w:sz w:val="10"/>
                <w:szCs w:val="22"/>
                <w:lang w:val="es-ES"/>
              </w:rPr>
              <w:t> </w:t>
            </w:r>
            <w:r w:rsidRPr="00F30AB8">
              <w:rPr>
                <w:rFonts w:eastAsia="MS Mincho"/>
                <w:sz w:val="22"/>
                <w:szCs w:val="22"/>
                <w:lang w:val="es-ES" w:eastAsia="ja-JP"/>
              </w:rPr>
              <w:t>×</w:t>
            </w:r>
            <w:r w:rsidR="00AA6F40" w:rsidRPr="00F30AB8">
              <w:rPr>
                <w:rFonts w:ascii="Arial" w:eastAsia="MS Mincho" w:hAnsi="Arial" w:cs="Arial"/>
                <w:sz w:val="10"/>
                <w:szCs w:val="22"/>
                <w:lang w:val="es-ES"/>
              </w:rPr>
              <w:t> </w:t>
            </w:r>
            <w:r w:rsidR="00AA6F40" w:rsidRPr="008D7AFA" w:rsidDel="00AA6F40">
              <w:rPr>
                <w:sz w:val="22"/>
                <w:szCs w:val="22"/>
                <w:lang w:val="es-ES"/>
              </w:rPr>
              <w:t xml:space="preserve"> </w:t>
            </w:r>
            <w:r w:rsidR="007927FC" w:rsidRPr="008D7AFA">
              <w:rPr>
                <w:sz w:val="22"/>
                <w:szCs w:val="22"/>
                <w:lang w:val="es-ES"/>
              </w:rPr>
              <w:t xml:space="preserve">Límite superior de Normalidad (LSN) </w:t>
            </w:r>
          </w:p>
        </w:tc>
        <w:tc>
          <w:tcPr>
            <w:tcW w:w="8040" w:type="dxa"/>
          </w:tcPr>
          <w:p w14:paraId="4365BA1F" w14:textId="77777777" w:rsidR="007927FC" w:rsidRPr="008D7AFA" w:rsidRDefault="007927FC" w:rsidP="00F30AB8">
            <w:pPr>
              <w:pStyle w:val="TextTi12"/>
              <w:keepNext/>
              <w:keepLines/>
              <w:rPr>
                <w:sz w:val="22"/>
                <w:szCs w:val="22"/>
                <w:lang w:val="es-ES"/>
              </w:rPr>
            </w:pPr>
            <w:r w:rsidRPr="008D7AFA">
              <w:rPr>
                <w:sz w:val="22"/>
                <w:szCs w:val="22"/>
                <w:lang w:val="es-ES"/>
              </w:rPr>
              <w:t xml:space="preserve">Si procede, modificar la dosis de la medicación concomitante </w:t>
            </w:r>
            <w:r w:rsidR="00FF4E7C" w:rsidRPr="008D7AFA">
              <w:rPr>
                <w:sz w:val="22"/>
                <w:szCs w:val="22"/>
                <w:lang w:val="es-ES"/>
              </w:rPr>
              <w:t xml:space="preserve">de </w:t>
            </w:r>
            <w:r w:rsidRPr="008D7AFA">
              <w:rPr>
                <w:sz w:val="22"/>
                <w:szCs w:val="22"/>
                <w:lang w:val="es-ES"/>
              </w:rPr>
              <w:t xml:space="preserve">MTX. </w:t>
            </w:r>
          </w:p>
          <w:p w14:paraId="30A2118D" w14:textId="6C41674B" w:rsidR="007927FC" w:rsidRPr="008D7AFA" w:rsidRDefault="007927FC" w:rsidP="00F30AB8">
            <w:pPr>
              <w:pStyle w:val="TextTi12"/>
              <w:keepNext/>
              <w:keepLines/>
              <w:rPr>
                <w:lang w:val="es-ES_tradnl"/>
              </w:rPr>
            </w:pPr>
            <w:r w:rsidRPr="008D7AFA">
              <w:rPr>
                <w:sz w:val="22"/>
                <w:szCs w:val="22"/>
                <w:lang w:val="es-ES"/>
              </w:rPr>
              <w:t xml:space="preserve">Si el incremento continúa dentro de este rango, reducir la dosis de </w:t>
            </w:r>
            <w:r w:rsidR="00D90B32" w:rsidRPr="00F30AB8">
              <w:rPr>
                <w:sz w:val="22"/>
                <w:szCs w:val="22"/>
                <w:lang w:val="es-ES"/>
              </w:rPr>
              <w:t>tocilizumab</w:t>
            </w:r>
            <w:r w:rsidRPr="008D7AFA">
              <w:rPr>
                <w:sz w:val="22"/>
                <w:szCs w:val="22"/>
                <w:lang w:val="es-ES"/>
              </w:rPr>
              <w:t xml:space="preserve"> a 4 mg/kg o interrumpir la administración hasta que los valores de </w:t>
            </w:r>
            <w:r w:rsidRPr="008D7AFA">
              <w:rPr>
                <w:sz w:val="22"/>
                <w:szCs w:val="22"/>
                <w:lang w:val="es-ES_tradnl"/>
              </w:rPr>
              <w:t>alanina aminotransferasa (ALT) o aspartato aminotransferasa se normalicen.</w:t>
            </w:r>
          </w:p>
          <w:p w14:paraId="54882357" w14:textId="428A5F93" w:rsidR="007927FC" w:rsidRPr="008D7AFA" w:rsidRDefault="007927FC" w:rsidP="00F30AB8">
            <w:pPr>
              <w:pStyle w:val="TextTi12"/>
              <w:keepNext/>
              <w:keepLines/>
              <w:rPr>
                <w:sz w:val="22"/>
                <w:szCs w:val="22"/>
                <w:lang w:val="es-ES"/>
              </w:rPr>
            </w:pPr>
            <w:r w:rsidRPr="008D7AFA">
              <w:rPr>
                <w:sz w:val="22"/>
                <w:szCs w:val="22"/>
                <w:lang w:val="es-ES"/>
              </w:rPr>
              <w:t xml:space="preserve">Reestablecer la administración </w:t>
            </w:r>
            <w:del w:id="10" w:author="AUTHOR">
              <w:r w:rsidRPr="008D7AFA" w:rsidDel="00E211C6">
                <w:rPr>
                  <w:sz w:val="22"/>
                  <w:szCs w:val="22"/>
                  <w:lang w:val="es-ES"/>
                </w:rPr>
                <w:delText xml:space="preserve">de RoActemra </w:delText>
              </w:r>
            </w:del>
            <w:r w:rsidRPr="008D7AFA">
              <w:rPr>
                <w:sz w:val="22"/>
                <w:szCs w:val="22"/>
                <w:lang w:val="es-ES"/>
              </w:rPr>
              <w:t xml:space="preserve">con 4 mg/kg </w:t>
            </w:r>
            <w:r w:rsidR="00EA3124" w:rsidRPr="008D7AFA">
              <w:rPr>
                <w:sz w:val="22"/>
                <w:szCs w:val="22"/>
                <w:lang w:val="es-ES"/>
              </w:rPr>
              <w:t>u</w:t>
            </w:r>
            <w:r w:rsidRPr="008D7AFA">
              <w:rPr>
                <w:sz w:val="22"/>
                <w:szCs w:val="22"/>
                <w:lang w:val="es-ES"/>
              </w:rPr>
              <w:t xml:space="preserve"> 8 mg/kg, según sea clínicamente apropiado.</w:t>
            </w:r>
          </w:p>
        </w:tc>
      </w:tr>
      <w:tr w:rsidR="007927FC" w:rsidRPr="00541248" w14:paraId="6C9CD88F" w14:textId="77777777" w:rsidTr="00FC7454">
        <w:tc>
          <w:tcPr>
            <w:tcW w:w="2040" w:type="dxa"/>
          </w:tcPr>
          <w:p w14:paraId="4AEBC253" w14:textId="7555B9BB" w:rsidR="007927FC" w:rsidRPr="008D7AFA" w:rsidRDefault="007927FC" w:rsidP="00F30AB8">
            <w:pPr>
              <w:pStyle w:val="TextTi12"/>
              <w:keepNext/>
              <w:keepLines/>
              <w:rPr>
                <w:sz w:val="22"/>
                <w:szCs w:val="22"/>
                <w:lang w:val="es-ES"/>
              </w:rPr>
            </w:pPr>
            <w:r w:rsidRPr="008D7AFA">
              <w:rPr>
                <w:sz w:val="22"/>
                <w:szCs w:val="22"/>
                <w:lang w:val="es-ES"/>
              </w:rPr>
              <w:t>&gt; 3 a</w:t>
            </w:r>
            <w:r w:rsidR="00206EC2">
              <w:rPr>
                <w:sz w:val="22"/>
                <w:szCs w:val="22"/>
                <w:lang w:val="es-ES"/>
              </w:rPr>
              <w:t xml:space="preserve"> </w:t>
            </w:r>
            <w:proofErr w:type="gramStart"/>
            <w:r w:rsidR="00206EC2">
              <w:rPr>
                <w:sz w:val="22"/>
                <w:szCs w:val="22"/>
                <w:lang w:val="es-ES"/>
              </w:rPr>
              <w:t xml:space="preserve">5 </w:t>
            </w:r>
            <w:r w:rsidRPr="008D7AFA">
              <w:rPr>
                <w:sz w:val="22"/>
                <w:szCs w:val="22"/>
                <w:lang w:val="es-ES"/>
              </w:rPr>
              <w:t xml:space="preserve"> </w:t>
            </w:r>
            <w:r w:rsidR="00206EC2">
              <w:rPr>
                <w:sz w:val="22"/>
                <w:szCs w:val="22"/>
                <w:lang w:val="es-ES"/>
              </w:rPr>
              <w:t>x</w:t>
            </w:r>
            <w:proofErr w:type="gramEnd"/>
            <w:r w:rsidR="00AA6F40" w:rsidRPr="00F30AB8">
              <w:rPr>
                <w:rFonts w:eastAsia="MS Mincho"/>
                <w:sz w:val="10"/>
                <w:szCs w:val="22"/>
                <w:lang w:val="es-ES"/>
              </w:rPr>
              <w:t> </w:t>
            </w:r>
            <w:r w:rsidR="00AA6F40" w:rsidRPr="008D7AFA" w:rsidDel="00AA6F40">
              <w:rPr>
                <w:sz w:val="22"/>
                <w:szCs w:val="22"/>
                <w:lang w:val="es-ES"/>
              </w:rPr>
              <w:t xml:space="preserve"> </w:t>
            </w:r>
            <w:r w:rsidRPr="008D7AFA">
              <w:rPr>
                <w:sz w:val="22"/>
                <w:szCs w:val="22"/>
                <w:lang w:val="es-ES"/>
              </w:rPr>
              <w:t>LSN</w:t>
            </w:r>
          </w:p>
          <w:p w14:paraId="518AC723" w14:textId="74C32F98" w:rsidR="007927FC" w:rsidRPr="008D7AFA" w:rsidRDefault="007927FC" w:rsidP="00F30AB8">
            <w:pPr>
              <w:pStyle w:val="TextTi12"/>
              <w:keepNext/>
              <w:keepLines/>
              <w:jc w:val="left"/>
              <w:rPr>
                <w:sz w:val="22"/>
                <w:szCs w:val="22"/>
                <w:lang w:val="es-ES"/>
              </w:rPr>
            </w:pPr>
            <w:r w:rsidRPr="008D7AFA">
              <w:rPr>
                <w:sz w:val="22"/>
                <w:szCs w:val="22"/>
                <w:lang w:val="es-ES"/>
              </w:rPr>
              <w:t>(confirmado por pruebas repetidas, ver sección</w:t>
            </w:r>
            <w:r w:rsidR="00206EC2">
              <w:rPr>
                <w:sz w:val="22"/>
                <w:szCs w:val="22"/>
                <w:lang w:val="es-ES"/>
              </w:rPr>
              <w:t> </w:t>
            </w:r>
            <w:r w:rsidRPr="008D7AFA">
              <w:rPr>
                <w:sz w:val="22"/>
                <w:szCs w:val="22"/>
                <w:lang w:val="es-ES"/>
              </w:rPr>
              <w:t>4.4)</w:t>
            </w:r>
          </w:p>
        </w:tc>
        <w:tc>
          <w:tcPr>
            <w:tcW w:w="8040" w:type="dxa"/>
          </w:tcPr>
          <w:p w14:paraId="54067383" w14:textId="15841583" w:rsidR="007927FC" w:rsidRPr="008D7AFA" w:rsidRDefault="007927FC" w:rsidP="00F30AB8">
            <w:pPr>
              <w:keepNext/>
              <w:keepLines/>
              <w:rPr>
                <w:lang w:val="es-ES_tradnl"/>
              </w:rPr>
            </w:pPr>
            <w:r w:rsidRPr="008D7AFA">
              <w:rPr>
                <w:lang w:val="es-ES_tradnl"/>
              </w:rPr>
              <w:t xml:space="preserve">Debe interrumpirse el tratamiento con </w:t>
            </w:r>
            <w:r w:rsidR="00D90B32" w:rsidRPr="00F30AB8">
              <w:rPr>
                <w:lang w:val="es-ES_tradnl"/>
              </w:rPr>
              <w:t>tocilizumab</w:t>
            </w:r>
            <w:r w:rsidR="00D90B32" w:rsidRPr="008D7AFA">
              <w:rPr>
                <w:lang w:val="es-ES_tradnl"/>
              </w:rPr>
              <w:t xml:space="preserve"> </w:t>
            </w:r>
            <w:r w:rsidRPr="008D7AFA">
              <w:rPr>
                <w:lang w:val="es-ES_tradnl"/>
              </w:rPr>
              <w:t xml:space="preserve">hasta que los valores </w:t>
            </w:r>
            <w:proofErr w:type="gramStart"/>
            <w:r w:rsidRPr="008D7AFA">
              <w:rPr>
                <w:lang w:val="es-ES_tradnl"/>
              </w:rPr>
              <w:t>sean</w:t>
            </w:r>
            <w:r w:rsidR="00AA6F40" w:rsidRPr="00F30AB8">
              <w:rPr>
                <w:rFonts w:eastAsia="MS Mincho"/>
                <w:sz w:val="10"/>
                <w:szCs w:val="22"/>
                <w:lang w:val="es-ES"/>
              </w:rPr>
              <w:t> </w:t>
            </w:r>
            <w:r w:rsidR="007A2443" w:rsidRPr="00F30AB8">
              <w:rPr>
                <w:lang w:val="es-ES"/>
              </w:rPr>
              <w:t xml:space="preserve"> </w:t>
            </w:r>
            <w:r w:rsidR="007A2443" w:rsidRPr="00F30AB8">
              <w:rPr>
                <w:rFonts w:eastAsia="MS Mincho"/>
                <w:szCs w:val="22"/>
                <w:lang w:val="es-ES"/>
              </w:rPr>
              <w:t>&lt;</w:t>
            </w:r>
            <w:proofErr w:type="gramEnd"/>
            <w:r w:rsidR="00206EC2">
              <w:rPr>
                <w:lang w:val="es-ES_tradnl"/>
              </w:rPr>
              <w:t> </w:t>
            </w:r>
            <w:r w:rsidRPr="008D7AFA">
              <w:rPr>
                <w:lang w:val="es-ES_tradnl"/>
              </w:rPr>
              <w:t>3</w:t>
            </w:r>
            <w:r w:rsidR="00AA6F40" w:rsidRPr="00F30AB8">
              <w:rPr>
                <w:rFonts w:eastAsia="MS Mincho"/>
                <w:sz w:val="10"/>
                <w:szCs w:val="22"/>
                <w:lang w:val="es-ES"/>
              </w:rPr>
              <w:t> </w:t>
            </w:r>
            <w:r w:rsidR="00206EC2">
              <w:rPr>
                <w:rFonts w:ascii="Arial" w:eastAsia="MS Mincho" w:hAnsi="Arial" w:cs="Arial"/>
                <w:sz w:val="10"/>
                <w:szCs w:val="22"/>
                <w:lang w:val="es-ES"/>
              </w:rPr>
              <w:t> </w:t>
            </w:r>
            <w:r w:rsidR="007A2443" w:rsidRPr="00F30AB8">
              <w:rPr>
                <w:rFonts w:eastAsia="MS Mincho"/>
                <w:szCs w:val="22"/>
                <w:lang w:val="es-ES"/>
              </w:rPr>
              <w:t>×</w:t>
            </w:r>
            <w:r w:rsidR="00206EC2" w:rsidRPr="00857C0F">
              <w:rPr>
                <w:rFonts w:ascii="Arial" w:eastAsia="MS Mincho" w:hAnsi="Arial" w:cs="Arial"/>
                <w:sz w:val="10"/>
                <w:szCs w:val="22"/>
                <w:lang w:val="es-ES"/>
              </w:rPr>
              <w:t> </w:t>
            </w:r>
            <w:r w:rsidR="00AA6F40" w:rsidRPr="008D7AFA" w:rsidDel="00AA6F40">
              <w:rPr>
                <w:lang w:val="es-ES_tradnl"/>
              </w:rPr>
              <w:t xml:space="preserve"> </w:t>
            </w:r>
            <w:r w:rsidRPr="008D7AFA">
              <w:rPr>
                <w:lang w:val="es-ES_tradnl"/>
              </w:rPr>
              <w:t>LSN y seguir las recomendaciones indicadas arriba, para valore</w:t>
            </w:r>
            <w:ins w:id="11" w:author="AUTHOR">
              <w:r w:rsidR="00E211C6">
                <w:rPr>
                  <w:lang w:val="es-ES_tradnl"/>
                </w:rPr>
                <w:t>s</w:t>
              </w:r>
            </w:ins>
            <w:r w:rsidR="00AA6F40" w:rsidRPr="00F30AB8">
              <w:rPr>
                <w:rFonts w:eastAsia="MS Mincho"/>
                <w:sz w:val="10"/>
                <w:szCs w:val="22"/>
                <w:lang w:val="es-ES"/>
              </w:rPr>
              <w:t> </w:t>
            </w:r>
            <w:r w:rsidR="007A2443" w:rsidRPr="00F30AB8">
              <w:rPr>
                <w:lang w:val="es-ES"/>
              </w:rPr>
              <w:t xml:space="preserve"> </w:t>
            </w:r>
            <w:r w:rsidR="007A2443" w:rsidRPr="00F30AB8">
              <w:rPr>
                <w:rFonts w:eastAsia="MS Mincho"/>
                <w:szCs w:val="22"/>
                <w:lang w:val="es-ES"/>
              </w:rPr>
              <w:t>&gt;</w:t>
            </w:r>
            <w:r w:rsidR="00206EC2">
              <w:rPr>
                <w:lang w:val="es-ES_tradnl"/>
              </w:rPr>
              <w:t> </w:t>
            </w:r>
            <w:r w:rsidRPr="008D7AFA">
              <w:rPr>
                <w:lang w:val="es-ES_tradnl"/>
              </w:rPr>
              <w:t>1 a 3</w:t>
            </w:r>
            <w:r w:rsidR="00AA6F40" w:rsidRPr="00F30AB8">
              <w:rPr>
                <w:rFonts w:eastAsia="MS Mincho"/>
                <w:sz w:val="10"/>
                <w:szCs w:val="22"/>
                <w:lang w:val="es-ES"/>
              </w:rPr>
              <w:t> </w:t>
            </w:r>
            <w:r w:rsidR="00206EC2">
              <w:rPr>
                <w:rFonts w:eastAsia="MS Mincho"/>
                <w:sz w:val="10"/>
                <w:szCs w:val="22"/>
                <w:lang w:val="es-ES"/>
              </w:rPr>
              <w:t> </w:t>
            </w:r>
            <w:r w:rsidR="007A2443" w:rsidRPr="00F30AB8">
              <w:rPr>
                <w:rFonts w:eastAsia="MS Mincho"/>
                <w:szCs w:val="22"/>
                <w:lang w:val="es-ES"/>
              </w:rPr>
              <w:t>×</w:t>
            </w:r>
            <w:r w:rsidR="00AA6F40" w:rsidRPr="00F30AB8">
              <w:rPr>
                <w:rFonts w:ascii="Arial" w:eastAsia="MS Mincho" w:hAnsi="Arial" w:cs="Arial"/>
                <w:sz w:val="10"/>
                <w:szCs w:val="22"/>
                <w:lang w:val="es-ES"/>
              </w:rPr>
              <w:t> </w:t>
            </w:r>
            <w:r w:rsidR="00AA6F40" w:rsidRPr="008D7AFA" w:rsidDel="00AA6F40">
              <w:rPr>
                <w:lang w:val="es-ES_tradnl"/>
              </w:rPr>
              <w:t xml:space="preserve"> </w:t>
            </w:r>
            <w:r w:rsidRPr="008D7AFA">
              <w:rPr>
                <w:lang w:val="es-ES_tradnl"/>
              </w:rPr>
              <w:t xml:space="preserve">LSN. </w:t>
            </w:r>
          </w:p>
          <w:p w14:paraId="168A54B7" w14:textId="77777777" w:rsidR="007927FC" w:rsidRPr="008D7AFA" w:rsidRDefault="007927FC" w:rsidP="00F30AB8">
            <w:pPr>
              <w:keepNext/>
              <w:keepLines/>
              <w:rPr>
                <w:lang w:val="es-ES_tradnl"/>
              </w:rPr>
            </w:pPr>
          </w:p>
          <w:p w14:paraId="53E0A814" w14:textId="170C60D1" w:rsidR="007927FC" w:rsidRPr="008D7AFA" w:rsidRDefault="007927FC" w:rsidP="00F30AB8">
            <w:pPr>
              <w:pStyle w:val="TextTi12"/>
              <w:keepNext/>
              <w:keepLines/>
              <w:rPr>
                <w:sz w:val="22"/>
                <w:szCs w:val="22"/>
                <w:lang w:val="es-ES"/>
              </w:rPr>
            </w:pPr>
            <w:r w:rsidRPr="008D7AFA">
              <w:rPr>
                <w:sz w:val="22"/>
                <w:szCs w:val="22"/>
                <w:lang w:val="es-ES"/>
              </w:rPr>
              <w:t>Si continúan los valores</w:t>
            </w:r>
            <w:r w:rsidR="00AA6F40" w:rsidRPr="00F30AB8">
              <w:rPr>
                <w:rFonts w:eastAsia="MS Mincho"/>
                <w:sz w:val="10"/>
                <w:szCs w:val="22"/>
                <w:lang w:val="es-ES"/>
              </w:rPr>
              <w:t> </w:t>
            </w:r>
            <w:r w:rsidR="007A2443" w:rsidRPr="00F30AB8">
              <w:rPr>
                <w:rFonts w:eastAsia="MS Mincho"/>
                <w:sz w:val="22"/>
                <w:szCs w:val="22"/>
                <w:lang w:val="es-ES" w:eastAsia="ja-JP"/>
              </w:rPr>
              <w:t>&gt; </w:t>
            </w:r>
            <w:r w:rsidRPr="008D7AFA">
              <w:rPr>
                <w:sz w:val="22"/>
                <w:szCs w:val="22"/>
                <w:lang w:val="es-ES"/>
              </w:rPr>
              <w:t>3</w:t>
            </w:r>
            <w:r w:rsidR="00206EC2">
              <w:rPr>
                <w:sz w:val="22"/>
                <w:szCs w:val="22"/>
                <w:lang w:val="es-ES"/>
              </w:rPr>
              <w:t> </w:t>
            </w:r>
            <w:r w:rsidR="00206EC2" w:rsidRPr="00F30AB8">
              <w:rPr>
                <w:rFonts w:eastAsia="MS Mincho"/>
                <w:sz w:val="22"/>
                <w:szCs w:val="22"/>
                <w:lang w:val="es-ES" w:eastAsia="ja-JP"/>
              </w:rPr>
              <w:t>×</w:t>
            </w:r>
            <w:r w:rsidRPr="008D7AFA">
              <w:rPr>
                <w:sz w:val="22"/>
                <w:szCs w:val="22"/>
                <w:lang w:val="es-ES"/>
              </w:rPr>
              <w:t>LSN hay que interrumpir el tratamiento.</w:t>
            </w:r>
          </w:p>
        </w:tc>
      </w:tr>
      <w:tr w:rsidR="007927FC" w:rsidRPr="005A5612" w14:paraId="5A600203" w14:textId="77777777" w:rsidTr="00FC7454">
        <w:tc>
          <w:tcPr>
            <w:tcW w:w="2040" w:type="dxa"/>
          </w:tcPr>
          <w:p w14:paraId="582CE939" w14:textId="591C97EF" w:rsidR="007927FC" w:rsidRPr="008D7AFA" w:rsidRDefault="007927FC" w:rsidP="00FC7454">
            <w:pPr>
              <w:pStyle w:val="TextTi12"/>
              <w:rPr>
                <w:sz w:val="22"/>
                <w:szCs w:val="22"/>
              </w:rPr>
            </w:pPr>
            <w:r w:rsidRPr="008D7AFA">
              <w:rPr>
                <w:sz w:val="22"/>
                <w:szCs w:val="22"/>
              </w:rPr>
              <w:t>&gt; 5</w:t>
            </w:r>
            <w:r w:rsidR="00206EC2">
              <w:rPr>
                <w:sz w:val="22"/>
                <w:szCs w:val="22"/>
              </w:rPr>
              <w:t> </w:t>
            </w:r>
            <w:r w:rsidR="00206EC2" w:rsidRPr="00945212">
              <w:rPr>
                <w:rFonts w:eastAsia="MS Mincho"/>
                <w:sz w:val="22"/>
                <w:szCs w:val="22"/>
                <w:lang w:val="en-GB" w:eastAsia="ja-JP"/>
              </w:rPr>
              <w:t>×</w:t>
            </w:r>
            <w:r w:rsidRPr="008D7AFA">
              <w:rPr>
                <w:sz w:val="22"/>
                <w:szCs w:val="22"/>
              </w:rPr>
              <w:t>LSN</w:t>
            </w:r>
          </w:p>
        </w:tc>
        <w:tc>
          <w:tcPr>
            <w:tcW w:w="8040" w:type="dxa"/>
          </w:tcPr>
          <w:p w14:paraId="4DFC1289" w14:textId="38FD8FEE" w:rsidR="007927FC" w:rsidRPr="008D7AFA" w:rsidRDefault="007927FC" w:rsidP="00FC7454">
            <w:pPr>
              <w:pStyle w:val="TextTi12"/>
              <w:jc w:val="left"/>
              <w:rPr>
                <w:sz w:val="22"/>
                <w:szCs w:val="22"/>
                <w:lang w:val="es-ES"/>
              </w:rPr>
            </w:pPr>
            <w:r w:rsidRPr="008D7AFA">
              <w:rPr>
                <w:sz w:val="22"/>
                <w:szCs w:val="22"/>
                <w:lang w:val="es-ES"/>
              </w:rPr>
              <w:t>Interrumpir el tratamiento.</w:t>
            </w:r>
          </w:p>
        </w:tc>
      </w:tr>
    </w:tbl>
    <w:p w14:paraId="303A0AAD" w14:textId="77777777" w:rsidR="007927FC" w:rsidRPr="008A106B" w:rsidRDefault="007927FC" w:rsidP="00F30AB8">
      <w:pPr>
        <w:spacing w:line="220" w:lineRule="exact"/>
        <w:rPr>
          <w:lang w:val="es-ES"/>
        </w:rPr>
      </w:pPr>
    </w:p>
    <w:p w14:paraId="3DB863AB" w14:textId="77777777" w:rsidR="007927FC" w:rsidRPr="008A106B" w:rsidRDefault="007927FC" w:rsidP="007927FC">
      <w:pPr>
        <w:keepNext/>
        <w:keepLines/>
        <w:rPr>
          <w:lang w:val="es-ES"/>
        </w:rPr>
      </w:pPr>
      <w:r w:rsidRPr="008A106B">
        <w:rPr>
          <w:lang w:val="es-ES"/>
        </w:rPr>
        <w:sym w:font="Symbol" w:char="F0B7"/>
      </w:r>
      <w:r w:rsidRPr="008A106B">
        <w:rPr>
          <w:lang w:val="es-ES"/>
        </w:rPr>
        <w:tab/>
        <w:t xml:space="preserve">Bajo Recuento Absoluto de Neutrófilos (RAN) </w:t>
      </w:r>
    </w:p>
    <w:p w14:paraId="65D46246" w14:textId="77777777" w:rsidR="007927FC" w:rsidRPr="008A106B" w:rsidRDefault="007927FC" w:rsidP="007927FC">
      <w:pPr>
        <w:keepNext/>
        <w:keepLines/>
        <w:rPr>
          <w:lang w:val="es-ES"/>
        </w:rPr>
      </w:pPr>
    </w:p>
    <w:p w14:paraId="1FCAF864" w14:textId="6D5FBE16" w:rsidR="007927FC" w:rsidRPr="008A106B" w:rsidRDefault="007927FC" w:rsidP="007927FC">
      <w:pPr>
        <w:keepNext/>
        <w:keepLines/>
        <w:rPr>
          <w:lang w:val="es-ES"/>
        </w:rPr>
      </w:pPr>
      <w:r w:rsidRPr="008A106B">
        <w:rPr>
          <w:lang w:val="es-ES"/>
        </w:rPr>
        <w:t xml:space="preserve">No se recomienda iniciar el tratamiento, en pacientes que no han sido tratados previamente con </w:t>
      </w:r>
      <w:del w:id="12" w:author="AUTHOR">
        <w:r w:rsidR="00E94EA7" w:rsidDel="00E211C6">
          <w:rPr>
            <w:lang w:val="es-ES"/>
          </w:rPr>
          <w:delText>tociluzumab</w:delText>
        </w:r>
      </w:del>
      <w:ins w:id="13" w:author="AUTHOR">
        <w:r w:rsidR="00E211C6">
          <w:rPr>
            <w:lang w:val="es-ES"/>
          </w:rPr>
          <w:t>tocilizumab</w:t>
        </w:r>
      </w:ins>
      <w:r w:rsidRPr="008A106B">
        <w:rPr>
          <w:lang w:val="es-ES"/>
        </w:rPr>
        <w:t>, si el recuento absoluto de neutrófilos</w:t>
      </w:r>
      <w:r w:rsidR="00AA6F40">
        <w:rPr>
          <w:lang w:val="es-ES"/>
        </w:rPr>
        <w:t xml:space="preserve"> (</w:t>
      </w:r>
      <w:r w:rsidR="00AA6F40" w:rsidRPr="00F30AB8">
        <w:rPr>
          <w:szCs w:val="22"/>
          <w:lang w:val="it-IT"/>
        </w:rPr>
        <w:t>RAN</w:t>
      </w:r>
      <w:r w:rsidR="00AA6F40" w:rsidRPr="00F30AB8">
        <w:rPr>
          <w:rFonts w:eastAsia="MS Mincho"/>
          <w:sz w:val="10"/>
          <w:szCs w:val="22"/>
          <w:lang w:val="es-ES"/>
        </w:rPr>
        <w:t> )</w:t>
      </w:r>
      <w:r w:rsidRPr="008A106B">
        <w:rPr>
          <w:lang w:val="es-ES"/>
        </w:rPr>
        <w:t xml:space="preserve"> está por debajo de </w:t>
      </w:r>
      <w:r w:rsidRPr="008A106B">
        <w:rPr>
          <w:bCs/>
          <w:lang w:val="es-ES"/>
        </w:rPr>
        <w:t>2</w:t>
      </w:r>
      <w:r w:rsidR="00CF4D22">
        <w:rPr>
          <w:bCs/>
          <w:lang w:val="es-ES"/>
        </w:rPr>
        <w:t> </w:t>
      </w:r>
      <w:r w:rsidR="00CF4D22" w:rsidRPr="00F30AB8">
        <w:rPr>
          <w:bCs/>
          <w:szCs w:val="22"/>
          <w:lang w:val="es-ES"/>
        </w:rPr>
        <w:t>×</w:t>
      </w:r>
      <w:r w:rsidRPr="008A106B">
        <w:rPr>
          <w:bCs/>
          <w:lang w:val="es-ES"/>
        </w:rPr>
        <w:t>10</w:t>
      </w:r>
      <w:r w:rsidRPr="008A106B">
        <w:rPr>
          <w:bCs/>
          <w:vertAlign w:val="superscript"/>
          <w:lang w:val="es-ES"/>
        </w:rPr>
        <w:t>9</w:t>
      </w:r>
      <w:r w:rsidRPr="008A106B">
        <w:rPr>
          <w:bCs/>
          <w:lang w:val="es-ES"/>
        </w:rPr>
        <w:t>/l.</w:t>
      </w:r>
    </w:p>
    <w:p w14:paraId="48A7C974" w14:textId="77777777" w:rsidR="007927FC" w:rsidRPr="008A106B" w:rsidRDefault="007927FC" w:rsidP="007927FC">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gridCol w:w="7101"/>
      </w:tblGrid>
      <w:tr w:rsidR="007927FC" w:rsidRPr="005A5612" w14:paraId="74E5F715" w14:textId="77777777" w:rsidTr="00FC7454">
        <w:tc>
          <w:tcPr>
            <w:tcW w:w="2040" w:type="dxa"/>
          </w:tcPr>
          <w:p w14:paraId="67E838A9" w14:textId="1B4F3422" w:rsidR="007927FC" w:rsidRPr="005A5612" w:rsidRDefault="007927FC">
            <w:pPr>
              <w:pStyle w:val="TextTi12"/>
              <w:keepNext/>
              <w:keepLines/>
              <w:jc w:val="center"/>
              <w:rPr>
                <w:sz w:val="22"/>
                <w:szCs w:val="22"/>
                <w:lang w:val="es-ES"/>
              </w:rPr>
            </w:pPr>
            <w:r w:rsidRPr="005A5612">
              <w:rPr>
                <w:sz w:val="22"/>
                <w:szCs w:val="22"/>
                <w:lang w:val="es-ES"/>
              </w:rPr>
              <w:t>Valores de laboratorio</w:t>
            </w:r>
            <w:r w:rsidRPr="005A5612">
              <w:rPr>
                <w:sz w:val="22"/>
                <w:szCs w:val="22"/>
                <w:lang w:val="es-ES"/>
              </w:rPr>
              <w:br/>
              <w:t>(células</w:t>
            </w:r>
            <w:r w:rsidR="00CF4D22">
              <w:rPr>
                <w:rFonts w:ascii="Arial" w:hAnsi="Arial" w:cs="Arial"/>
                <w:bCs/>
                <w:sz w:val="10"/>
                <w:szCs w:val="22"/>
                <w:lang w:val="es-ES"/>
              </w:rPr>
              <w:t> </w:t>
            </w:r>
            <w:r w:rsidR="00CF4D22" w:rsidRPr="00F30AB8">
              <w:rPr>
                <w:bCs/>
                <w:szCs w:val="22"/>
                <w:lang w:val="es-ES"/>
              </w:rPr>
              <w:t>×</w:t>
            </w:r>
            <w:r w:rsidRPr="005A5612">
              <w:rPr>
                <w:sz w:val="22"/>
                <w:szCs w:val="22"/>
                <w:lang w:val="es-ES"/>
              </w:rPr>
              <w:t>10</w:t>
            </w:r>
            <w:r w:rsidRPr="005A5612">
              <w:rPr>
                <w:sz w:val="22"/>
                <w:szCs w:val="22"/>
                <w:vertAlign w:val="superscript"/>
                <w:lang w:val="es-ES"/>
              </w:rPr>
              <w:t>9</w:t>
            </w:r>
            <w:r w:rsidRPr="005A5612">
              <w:rPr>
                <w:sz w:val="22"/>
                <w:szCs w:val="22"/>
                <w:lang w:val="es-ES"/>
              </w:rPr>
              <w:t>/ l</w:t>
            </w:r>
            <w:r w:rsidRPr="005A5612" w:rsidDel="00B4080A">
              <w:rPr>
                <w:sz w:val="22"/>
                <w:szCs w:val="22"/>
                <w:lang w:val="es-ES"/>
              </w:rPr>
              <w:t xml:space="preserve"> </w:t>
            </w:r>
            <w:r w:rsidRPr="005A5612">
              <w:rPr>
                <w:sz w:val="22"/>
                <w:szCs w:val="22"/>
                <w:lang w:val="es-ES"/>
              </w:rPr>
              <w:t>)</w:t>
            </w:r>
          </w:p>
        </w:tc>
        <w:tc>
          <w:tcPr>
            <w:tcW w:w="8040" w:type="dxa"/>
          </w:tcPr>
          <w:p w14:paraId="52D29D36" w14:textId="77777777" w:rsidR="007927FC" w:rsidRPr="005A5612" w:rsidRDefault="007927FC" w:rsidP="00FC7454">
            <w:pPr>
              <w:pStyle w:val="TextTi12"/>
              <w:keepNext/>
              <w:keepLines/>
              <w:jc w:val="center"/>
              <w:rPr>
                <w:sz w:val="22"/>
                <w:szCs w:val="22"/>
                <w:lang w:val="fr-FR"/>
              </w:rPr>
            </w:pPr>
            <w:r w:rsidRPr="005A5612">
              <w:rPr>
                <w:sz w:val="22"/>
                <w:szCs w:val="22"/>
                <w:lang w:val="fr-FR"/>
              </w:rPr>
              <w:t>Acción</w:t>
            </w:r>
          </w:p>
        </w:tc>
      </w:tr>
      <w:tr w:rsidR="007927FC" w:rsidRPr="005A5612" w14:paraId="5CFB6980" w14:textId="77777777" w:rsidTr="00FC7454">
        <w:tc>
          <w:tcPr>
            <w:tcW w:w="2040" w:type="dxa"/>
          </w:tcPr>
          <w:p w14:paraId="3544D1FF" w14:textId="102E35B2" w:rsidR="007927FC" w:rsidRPr="005A5612" w:rsidRDefault="007927FC">
            <w:pPr>
              <w:pStyle w:val="TextTi12"/>
              <w:keepNext/>
              <w:keepLines/>
              <w:rPr>
                <w:sz w:val="22"/>
                <w:szCs w:val="22"/>
                <w:lang w:val="fr-FR"/>
              </w:rPr>
            </w:pPr>
            <w:r w:rsidRPr="005A5612">
              <w:rPr>
                <w:sz w:val="22"/>
                <w:szCs w:val="22"/>
                <w:lang w:val="fr-FR"/>
              </w:rPr>
              <w:t>RAN</w:t>
            </w:r>
            <w:r w:rsidR="00AA6F40" w:rsidRPr="000905BB">
              <w:rPr>
                <w:rFonts w:eastAsia="MS Mincho"/>
                <w:sz w:val="10"/>
                <w:szCs w:val="22"/>
                <w:lang w:val="en-GB"/>
              </w:rPr>
              <w:t> </w:t>
            </w:r>
            <w:r w:rsidR="007A2443" w:rsidRPr="00945212">
              <w:rPr>
                <w:rFonts w:eastAsia="MS Mincho"/>
                <w:sz w:val="22"/>
                <w:szCs w:val="22"/>
                <w:lang w:val="en-GB" w:eastAsia="ja-JP"/>
              </w:rPr>
              <w:t> &gt; </w:t>
            </w:r>
            <w:r w:rsidRPr="005A5612">
              <w:rPr>
                <w:sz w:val="22"/>
                <w:szCs w:val="22"/>
                <w:lang w:val="fr-FR"/>
              </w:rPr>
              <w:t xml:space="preserve">1 </w:t>
            </w:r>
          </w:p>
        </w:tc>
        <w:tc>
          <w:tcPr>
            <w:tcW w:w="8040" w:type="dxa"/>
          </w:tcPr>
          <w:p w14:paraId="2C38F6BC" w14:textId="77777777" w:rsidR="007927FC" w:rsidRPr="005A5612" w:rsidRDefault="007927FC" w:rsidP="00FC7454">
            <w:pPr>
              <w:keepNext/>
              <w:keepLines/>
              <w:rPr>
                <w:lang w:val="es-ES"/>
              </w:rPr>
            </w:pPr>
            <w:r w:rsidRPr="005A5612">
              <w:rPr>
                <w:szCs w:val="22"/>
                <w:lang w:val="es-ES"/>
              </w:rPr>
              <w:t>Mantener la dosis.</w:t>
            </w:r>
          </w:p>
          <w:p w14:paraId="205E4EA2" w14:textId="77777777" w:rsidR="007927FC" w:rsidRPr="005A5612" w:rsidRDefault="007927FC" w:rsidP="00FC7454">
            <w:pPr>
              <w:pStyle w:val="TextTi12"/>
              <w:keepNext/>
              <w:keepLines/>
              <w:rPr>
                <w:sz w:val="22"/>
                <w:szCs w:val="22"/>
                <w:lang w:val="es-ES"/>
              </w:rPr>
            </w:pPr>
          </w:p>
        </w:tc>
      </w:tr>
      <w:tr w:rsidR="007927FC" w:rsidRPr="00541248" w14:paraId="6E6D5B42" w14:textId="77777777" w:rsidTr="00FC7454">
        <w:tc>
          <w:tcPr>
            <w:tcW w:w="2040" w:type="dxa"/>
          </w:tcPr>
          <w:p w14:paraId="340B4CBC" w14:textId="3615B5AA" w:rsidR="007927FC" w:rsidRPr="005A5612" w:rsidRDefault="007927FC" w:rsidP="00FC7454">
            <w:pPr>
              <w:pStyle w:val="TextTi12"/>
              <w:keepNext/>
              <w:keepLines/>
              <w:rPr>
                <w:sz w:val="22"/>
                <w:szCs w:val="22"/>
                <w:lang w:val="fr-FR"/>
              </w:rPr>
            </w:pPr>
            <w:r w:rsidRPr="005A5612">
              <w:rPr>
                <w:lang w:val="fr-FR"/>
              </w:rPr>
              <w:t>RAN 0</w:t>
            </w:r>
            <w:ins w:id="14" w:author="AUTHOR">
              <w:r w:rsidR="00E211C6">
                <w:rPr>
                  <w:lang w:val="fr-FR"/>
                </w:rPr>
                <w:t>,</w:t>
              </w:r>
            </w:ins>
            <w:del w:id="15" w:author="AUTHOR">
              <w:r w:rsidRPr="005A5612" w:rsidDel="00E211C6">
                <w:rPr>
                  <w:lang w:val="fr-FR"/>
                </w:rPr>
                <w:delText>.</w:delText>
              </w:r>
            </w:del>
            <w:r w:rsidRPr="005A5612">
              <w:rPr>
                <w:lang w:val="fr-FR"/>
              </w:rPr>
              <w:t>5 a 1</w:t>
            </w:r>
          </w:p>
        </w:tc>
        <w:tc>
          <w:tcPr>
            <w:tcW w:w="8040" w:type="dxa"/>
          </w:tcPr>
          <w:p w14:paraId="308B9E17" w14:textId="1273B0B7" w:rsidR="007927FC" w:rsidRPr="005A5612" w:rsidRDefault="007927FC" w:rsidP="00FC7454">
            <w:pPr>
              <w:pStyle w:val="TextTi12"/>
              <w:keepNext/>
              <w:keepLines/>
              <w:rPr>
                <w:sz w:val="22"/>
                <w:szCs w:val="22"/>
                <w:lang w:val="es-ES"/>
              </w:rPr>
            </w:pPr>
            <w:r w:rsidRPr="005A5612">
              <w:rPr>
                <w:sz w:val="22"/>
                <w:szCs w:val="22"/>
                <w:lang w:val="es-ES"/>
              </w:rPr>
              <w:t xml:space="preserve">Interrumpir </w:t>
            </w:r>
            <w:del w:id="16" w:author="AUTHOR">
              <w:r w:rsidRPr="005A5612" w:rsidDel="00281081">
                <w:rPr>
                  <w:sz w:val="22"/>
                  <w:szCs w:val="22"/>
                  <w:lang w:val="es-ES"/>
                </w:rPr>
                <w:delText>el tratamiento</w:delText>
              </w:r>
            </w:del>
            <w:ins w:id="17" w:author="AUTHOR">
              <w:r w:rsidR="00281081">
                <w:rPr>
                  <w:sz w:val="22"/>
                  <w:szCs w:val="22"/>
                  <w:lang w:val="es-ES"/>
                </w:rPr>
                <w:t>la administración de</w:t>
              </w:r>
            </w:ins>
            <w:del w:id="18" w:author="AUTHOR">
              <w:r w:rsidRPr="005A5612" w:rsidDel="00281081">
                <w:rPr>
                  <w:sz w:val="22"/>
                  <w:szCs w:val="22"/>
                  <w:lang w:val="es-ES"/>
                </w:rPr>
                <w:delText xml:space="preserve"> con</w:delText>
              </w:r>
            </w:del>
            <w:r w:rsidRPr="005A5612">
              <w:rPr>
                <w:sz w:val="22"/>
                <w:szCs w:val="22"/>
                <w:lang w:val="es-ES"/>
              </w:rPr>
              <w:t xml:space="preserve"> </w:t>
            </w:r>
            <w:r w:rsidR="00E94EA7">
              <w:rPr>
                <w:sz w:val="22"/>
                <w:szCs w:val="22"/>
                <w:lang w:val="es-ES"/>
              </w:rPr>
              <w:t>tocilizumab</w:t>
            </w:r>
            <w:r w:rsidRPr="005A5612">
              <w:rPr>
                <w:sz w:val="22"/>
                <w:szCs w:val="22"/>
                <w:lang w:val="es-ES"/>
              </w:rPr>
              <w:t>.</w:t>
            </w:r>
          </w:p>
          <w:p w14:paraId="773CB15E" w14:textId="3056EB6E" w:rsidR="007927FC" w:rsidRPr="005A5612" w:rsidRDefault="007927FC" w:rsidP="00FC7454">
            <w:pPr>
              <w:pStyle w:val="TextTi12"/>
              <w:keepNext/>
              <w:keepLines/>
              <w:rPr>
                <w:sz w:val="22"/>
                <w:szCs w:val="22"/>
                <w:lang w:val="es-ES"/>
              </w:rPr>
            </w:pPr>
            <w:r w:rsidRPr="005A5612">
              <w:rPr>
                <w:sz w:val="22"/>
                <w:szCs w:val="22"/>
                <w:lang w:val="es-ES"/>
              </w:rPr>
              <w:t>Cuando el RAN aumente</w:t>
            </w:r>
            <w:r w:rsidR="00AA6F40" w:rsidRPr="00F30AB8">
              <w:rPr>
                <w:rFonts w:eastAsia="MS Mincho"/>
                <w:sz w:val="10"/>
                <w:szCs w:val="22"/>
                <w:lang w:val="es-ES"/>
              </w:rPr>
              <w:t> </w:t>
            </w:r>
            <w:r w:rsidR="007A2443" w:rsidRPr="00F30AB8">
              <w:rPr>
                <w:rFonts w:eastAsia="MS Mincho"/>
                <w:sz w:val="22"/>
                <w:szCs w:val="22"/>
                <w:lang w:val="es-ES" w:eastAsia="ja-JP"/>
              </w:rPr>
              <w:t> &gt; 1 × 10</w:t>
            </w:r>
            <w:r w:rsidR="007A2443" w:rsidRPr="00F30AB8">
              <w:rPr>
                <w:rFonts w:eastAsia="MS Mincho"/>
                <w:sz w:val="22"/>
                <w:szCs w:val="22"/>
                <w:vertAlign w:val="superscript"/>
                <w:lang w:val="es-ES" w:eastAsia="ja-JP"/>
              </w:rPr>
              <w:t>9</w:t>
            </w:r>
            <w:r w:rsidR="007A2443" w:rsidRPr="00F30AB8">
              <w:rPr>
                <w:rFonts w:eastAsia="MS Mincho"/>
                <w:sz w:val="22"/>
                <w:szCs w:val="22"/>
                <w:lang w:val="es-ES" w:eastAsia="ja-JP"/>
              </w:rPr>
              <w:t>/ </w:t>
            </w:r>
            <w:r w:rsidR="007A2443">
              <w:rPr>
                <w:rFonts w:eastAsia="MS Mincho"/>
                <w:sz w:val="22"/>
                <w:szCs w:val="22"/>
                <w:lang w:val="es-ES" w:eastAsia="ja-JP"/>
              </w:rPr>
              <w:t>l</w:t>
            </w:r>
            <w:r w:rsidR="007A2443" w:rsidRPr="00F30AB8">
              <w:rPr>
                <w:rFonts w:eastAsia="MS Mincho"/>
                <w:sz w:val="22"/>
                <w:szCs w:val="22"/>
                <w:lang w:val="es-ES" w:eastAsia="ja-JP"/>
              </w:rPr>
              <w:t xml:space="preserve"> </w:t>
            </w:r>
            <w:r w:rsidRPr="005A5612">
              <w:rPr>
                <w:sz w:val="22"/>
                <w:szCs w:val="22"/>
                <w:lang w:val="es-ES"/>
              </w:rPr>
              <w:t>reestablecer el tratamiento con</w:t>
            </w:r>
            <w:r w:rsidR="00E94EA7">
              <w:rPr>
                <w:sz w:val="22"/>
                <w:szCs w:val="22"/>
                <w:lang w:val="es-ES"/>
              </w:rPr>
              <w:t xml:space="preserve"> </w:t>
            </w:r>
            <w:r w:rsidRPr="005A5612">
              <w:rPr>
                <w:sz w:val="22"/>
                <w:szCs w:val="22"/>
                <w:lang w:val="es-ES"/>
              </w:rPr>
              <w:t xml:space="preserve"> 4 mg/kg e incrementar la dosis a 8 mg/kg si es clínicamente apropiado.</w:t>
            </w:r>
          </w:p>
        </w:tc>
      </w:tr>
      <w:tr w:rsidR="007927FC" w:rsidRPr="00A746DF" w14:paraId="1933F04C" w14:textId="77777777" w:rsidTr="00FC7454">
        <w:tc>
          <w:tcPr>
            <w:tcW w:w="2040" w:type="dxa"/>
          </w:tcPr>
          <w:p w14:paraId="7452D368" w14:textId="1FD725A1" w:rsidR="007927FC" w:rsidRPr="005A5612" w:rsidRDefault="007927FC" w:rsidP="00FC7454">
            <w:pPr>
              <w:pStyle w:val="TextTi12"/>
              <w:rPr>
                <w:sz w:val="22"/>
                <w:szCs w:val="22"/>
              </w:rPr>
            </w:pPr>
            <w:r w:rsidRPr="005A5612">
              <w:rPr>
                <w:sz w:val="22"/>
                <w:szCs w:val="22"/>
              </w:rPr>
              <w:t>RAN</w:t>
            </w:r>
            <w:r w:rsidR="00AA6F40" w:rsidRPr="000905BB">
              <w:rPr>
                <w:rFonts w:eastAsia="MS Mincho"/>
                <w:sz w:val="10"/>
                <w:szCs w:val="22"/>
                <w:lang w:val="en-GB"/>
              </w:rPr>
              <w:t> </w:t>
            </w:r>
            <w:r w:rsidR="007A2443" w:rsidRPr="00945212">
              <w:rPr>
                <w:rFonts w:eastAsia="MS Mincho"/>
                <w:sz w:val="22"/>
                <w:szCs w:val="22"/>
                <w:lang w:val="en-GB" w:eastAsia="ja-JP"/>
              </w:rPr>
              <w:t> &lt; </w:t>
            </w:r>
            <w:r w:rsidRPr="005A5612">
              <w:rPr>
                <w:sz w:val="22"/>
                <w:szCs w:val="22"/>
              </w:rPr>
              <w:t>0</w:t>
            </w:r>
            <w:ins w:id="19" w:author="AUTHOR">
              <w:r w:rsidR="00E211C6">
                <w:rPr>
                  <w:sz w:val="22"/>
                  <w:szCs w:val="22"/>
                </w:rPr>
                <w:t>,</w:t>
              </w:r>
            </w:ins>
            <w:del w:id="20" w:author="AUTHOR">
              <w:r w:rsidRPr="005A5612" w:rsidDel="00E211C6">
                <w:rPr>
                  <w:sz w:val="22"/>
                  <w:szCs w:val="22"/>
                </w:rPr>
                <w:delText>.</w:delText>
              </w:r>
            </w:del>
            <w:r w:rsidRPr="005A5612">
              <w:rPr>
                <w:sz w:val="22"/>
                <w:szCs w:val="22"/>
              </w:rPr>
              <w:t>5</w:t>
            </w:r>
          </w:p>
        </w:tc>
        <w:tc>
          <w:tcPr>
            <w:tcW w:w="8040" w:type="dxa"/>
          </w:tcPr>
          <w:p w14:paraId="2885344B" w14:textId="0A9B83B8" w:rsidR="007927FC" w:rsidRPr="005A5612" w:rsidRDefault="007927FC" w:rsidP="00FC7454">
            <w:pPr>
              <w:pStyle w:val="TextTi12"/>
              <w:rPr>
                <w:sz w:val="22"/>
                <w:szCs w:val="22"/>
                <w:lang w:val="es-ES"/>
              </w:rPr>
            </w:pPr>
            <w:r w:rsidRPr="005A5612">
              <w:rPr>
                <w:sz w:val="22"/>
                <w:szCs w:val="22"/>
                <w:lang w:val="es-ES"/>
              </w:rPr>
              <w:t>Interrumpir el tratamiento.</w:t>
            </w:r>
          </w:p>
        </w:tc>
      </w:tr>
    </w:tbl>
    <w:p w14:paraId="78965F49" w14:textId="77777777" w:rsidR="007927FC" w:rsidRPr="008A106B" w:rsidRDefault="007927FC" w:rsidP="007927FC">
      <w:pPr>
        <w:rPr>
          <w:lang w:val="es-ES"/>
        </w:rPr>
      </w:pPr>
    </w:p>
    <w:p w14:paraId="3BD25EE4" w14:textId="77777777" w:rsidR="007927FC" w:rsidRPr="008A106B" w:rsidRDefault="007927FC" w:rsidP="00F30AB8">
      <w:pPr>
        <w:keepNext/>
        <w:keepLines/>
        <w:shd w:val="clear" w:color="auto" w:fill="FFFFFF" w:themeFill="background1"/>
        <w:rPr>
          <w:lang w:val="es-ES"/>
        </w:rPr>
      </w:pPr>
      <w:r w:rsidRPr="008A106B">
        <w:rPr>
          <w:lang w:val="es-ES"/>
        </w:rPr>
        <w:lastRenderedPageBreak/>
        <w:sym w:font="Symbol" w:char="F0B7"/>
      </w:r>
      <w:r w:rsidRPr="008A106B">
        <w:rPr>
          <w:lang w:val="es-ES"/>
        </w:rPr>
        <w:tab/>
      </w:r>
      <w:r w:rsidRPr="002826B0">
        <w:rPr>
          <w:lang w:val="es-ES"/>
        </w:rPr>
        <w:t>Bajo recuento de plaquetas</w:t>
      </w:r>
    </w:p>
    <w:p w14:paraId="108F35E9" w14:textId="77777777" w:rsidR="007927FC" w:rsidRPr="008A106B" w:rsidRDefault="007927FC" w:rsidP="00F30AB8">
      <w:pPr>
        <w:keepNext/>
        <w:keepLines/>
        <w:shd w:val="clear" w:color="auto" w:fill="FFFFFF" w:themeFill="background1"/>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Change w:id="21" w:author="AUTHOR">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PrChange>
      </w:tblPr>
      <w:tblGrid>
        <w:gridCol w:w="2122"/>
        <w:gridCol w:w="6939"/>
        <w:tblGridChange w:id="22">
          <w:tblGrid>
            <w:gridCol w:w="1943"/>
            <w:gridCol w:w="7118"/>
          </w:tblGrid>
        </w:tblGridChange>
      </w:tblGrid>
      <w:tr w:rsidR="007927FC" w:rsidRPr="005A5612" w14:paraId="1FF6A75B" w14:textId="77777777" w:rsidTr="00467FFD">
        <w:tc>
          <w:tcPr>
            <w:tcW w:w="2122" w:type="dxa"/>
            <w:tcPrChange w:id="23" w:author="AUTHOR">
              <w:tcPr>
                <w:tcW w:w="1950" w:type="dxa"/>
              </w:tcPr>
            </w:tcPrChange>
          </w:tcPr>
          <w:p w14:paraId="6113E064" w14:textId="1009C825" w:rsidR="007927FC" w:rsidRPr="005A5612" w:rsidRDefault="007927FC" w:rsidP="00F30AB8">
            <w:pPr>
              <w:pStyle w:val="TextTi12"/>
              <w:keepNext/>
              <w:keepLines/>
              <w:jc w:val="left"/>
              <w:rPr>
                <w:sz w:val="22"/>
                <w:szCs w:val="22"/>
                <w:lang w:val="es-ES"/>
              </w:rPr>
            </w:pPr>
            <w:r w:rsidRPr="005A5612">
              <w:rPr>
                <w:sz w:val="22"/>
                <w:szCs w:val="22"/>
                <w:lang w:val="es-ES"/>
              </w:rPr>
              <w:t>Valores de laboratorio</w:t>
            </w:r>
            <w:r w:rsidRPr="005A5612">
              <w:rPr>
                <w:sz w:val="22"/>
                <w:szCs w:val="22"/>
                <w:lang w:val="es-ES"/>
              </w:rPr>
              <w:br/>
              <w:t>(células</w:t>
            </w:r>
            <w:del w:id="24" w:author="AUTHOR">
              <w:r w:rsidR="00CF4D22" w:rsidDel="00281081">
                <w:rPr>
                  <w:rFonts w:eastAsia="MS Mincho"/>
                  <w:sz w:val="10"/>
                  <w:szCs w:val="22"/>
                  <w:lang w:val="es-ES"/>
                </w:rPr>
                <w:delText> </w:delText>
              </w:r>
            </w:del>
            <w:r w:rsidR="002826B0" w:rsidRPr="00F30AB8">
              <w:rPr>
                <w:rFonts w:eastAsia="MS Mincho"/>
                <w:sz w:val="22"/>
                <w:szCs w:val="22"/>
                <w:lang w:val="es-ES" w:eastAsia="ja-JP"/>
              </w:rPr>
              <w:t> × </w:t>
            </w:r>
            <w:r w:rsidR="00AA6F40" w:rsidRPr="00F30AB8">
              <w:rPr>
                <w:rFonts w:ascii="Arial" w:eastAsia="MS Mincho" w:hAnsi="Arial" w:cs="Arial"/>
                <w:sz w:val="10"/>
                <w:szCs w:val="22"/>
                <w:lang w:val="es-ES"/>
              </w:rPr>
              <w:t> </w:t>
            </w:r>
            <w:del w:id="25" w:author="AUTHOR">
              <w:r w:rsidR="00AA6F40" w:rsidRPr="005A5612" w:rsidDel="00281081">
                <w:rPr>
                  <w:sz w:val="22"/>
                  <w:szCs w:val="22"/>
                  <w:lang w:val="es-ES"/>
                </w:rPr>
                <w:delText xml:space="preserve"> </w:delText>
              </w:r>
            </w:del>
            <w:r w:rsidRPr="005A5612">
              <w:rPr>
                <w:sz w:val="22"/>
                <w:szCs w:val="22"/>
                <w:lang w:val="es-ES"/>
              </w:rPr>
              <w:t>10</w:t>
            </w:r>
            <w:r w:rsidRPr="005A5612">
              <w:rPr>
                <w:sz w:val="22"/>
                <w:szCs w:val="22"/>
                <w:vertAlign w:val="superscript"/>
                <w:lang w:val="es-ES"/>
              </w:rPr>
              <w:t>3</w:t>
            </w:r>
            <w:r w:rsidRPr="005A5612">
              <w:rPr>
                <w:sz w:val="22"/>
                <w:szCs w:val="22"/>
                <w:lang w:val="es-ES"/>
              </w:rPr>
              <w:t>/ </w:t>
            </w:r>
            <w:r w:rsidR="002826B0" w:rsidRPr="00F30AB8">
              <w:rPr>
                <w:rFonts w:eastAsia="MS Mincho"/>
                <w:sz w:val="22"/>
                <w:szCs w:val="22"/>
                <w:lang w:val="es-ES" w:eastAsia="ja-JP"/>
              </w:rPr>
              <w:t>µ</w:t>
            </w:r>
            <w:del w:id="26" w:author="AUTHOR">
              <w:r w:rsidR="002826B0" w:rsidRPr="00F30AB8" w:rsidDel="00281081">
                <w:rPr>
                  <w:rFonts w:eastAsia="MS Mincho"/>
                  <w:sz w:val="22"/>
                  <w:szCs w:val="22"/>
                  <w:lang w:val="es-ES"/>
                </w:rPr>
                <w:delText xml:space="preserve"> </w:delText>
              </w:r>
            </w:del>
            <w:r w:rsidRPr="005A5612">
              <w:rPr>
                <w:sz w:val="22"/>
                <w:szCs w:val="22"/>
                <w:lang w:val="es-ES"/>
              </w:rPr>
              <w:t>l)</w:t>
            </w:r>
          </w:p>
        </w:tc>
        <w:tc>
          <w:tcPr>
            <w:tcW w:w="6939" w:type="dxa"/>
            <w:tcPrChange w:id="27" w:author="AUTHOR">
              <w:tcPr>
                <w:tcW w:w="7337" w:type="dxa"/>
              </w:tcPr>
            </w:tcPrChange>
          </w:tcPr>
          <w:p w14:paraId="529457BC" w14:textId="77777777" w:rsidR="007927FC" w:rsidRPr="005A5612" w:rsidRDefault="007927FC" w:rsidP="00F30AB8">
            <w:pPr>
              <w:pStyle w:val="TextTi12"/>
              <w:keepNext/>
              <w:keepLines/>
              <w:jc w:val="left"/>
              <w:rPr>
                <w:sz w:val="22"/>
                <w:szCs w:val="22"/>
                <w:lang w:val="fr-FR"/>
              </w:rPr>
            </w:pPr>
            <w:r w:rsidRPr="005A5612">
              <w:rPr>
                <w:sz w:val="22"/>
                <w:szCs w:val="22"/>
                <w:lang w:val="fr-FR"/>
              </w:rPr>
              <w:t>Acción</w:t>
            </w:r>
          </w:p>
        </w:tc>
      </w:tr>
      <w:tr w:rsidR="007927FC" w:rsidRPr="00541248" w14:paraId="1788C4E7" w14:textId="77777777" w:rsidTr="00467FFD">
        <w:tc>
          <w:tcPr>
            <w:tcW w:w="2122" w:type="dxa"/>
            <w:tcPrChange w:id="28" w:author="AUTHOR">
              <w:tcPr>
                <w:tcW w:w="1950" w:type="dxa"/>
              </w:tcPr>
            </w:tcPrChange>
          </w:tcPr>
          <w:p w14:paraId="547F22A7" w14:textId="77777777" w:rsidR="007927FC" w:rsidRPr="005A5612" w:rsidRDefault="007927FC" w:rsidP="00F30AB8">
            <w:pPr>
              <w:pStyle w:val="TextTi12"/>
              <w:keepNext/>
              <w:keepLines/>
              <w:rPr>
                <w:sz w:val="22"/>
                <w:szCs w:val="22"/>
                <w:lang w:val="fr-FR"/>
              </w:rPr>
            </w:pPr>
            <w:r w:rsidRPr="005A5612">
              <w:rPr>
                <w:sz w:val="22"/>
                <w:szCs w:val="22"/>
                <w:lang w:val="fr-FR"/>
              </w:rPr>
              <w:t>50 a 100</w:t>
            </w:r>
          </w:p>
        </w:tc>
        <w:tc>
          <w:tcPr>
            <w:tcW w:w="6939" w:type="dxa"/>
            <w:tcPrChange w:id="29" w:author="AUTHOR">
              <w:tcPr>
                <w:tcW w:w="7337" w:type="dxa"/>
              </w:tcPr>
            </w:tcPrChange>
          </w:tcPr>
          <w:p w14:paraId="2C613D48" w14:textId="32DF1BB5" w:rsidR="007927FC" w:rsidRPr="005A5612" w:rsidRDefault="007927FC" w:rsidP="00F30AB8">
            <w:pPr>
              <w:pStyle w:val="TextTi12"/>
              <w:keepNext/>
              <w:keepLines/>
              <w:rPr>
                <w:sz w:val="22"/>
                <w:szCs w:val="22"/>
                <w:lang w:val="es-ES"/>
              </w:rPr>
            </w:pPr>
            <w:r w:rsidRPr="005A5612">
              <w:rPr>
                <w:sz w:val="22"/>
                <w:szCs w:val="22"/>
                <w:lang w:val="es-ES"/>
              </w:rPr>
              <w:t xml:space="preserve">Interrumpir </w:t>
            </w:r>
            <w:del w:id="30" w:author="AUTHOR">
              <w:r w:rsidRPr="005A5612" w:rsidDel="00A746DF">
                <w:rPr>
                  <w:sz w:val="22"/>
                  <w:szCs w:val="22"/>
                  <w:lang w:val="es-ES"/>
                </w:rPr>
                <w:delText>el tratamiento</w:delText>
              </w:r>
            </w:del>
            <w:ins w:id="31" w:author="AUTHOR">
              <w:r w:rsidR="00A746DF">
                <w:rPr>
                  <w:sz w:val="22"/>
                  <w:szCs w:val="22"/>
                  <w:lang w:val="es-ES"/>
                </w:rPr>
                <w:t>la administración</w:t>
              </w:r>
            </w:ins>
            <w:r w:rsidRPr="005A5612">
              <w:rPr>
                <w:sz w:val="22"/>
                <w:szCs w:val="22"/>
                <w:lang w:val="es-ES"/>
              </w:rPr>
              <w:t xml:space="preserve"> </w:t>
            </w:r>
            <w:del w:id="32" w:author="AUTHOR">
              <w:r w:rsidRPr="005A5612" w:rsidDel="00A746DF">
                <w:rPr>
                  <w:sz w:val="22"/>
                  <w:szCs w:val="22"/>
                  <w:lang w:val="es-ES"/>
                </w:rPr>
                <w:delText>con</w:delText>
              </w:r>
            </w:del>
            <w:ins w:id="33" w:author="AUTHOR">
              <w:r w:rsidR="00A746DF">
                <w:rPr>
                  <w:sz w:val="22"/>
                  <w:szCs w:val="22"/>
                  <w:lang w:val="es-ES"/>
                </w:rPr>
                <w:t>de</w:t>
              </w:r>
            </w:ins>
            <w:r w:rsidRPr="005A5612">
              <w:rPr>
                <w:sz w:val="22"/>
                <w:szCs w:val="22"/>
                <w:lang w:val="es-ES"/>
              </w:rPr>
              <w:t xml:space="preserve"> </w:t>
            </w:r>
            <w:r w:rsidR="00E94EA7">
              <w:rPr>
                <w:sz w:val="22"/>
                <w:szCs w:val="22"/>
                <w:lang w:val="es-ES"/>
              </w:rPr>
              <w:t>tocilizumab.</w:t>
            </w:r>
            <w:r w:rsidRPr="005A5612">
              <w:rPr>
                <w:sz w:val="22"/>
                <w:szCs w:val="22"/>
                <w:lang w:val="es-ES"/>
              </w:rPr>
              <w:t xml:space="preserve"> </w:t>
            </w:r>
          </w:p>
          <w:p w14:paraId="2978BA1D" w14:textId="70E28842" w:rsidR="007927FC" w:rsidRPr="005A5612" w:rsidRDefault="007927FC" w:rsidP="00F30AB8">
            <w:pPr>
              <w:pStyle w:val="TextTi12"/>
              <w:keepNext/>
              <w:keepLines/>
              <w:rPr>
                <w:sz w:val="22"/>
                <w:szCs w:val="22"/>
                <w:lang w:val="es-ES"/>
              </w:rPr>
            </w:pPr>
            <w:r w:rsidRPr="005A5612">
              <w:rPr>
                <w:sz w:val="22"/>
                <w:szCs w:val="22"/>
                <w:lang w:val="es-ES"/>
              </w:rPr>
              <w:t>Cuando el recuento de plaquetas</w:t>
            </w:r>
            <w:r w:rsidR="00AA6F40" w:rsidRPr="00F30AB8">
              <w:rPr>
                <w:rFonts w:eastAsia="MS Mincho"/>
                <w:sz w:val="10"/>
                <w:szCs w:val="22"/>
                <w:lang w:val="es-ES"/>
              </w:rPr>
              <w:t> </w:t>
            </w:r>
            <w:r w:rsidR="00AA6F40" w:rsidRPr="000905BB">
              <w:rPr>
                <w:rFonts w:eastAsia="MS Mincho"/>
                <w:sz w:val="22"/>
                <w:szCs w:val="22"/>
                <w:lang w:val="en-GB"/>
              </w:rPr>
              <w:sym w:font="Symbol" w:char="F03E"/>
            </w:r>
            <w:r w:rsidR="00AA6F40" w:rsidRPr="00F30AB8">
              <w:rPr>
                <w:rFonts w:ascii="Arial" w:eastAsia="MS Mincho" w:hAnsi="Arial" w:cs="Arial"/>
                <w:sz w:val="10"/>
                <w:szCs w:val="22"/>
                <w:lang w:val="es-ES"/>
              </w:rPr>
              <w:t> </w:t>
            </w:r>
            <w:r w:rsidRPr="005A5612">
              <w:rPr>
                <w:sz w:val="22"/>
                <w:szCs w:val="22"/>
                <w:lang w:val="es-ES"/>
              </w:rPr>
              <w:t>100 x 10</w:t>
            </w:r>
            <w:r w:rsidRPr="005A5612">
              <w:rPr>
                <w:sz w:val="22"/>
                <w:szCs w:val="22"/>
                <w:vertAlign w:val="superscript"/>
                <w:lang w:val="es-ES"/>
              </w:rPr>
              <w:t>3</w:t>
            </w:r>
            <w:r w:rsidRPr="005A5612">
              <w:rPr>
                <w:sz w:val="22"/>
                <w:szCs w:val="22"/>
                <w:lang w:val="es-ES"/>
              </w:rPr>
              <w:t>/ </w:t>
            </w:r>
            <w:r w:rsidR="00AA6F40" w:rsidRPr="00043224">
              <w:rPr>
                <w:rFonts w:eastAsia="MS Mincho"/>
                <w:sz w:val="22"/>
                <w:szCs w:val="22"/>
                <w:lang w:val="en-GB"/>
              </w:rPr>
              <w:sym w:font="Symbol" w:char="F06D"/>
            </w:r>
            <w:r w:rsidRPr="005A5612">
              <w:rPr>
                <w:sz w:val="22"/>
                <w:szCs w:val="22"/>
                <w:lang w:val="es-ES"/>
              </w:rPr>
              <w:t xml:space="preserve">l reestablecer eltratamiento con 4 mg/kg e incrementar la dosis a 8 mg/kg si es clínicamente apropiado. </w:t>
            </w:r>
          </w:p>
        </w:tc>
      </w:tr>
      <w:tr w:rsidR="007927FC" w:rsidRPr="005A5612" w14:paraId="177A42E6" w14:textId="77777777" w:rsidTr="00467FFD">
        <w:tc>
          <w:tcPr>
            <w:tcW w:w="2122" w:type="dxa"/>
            <w:tcPrChange w:id="34" w:author="AUTHOR">
              <w:tcPr>
                <w:tcW w:w="1950" w:type="dxa"/>
              </w:tcPr>
            </w:tcPrChange>
          </w:tcPr>
          <w:p w14:paraId="74F687A3" w14:textId="137D15D4" w:rsidR="007927FC" w:rsidRPr="005A5612" w:rsidRDefault="002826B0" w:rsidP="00F30AB8">
            <w:pPr>
              <w:pStyle w:val="TextTi12"/>
              <w:keepNext/>
              <w:keepLines/>
              <w:rPr>
                <w:sz w:val="22"/>
                <w:szCs w:val="22"/>
              </w:rPr>
            </w:pPr>
            <w:r w:rsidRPr="00F30AB8">
              <w:rPr>
                <w:rFonts w:eastAsia="MS Mincho"/>
                <w:sz w:val="22"/>
                <w:szCs w:val="22"/>
                <w:lang w:val="es-ES" w:eastAsia="ja-JP"/>
              </w:rPr>
              <w:t> </w:t>
            </w:r>
            <w:r w:rsidRPr="00B673E5">
              <w:rPr>
                <w:rFonts w:eastAsia="MS Mincho"/>
                <w:sz w:val="22"/>
                <w:szCs w:val="22"/>
                <w:lang w:val="en-GB" w:eastAsia="ja-JP"/>
              </w:rPr>
              <w:t>&lt;</w:t>
            </w:r>
            <w:r w:rsidRPr="00945212">
              <w:rPr>
                <w:rFonts w:eastAsia="MS Mincho"/>
                <w:sz w:val="22"/>
                <w:szCs w:val="22"/>
                <w:lang w:val="en-GB" w:eastAsia="ja-JP"/>
              </w:rPr>
              <w:t> </w:t>
            </w:r>
            <w:r w:rsidR="007927FC" w:rsidRPr="005A5612">
              <w:rPr>
                <w:sz w:val="22"/>
                <w:szCs w:val="22"/>
              </w:rPr>
              <w:t>50</w:t>
            </w:r>
          </w:p>
        </w:tc>
        <w:tc>
          <w:tcPr>
            <w:tcW w:w="6939" w:type="dxa"/>
            <w:tcPrChange w:id="35" w:author="AUTHOR">
              <w:tcPr>
                <w:tcW w:w="7337" w:type="dxa"/>
              </w:tcPr>
            </w:tcPrChange>
          </w:tcPr>
          <w:p w14:paraId="30BE817C" w14:textId="40BB2628" w:rsidR="007927FC" w:rsidRPr="005A5612" w:rsidRDefault="007927FC" w:rsidP="00F30AB8">
            <w:pPr>
              <w:pStyle w:val="TextTi12"/>
              <w:keepNext/>
              <w:keepLines/>
              <w:rPr>
                <w:sz w:val="22"/>
                <w:szCs w:val="22"/>
                <w:lang w:val="es-ES"/>
              </w:rPr>
            </w:pPr>
            <w:r w:rsidRPr="005A5612">
              <w:rPr>
                <w:sz w:val="22"/>
                <w:szCs w:val="22"/>
                <w:lang w:val="es-ES"/>
              </w:rPr>
              <w:t xml:space="preserve">Interrumpir el tratamiento. </w:t>
            </w:r>
          </w:p>
        </w:tc>
      </w:tr>
    </w:tbl>
    <w:p w14:paraId="486524A8" w14:textId="77777777" w:rsidR="007A00EE" w:rsidRDefault="007A00EE" w:rsidP="007A00EE">
      <w:pPr>
        <w:rPr>
          <w:lang w:val="es-ES"/>
        </w:rPr>
      </w:pPr>
    </w:p>
    <w:p w14:paraId="6B3C1639" w14:textId="77777777" w:rsidR="007A00EE" w:rsidRPr="00F30AB8" w:rsidRDefault="00D50156" w:rsidP="007A00EE">
      <w:pPr>
        <w:rPr>
          <w:i/>
          <w:lang w:val="es-ES"/>
        </w:rPr>
      </w:pPr>
      <w:r w:rsidRPr="00F30AB8">
        <w:rPr>
          <w:i/>
          <w:lang w:val="es-ES"/>
        </w:rPr>
        <w:t>P</w:t>
      </w:r>
      <w:r w:rsidR="001D0B7C" w:rsidRPr="00F30AB8">
        <w:rPr>
          <w:i/>
          <w:lang w:val="es-ES"/>
        </w:rPr>
        <w:t>a</w:t>
      </w:r>
      <w:r w:rsidRPr="00F30AB8">
        <w:rPr>
          <w:i/>
          <w:lang w:val="es-ES"/>
        </w:rPr>
        <w:t xml:space="preserve">cientes con </w:t>
      </w:r>
      <w:r w:rsidR="007A00EE" w:rsidRPr="00F30AB8">
        <w:rPr>
          <w:i/>
          <w:lang w:val="es-ES"/>
        </w:rPr>
        <w:t>COVID-19</w:t>
      </w:r>
    </w:p>
    <w:p w14:paraId="7B2D76B3" w14:textId="77777777" w:rsidR="007A00EE" w:rsidRPr="007A00EE" w:rsidRDefault="007A00EE" w:rsidP="007A00EE">
      <w:pPr>
        <w:rPr>
          <w:lang w:val="es-ES"/>
        </w:rPr>
      </w:pPr>
    </w:p>
    <w:p w14:paraId="1A2FA3BF" w14:textId="4E7141D7" w:rsidR="007A00EE" w:rsidRDefault="007A00EE" w:rsidP="007A00EE">
      <w:pPr>
        <w:rPr>
          <w:lang w:val="es-ES"/>
        </w:rPr>
      </w:pPr>
      <w:r w:rsidRPr="007A00EE">
        <w:rPr>
          <w:lang w:val="es-ES"/>
        </w:rPr>
        <w:t xml:space="preserve">La posología recomendada para el tratamiento de COVID-19 es una </w:t>
      </w:r>
      <w:r>
        <w:rPr>
          <w:lang w:val="es-ES"/>
        </w:rPr>
        <w:t xml:space="preserve">única </w:t>
      </w:r>
      <w:r w:rsidRPr="007A00EE">
        <w:rPr>
          <w:lang w:val="es-ES"/>
        </w:rPr>
        <w:t>perfusión intravenosa de 60 minutos de 8</w:t>
      </w:r>
      <w:r w:rsidR="00AA6F40" w:rsidRPr="00F30AB8">
        <w:rPr>
          <w:bCs/>
          <w:iCs/>
          <w:szCs w:val="22"/>
          <w:lang w:val="es-ES"/>
        </w:rPr>
        <w:t> </w:t>
      </w:r>
      <w:r w:rsidRPr="007A00EE">
        <w:rPr>
          <w:lang w:val="es-ES"/>
        </w:rPr>
        <w:t>mg</w:t>
      </w:r>
      <w:r>
        <w:rPr>
          <w:lang w:val="es-ES"/>
        </w:rPr>
        <w:t>/</w:t>
      </w:r>
      <w:r w:rsidRPr="007A00EE">
        <w:rPr>
          <w:lang w:val="es-ES"/>
        </w:rPr>
        <w:t xml:space="preserve">kg </w:t>
      </w:r>
      <w:r w:rsidR="00E94EA7">
        <w:rPr>
          <w:lang w:val="es-ES"/>
        </w:rPr>
        <w:t xml:space="preserve">de peso </w:t>
      </w:r>
      <w:r w:rsidRPr="007A00EE">
        <w:rPr>
          <w:lang w:val="es-ES"/>
        </w:rPr>
        <w:t>en pacientes que están recibiendo corticosteroides sistémicos y requieren</w:t>
      </w:r>
      <w:r>
        <w:rPr>
          <w:lang w:val="es-ES"/>
        </w:rPr>
        <w:t xml:space="preserve"> suplemento de </w:t>
      </w:r>
      <w:r w:rsidRPr="007A00EE">
        <w:rPr>
          <w:lang w:val="es-ES"/>
        </w:rPr>
        <w:t>oxígeno o ventilación mecánica, ver sección</w:t>
      </w:r>
      <w:r w:rsidR="00E94EA7">
        <w:rPr>
          <w:lang w:val="es-ES"/>
        </w:rPr>
        <w:t> </w:t>
      </w:r>
      <w:r w:rsidRPr="007A00EE">
        <w:rPr>
          <w:lang w:val="es-ES"/>
        </w:rPr>
        <w:t>5.1. Si los signos o síntomas clínicos empeoran o no mejoran después de la primera dos</w:t>
      </w:r>
      <w:r>
        <w:rPr>
          <w:lang w:val="es-ES"/>
        </w:rPr>
        <w:t>is, se puede administrar</w:t>
      </w:r>
      <w:r w:rsidRPr="007A00EE">
        <w:rPr>
          <w:lang w:val="es-ES"/>
        </w:rPr>
        <w:t xml:space="preserve"> una perfus</w:t>
      </w:r>
      <w:r>
        <w:rPr>
          <w:lang w:val="es-ES"/>
        </w:rPr>
        <w:t xml:space="preserve">ión adicional de </w:t>
      </w:r>
      <w:r w:rsidR="00E94EA7">
        <w:rPr>
          <w:lang w:val="es-ES"/>
        </w:rPr>
        <w:t>tocilizumab</w:t>
      </w:r>
      <w:r>
        <w:rPr>
          <w:lang w:val="es-ES"/>
        </w:rPr>
        <w:t xml:space="preserve"> 8</w:t>
      </w:r>
      <w:r w:rsidR="00E94EA7">
        <w:rPr>
          <w:lang w:val="es-ES"/>
        </w:rPr>
        <w:t> </w:t>
      </w:r>
      <w:r>
        <w:rPr>
          <w:lang w:val="es-ES"/>
        </w:rPr>
        <w:t>mg</w:t>
      </w:r>
      <w:r w:rsidRPr="007A00EE">
        <w:rPr>
          <w:lang w:val="es-ES"/>
        </w:rPr>
        <w:t>/k</w:t>
      </w:r>
      <w:r>
        <w:rPr>
          <w:lang w:val="es-ES"/>
        </w:rPr>
        <w:t>g. El intervalo entre las dos per</w:t>
      </w:r>
      <w:r w:rsidRPr="007A00EE">
        <w:rPr>
          <w:lang w:val="es-ES"/>
        </w:rPr>
        <w:t>fusiones debe ser al menos 8</w:t>
      </w:r>
      <w:r w:rsidR="00E94EA7">
        <w:rPr>
          <w:lang w:val="es-ES"/>
        </w:rPr>
        <w:t> </w:t>
      </w:r>
      <w:r w:rsidRPr="007A00EE">
        <w:rPr>
          <w:lang w:val="es-ES"/>
        </w:rPr>
        <w:t>horas</w:t>
      </w:r>
    </w:p>
    <w:p w14:paraId="30A98D76" w14:textId="77777777" w:rsidR="007A00EE" w:rsidRPr="007A00EE" w:rsidRDefault="007A00EE" w:rsidP="007A00EE">
      <w:pPr>
        <w:rPr>
          <w:lang w:val="es-ES"/>
        </w:rPr>
      </w:pPr>
    </w:p>
    <w:p w14:paraId="73A4AEBF" w14:textId="3559D080" w:rsidR="007A00EE" w:rsidRPr="007A00EE" w:rsidRDefault="007A00EE" w:rsidP="007A00EE">
      <w:pPr>
        <w:rPr>
          <w:lang w:val="es-ES"/>
        </w:rPr>
      </w:pPr>
      <w:r w:rsidRPr="007A00EE">
        <w:rPr>
          <w:lang w:val="es-ES"/>
        </w:rPr>
        <w:t>Para las personas cuyo peso corporal sea superior a 100</w:t>
      </w:r>
      <w:r w:rsidR="00AA6F40" w:rsidRPr="00F30AB8">
        <w:rPr>
          <w:bCs/>
          <w:iCs/>
          <w:szCs w:val="22"/>
          <w:lang w:val="es-ES"/>
        </w:rPr>
        <w:t> </w:t>
      </w:r>
      <w:r w:rsidRPr="007A00EE">
        <w:rPr>
          <w:lang w:val="es-ES"/>
        </w:rPr>
        <w:t>kg, no se recomiendan dosis superiores a 800</w:t>
      </w:r>
      <w:r w:rsidR="00AA6F40" w:rsidRPr="00F30AB8">
        <w:rPr>
          <w:bCs/>
          <w:iCs/>
          <w:szCs w:val="22"/>
          <w:lang w:val="es-ES"/>
        </w:rPr>
        <w:t> </w:t>
      </w:r>
      <w:r w:rsidRPr="007A00EE">
        <w:rPr>
          <w:lang w:val="es-ES"/>
        </w:rPr>
        <w:t>mg por perfusión (ver sección</w:t>
      </w:r>
      <w:r w:rsidR="00E94EA7">
        <w:rPr>
          <w:lang w:val="es-ES"/>
        </w:rPr>
        <w:t> </w:t>
      </w:r>
      <w:r w:rsidRPr="007A00EE">
        <w:rPr>
          <w:lang w:val="es-ES"/>
        </w:rPr>
        <w:t>5.2).</w:t>
      </w:r>
    </w:p>
    <w:p w14:paraId="0FD0CF26" w14:textId="77777777" w:rsidR="007A00EE" w:rsidRPr="007A00EE" w:rsidRDefault="007A00EE" w:rsidP="007A00EE">
      <w:pPr>
        <w:rPr>
          <w:lang w:val="es-ES"/>
        </w:rPr>
      </w:pPr>
    </w:p>
    <w:p w14:paraId="58A79EB9" w14:textId="51A0938B" w:rsidR="007927FC" w:rsidRDefault="007A00EE" w:rsidP="007A00EE">
      <w:pPr>
        <w:rPr>
          <w:lang w:val="es-ES"/>
        </w:rPr>
      </w:pPr>
      <w:r w:rsidRPr="007A00EE">
        <w:rPr>
          <w:lang w:val="es-ES"/>
        </w:rPr>
        <w:t xml:space="preserve">No se recomienda la administración de </w:t>
      </w:r>
      <w:r w:rsidR="00E94EA7">
        <w:rPr>
          <w:lang w:val="es-ES"/>
        </w:rPr>
        <w:t>tocilizumab</w:t>
      </w:r>
      <w:r w:rsidR="00E94EA7" w:rsidRPr="007A00EE">
        <w:rPr>
          <w:lang w:val="es-ES"/>
        </w:rPr>
        <w:t xml:space="preserve"> </w:t>
      </w:r>
      <w:r w:rsidRPr="007A00EE">
        <w:rPr>
          <w:lang w:val="es-ES"/>
        </w:rPr>
        <w:t>en pacientes con COVID-19 que presenten cualquiera de las siguientes anomalías de laboratorio:</w:t>
      </w:r>
    </w:p>
    <w:p w14:paraId="318108B5" w14:textId="77777777" w:rsidR="007A00EE" w:rsidRDefault="007A00EE" w:rsidP="007A00EE">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2813"/>
        <w:gridCol w:w="3021"/>
      </w:tblGrid>
      <w:tr w:rsidR="007A00EE" w:rsidRPr="007A00EE" w14:paraId="1FA349B1" w14:textId="77777777" w:rsidTr="001F7A68">
        <w:tc>
          <w:tcPr>
            <w:tcW w:w="3227" w:type="dxa"/>
          </w:tcPr>
          <w:p w14:paraId="3E37D801" w14:textId="77777777" w:rsidR="007A00EE" w:rsidRPr="004465FB" w:rsidRDefault="00ED0924" w:rsidP="004B67DA">
            <w:pPr>
              <w:jc w:val="center"/>
              <w:rPr>
                <w:u w:val="single"/>
                <w:lang w:val="es-ES"/>
              </w:rPr>
            </w:pPr>
            <w:r w:rsidRPr="004465FB">
              <w:rPr>
                <w:u w:val="single"/>
                <w:lang w:val="es-ES"/>
              </w:rPr>
              <w:t>Tipo de prueba de laboratorio</w:t>
            </w:r>
          </w:p>
        </w:tc>
        <w:tc>
          <w:tcPr>
            <w:tcW w:w="2813" w:type="dxa"/>
          </w:tcPr>
          <w:p w14:paraId="7F666671" w14:textId="77777777" w:rsidR="007A00EE" w:rsidRPr="00977CE8" w:rsidRDefault="00ED0924" w:rsidP="004B67DA">
            <w:pPr>
              <w:jc w:val="center"/>
              <w:rPr>
                <w:u w:val="single"/>
                <w:lang w:val="en-GB"/>
              </w:rPr>
            </w:pPr>
            <w:r w:rsidRPr="00977CE8">
              <w:rPr>
                <w:u w:val="single"/>
                <w:lang w:val="en-GB"/>
              </w:rPr>
              <w:t>Valor de laboratorio</w:t>
            </w:r>
          </w:p>
        </w:tc>
        <w:tc>
          <w:tcPr>
            <w:tcW w:w="3021" w:type="dxa"/>
          </w:tcPr>
          <w:p w14:paraId="1674F337" w14:textId="77777777" w:rsidR="007A00EE" w:rsidRPr="00977CE8" w:rsidRDefault="007A00EE" w:rsidP="004B67DA">
            <w:pPr>
              <w:jc w:val="center"/>
              <w:rPr>
                <w:u w:val="single"/>
                <w:lang w:val="en-GB"/>
              </w:rPr>
            </w:pPr>
            <w:r w:rsidRPr="00977CE8">
              <w:rPr>
                <w:u w:val="single"/>
                <w:lang w:val="en-GB"/>
              </w:rPr>
              <w:t>A</w:t>
            </w:r>
            <w:r w:rsidR="00ED0924" w:rsidRPr="00977CE8">
              <w:rPr>
                <w:u w:val="single"/>
                <w:lang w:val="en-GB"/>
              </w:rPr>
              <w:t>c</w:t>
            </w:r>
            <w:r w:rsidR="00224AB8">
              <w:rPr>
                <w:u w:val="single"/>
                <w:lang w:val="en-GB"/>
              </w:rPr>
              <w:t>c</w:t>
            </w:r>
            <w:r w:rsidR="00ED0924" w:rsidRPr="00977CE8">
              <w:rPr>
                <w:u w:val="single"/>
                <w:lang w:val="en-GB"/>
              </w:rPr>
              <w:t>ión</w:t>
            </w:r>
          </w:p>
        </w:tc>
      </w:tr>
      <w:tr w:rsidR="007A00EE" w:rsidRPr="00541248" w14:paraId="255341E1" w14:textId="77777777" w:rsidTr="001F7A68">
        <w:tc>
          <w:tcPr>
            <w:tcW w:w="3227" w:type="dxa"/>
          </w:tcPr>
          <w:p w14:paraId="564ED46E" w14:textId="77777777" w:rsidR="007A00EE" w:rsidRPr="00977CE8" w:rsidRDefault="007A00EE" w:rsidP="007A00EE">
            <w:pPr>
              <w:rPr>
                <w:u w:val="single"/>
                <w:lang w:val="en-GB"/>
              </w:rPr>
            </w:pPr>
            <w:r>
              <w:t>Enzima hepática</w:t>
            </w:r>
          </w:p>
        </w:tc>
        <w:tc>
          <w:tcPr>
            <w:tcW w:w="2813" w:type="dxa"/>
          </w:tcPr>
          <w:p w14:paraId="29386497" w14:textId="17E5D71D" w:rsidR="007A00EE" w:rsidRPr="00977CE8" w:rsidRDefault="00934715" w:rsidP="007A00EE">
            <w:pPr>
              <w:rPr>
                <w:u w:val="single"/>
                <w:lang w:val="en-GB"/>
              </w:rPr>
            </w:pPr>
            <w:r w:rsidRPr="00B17BB8">
              <w:rPr>
                <w:szCs w:val="22"/>
                <w:lang w:val="en-GB"/>
              </w:rPr>
              <w:t> &gt;</w:t>
            </w:r>
            <w:r w:rsidRPr="00945212">
              <w:rPr>
                <w:szCs w:val="22"/>
                <w:lang w:val="en-GB"/>
              </w:rPr>
              <w:t> </w:t>
            </w:r>
            <w:r w:rsidR="007A00EE" w:rsidRPr="007A00EE">
              <w:t>10</w:t>
            </w:r>
            <w:r w:rsidR="00AA6F40" w:rsidRPr="000905BB">
              <w:rPr>
                <w:rStyle w:val="CommentReference"/>
                <w:sz w:val="10"/>
              </w:rPr>
              <w:t> </w:t>
            </w:r>
            <w:r w:rsidR="00AA6F40" w:rsidRPr="000905BB">
              <w:rPr>
                <w:rStyle w:val="CommentReference"/>
              </w:rPr>
              <w:sym w:font="Symbol" w:char="F0B4"/>
            </w:r>
            <w:r w:rsidR="00AA6F40" w:rsidRPr="000905BB">
              <w:rPr>
                <w:rStyle w:val="CommentReference"/>
                <w:rFonts w:ascii="Arial" w:hAnsi="Arial" w:cs="Arial"/>
                <w:sz w:val="10"/>
              </w:rPr>
              <w:t> </w:t>
            </w:r>
            <w:r w:rsidR="00AA6F40" w:rsidRPr="007A00EE" w:rsidDel="00AA6F40">
              <w:t xml:space="preserve"> </w:t>
            </w:r>
            <w:r w:rsidR="007A00EE" w:rsidRPr="007A00EE">
              <w:t>ULN</w:t>
            </w:r>
          </w:p>
        </w:tc>
        <w:tc>
          <w:tcPr>
            <w:tcW w:w="3021" w:type="dxa"/>
            <w:vMerge w:val="restart"/>
          </w:tcPr>
          <w:p w14:paraId="7377CC85" w14:textId="5AAD4AE6" w:rsidR="007A00EE" w:rsidRPr="00F30AB8" w:rsidRDefault="00ED0924" w:rsidP="007A00EE">
            <w:pPr>
              <w:rPr>
                <w:lang w:val="es-ES"/>
              </w:rPr>
            </w:pPr>
            <w:r w:rsidRPr="00F30AB8">
              <w:rPr>
                <w:lang w:val="es-ES"/>
              </w:rPr>
              <w:t>No se recomienda la administració</w:t>
            </w:r>
            <w:r w:rsidR="007A00EE" w:rsidRPr="00F30AB8">
              <w:rPr>
                <w:lang w:val="es-ES"/>
              </w:rPr>
              <w:t xml:space="preserve">n </w:t>
            </w:r>
            <w:r w:rsidRPr="00F30AB8">
              <w:rPr>
                <w:lang w:val="es-ES"/>
              </w:rPr>
              <w:t>de</w:t>
            </w:r>
            <w:r w:rsidR="007A00EE" w:rsidRPr="00F30AB8">
              <w:rPr>
                <w:lang w:val="es-ES"/>
              </w:rPr>
              <w:t xml:space="preserve"> </w:t>
            </w:r>
            <w:r w:rsidR="00E94EA7">
              <w:rPr>
                <w:lang w:val="es-ES"/>
              </w:rPr>
              <w:t>tocil</w:t>
            </w:r>
            <w:del w:id="36" w:author="AUTHOR">
              <w:r w:rsidR="00E94EA7" w:rsidDel="00281081">
                <w:rPr>
                  <w:lang w:val="es-ES"/>
                </w:rPr>
                <w:delText>u</w:delText>
              </w:r>
            </w:del>
            <w:ins w:id="37" w:author="AUTHOR">
              <w:r w:rsidR="00281081">
                <w:rPr>
                  <w:lang w:val="es-ES"/>
                </w:rPr>
                <w:t>i</w:t>
              </w:r>
            </w:ins>
            <w:r w:rsidR="00E94EA7">
              <w:rPr>
                <w:lang w:val="es-ES"/>
              </w:rPr>
              <w:t>zumab</w:t>
            </w:r>
          </w:p>
          <w:p w14:paraId="55EDF816" w14:textId="77777777" w:rsidR="007A00EE" w:rsidRPr="00224AB8" w:rsidRDefault="007A00EE" w:rsidP="007A00EE">
            <w:pPr>
              <w:rPr>
                <w:u w:val="single"/>
                <w:lang w:val="es-ES"/>
              </w:rPr>
            </w:pPr>
          </w:p>
        </w:tc>
      </w:tr>
      <w:tr w:rsidR="007A00EE" w:rsidRPr="007A00EE" w14:paraId="1A37EA85" w14:textId="77777777" w:rsidTr="001F7A68">
        <w:tc>
          <w:tcPr>
            <w:tcW w:w="3227" w:type="dxa"/>
          </w:tcPr>
          <w:p w14:paraId="06131F12" w14:textId="77777777" w:rsidR="007A00EE" w:rsidRPr="00224AB8" w:rsidRDefault="00ED0924" w:rsidP="00ED0924">
            <w:r>
              <w:t>Recuento absoluto de neutrófilos</w:t>
            </w:r>
          </w:p>
        </w:tc>
        <w:tc>
          <w:tcPr>
            <w:tcW w:w="2813" w:type="dxa"/>
          </w:tcPr>
          <w:p w14:paraId="269BB036" w14:textId="1D095344" w:rsidR="007A00EE" w:rsidRPr="00977CE8" w:rsidRDefault="00934715" w:rsidP="007A00EE">
            <w:pPr>
              <w:rPr>
                <w:u w:val="single"/>
                <w:lang w:val="en-GB"/>
              </w:rPr>
            </w:pPr>
            <w:r w:rsidRPr="00945212">
              <w:rPr>
                <w:szCs w:val="22"/>
                <w:lang w:val="en-GB"/>
              </w:rPr>
              <w:t> </w:t>
            </w:r>
            <w:r w:rsidRPr="00B17BB8">
              <w:rPr>
                <w:szCs w:val="22"/>
                <w:lang w:val="en-GB"/>
              </w:rPr>
              <w:t>&lt;</w:t>
            </w:r>
            <w:r w:rsidRPr="00945212">
              <w:rPr>
                <w:szCs w:val="22"/>
                <w:lang w:val="en-GB"/>
              </w:rPr>
              <w:t> 1 × 10</w:t>
            </w:r>
            <w:r w:rsidRPr="00945212">
              <w:rPr>
                <w:szCs w:val="22"/>
                <w:vertAlign w:val="superscript"/>
                <w:lang w:val="en-GB"/>
              </w:rPr>
              <w:t>9</w:t>
            </w:r>
            <w:r>
              <w:rPr>
                <w:szCs w:val="22"/>
                <w:lang w:val="en-GB"/>
              </w:rPr>
              <w:t>/l</w:t>
            </w:r>
          </w:p>
        </w:tc>
        <w:tc>
          <w:tcPr>
            <w:tcW w:w="3021" w:type="dxa"/>
            <w:vMerge/>
          </w:tcPr>
          <w:p w14:paraId="3DC3C3B6" w14:textId="77777777" w:rsidR="007A00EE" w:rsidRPr="00977CE8" w:rsidRDefault="007A00EE" w:rsidP="007A00EE">
            <w:pPr>
              <w:rPr>
                <w:u w:val="single"/>
                <w:lang w:val="en-GB"/>
              </w:rPr>
            </w:pPr>
          </w:p>
        </w:tc>
      </w:tr>
      <w:tr w:rsidR="007A00EE" w:rsidRPr="007A00EE" w14:paraId="1138B857" w14:textId="77777777" w:rsidTr="001F7A68">
        <w:trPr>
          <w:trHeight w:val="269"/>
        </w:trPr>
        <w:tc>
          <w:tcPr>
            <w:tcW w:w="3227" w:type="dxa"/>
          </w:tcPr>
          <w:p w14:paraId="6E2CBC24" w14:textId="77777777" w:rsidR="007A00EE" w:rsidRPr="007A00EE" w:rsidRDefault="00ED0924" w:rsidP="007A00EE">
            <w:r>
              <w:t>Recuento de plaquetas</w:t>
            </w:r>
          </w:p>
        </w:tc>
        <w:tc>
          <w:tcPr>
            <w:tcW w:w="2813" w:type="dxa"/>
          </w:tcPr>
          <w:p w14:paraId="453AAA63" w14:textId="402397FE" w:rsidR="007A00EE" w:rsidRPr="007A00EE" w:rsidRDefault="00934715" w:rsidP="007A00EE">
            <w:r w:rsidRPr="00945212">
              <w:rPr>
                <w:szCs w:val="22"/>
                <w:lang w:val="en-GB"/>
              </w:rPr>
              <w:t> </w:t>
            </w:r>
            <w:r w:rsidRPr="00B17BB8">
              <w:rPr>
                <w:szCs w:val="22"/>
                <w:lang w:val="en-GB"/>
              </w:rPr>
              <w:t>&lt;</w:t>
            </w:r>
            <w:r w:rsidRPr="00945212">
              <w:rPr>
                <w:szCs w:val="22"/>
                <w:lang w:val="en-GB"/>
              </w:rPr>
              <w:t> 50 × 10</w:t>
            </w:r>
            <w:r w:rsidRPr="00945212">
              <w:rPr>
                <w:szCs w:val="22"/>
                <w:vertAlign w:val="superscript"/>
                <w:lang w:val="en-GB"/>
              </w:rPr>
              <w:t>3</w:t>
            </w:r>
            <w:r w:rsidRPr="00945212">
              <w:rPr>
                <w:szCs w:val="22"/>
                <w:lang w:val="en-GB"/>
              </w:rPr>
              <w:t>/µ</w:t>
            </w:r>
            <w:r>
              <w:rPr>
                <w:szCs w:val="22"/>
                <w:lang w:val="en-GB"/>
              </w:rPr>
              <w:t>l</w:t>
            </w:r>
          </w:p>
        </w:tc>
        <w:tc>
          <w:tcPr>
            <w:tcW w:w="3021" w:type="dxa"/>
            <w:vMerge/>
          </w:tcPr>
          <w:p w14:paraId="76A774CC" w14:textId="77777777" w:rsidR="007A00EE" w:rsidRPr="00977CE8" w:rsidRDefault="007A00EE" w:rsidP="007A00EE">
            <w:pPr>
              <w:rPr>
                <w:u w:val="single"/>
                <w:lang w:val="en-GB"/>
              </w:rPr>
            </w:pPr>
          </w:p>
        </w:tc>
      </w:tr>
    </w:tbl>
    <w:p w14:paraId="48048964" w14:textId="77777777" w:rsidR="007A00EE" w:rsidRDefault="007A00EE" w:rsidP="007A00EE">
      <w:pPr>
        <w:rPr>
          <w:lang w:val="es-ES"/>
        </w:rPr>
      </w:pPr>
    </w:p>
    <w:p w14:paraId="7117AC79" w14:textId="77777777" w:rsidR="00583B87" w:rsidRPr="00F30AB8" w:rsidRDefault="00583B87" w:rsidP="00484513">
      <w:pPr>
        <w:keepNext/>
        <w:keepLines/>
        <w:rPr>
          <w:i/>
          <w:lang w:val="es-ES"/>
        </w:rPr>
      </w:pPr>
      <w:r w:rsidRPr="00F30AB8">
        <w:rPr>
          <w:i/>
          <w:lang w:val="es-ES"/>
        </w:rPr>
        <w:t>Síndrome de Liberación de Citoquinas (SLC) (adultos y población pediátrica)</w:t>
      </w:r>
    </w:p>
    <w:p w14:paraId="3440946B" w14:textId="77777777" w:rsidR="00E94EA7" w:rsidRPr="00E576A0" w:rsidRDefault="00E94EA7" w:rsidP="00484513">
      <w:pPr>
        <w:keepNext/>
        <w:keepLines/>
        <w:rPr>
          <w:u w:val="single"/>
          <w:lang w:val="es-ES"/>
        </w:rPr>
      </w:pPr>
    </w:p>
    <w:p w14:paraId="2C8AAD75" w14:textId="2C1C0FC9" w:rsidR="00583B87" w:rsidRDefault="00583B87" w:rsidP="00484513">
      <w:pPr>
        <w:keepNext/>
        <w:keepLines/>
        <w:rPr>
          <w:lang w:val="es-ES"/>
        </w:rPr>
      </w:pPr>
      <w:r>
        <w:rPr>
          <w:lang w:val="es-ES"/>
        </w:rPr>
        <w:t xml:space="preserve">La posología recomendada para el </w:t>
      </w:r>
      <w:r w:rsidR="00D74D85">
        <w:rPr>
          <w:lang w:val="es-ES"/>
        </w:rPr>
        <w:t>SLC,</w:t>
      </w:r>
      <w:r w:rsidR="000A56E3">
        <w:rPr>
          <w:lang w:val="es-ES"/>
        </w:rPr>
        <w:t xml:space="preserve"> administrado como una perfusión intravenosa</w:t>
      </w:r>
      <w:r w:rsidR="00681E59">
        <w:rPr>
          <w:lang w:val="es-ES"/>
        </w:rPr>
        <w:t xml:space="preserve"> de 60 minutos</w:t>
      </w:r>
      <w:r w:rsidR="00D74D85">
        <w:rPr>
          <w:lang w:val="es-ES"/>
        </w:rPr>
        <w:t>,</w:t>
      </w:r>
      <w:r w:rsidR="000A56E3">
        <w:rPr>
          <w:lang w:val="es-ES"/>
        </w:rPr>
        <w:t xml:space="preserve"> </w:t>
      </w:r>
      <w:r w:rsidR="00681E59">
        <w:rPr>
          <w:lang w:val="es-ES"/>
        </w:rPr>
        <w:t>es de 8</w:t>
      </w:r>
      <w:r w:rsidR="00E94EA7">
        <w:rPr>
          <w:lang w:val="es-ES"/>
        </w:rPr>
        <w:t> </w:t>
      </w:r>
      <w:r w:rsidR="00681E59">
        <w:rPr>
          <w:lang w:val="es-ES"/>
        </w:rPr>
        <w:t>mg/kg en pacientes con un peso de 30 kg o superior</w:t>
      </w:r>
      <w:r w:rsidR="00BC53BD">
        <w:rPr>
          <w:lang w:val="es-ES"/>
        </w:rPr>
        <w:t>,</w:t>
      </w:r>
      <w:r w:rsidR="00681E59">
        <w:rPr>
          <w:lang w:val="es-ES"/>
        </w:rPr>
        <w:t xml:space="preserve"> o de 12</w:t>
      </w:r>
      <w:r w:rsidR="00E94EA7">
        <w:rPr>
          <w:lang w:val="es-ES"/>
        </w:rPr>
        <w:t> </w:t>
      </w:r>
      <w:r w:rsidR="00681E59">
        <w:rPr>
          <w:lang w:val="es-ES"/>
        </w:rPr>
        <w:t xml:space="preserve">mg/kg en pacientes con </w:t>
      </w:r>
      <w:r w:rsidR="00BC53BD">
        <w:rPr>
          <w:lang w:val="es-ES"/>
        </w:rPr>
        <w:t>un peso inferior a 30</w:t>
      </w:r>
      <w:r w:rsidR="00E94EA7">
        <w:rPr>
          <w:lang w:val="es-ES"/>
        </w:rPr>
        <w:t> </w:t>
      </w:r>
      <w:r w:rsidR="00BC53BD">
        <w:rPr>
          <w:lang w:val="es-ES"/>
        </w:rPr>
        <w:t xml:space="preserve">kg. </w:t>
      </w:r>
      <w:r w:rsidR="00E94EA7">
        <w:rPr>
          <w:lang w:val="es-ES"/>
        </w:rPr>
        <w:t xml:space="preserve">Tocilizumab </w:t>
      </w:r>
      <w:r w:rsidR="00BC53BD">
        <w:rPr>
          <w:lang w:val="es-ES"/>
        </w:rPr>
        <w:t>puede ser administrado solo o en combinación con corticoides.</w:t>
      </w:r>
    </w:p>
    <w:p w14:paraId="5F2D1A26" w14:textId="77777777" w:rsidR="002A6944" w:rsidRDefault="002A6944" w:rsidP="00484513">
      <w:pPr>
        <w:keepNext/>
        <w:keepLines/>
        <w:rPr>
          <w:lang w:val="es-ES"/>
        </w:rPr>
      </w:pPr>
    </w:p>
    <w:p w14:paraId="605109EE" w14:textId="723F4DE1" w:rsidR="002A6944" w:rsidRDefault="002A6944" w:rsidP="00484513">
      <w:pPr>
        <w:keepNext/>
        <w:keepLines/>
        <w:rPr>
          <w:lang w:val="es-ES"/>
        </w:rPr>
      </w:pPr>
      <w:r>
        <w:rPr>
          <w:lang w:val="es-ES"/>
        </w:rPr>
        <w:t xml:space="preserve">Si no se produce una mejora clínica de los signos y síntomas del </w:t>
      </w:r>
      <w:r w:rsidR="00D74D85">
        <w:rPr>
          <w:lang w:val="es-ES"/>
        </w:rPr>
        <w:t>SLC</w:t>
      </w:r>
      <w:r>
        <w:rPr>
          <w:lang w:val="es-ES"/>
        </w:rPr>
        <w:t xml:space="preserve"> después de la primera dosis, se pueden administrar hasta 3</w:t>
      </w:r>
      <w:r w:rsidR="00E94EA7">
        <w:rPr>
          <w:lang w:val="es-ES"/>
        </w:rPr>
        <w:t> </w:t>
      </w:r>
      <w:r>
        <w:rPr>
          <w:lang w:val="es-ES"/>
        </w:rPr>
        <w:t xml:space="preserve">dosis adicionales de </w:t>
      </w:r>
      <w:r w:rsidR="00E94EA7">
        <w:rPr>
          <w:lang w:val="es-ES"/>
        </w:rPr>
        <w:t>tocilizumab</w:t>
      </w:r>
      <w:r w:rsidR="002E5A86">
        <w:rPr>
          <w:lang w:val="es-ES"/>
        </w:rPr>
        <w:t>. El intervalo entre dosis consecutivas debe ser de al menos 8 horas. No se recomiendan dosis superiores a 800</w:t>
      </w:r>
      <w:r w:rsidR="00E94EA7">
        <w:rPr>
          <w:lang w:val="es-ES"/>
        </w:rPr>
        <w:t> </w:t>
      </w:r>
      <w:r w:rsidR="002E5A86">
        <w:rPr>
          <w:lang w:val="es-ES"/>
        </w:rPr>
        <w:t xml:space="preserve">mg para perfusión en pacientes con </w:t>
      </w:r>
      <w:r w:rsidR="00D74D85">
        <w:rPr>
          <w:lang w:val="es-ES"/>
        </w:rPr>
        <w:t>SLC</w:t>
      </w:r>
      <w:r w:rsidR="002E5A86">
        <w:rPr>
          <w:lang w:val="es-ES"/>
        </w:rPr>
        <w:t>.</w:t>
      </w:r>
    </w:p>
    <w:p w14:paraId="1FF6DF68" w14:textId="77777777" w:rsidR="002E5A86" w:rsidRDefault="002E5A86" w:rsidP="00484513">
      <w:pPr>
        <w:keepNext/>
        <w:keepLines/>
        <w:rPr>
          <w:lang w:val="es-ES"/>
        </w:rPr>
      </w:pPr>
    </w:p>
    <w:p w14:paraId="5CE55A7E" w14:textId="77777777" w:rsidR="002E5A86" w:rsidRDefault="002E5A86" w:rsidP="00484513">
      <w:pPr>
        <w:keepNext/>
        <w:keepLines/>
        <w:rPr>
          <w:lang w:val="es-ES"/>
        </w:rPr>
      </w:pPr>
      <w:r>
        <w:rPr>
          <w:lang w:val="es-ES"/>
        </w:rPr>
        <w:t xml:space="preserve">Los pacientes con </w:t>
      </w:r>
      <w:r w:rsidR="00D74D85">
        <w:rPr>
          <w:lang w:val="es-ES"/>
        </w:rPr>
        <w:t>SLC</w:t>
      </w:r>
      <w:r>
        <w:rPr>
          <w:lang w:val="es-ES"/>
        </w:rPr>
        <w:t xml:space="preserve"> grave o potencialmente mortal</w:t>
      </w:r>
      <w:r w:rsidR="00514745">
        <w:rPr>
          <w:lang w:val="es-ES"/>
        </w:rPr>
        <w:t xml:space="preserve"> presentan con frequencia</w:t>
      </w:r>
      <w:r w:rsidR="00201A66">
        <w:rPr>
          <w:lang w:val="es-ES"/>
        </w:rPr>
        <w:t xml:space="preserve"> citopenias</w:t>
      </w:r>
      <w:r w:rsidR="00514745">
        <w:rPr>
          <w:lang w:val="es-ES"/>
        </w:rPr>
        <w:t xml:space="preserve"> </w:t>
      </w:r>
      <w:r w:rsidR="0084485C">
        <w:rPr>
          <w:lang w:val="es-ES"/>
        </w:rPr>
        <w:t>o elevaciones de ALT o AST</w:t>
      </w:r>
      <w:r w:rsidR="00D74D85">
        <w:rPr>
          <w:lang w:val="es-ES"/>
        </w:rPr>
        <w:t xml:space="preserve"> debido a la neoplasia</w:t>
      </w:r>
      <w:r w:rsidR="0084485C">
        <w:rPr>
          <w:lang w:val="es-ES"/>
        </w:rPr>
        <w:t xml:space="preserve"> subyac</w:t>
      </w:r>
      <w:r w:rsidR="00514745">
        <w:rPr>
          <w:lang w:val="es-ES"/>
        </w:rPr>
        <w:t xml:space="preserve">ente, </w:t>
      </w:r>
      <w:r w:rsidR="00584528">
        <w:rPr>
          <w:lang w:val="es-ES"/>
        </w:rPr>
        <w:t xml:space="preserve">que precede a la quimioterapia productora de linfopenia o al </w:t>
      </w:r>
      <w:r w:rsidR="00D74D85">
        <w:rPr>
          <w:lang w:val="es-ES"/>
        </w:rPr>
        <w:t>SLC</w:t>
      </w:r>
      <w:r w:rsidR="00CD3E56">
        <w:rPr>
          <w:lang w:val="es-ES"/>
        </w:rPr>
        <w:t>.</w:t>
      </w:r>
    </w:p>
    <w:p w14:paraId="65CD7913" w14:textId="77777777" w:rsidR="002E5A86" w:rsidRDefault="002E5A86" w:rsidP="007927FC">
      <w:pPr>
        <w:rPr>
          <w:lang w:val="es-ES"/>
        </w:rPr>
      </w:pPr>
    </w:p>
    <w:p w14:paraId="16AABDEC" w14:textId="77777777" w:rsidR="007927FC" w:rsidRDefault="007927FC" w:rsidP="007927FC">
      <w:pPr>
        <w:keepNext/>
        <w:ind w:left="567" w:hanging="567"/>
        <w:rPr>
          <w:iCs/>
          <w:u w:val="single"/>
          <w:lang w:val="es-ES_tradnl"/>
        </w:rPr>
      </w:pPr>
      <w:r w:rsidRPr="008A106B">
        <w:rPr>
          <w:iCs/>
          <w:u w:val="single"/>
          <w:lang w:val="es-ES_tradnl"/>
        </w:rPr>
        <w:lastRenderedPageBreak/>
        <w:t>Poblaciones especiales</w:t>
      </w:r>
    </w:p>
    <w:p w14:paraId="2F44CF6B" w14:textId="77777777" w:rsidR="00E94EA7" w:rsidRDefault="00E94EA7" w:rsidP="007927FC">
      <w:pPr>
        <w:keepNext/>
        <w:ind w:left="567" w:hanging="567"/>
        <w:rPr>
          <w:iCs/>
          <w:u w:val="single"/>
          <w:lang w:val="es-ES_tradnl"/>
        </w:rPr>
      </w:pPr>
    </w:p>
    <w:p w14:paraId="7DD5F6B0" w14:textId="77777777" w:rsidR="00E94EA7" w:rsidRPr="00F30AB8" w:rsidRDefault="00E94EA7" w:rsidP="00E94EA7">
      <w:pPr>
        <w:keepNext/>
        <w:ind w:left="567" w:hanging="567"/>
        <w:rPr>
          <w:i/>
          <w:iCs/>
          <w:noProof/>
          <w:lang w:val="es-ES"/>
        </w:rPr>
      </w:pPr>
      <w:r w:rsidRPr="00F30AB8">
        <w:rPr>
          <w:i/>
          <w:iCs/>
          <w:noProof/>
          <w:lang w:val="es-ES"/>
        </w:rPr>
        <w:t>Edad avanzada</w:t>
      </w:r>
    </w:p>
    <w:p w14:paraId="1465AE55" w14:textId="019BB6DD" w:rsidR="00E94EA7" w:rsidRPr="00F30AB8" w:rsidRDefault="00E94EA7" w:rsidP="00E94EA7">
      <w:pPr>
        <w:keepNext/>
        <w:ind w:left="567" w:hanging="567"/>
        <w:rPr>
          <w:iCs/>
          <w:noProof/>
          <w:lang w:val="es-ES"/>
        </w:rPr>
      </w:pPr>
      <w:r w:rsidRPr="00F30AB8">
        <w:rPr>
          <w:iCs/>
          <w:noProof/>
          <w:lang w:val="es-ES"/>
        </w:rPr>
        <w:t xml:space="preserve">No es necesario ajustar la dosis en pacientes de </w:t>
      </w:r>
      <w:r w:rsidRPr="00F30AB8">
        <w:rPr>
          <w:iCs/>
          <w:noProof/>
          <w:shd w:val="clear" w:color="auto" w:fill="FFFFFF" w:themeFill="background1"/>
          <w:lang w:val="es-ES"/>
        </w:rPr>
        <w:t xml:space="preserve">edad avanzada </w:t>
      </w:r>
      <w:r w:rsidR="00CF4D22" w:rsidRPr="00F30AB8">
        <w:rPr>
          <w:iCs/>
          <w:noProof/>
          <w:shd w:val="clear" w:color="auto" w:fill="FFFFFF" w:themeFill="background1"/>
          <w:lang w:val="es-ES"/>
        </w:rPr>
        <w:t> &gt; </w:t>
      </w:r>
      <w:r w:rsidRPr="00F30AB8">
        <w:rPr>
          <w:iCs/>
          <w:noProof/>
          <w:shd w:val="clear" w:color="auto" w:fill="FFFFFF" w:themeFill="background1"/>
          <w:lang w:val="es-ES"/>
        </w:rPr>
        <w:t>65</w:t>
      </w:r>
      <w:r w:rsidRPr="00F30AB8">
        <w:rPr>
          <w:iCs/>
          <w:noProof/>
          <w:lang w:val="es-ES"/>
        </w:rPr>
        <w:t> años de edad.</w:t>
      </w:r>
    </w:p>
    <w:p w14:paraId="1BDDB80A" w14:textId="77777777" w:rsidR="00E94EA7" w:rsidRPr="00E94EA7" w:rsidRDefault="00E94EA7" w:rsidP="00E94EA7">
      <w:pPr>
        <w:keepNext/>
        <w:ind w:left="567" w:hanging="567"/>
        <w:rPr>
          <w:iCs/>
          <w:noProof/>
          <w:u w:val="single"/>
          <w:lang w:val="es-ES"/>
        </w:rPr>
      </w:pPr>
    </w:p>
    <w:p w14:paraId="23EA2436" w14:textId="77777777" w:rsidR="00E94EA7" w:rsidRPr="00F30AB8" w:rsidRDefault="00E94EA7" w:rsidP="00E94EA7">
      <w:pPr>
        <w:keepNext/>
        <w:ind w:left="567" w:hanging="567"/>
        <w:rPr>
          <w:i/>
          <w:iCs/>
          <w:noProof/>
          <w:lang w:val="es-ES"/>
        </w:rPr>
      </w:pPr>
      <w:r w:rsidRPr="00F30AB8">
        <w:rPr>
          <w:i/>
          <w:iCs/>
          <w:noProof/>
          <w:lang w:val="es-ES"/>
        </w:rPr>
        <w:t>Insuficiencia renal</w:t>
      </w:r>
    </w:p>
    <w:p w14:paraId="687BF784" w14:textId="77777777" w:rsidR="00E94EA7" w:rsidRPr="00F30AB8" w:rsidRDefault="00E94EA7" w:rsidP="00E94EA7">
      <w:pPr>
        <w:keepNext/>
        <w:ind w:left="567" w:hanging="567"/>
        <w:rPr>
          <w:iCs/>
          <w:noProof/>
          <w:lang w:val="es-ES"/>
        </w:rPr>
      </w:pPr>
      <w:r w:rsidRPr="00F30AB8">
        <w:rPr>
          <w:iCs/>
          <w:noProof/>
          <w:lang w:val="es-ES"/>
        </w:rPr>
        <w:t>No es necesario ajustar la dosis en pacientes con insuficiencia renal leve. Tocilizumab no se ha</w:t>
      </w:r>
    </w:p>
    <w:p w14:paraId="33037321" w14:textId="77777777" w:rsidR="00D33DBC" w:rsidRDefault="00E94EA7" w:rsidP="00E94EA7">
      <w:pPr>
        <w:keepNext/>
        <w:ind w:left="567" w:hanging="567"/>
        <w:rPr>
          <w:iCs/>
          <w:noProof/>
          <w:lang w:val="es-ES"/>
        </w:rPr>
      </w:pPr>
      <w:r w:rsidRPr="00F30AB8">
        <w:rPr>
          <w:iCs/>
          <w:noProof/>
          <w:lang w:val="es-ES"/>
        </w:rPr>
        <w:t>estudiado en pacientes con insuficiencia renal de moderada a grave (ver sección 5.2).</w:t>
      </w:r>
      <w:r w:rsidR="00D33DBC">
        <w:rPr>
          <w:iCs/>
          <w:noProof/>
          <w:lang w:val="es-ES"/>
        </w:rPr>
        <w:t xml:space="preserve"> </w:t>
      </w:r>
      <w:r w:rsidRPr="00F30AB8">
        <w:rPr>
          <w:iCs/>
          <w:noProof/>
          <w:lang w:val="es-ES"/>
        </w:rPr>
        <w:t>La</w:t>
      </w:r>
    </w:p>
    <w:p w14:paraId="2B5E4713" w14:textId="511E2EC2" w:rsidR="00E94EA7" w:rsidRPr="00F30AB8" w:rsidRDefault="00E94EA7" w:rsidP="00D33DBC">
      <w:pPr>
        <w:keepNext/>
        <w:ind w:left="567" w:hanging="567"/>
        <w:rPr>
          <w:iCs/>
          <w:noProof/>
          <w:lang w:val="es-ES"/>
        </w:rPr>
      </w:pPr>
      <w:r w:rsidRPr="00F30AB8">
        <w:rPr>
          <w:iCs/>
          <w:noProof/>
          <w:lang w:val="es-ES"/>
        </w:rPr>
        <w:t>función renal</w:t>
      </w:r>
      <w:r w:rsidR="00D33DBC">
        <w:rPr>
          <w:iCs/>
          <w:noProof/>
          <w:lang w:val="es-ES"/>
        </w:rPr>
        <w:t xml:space="preserve"> </w:t>
      </w:r>
      <w:r w:rsidRPr="00F30AB8">
        <w:rPr>
          <w:iCs/>
          <w:noProof/>
          <w:lang w:val="es-ES"/>
        </w:rPr>
        <w:t>debe ser estrechamente vigilada en estos pacientes.</w:t>
      </w:r>
    </w:p>
    <w:p w14:paraId="5AD9793F" w14:textId="77777777" w:rsidR="00E94EA7" w:rsidRPr="00E94EA7" w:rsidRDefault="00E94EA7" w:rsidP="00E94EA7">
      <w:pPr>
        <w:keepNext/>
        <w:ind w:left="567" w:hanging="567"/>
        <w:rPr>
          <w:iCs/>
          <w:noProof/>
          <w:u w:val="single"/>
          <w:lang w:val="es-ES"/>
        </w:rPr>
      </w:pPr>
    </w:p>
    <w:p w14:paraId="640D3B74" w14:textId="77777777" w:rsidR="00E94EA7" w:rsidRPr="00F30AB8" w:rsidRDefault="00E94EA7" w:rsidP="00E94EA7">
      <w:pPr>
        <w:keepNext/>
        <w:ind w:left="567" w:hanging="567"/>
        <w:rPr>
          <w:i/>
          <w:iCs/>
          <w:noProof/>
          <w:lang w:val="es-ES"/>
        </w:rPr>
      </w:pPr>
      <w:r w:rsidRPr="00F30AB8">
        <w:rPr>
          <w:i/>
          <w:iCs/>
          <w:noProof/>
          <w:lang w:val="es-ES"/>
        </w:rPr>
        <w:t>Insuficiencia hepática</w:t>
      </w:r>
    </w:p>
    <w:p w14:paraId="4988DE2E" w14:textId="77777777" w:rsidR="00D33DBC" w:rsidRDefault="00E94EA7" w:rsidP="00E94EA7">
      <w:pPr>
        <w:keepNext/>
        <w:ind w:left="567" w:hanging="567"/>
        <w:rPr>
          <w:iCs/>
          <w:noProof/>
          <w:lang w:val="es-ES"/>
        </w:rPr>
      </w:pPr>
      <w:r w:rsidRPr="00F30AB8">
        <w:rPr>
          <w:iCs/>
          <w:noProof/>
          <w:lang w:val="es-ES"/>
        </w:rPr>
        <w:t>Tocilizumab no se ha estudiado en pacientes con insuficiencia hepática.</w:t>
      </w:r>
      <w:r w:rsidR="00D33DBC">
        <w:rPr>
          <w:iCs/>
          <w:noProof/>
          <w:lang w:val="es-ES"/>
        </w:rPr>
        <w:t xml:space="preserve"> </w:t>
      </w:r>
      <w:r w:rsidRPr="00F30AB8">
        <w:rPr>
          <w:iCs/>
          <w:noProof/>
          <w:lang w:val="es-ES"/>
        </w:rPr>
        <w:t xml:space="preserve">Por tanto, no </w:t>
      </w:r>
      <w:r w:rsidR="00B4007B" w:rsidRPr="00F30AB8">
        <w:rPr>
          <w:iCs/>
          <w:noProof/>
          <w:lang w:val="es-ES"/>
        </w:rPr>
        <w:t>se</w:t>
      </w:r>
    </w:p>
    <w:p w14:paraId="4C605425" w14:textId="7DA5DCE7" w:rsidR="00FD38EB" w:rsidRPr="00F30AB8" w:rsidRDefault="00B4007B" w:rsidP="00D33DBC">
      <w:pPr>
        <w:keepNext/>
        <w:ind w:left="567" w:hanging="567"/>
        <w:rPr>
          <w:iCs/>
          <w:noProof/>
          <w:lang w:val="es-ES"/>
        </w:rPr>
      </w:pPr>
      <w:r w:rsidRPr="00F30AB8">
        <w:rPr>
          <w:iCs/>
          <w:noProof/>
          <w:lang w:val="es-ES"/>
        </w:rPr>
        <w:t>pueden hacer</w:t>
      </w:r>
      <w:r w:rsidR="00D33DBC">
        <w:rPr>
          <w:iCs/>
          <w:noProof/>
          <w:lang w:val="es-ES"/>
        </w:rPr>
        <w:t xml:space="preserve"> </w:t>
      </w:r>
      <w:r w:rsidR="00E94EA7" w:rsidRPr="00F30AB8">
        <w:rPr>
          <w:iCs/>
          <w:noProof/>
          <w:lang w:val="es-ES"/>
        </w:rPr>
        <w:t>recomendaciones sobre la dosis.</w:t>
      </w:r>
    </w:p>
    <w:p w14:paraId="2688EEAD" w14:textId="77777777" w:rsidR="00B4007B" w:rsidRPr="008A106B" w:rsidRDefault="00B4007B" w:rsidP="00E94EA7">
      <w:pPr>
        <w:keepNext/>
        <w:ind w:left="567" w:hanging="567"/>
        <w:rPr>
          <w:iCs/>
          <w:noProof/>
          <w:u w:val="single"/>
          <w:lang w:val="es-ES"/>
        </w:rPr>
      </w:pPr>
    </w:p>
    <w:p w14:paraId="6E393784" w14:textId="77777777" w:rsidR="007927FC" w:rsidRPr="008A106B" w:rsidRDefault="007927FC" w:rsidP="007927FC">
      <w:pPr>
        <w:rPr>
          <w:i/>
          <w:iCs/>
          <w:lang w:val="es-ES_tradnl"/>
        </w:rPr>
      </w:pPr>
      <w:r w:rsidRPr="008208B4">
        <w:rPr>
          <w:i/>
          <w:iCs/>
          <w:lang w:val="es-ES_tradnl"/>
        </w:rPr>
        <w:t>Población pediátrica</w:t>
      </w:r>
    </w:p>
    <w:p w14:paraId="20E898AF" w14:textId="657938D7" w:rsidR="007927FC" w:rsidRPr="00F30AB8" w:rsidRDefault="007927FC" w:rsidP="007927FC">
      <w:pPr>
        <w:rPr>
          <w:noProof/>
          <w:u w:val="single"/>
          <w:lang w:val="es-ES"/>
        </w:rPr>
      </w:pPr>
      <w:r w:rsidRPr="00F30AB8">
        <w:rPr>
          <w:i/>
          <w:noProof/>
          <w:u w:val="single"/>
          <w:lang w:val="es-ES"/>
        </w:rPr>
        <w:t>Pacientes con AIJs</w:t>
      </w:r>
    </w:p>
    <w:p w14:paraId="376607D1" w14:textId="50A0E90A" w:rsidR="007927FC" w:rsidRDefault="007927FC" w:rsidP="007927FC">
      <w:pPr>
        <w:rPr>
          <w:noProof/>
          <w:lang w:val="es-ES"/>
        </w:rPr>
      </w:pPr>
      <w:r w:rsidRPr="008A106B">
        <w:rPr>
          <w:noProof/>
          <w:lang w:val="es-ES"/>
        </w:rPr>
        <w:t xml:space="preserve">La dosis recomendada </w:t>
      </w:r>
      <w:r>
        <w:rPr>
          <w:noProof/>
          <w:lang w:val="es-ES"/>
        </w:rPr>
        <w:t>en pacientes mayores de 2</w:t>
      </w:r>
      <w:r w:rsidR="00B66B3A" w:rsidRPr="00F30AB8">
        <w:rPr>
          <w:noProof/>
          <w:lang w:val="es-ES"/>
        </w:rPr>
        <w:t> </w:t>
      </w:r>
      <w:r>
        <w:rPr>
          <w:noProof/>
          <w:lang w:val="es-ES"/>
        </w:rPr>
        <w:t xml:space="preserve">años </w:t>
      </w:r>
      <w:r w:rsidRPr="008A106B">
        <w:rPr>
          <w:noProof/>
          <w:lang w:val="es-ES"/>
        </w:rPr>
        <w:t>es de 8mg/kg una vez cada dos semanas en pacientes con un peso mayor o igual a 30</w:t>
      </w:r>
      <w:r w:rsidR="00B66B3A">
        <w:rPr>
          <w:noProof/>
          <w:lang w:val="es-ES"/>
        </w:rPr>
        <w:t> </w:t>
      </w:r>
      <w:r w:rsidRPr="008A106B">
        <w:rPr>
          <w:noProof/>
          <w:lang w:val="es-ES"/>
        </w:rPr>
        <w:t>kg o 12</w:t>
      </w:r>
      <w:r w:rsidR="00B66B3A">
        <w:rPr>
          <w:noProof/>
          <w:lang w:val="es-ES"/>
        </w:rPr>
        <w:t> </w:t>
      </w:r>
      <w:r w:rsidRPr="008A106B">
        <w:rPr>
          <w:noProof/>
          <w:lang w:val="es-ES"/>
        </w:rPr>
        <w:t>mg/kg una vez cada dos semanas en pacien</w:t>
      </w:r>
      <w:ins w:id="38" w:author="AUTHOR">
        <w:r w:rsidR="007738AF">
          <w:rPr>
            <w:noProof/>
            <w:lang w:val="es-ES"/>
          </w:rPr>
          <w:t>t</w:t>
        </w:r>
      </w:ins>
      <w:r w:rsidRPr="008A106B">
        <w:rPr>
          <w:noProof/>
          <w:lang w:val="es-ES"/>
        </w:rPr>
        <w:t>es cuyo peso sea menor de 30</w:t>
      </w:r>
      <w:r w:rsidR="00B66B3A">
        <w:rPr>
          <w:noProof/>
          <w:lang w:val="es-ES"/>
        </w:rPr>
        <w:t> </w:t>
      </w:r>
      <w:r w:rsidRPr="008A106B">
        <w:rPr>
          <w:noProof/>
          <w:lang w:val="es-ES"/>
        </w:rPr>
        <w:t xml:space="preserve">kg.  La dosis debe ser calculada en base al peso del paciente en cada administración. Un cambio en la dosis únicamente se debe </w:t>
      </w:r>
      <w:del w:id="39" w:author="AUTHOR">
        <w:r w:rsidRPr="008A106B" w:rsidDel="007738AF">
          <w:rPr>
            <w:noProof/>
            <w:lang w:val="es-ES"/>
          </w:rPr>
          <w:delText xml:space="preserve"> </w:delText>
        </w:r>
      </w:del>
      <w:r w:rsidRPr="008A106B">
        <w:rPr>
          <w:noProof/>
          <w:lang w:val="es-ES"/>
        </w:rPr>
        <w:t>justificar por un cambio</w:t>
      </w:r>
      <w:del w:id="40" w:author="AUTHOR">
        <w:r w:rsidRPr="008A106B" w:rsidDel="007738AF">
          <w:rPr>
            <w:noProof/>
            <w:lang w:val="es-ES"/>
          </w:rPr>
          <w:delText xml:space="preserve"> sustancial</w:delText>
        </w:r>
      </w:del>
      <w:r w:rsidRPr="008A106B">
        <w:rPr>
          <w:noProof/>
          <w:lang w:val="es-ES"/>
        </w:rPr>
        <w:t xml:space="preserve"> en el peso</w:t>
      </w:r>
      <w:ins w:id="41" w:author="AUTHOR">
        <w:r w:rsidR="007738AF">
          <w:rPr>
            <w:noProof/>
            <w:lang w:val="es-ES"/>
          </w:rPr>
          <w:t xml:space="preserve"> corporal</w:t>
        </w:r>
      </w:ins>
      <w:r w:rsidRPr="008A106B">
        <w:rPr>
          <w:noProof/>
          <w:lang w:val="es-ES"/>
        </w:rPr>
        <w:t xml:space="preserve"> del paciente</w:t>
      </w:r>
      <w:ins w:id="42" w:author="AUTHOR">
        <w:r w:rsidR="007738AF">
          <w:rPr>
            <w:noProof/>
            <w:lang w:val="es-ES"/>
          </w:rPr>
          <w:t xml:space="preserve"> que se mantenga a lo largo del tiempo</w:t>
        </w:r>
      </w:ins>
      <w:r w:rsidRPr="008A106B">
        <w:rPr>
          <w:noProof/>
          <w:lang w:val="es-ES"/>
        </w:rPr>
        <w:t>.</w:t>
      </w:r>
    </w:p>
    <w:p w14:paraId="6046AB99" w14:textId="77777777" w:rsidR="007927FC" w:rsidRDefault="007927FC" w:rsidP="007927FC">
      <w:pPr>
        <w:rPr>
          <w:noProof/>
          <w:lang w:val="es-ES"/>
        </w:rPr>
      </w:pPr>
    </w:p>
    <w:p w14:paraId="12320226" w14:textId="4C229FCD" w:rsidR="007927FC" w:rsidRPr="00376697" w:rsidRDefault="007927FC" w:rsidP="007927FC">
      <w:pPr>
        <w:rPr>
          <w:noProof/>
          <w:lang w:val="es-ES"/>
        </w:rPr>
      </w:pPr>
      <w:r w:rsidRPr="008A106B">
        <w:rPr>
          <w:noProof/>
          <w:lang w:val="es-ES"/>
        </w:rPr>
        <w:t xml:space="preserve">No se ha establecido la  seguridad y eficacia de </w:t>
      </w:r>
      <w:r w:rsidR="00B66B3A">
        <w:rPr>
          <w:noProof/>
          <w:lang w:val="es-ES"/>
        </w:rPr>
        <w:t>tocilizumab</w:t>
      </w:r>
      <w:r w:rsidR="00B66B3A" w:rsidRPr="008A106B">
        <w:rPr>
          <w:noProof/>
          <w:lang w:val="es-ES"/>
        </w:rPr>
        <w:t xml:space="preserve"> </w:t>
      </w:r>
      <w:r w:rsidR="00B66B3A">
        <w:rPr>
          <w:noProof/>
          <w:lang w:val="es-ES"/>
        </w:rPr>
        <w:t>intravenos</w:t>
      </w:r>
      <w:r w:rsidR="000A68D1">
        <w:rPr>
          <w:noProof/>
          <w:lang w:val="es-ES"/>
        </w:rPr>
        <w:t>o</w:t>
      </w:r>
      <w:r w:rsidR="00B66B3A">
        <w:rPr>
          <w:noProof/>
          <w:lang w:val="es-ES"/>
        </w:rPr>
        <w:t xml:space="preserve"> </w:t>
      </w:r>
      <w:r w:rsidRPr="008A106B">
        <w:rPr>
          <w:noProof/>
          <w:lang w:val="es-ES"/>
        </w:rPr>
        <w:t>en niños menores de 2</w:t>
      </w:r>
      <w:r w:rsidR="00B66B3A">
        <w:rPr>
          <w:noProof/>
          <w:lang w:val="es-ES"/>
        </w:rPr>
        <w:t> </w:t>
      </w:r>
      <w:r w:rsidRPr="008A106B">
        <w:rPr>
          <w:noProof/>
          <w:lang w:val="es-ES"/>
        </w:rPr>
        <w:t>años</w:t>
      </w:r>
      <w:r w:rsidR="00B66B3A">
        <w:rPr>
          <w:noProof/>
          <w:lang w:val="es-ES"/>
        </w:rPr>
        <w:t xml:space="preserve"> de edad</w:t>
      </w:r>
      <w:r w:rsidRPr="008A106B">
        <w:rPr>
          <w:noProof/>
          <w:lang w:val="es-ES"/>
        </w:rPr>
        <w:t>.</w:t>
      </w:r>
      <w:r w:rsidR="00B66B3A">
        <w:rPr>
          <w:noProof/>
          <w:lang w:val="es-ES"/>
        </w:rPr>
        <w:t xml:space="preserve"> </w:t>
      </w:r>
      <w:r w:rsidR="00B66B3A" w:rsidRPr="00B66B3A">
        <w:rPr>
          <w:noProof/>
          <w:lang w:val="es-ES"/>
        </w:rPr>
        <w:t>Los datos actualmente disponibles e</w:t>
      </w:r>
      <w:r w:rsidR="00B66B3A">
        <w:rPr>
          <w:noProof/>
          <w:lang w:val="es-ES"/>
        </w:rPr>
        <w:t>stán descritos en las secciones </w:t>
      </w:r>
      <w:r w:rsidR="00B66B3A" w:rsidRPr="00B66B3A">
        <w:rPr>
          <w:noProof/>
          <w:lang w:val="es-ES"/>
        </w:rPr>
        <w:t>4.8, 5.1 y 5.2, sin embargo no se puede hacer una recomendación posológica</w:t>
      </w:r>
      <w:r w:rsidR="00D33DBC">
        <w:rPr>
          <w:noProof/>
          <w:lang w:val="es-ES"/>
        </w:rPr>
        <w:t>.</w:t>
      </w:r>
    </w:p>
    <w:p w14:paraId="23891F0F" w14:textId="77777777" w:rsidR="007927FC" w:rsidRPr="008A106B" w:rsidRDefault="007927FC" w:rsidP="007927FC">
      <w:pPr>
        <w:rPr>
          <w:noProof/>
          <w:lang w:val="es-ES"/>
        </w:rPr>
      </w:pPr>
    </w:p>
    <w:p w14:paraId="5E793F37" w14:textId="6159D552" w:rsidR="007927FC" w:rsidRPr="008A106B" w:rsidRDefault="007927FC" w:rsidP="007927FC">
      <w:pPr>
        <w:rPr>
          <w:noProof/>
          <w:lang w:val="es-ES"/>
        </w:rPr>
      </w:pPr>
      <w:r w:rsidRPr="008A106B">
        <w:rPr>
          <w:noProof/>
          <w:lang w:val="es-ES"/>
        </w:rPr>
        <w:t>En pacientes con AIJs se recomienda interrumpir la dosis de tocilizumab por valores de laboratorio anómalos, ver tabla</w:t>
      </w:r>
      <w:ins w:id="43" w:author="AUTHOR">
        <w:r w:rsidR="007738AF">
          <w:rPr>
            <w:noProof/>
            <w:lang w:val="es-ES"/>
          </w:rPr>
          <w:t>s</w:t>
        </w:r>
      </w:ins>
      <w:r w:rsidRPr="008A106B">
        <w:rPr>
          <w:noProof/>
          <w:lang w:val="es-ES"/>
        </w:rPr>
        <w:t xml:space="preserve"> de abajo. Si procede la dosis concomitante de </w:t>
      </w:r>
      <w:r w:rsidR="00B66B3A">
        <w:rPr>
          <w:noProof/>
          <w:lang w:val="es-ES"/>
        </w:rPr>
        <w:t>MTX</w:t>
      </w:r>
      <w:r w:rsidRPr="008A106B">
        <w:rPr>
          <w:noProof/>
          <w:lang w:val="es-ES"/>
        </w:rPr>
        <w:t xml:space="preserve"> y/o de otra medicación puede ser modificada o </w:t>
      </w:r>
      <w:r w:rsidR="00AC31F4">
        <w:rPr>
          <w:noProof/>
          <w:lang w:val="es-ES"/>
        </w:rPr>
        <w:t>suspendida</w:t>
      </w:r>
      <w:r w:rsidRPr="008A106B">
        <w:rPr>
          <w:noProof/>
          <w:lang w:val="es-ES"/>
        </w:rPr>
        <w:t xml:space="preserve"> y la dosis de tocilizumab interrumpida hasta que la situación clínica haya sido evaluada. Como en los pacientes con AIJs hay diversa</w:t>
      </w:r>
      <w:r w:rsidR="00D27805">
        <w:rPr>
          <w:noProof/>
          <w:lang w:val="es-ES"/>
        </w:rPr>
        <w:t>s</w:t>
      </w:r>
      <w:r w:rsidRPr="008A106B">
        <w:rPr>
          <w:noProof/>
          <w:lang w:val="es-ES"/>
        </w:rPr>
        <w:t xml:space="preserve"> comorbilidades que pueden afectar a los valores de laboratorio, la decisión de suspender tocilizumab por unos valores de laboratorio anómalos debe estar basada en la evaluación individual del médico para cada paciente.</w:t>
      </w:r>
    </w:p>
    <w:p w14:paraId="6C7B06BB" w14:textId="77777777" w:rsidR="007927FC" w:rsidRPr="008A106B" w:rsidRDefault="007927FC" w:rsidP="007927FC">
      <w:pPr>
        <w:rPr>
          <w:noProof/>
          <w:lang w:val="es-ES"/>
        </w:rPr>
      </w:pPr>
    </w:p>
    <w:p w14:paraId="46BE2766" w14:textId="77777777" w:rsidR="007927FC" w:rsidRPr="00376697" w:rsidRDefault="007927FC" w:rsidP="00484513">
      <w:pPr>
        <w:keepNext/>
        <w:keepLines/>
        <w:ind w:left="709" w:hanging="425"/>
        <w:rPr>
          <w:lang w:val="es-ES"/>
        </w:rPr>
      </w:pPr>
      <w:r w:rsidRPr="008A106B">
        <w:rPr>
          <w:lang w:val="es-ES"/>
        </w:rPr>
        <w:lastRenderedPageBreak/>
        <w:sym w:font="Symbol" w:char="F0B7"/>
      </w:r>
      <w:r w:rsidRPr="008A106B">
        <w:rPr>
          <w:lang w:val="es-ES"/>
        </w:rPr>
        <w:tab/>
      </w:r>
      <w:r w:rsidRPr="00454602">
        <w:rPr>
          <w:lang w:val="es-ES"/>
        </w:rPr>
        <w:t>Enzimas</w:t>
      </w:r>
      <w:r w:rsidRPr="00376697">
        <w:rPr>
          <w:lang w:val="es-ES"/>
        </w:rPr>
        <w:t xml:space="preserve"> hepáticas fuera de los valores normales</w:t>
      </w:r>
    </w:p>
    <w:p w14:paraId="07FA4A73" w14:textId="77777777" w:rsidR="007927FC" w:rsidRPr="00376697" w:rsidRDefault="007927FC" w:rsidP="00484513">
      <w:pPr>
        <w:keepNext/>
        <w:keepLines/>
        <w:rPr>
          <w:noProof/>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7927FC" w:rsidRPr="00376697" w14:paraId="62F43FBE" w14:textId="77777777" w:rsidTr="00FC7454">
        <w:tc>
          <w:tcPr>
            <w:tcW w:w="1796" w:type="dxa"/>
          </w:tcPr>
          <w:p w14:paraId="2806E1D0" w14:textId="77777777" w:rsidR="007927FC" w:rsidRPr="00D33DBC" w:rsidRDefault="007927FC" w:rsidP="00484513">
            <w:pPr>
              <w:pStyle w:val="TextTi12"/>
              <w:keepNext/>
              <w:keepLines/>
              <w:jc w:val="center"/>
              <w:rPr>
                <w:bCs/>
                <w:sz w:val="22"/>
                <w:szCs w:val="22"/>
              </w:rPr>
            </w:pPr>
            <w:r w:rsidRPr="00D33DBC">
              <w:rPr>
                <w:bCs/>
                <w:sz w:val="22"/>
                <w:szCs w:val="22"/>
              </w:rPr>
              <w:t>Valores de Laboratorio</w:t>
            </w:r>
          </w:p>
        </w:tc>
        <w:tc>
          <w:tcPr>
            <w:tcW w:w="6004" w:type="dxa"/>
          </w:tcPr>
          <w:p w14:paraId="2B11BFB5" w14:textId="77777777" w:rsidR="007927FC" w:rsidRPr="00D33DBC" w:rsidRDefault="007927FC" w:rsidP="00484513">
            <w:pPr>
              <w:pStyle w:val="TextTi12"/>
              <w:keepNext/>
              <w:keepLines/>
              <w:jc w:val="center"/>
              <w:rPr>
                <w:bCs/>
                <w:sz w:val="22"/>
                <w:szCs w:val="22"/>
              </w:rPr>
            </w:pPr>
            <w:r w:rsidRPr="00D33DBC">
              <w:rPr>
                <w:bCs/>
                <w:sz w:val="22"/>
                <w:szCs w:val="22"/>
              </w:rPr>
              <w:t>Acción</w:t>
            </w:r>
          </w:p>
        </w:tc>
      </w:tr>
      <w:tr w:rsidR="007927FC" w:rsidRPr="00541248" w14:paraId="623129BA" w14:textId="77777777" w:rsidTr="00FC7454">
        <w:tc>
          <w:tcPr>
            <w:tcW w:w="1796" w:type="dxa"/>
          </w:tcPr>
          <w:p w14:paraId="4AEA677A" w14:textId="42F90D5B" w:rsidR="007927FC" w:rsidRDefault="000A68D1" w:rsidP="00484513">
            <w:pPr>
              <w:pStyle w:val="TextTi12"/>
              <w:keepNext/>
              <w:keepLines/>
              <w:rPr>
                <w:sz w:val="22"/>
                <w:szCs w:val="22"/>
              </w:rPr>
            </w:pPr>
            <w:r w:rsidRPr="000905BB">
              <w:rPr>
                <w:rFonts w:eastAsia="MS Mincho"/>
                <w:sz w:val="10"/>
                <w:szCs w:val="22"/>
                <w:lang w:val="en-GB"/>
              </w:rPr>
              <w:t> </w:t>
            </w:r>
          </w:p>
          <w:p w14:paraId="4F3E56AE" w14:textId="6DFFD90B" w:rsidR="00AF121B" w:rsidRPr="00376697" w:rsidRDefault="00AF121B" w:rsidP="00484513">
            <w:pPr>
              <w:pStyle w:val="TextTi12"/>
              <w:keepNext/>
              <w:keepLines/>
              <w:rPr>
                <w:sz w:val="22"/>
                <w:szCs w:val="22"/>
              </w:rPr>
            </w:pPr>
            <w:r w:rsidRPr="00945212">
              <w:rPr>
                <w:rFonts w:eastAsia="MS Mincho"/>
                <w:sz w:val="22"/>
                <w:szCs w:val="22"/>
                <w:lang w:val="en-GB" w:eastAsia="ja-JP"/>
              </w:rPr>
              <w:t> </w:t>
            </w:r>
            <w:r w:rsidRPr="00B17BB8">
              <w:rPr>
                <w:rFonts w:eastAsia="MS Mincho"/>
                <w:sz w:val="22"/>
                <w:szCs w:val="22"/>
                <w:lang w:val="en-GB" w:eastAsia="ja-JP"/>
              </w:rPr>
              <w:t>&gt;</w:t>
            </w:r>
            <w:r w:rsidRPr="00945212">
              <w:rPr>
                <w:rFonts w:eastAsia="MS Mincho"/>
                <w:sz w:val="22"/>
                <w:szCs w:val="22"/>
                <w:lang w:val="en-GB" w:eastAsia="ja-JP"/>
              </w:rPr>
              <w:t> </w:t>
            </w:r>
            <w:r>
              <w:rPr>
                <w:rFonts w:eastAsia="MS Mincho"/>
                <w:sz w:val="22"/>
                <w:szCs w:val="22"/>
                <w:lang w:val="en-GB" w:eastAsia="ja-JP"/>
              </w:rPr>
              <w:t>1 a</w:t>
            </w:r>
            <w:r w:rsidRPr="00945212">
              <w:rPr>
                <w:rFonts w:eastAsia="MS Mincho"/>
                <w:sz w:val="22"/>
                <w:szCs w:val="22"/>
                <w:lang w:val="en-GB" w:eastAsia="ja-JP"/>
              </w:rPr>
              <w:t xml:space="preserve"> 3 × </w:t>
            </w:r>
            <w:r>
              <w:rPr>
                <w:rFonts w:eastAsia="MS Mincho"/>
                <w:sz w:val="22"/>
                <w:szCs w:val="22"/>
                <w:lang w:val="en-GB" w:eastAsia="ja-JP"/>
              </w:rPr>
              <w:t>LSN</w:t>
            </w:r>
          </w:p>
        </w:tc>
        <w:tc>
          <w:tcPr>
            <w:tcW w:w="6004" w:type="dxa"/>
          </w:tcPr>
          <w:p w14:paraId="25903850" w14:textId="77777777" w:rsidR="007927FC" w:rsidRPr="00376697" w:rsidRDefault="007927FC" w:rsidP="00484513">
            <w:pPr>
              <w:pStyle w:val="TextTi12"/>
              <w:keepNext/>
              <w:keepLines/>
              <w:rPr>
                <w:sz w:val="22"/>
                <w:szCs w:val="22"/>
                <w:lang w:val="es-ES"/>
              </w:rPr>
            </w:pPr>
            <w:r w:rsidRPr="00376697">
              <w:rPr>
                <w:sz w:val="22"/>
                <w:szCs w:val="22"/>
                <w:lang w:val="es-ES"/>
              </w:rPr>
              <w:t xml:space="preserve">Si procede, modificar la dosis de la medicación concomitante de MTX. </w:t>
            </w:r>
          </w:p>
          <w:p w14:paraId="28CD2C81" w14:textId="67823A3E" w:rsidR="007927FC" w:rsidRPr="005A5612" w:rsidRDefault="007927FC" w:rsidP="00376697">
            <w:pPr>
              <w:pStyle w:val="TextTi12"/>
              <w:keepNext/>
              <w:keepLines/>
              <w:rPr>
                <w:sz w:val="22"/>
                <w:szCs w:val="22"/>
                <w:lang w:val="es-ES"/>
              </w:rPr>
            </w:pPr>
            <w:r w:rsidRPr="00376697">
              <w:rPr>
                <w:sz w:val="22"/>
                <w:szCs w:val="22"/>
                <w:lang w:val="es-ES"/>
              </w:rPr>
              <w:t>En este rango</w:t>
            </w:r>
            <w:r w:rsidR="00D27805" w:rsidRPr="00376697">
              <w:rPr>
                <w:sz w:val="22"/>
                <w:szCs w:val="22"/>
                <w:lang w:val="es-ES"/>
              </w:rPr>
              <w:t>,</w:t>
            </w:r>
            <w:r w:rsidRPr="00376697">
              <w:rPr>
                <w:sz w:val="22"/>
                <w:szCs w:val="22"/>
                <w:lang w:val="es-ES"/>
              </w:rPr>
              <w:t xml:space="preserve"> cuando persisten los aumentos, se debe interrumpir </w:t>
            </w:r>
            <w:r w:rsidR="00DB339E">
              <w:rPr>
                <w:sz w:val="22"/>
                <w:szCs w:val="22"/>
                <w:lang w:val="es-ES"/>
              </w:rPr>
              <w:t>tocilizumab</w:t>
            </w:r>
            <w:r w:rsidR="00DB339E" w:rsidRPr="00376697">
              <w:rPr>
                <w:sz w:val="22"/>
                <w:szCs w:val="22"/>
                <w:lang w:val="es-ES"/>
              </w:rPr>
              <w:t xml:space="preserve"> </w:t>
            </w:r>
            <w:r w:rsidRPr="00376697">
              <w:rPr>
                <w:sz w:val="22"/>
                <w:szCs w:val="22"/>
                <w:lang w:val="es-ES"/>
              </w:rPr>
              <w:t>hasta que los valores de ALT / AST se normalicen.</w:t>
            </w:r>
          </w:p>
        </w:tc>
      </w:tr>
      <w:tr w:rsidR="007927FC" w:rsidRPr="00541248" w14:paraId="183B2A1E" w14:textId="77777777" w:rsidTr="00FC7454">
        <w:tc>
          <w:tcPr>
            <w:tcW w:w="1796" w:type="dxa"/>
          </w:tcPr>
          <w:p w14:paraId="131AAEBF" w14:textId="6E433222" w:rsidR="007927FC" w:rsidRPr="00F30AB8" w:rsidRDefault="000A68D1" w:rsidP="00484513">
            <w:pPr>
              <w:pStyle w:val="TextTi12"/>
              <w:keepNext/>
              <w:keepLines/>
              <w:rPr>
                <w:sz w:val="22"/>
                <w:szCs w:val="22"/>
                <w:lang w:val="es-ES"/>
              </w:rPr>
            </w:pPr>
            <w:r w:rsidRPr="00F30AB8">
              <w:rPr>
                <w:rFonts w:eastAsia="MS Mincho"/>
                <w:sz w:val="10"/>
                <w:szCs w:val="22"/>
                <w:lang w:val="es-ES"/>
              </w:rPr>
              <w:t> </w:t>
            </w:r>
          </w:p>
          <w:p w14:paraId="0D306BB9" w14:textId="43F5F61F" w:rsidR="00AF121B" w:rsidRPr="00945212" w:rsidRDefault="00AF121B" w:rsidP="00AF121B">
            <w:pPr>
              <w:pStyle w:val="TextTi12"/>
              <w:rPr>
                <w:rFonts w:eastAsia="MS Mincho"/>
                <w:sz w:val="22"/>
                <w:szCs w:val="22"/>
                <w:lang w:val="en-GB" w:eastAsia="ja-JP"/>
              </w:rPr>
            </w:pPr>
            <w:r w:rsidRPr="00F30AB8">
              <w:rPr>
                <w:rFonts w:eastAsia="MS Mincho"/>
                <w:sz w:val="22"/>
                <w:szCs w:val="22"/>
                <w:lang w:val="es-ES" w:eastAsia="ja-JP"/>
              </w:rPr>
              <w:t> </w:t>
            </w:r>
            <w:r w:rsidRPr="00B17BB8">
              <w:rPr>
                <w:rFonts w:eastAsia="MS Mincho"/>
                <w:sz w:val="22"/>
                <w:szCs w:val="22"/>
                <w:lang w:val="en-GB" w:eastAsia="ja-JP"/>
              </w:rPr>
              <w:t>&gt;</w:t>
            </w:r>
            <w:r w:rsidRPr="00945212">
              <w:rPr>
                <w:rFonts w:eastAsia="MS Mincho"/>
                <w:sz w:val="22"/>
                <w:szCs w:val="22"/>
                <w:lang w:val="en-GB" w:eastAsia="ja-JP"/>
              </w:rPr>
              <w:t> 3 × </w:t>
            </w:r>
            <w:r>
              <w:rPr>
                <w:rFonts w:eastAsia="MS Mincho"/>
                <w:sz w:val="22"/>
                <w:szCs w:val="22"/>
                <w:lang w:val="en-GB" w:eastAsia="ja-JP"/>
              </w:rPr>
              <w:t>LSN</w:t>
            </w:r>
            <w:r w:rsidRPr="00945212">
              <w:rPr>
                <w:rFonts w:eastAsia="MS Mincho"/>
                <w:sz w:val="22"/>
                <w:szCs w:val="22"/>
                <w:lang w:val="en-GB" w:eastAsia="ja-JP"/>
              </w:rPr>
              <w:t xml:space="preserve"> </w:t>
            </w:r>
            <w:r>
              <w:rPr>
                <w:rFonts w:eastAsia="MS Mincho"/>
                <w:sz w:val="22"/>
                <w:szCs w:val="22"/>
                <w:lang w:val="en-GB" w:eastAsia="ja-JP"/>
              </w:rPr>
              <w:t>a</w:t>
            </w:r>
            <w:r w:rsidRPr="00945212">
              <w:rPr>
                <w:rFonts w:eastAsia="MS Mincho"/>
                <w:sz w:val="22"/>
                <w:szCs w:val="22"/>
                <w:lang w:val="en-GB" w:eastAsia="ja-JP"/>
              </w:rPr>
              <w:t xml:space="preserve"> 5 × </w:t>
            </w:r>
            <w:r>
              <w:rPr>
                <w:rFonts w:eastAsia="MS Mincho"/>
                <w:sz w:val="22"/>
                <w:szCs w:val="22"/>
                <w:lang w:val="en-GB" w:eastAsia="ja-JP"/>
              </w:rPr>
              <w:t>LSN</w:t>
            </w:r>
          </w:p>
          <w:p w14:paraId="6FFD1E07" w14:textId="77777777" w:rsidR="00AF121B" w:rsidRPr="005A5612" w:rsidRDefault="00AF121B" w:rsidP="00484513">
            <w:pPr>
              <w:pStyle w:val="TextTi12"/>
              <w:keepNext/>
              <w:keepLines/>
              <w:rPr>
                <w:sz w:val="22"/>
                <w:szCs w:val="22"/>
              </w:rPr>
            </w:pPr>
          </w:p>
          <w:p w14:paraId="01AE97A1" w14:textId="77777777" w:rsidR="007927FC" w:rsidRPr="005A5612" w:rsidRDefault="007927FC" w:rsidP="00484513">
            <w:pPr>
              <w:pStyle w:val="TextTi12"/>
              <w:keepNext/>
              <w:keepLines/>
              <w:jc w:val="left"/>
              <w:rPr>
                <w:sz w:val="22"/>
                <w:szCs w:val="22"/>
              </w:rPr>
            </w:pPr>
          </w:p>
        </w:tc>
        <w:tc>
          <w:tcPr>
            <w:tcW w:w="6004" w:type="dxa"/>
          </w:tcPr>
          <w:p w14:paraId="21FB9E7B" w14:textId="77777777" w:rsidR="007927FC" w:rsidRPr="005A5612" w:rsidRDefault="007927FC" w:rsidP="00484513">
            <w:pPr>
              <w:pStyle w:val="TextTi12"/>
              <w:keepNext/>
              <w:keepLines/>
              <w:rPr>
                <w:sz w:val="22"/>
                <w:szCs w:val="22"/>
                <w:lang w:val="es-ES"/>
              </w:rPr>
            </w:pPr>
            <w:r w:rsidRPr="005A5612">
              <w:rPr>
                <w:sz w:val="22"/>
                <w:szCs w:val="22"/>
                <w:lang w:val="es-ES"/>
              </w:rPr>
              <w:t xml:space="preserve">Si procede, modificar la dosis de la medicación concomitante de MTX. </w:t>
            </w:r>
          </w:p>
          <w:p w14:paraId="4CFBA7DB" w14:textId="1AEF7116" w:rsidR="007927FC" w:rsidRPr="00F30AB8" w:rsidRDefault="007927FC" w:rsidP="00484513">
            <w:pPr>
              <w:keepNext/>
              <w:keepLines/>
              <w:rPr>
                <w:rFonts w:eastAsia="MS Mincho"/>
                <w:szCs w:val="22"/>
                <w:lang w:val="es-ES"/>
              </w:rPr>
            </w:pPr>
            <w:r w:rsidRPr="005A5612">
              <w:rPr>
                <w:lang w:val="es-ES_tradnl"/>
              </w:rPr>
              <w:t xml:space="preserve">Debe interrumpirse el tratamiento con </w:t>
            </w:r>
            <w:r w:rsidR="00DB339E">
              <w:rPr>
                <w:lang w:val="es-ES_tradnl"/>
              </w:rPr>
              <w:t>tocilizumab</w:t>
            </w:r>
            <w:r w:rsidR="00DB339E" w:rsidRPr="005A5612">
              <w:rPr>
                <w:lang w:val="es-ES_tradnl"/>
              </w:rPr>
              <w:t xml:space="preserve"> </w:t>
            </w:r>
            <w:r w:rsidRPr="005A5612">
              <w:rPr>
                <w:lang w:val="es-ES_tradnl"/>
              </w:rPr>
              <w:t>hasta que los valores sean</w:t>
            </w:r>
            <w:r w:rsidR="00AF121B" w:rsidRPr="00F30AB8">
              <w:rPr>
                <w:rFonts w:eastAsia="MS Mincho"/>
                <w:szCs w:val="22"/>
                <w:lang w:val="es-ES"/>
              </w:rPr>
              <w:t xml:space="preserve">&lt; 3 × LSN </w:t>
            </w:r>
            <w:r w:rsidRPr="005A5612">
              <w:rPr>
                <w:lang w:val="es-ES_tradnl"/>
              </w:rPr>
              <w:t xml:space="preserve">y seguir las recomendaciones indicadas arriba, para </w:t>
            </w:r>
            <w:proofErr w:type="gramStart"/>
            <w:r w:rsidRPr="005A5612">
              <w:rPr>
                <w:lang w:val="es-ES_tradnl"/>
              </w:rPr>
              <w:t>valores</w:t>
            </w:r>
            <w:r w:rsidR="00AF121B">
              <w:rPr>
                <w:lang w:val="es-ES_tradnl"/>
              </w:rPr>
              <w:t xml:space="preserve"> </w:t>
            </w:r>
            <w:r w:rsidR="00AF121B" w:rsidRPr="00F30AB8">
              <w:rPr>
                <w:rFonts w:eastAsia="MS Mincho"/>
                <w:szCs w:val="22"/>
                <w:lang w:val="es-ES"/>
              </w:rPr>
              <w:t> &gt;</w:t>
            </w:r>
            <w:proofErr w:type="gramEnd"/>
            <w:r w:rsidR="00AF121B" w:rsidRPr="00F30AB8">
              <w:rPr>
                <w:rFonts w:eastAsia="MS Mincho"/>
                <w:szCs w:val="22"/>
                <w:lang w:val="es-ES"/>
              </w:rPr>
              <w:t> </w:t>
            </w:r>
            <w:r w:rsidR="00AF121B">
              <w:rPr>
                <w:rFonts w:eastAsia="MS Mincho"/>
                <w:szCs w:val="22"/>
                <w:lang w:val="es-ES"/>
              </w:rPr>
              <w:t>1 a</w:t>
            </w:r>
            <w:r w:rsidR="00AF121B" w:rsidRPr="00F30AB8">
              <w:rPr>
                <w:rFonts w:eastAsia="MS Mincho"/>
                <w:szCs w:val="22"/>
                <w:lang w:val="es-ES"/>
              </w:rPr>
              <w:t xml:space="preserve"> 3 × </w:t>
            </w:r>
            <w:r w:rsidR="00AF121B">
              <w:rPr>
                <w:rFonts w:eastAsia="MS Mincho"/>
                <w:szCs w:val="22"/>
                <w:lang w:val="es-ES"/>
              </w:rPr>
              <w:t>LSN</w:t>
            </w:r>
            <w:r w:rsidR="00AF121B" w:rsidRPr="00F30AB8">
              <w:rPr>
                <w:rFonts w:eastAsia="MS Mincho"/>
                <w:szCs w:val="22"/>
                <w:lang w:val="es-ES"/>
              </w:rPr>
              <w:t>.</w:t>
            </w:r>
            <w:r w:rsidR="000A68D1" w:rsidRPr="00F30AB8">
              <w:rPr>
                <w:rFonts w:ascii="Arial" w:eastAsia="MS Mincho" w:hAnsi="Arial" w:cs="Arial"/>
                <w:sz w:val="10"/>
                <w:szCs w:val="22"/>
                <w:lang w:val="es-ES"/>
              </w:rPr>
              <w:t> </w:t>
            </w:r>
          </w:p>
          <w:p w14:paraId="6D635EDD" w14:textId="77777777" w:rsidR="007927FC" w:rsidRPr="005A5612" w:rsidRDefault="007927FC" w:rsidP="00484513">
            <w:pPr>
              <w:keepNext/>
              <w:keepLines/>
              <w:rPr>
                <w:szCs w:val="22"/>
                <w:lang w:val="es-ES_tradnl"/>
              </w:rPr>
            </w:pPr>
          </w:p>
        </w:tc>
      </w:tr>
      <w:tr w:rsidR="007927FC" w:rsidRPr="00541248" w14:paraId="16810108" w14:textId="77777777" w:rsidTr="00FC7454">
        <w:tc>
          <w:tcPr>
            <w:tcW w:w="1796" w:type="dxa"/>
          </w:tcPr>
          <w:p w14:paraId="35315C2E" w14:textId="2BD5B2A4" w:rsidR="007927FC" w:rsidRPr="00F30AB8" w:rsidRDefault="000A68D1" w:rsidP="00484513">
            <w:pPr>
              <w:pStyle w:val="TextTi12"/>
              <w:keepNext/>
              <w:keepLines/>
              <w:rPr>
                <w:sz w:val="22"/>
                <w:szCs w:val="22"/>
                <w:lang w:val="es-ES"/>
              </w:rPr>
            </w:pPr>
            <w:r w:rsidRPr="00F30AB8">
              <w:rPr>
                <w:rFonts w:eastAsia="MS Mincho"/>
                <w:sz w:val="10"/>
                <w:szCs w:val="22"/>
                <w:lang w:val="es-ES"/>
              </w:rPr>
              <w:t> </w:t>
            </w:r>
          </w:p>
          <w:p w14:paraId="30CB6EAE" w14:textId="799421A8" w:rsidR="00AF121B" w:rsidRPr="005A5612" w:rsidRDefault="00AF121B" w:rsidP="00484513">
            <w:pPr>
              <w:pStyle w:val="TextTi12"/>
              <w:keepNext/>
              <w:keepLines/>
              <w:rPr>
                <w:sz w:val="22"/>
                <w:szCs w:val="22"/>
              </w:rPr>
            </w:pPr>
            <w:r w:rsidRPr="00F30AB8">
              <w:rPr>
                <w:rFonts w:eastAsia="MS Mincho"/>
                <w:sz w:val="22"/>
                <w:szCs w:val="22"/>
                <w:lang w:val="es-ES" w:eastAsia="ja-JP"/>
              </w:rPr>
              <w:t> </w:t>
            </w:r>
            <w:r w:rsidRPr="00B17BB8">
              <w:rPr>
                <w:rFonts w:eastAsia="MS Mincho"/>
                <w:sz w:val="22"/>
                <w:szCs w:val="22"/>
                <w:lang w:val="en-GB" w:eastAsia="ja-JP"/>
              </w:rPr>
              <w:t>&gt;</w:t>
            </w:r>
            <w:r w:rsidRPr="00945212">
              <w:rPr>
                <w:rFonts w:eastAsia="MS Mincho"/>
                <w:sz w:val="22"/>
                <w:szCs w:val="22"/>
                <w:lang w:val="en-GB" w:eastAsia="ja-JP"/>
              </w:rPr>
              <w:t> 5 × </w:t>
            </w:r>
            <w:r>
              <w:rPr>
                <w:rFonts w:eastAsia="MS Mincho"/>
                <w:sz w:val="22"/>
                <w:szCs w:val="22"/>
                <w:lang w:val="en-GB" w:eastAsia="ja-JP"/>
              </w:rPr>
              <w:t>LSN</w:t>
            </w:r>
          </w:p>
        </w:tc>
        <w:tc>
          <w:tcPr>
            <w:tcW w:w="6004" w:type="dxa"/>
          </w:tcPr>
          <w:p w14:paraId="0761E261" w14:textId="403316F8" w:rsidR="007927FC" w:rsidRPr="005A5612" w:rsidRDefault="007927FC" w:rsidP="00484513">
            <w:pPr>
              <w:pStyle w:val="TextTi12"/>
              <w:keepNext/>
              <w:keepLines/>
              <w:rPr>
                <w:sz w:val="22"/>
                <w:szCs w:val="22"/>
                <w:lang w:val="es-ES"/>
              </w:rPr>
            </w:pPr>
            <w:r w:rsidRPr="005A5612">
              <w:rPr>
                <w:sz w:val="22"/>
                <w:szCs w:val="22"/>
                <w:lang w:val="es-ES"/>
              </w:rPr>
              <w:t xml:space="preserve">Interrumpir el tratamiento con </w:t>
            </w:r>
            <w:r w:rsidR="00454602">
              <w:rPr>
                <w:sz w:val="22"/>
                <w:szCs w:val="22"/>
                <w:lang w:val="es-ES"/>
              </w:rPr>
              <w:t>tocilizumab</w:t>
            </w:r>
            <w:r w:rsidRPr="005A5612">
              <w:rPr>
                <w:sz w:val="22"/>
                <w:szCs w:val="22"/>
                <w:lang w:val="es-ES"/>
              </w:rPr>
              <w:t>.</w:t>
            </w:r>
          </w:p>
          <w:p w14:paraId="51365C8F" w14:textId="0304F653" w:rsidR="007927FC" w:rsidRPr="005A5612" w:rsidRDefault="007927FC" w:rsidP="00484513">
            <w:pPr>
              <w:keepNext/>
              <w:keepLines/>
              <w:rPr>
                <w:noProof/>
                <w:lang w:val="es-ES"/>
              </w:rPr>
            </w:pPr>
            <w:r w:rsidRPr="005A5612">
              <w:rPr>
                <w:noProof/>
                <w:lang w:val="es-ES"/>
              </w:rPr>
              <w:t xml:space="preserve">La decisión de suspender </w:t>
            </w:r>
            <w:r w:rsidR="00DB339E">
              <w:rPr>
                <w:noProof/>
                <w:lang w:val="es-ES"/>
              </w:rPr>
              <w:t xml:space="preserve"> el tratamiento </w:t>
            </w:r>
            <w:r w:rsidR="00D27805">
              <w:rPr>
                <w:noProof/>
                <w:lang w:val="es-ES"/>
              </w:rPr>
              <w:t>en AIJs</w:t>
            </w:r>
            <w:r w:rsidRPr="005A5612">
              <w:rPr>
                <w:noProof/>
                <w:lang w:val="es-ES"/>
              </w:rPr>
              <w:t xml:space="preserve"> por unos valores de laboratorio an</w:t>
            </w:r>
            <w:r w:rsidR="00D27805">
              <w:rPr>
                <w:noProof/>
                <w:lang w:val="es-ES"/>
              </w:rPr>
              <w:t>ó</w:t>
            </w:r>
            <w:r w:rsidRPr="005A5612">
              <w:rPr>
                <w:noProof/>
                <w:lang w:val="es-ES"/>
              </w:rPr>
              <w:t>malos debe estar basada en la evaluación individual del médico para cada paciente.</w:t>
            </w:r>
          </w:p>
          <w:p w14:paraId="2D89B211" w14:textId="77777777" w:rsidR="007927FC" w:rsidRPr="005A5612" w:rsidRDefault="007927FC" w:rsidP="00484513">
            <w:pPr>
              <w:pStyle w:val="TextTi12"/>
              <w:keepNext/>
              <w:keepLines/>
              <w:rPr>
                <w:sz w:val="22"/>
                <w:szCs w:val="22"/>
                <w:lang w:val="es-ES"/>
              </w:rPr>
            </w:pPr>
          </w:p>
        </w:tc>
      </w:tr>
    </w:tbl>
    <w:p w14:paraId="6E1154FD" w14:textId="77777777" w:rsidR="007927FC" w:rsidRPr="008A106B" w:rsidRDefault="007927FC" w:rsidP="00484513">
      <w:pPr>
        <w:keepNext/>
        <w:keepLines/>
        <w:rPr>
          <w:noProof/>
          <w:lang w:val="es-ES"/>
        </w:rPr>
      </w:pPr>
    </w:p>
    <w:p w14:paraId="29F659E2" w14:textId="77777777" w:rsidR="007927FC" w:rsidRPr="008A106B" w:rsidRDefault="007927FC" w:rsidP="0078290D">
      <w:pPr>
        <w:keepNext/>
        <w:ind w:left="709" w:hanging="709"/>
        <w:rPr>
          <w:lang w:val="es-ES"/>
        </w:rPr>
      </w:pPr>
      <w:r w:rsidRPr="008A106B">
        <w:rPr>
          <w:lang w:val="es-ES"/>
        </w:rPr>
        <w:sym w:font="Symbol" w:char="F0B7"/>
      </w:r>
      <w:r w:rsidRPr="008A106B">
        <w:rPr>
          <w:lang w:val="es-ES"/>
        </w:rPr>
        <w:tab/>
        <w:t xml:space="preserve">Bajo Recuento Absoluto de Neutrófilos (RAN) </w:t>
      </w:r>
    </w:p>
    <w:p w14:paraId="6AE30333" w14:textId="77777777" w:rsidR="007927FC" w:rsidRPr="008A106B" w:rsidRDefault="007927FC" w:rsidP="0078290D">
      <w:pPr>
        <w:keepNext/>
        <w:rPr>
          <w:noProof/>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588"/>
      </w:tblGrid>
      <w:tr w:rsidR="007927FC" w:rsidRPr="005A5612" w14:paraId="189B09F3" w14:textId="77777777" w:rsidTr="00FC7454">
        <w:tc>
          <w:tcPr>
            <w:tcW w:w="1304" w:type="dxa"/>
          </w:tcPr>
          <w:p w14:paraId="21FE9C0A" w14:textId="38A4FDCB" w:rsidR="007927FC" w:rsidRPr="005A5612" w:rsidRDefault="007927FC" w:rsidP="0078290D">
            <w:pPr>
              <w:pStyle w:val="TextTi12"/>
              <w:keepNext/>
              <w:jc w:val="center"/>
              <w:rPr>
                <w:b/>
                <w:sz w:val="22"/>
                <w:szCs w:val="22"/>
                <w:lang w:val="es-ES"/>
              </w:rPr>
            </w:pPr>
            <w:r w:rsidRPr="005A5612">
              <w:rPr>
                <w:b/>
                <w:sz w:val="22"/>
                <w:szCs w:val="22"/>
                <w:lang w:val="es-ES"/>
              </w:rPr>
              <w:t>Valores de laboratorio</w:t>
            </w:r>
            <w:r w:rsidRPr="005A5612">
              <w:rPr>
                <w:b/>
                <w:sz w:val="22"/>
                <w:szCs w:val="22"/>
                <w:lang w:val="es-ES"/>
              </w:rPr>
              <w:br/>
              <w:t>(células</w:t>
            </w:r>
            <w:r w:rsidR="00AF121B" w:rsidRPr="00F30AB8">
              <w:rPr>
                <w:rFonts w:eastAsia="MS Mincho"/>
                <w:sz w:val="22"/>
                <w:szCs w:val="22"/>
                <w:lang w:val="es-ES" w:eastAsia="ja-JP"/>
              </w:rPr>
              <w:t> × 10</w:t>
            </w:r>
            <w:r w:rsidR="00AF121B" w:rsidRPr="00F30AB8">
              <w:rPr>
                <w:rFonts w:eastAsia="MS Mincho"/>
                <w:sz w:val="22"/>
                <w:szCs w:val="22"/>
                <w:vertAlign w:val="superscript"/>
                <w:lang w:val="es-ES" w:eastAsia="ja-JP"/>
              </w:rPr>
              <w:t>9</w:t>
            </w:r>
            <w:r w:rsidR="00AF121B" w:rsidRPr="00F30AB8">
              <w:rPr>
                <w:rFonts w:eastAsia="MS Mincho"/>
                <w:sz w:val="22"/>
                <w:szCs w:val="22"/>
                <w:lang w:val="es-ES" w:eastAsia="ja-JP"/>
              </w:rPr>
              <w:t>/l)</w:t>
            </w:r>
          </w:p>
        </w:tc>
        <w:tc>
          <w:tcPr>
            <w:tcW w:w="6660" w:type="dxa"/>
          </w:tcPr>
          <w:p w14:paraId="3FB4DD50" w14:textId="77777777" w:rsidR="007927FC" w:rsidRPr="005A5612" w:rsidRDefault="007927FC" w:rsidP="0078290D">
            <w:pPr>
              <w:pStyle w:val="TextTi12"/>
              <w:keepNext/>
              <w:jc w:val="center"/>
              <w:rPr>
                <w:b/>
                <w:sz w:val="22"/>
                <w:szCs w:val="22"/>
                <w:lang w:val="fr-FR"/>
              </w:rPr>
            </w:pPr>
            <w:r w:rsidRPr="005A5612">
              <w:rPr>
                <w:b/>
                <w:sz w:val="22"/>
                <w:szCs w:val="22"/>
                <w:lang w:val="fr-FR"/>
              </w:rPr>
              <w:t>Acción</w:t>
            </w:r>
          </w:p>
        </w:tc>
      </w:tr>
      <w:tr w:rsidR="007927FC" w:rsidRPr="005A5612" w14:paraId="2318CC2D" w14:textId="77777777" w:rsidTr="00FC7454">
        <w:tc>
          <w:tcPr>
            <w:tcW w:w="1304" w:type="dxa"/>
          </w:tcPr>
          <w:p w14:paraId="0ED9787C" w14:textId="3F207021" w:rsidR="00AF121B" w:rsidRPr="005A5612" w:rsidRDefault="00AF121B" w:rsidP="0078290D">
            <w:pPr>
              <w:pStyle w:val="TextTi12"/>
              <w:keepNext/>
              <w:rPr>
                <w:sz w:val="22"/>
                <w:szCs w:val="22"/>
                <w:lang w:val="fr-FR"/>
              </w:rPr>
            </w:pPr>
            <w:r>
              <w:rPr>
                <w:rFonts w:eastAsia="MS Mincho"/>
                <w:sz w:val="22"/>
                <w:szCs w:val="22"/>
                <w:lang w:val="en-GB" w:eastAsia="ja-JP"/>
              </w:rPr>
              <w:t>RAN</w:t>
            </w:r>
            <w:r w:rsidRPr="00945212">
              <w:rPr>
                <w:rFonts w:eastAsia="MS Mincho"/>
                <w:sz w:val="22"/>
                <w:szCs w:val="22"/>
                <w:lang w:val="en-GB" w:eastAsia="ja-JP"/>
              </w:rPr>
              <w:t> &gt; 1</w:t>
            </w:r>
          </w:p>
        </w:tc>
        <w:tc>
          <w:tcPr>
            <w:tcW w:w="6660" w:type="dxa"/>
          </w:tcPr>
          <w:p w14:paraId="47EFF248" w14:textId="77777777" w:rsidR="007927FC" w:rsidRPr="005A5612" w:rsidRDefault="007927FC" w:rsidP="0078290D">
            <w:pPr>
              <w:keepNext/>
              <w:rPr>
                <w:lang w:val="es-ES"/>
              </w:rPr>
            </w:pPr>
            <w:r w:rsidRPr="005A5612">
              <w:rPr>
                <w:szCs w:val="22"/>
                <w:lang w:val="es-ES"/>
              </w:rPr>
              <w:t>Mantener la dosis.</w:t>
            </w:r>
          </w:p>
          <w:p w14:paraId="5B2E87B3" w14:textId="77777777" w:rsidR="007927FC" w:rsidRPr="005A5612" w:rsidRDefault="007927FC" w:rsidP="0078290D">
            <w:pPr>
              <w:pStyle w:val="TextTi12"/>
              <w:keepNext/>
              <w:rPr>
                <w:sz w:val="22"/>
                <w:szCs w:val="22"/>
                <w:lang w:val="fr-FR"/>
              </w:rPr>
            </w:pPr>
          </w:p>
        </w:tc>
      </w:tr>
      <w:tr w:rsidR="007927FC" w:rsidRPr="00541248" w14:paraId="7880B9EF" w14:textId="77777777" w:rsidTr="00FC7454">
        <w:tc>
          <w:tcPr>
            <w:tcW w:w="1304" w:type="dxa"/>
          </w:tcPr>
          <w:p w14:paraId="5CE6360B" w14:textId="74C878D1" w:rsidR="00AF121B" w:rsidRDefault="00AF121B" w:rsidP="0078290D">
            <w:pPr>
              <w:pStyle w:val="TextTi12"/>
              <w:keepNext/>
              <w:rPr>
                <w:rFonts w:eastAsia="MS Mincho"/>
                <w:sz w:val="22"/>
                <w:szCs w:val="22"/>
                <w:lang w:val="en-GB" w:eastAsia="ja-JP"/>
              </w:rPr>
            </w:pPr>
            <w:r>
              <w:rPr>
                <w:rFonts w:eastAsia="MS Mincho"/>
                <w:sz w:val="22"/>
                <w:szCs w:val="22"/>
                <w:lang w:val="en-GB" w:eastAsia="ja-JP"/>
              </w:rPr>
              <w:t xml:space="preserve">RAN 0,5 </w:t>
            </w:r>
            <w:del w:id="44" w:author="AUTHOR">
              <w:r w:rsidDel="007738AF">
                <w:rPr>
                  <w:rFonts w:eastAsia="MS Mincho"/>
                  <w:sz w:val="22"/>
                  <w:szCs w:val="22"/>
                  <w:lang w:val="en-GB" w:eastAsia="ja-JP"/>
                </w:rPr>
                <w:delText>A</w:delText>
              </w:r>
            </w:del>
            <w:ins w:id="45" w:author="AUTHOR">
              <w:r w:rsidR="007738AF">
                <w:rPr>
                  <w:rFonts w:eastAsia="MS Mincho"/>
                  <w:sz w:val="22"/>
                  <w:szCs w:val="22"/>
                  <w:lang w:val="en-GB" w:eastAsia="ja-JP"/>
                </w:rPr>
                <w:t>a</w:t>
              </w:r>
            </w:ins>
          </w:p>
          <w:p w14:paraId="095D8E47" w14:textId="5A7A851E" w:rsidR="007927FC" w:rsidRPr="005A5612" w:rsidRDefault="00AF121B" w:rsidP="0078290D">
            <w:pPr>
              <w:pStyle w:val="TextTi12"/>
              <w:keepNext/>
              <w:rPr>
                <w:sz w:val="22"/>
                <w:szCs w:val="22"/>
                <w:lang w:val="fr-FR"/>
              </w:rPr>
            </w:pPr>
            <w:r>
              <w:rPr>
                <w:rFonts w:eastAsia="MS Mincho"/>
                <w:sz w:val="22"/>
                <w:szCs w:val="22"/>
                <w:lang w:val="en-GB" w:eastAsia="ja-JP"/>
              </w:rPr>
              <w:t>a</w:t>
            </w:r>
            <w:r w:rsidRPr="00945212">
              <w:rPr>
                <w:rFonts w:eastAsia="MS Mincho"/>
                <w:sz w:val="22"/>
                <w:szCs w:val="22"/>
                <w:lang w:val="en-GB" w:eastAsia="ja-JP"/>
              </w:rPr>
              <w:t xml:space="preserve"> 1</w:t>
            </w:r>
          </w:p>
        </w:tc>
        <w:tc>
          <w:tcPr>
            <w:tcW w:w="6660" w:type="dxa"/>
          </w:tcPr>
          <w:p w14:paraId="6527E88C" w14:textId="46CBADCE" w:rsidR="007927FC" w:rsidRPr="005A5612" w:rsidRDefault="007927FC" w:rsidP="0078290D">
            <w:pPr>
              <w:pStyle w:val="TextTi12"/>
              <w:keepNext/>
              <w:rPr>
                <w:sz w:val="22"/>
                <w:szCs w:val="22"/>
                <w:lang w:val="es-ES"/>
              </w:rPr>
            </w:pPr>
            <w:r w:rsidRPr="005A5612">
              <w:rPr>
                <w:sz w:val="22"/>
                <w:szCs w:val="22"/>
                <w:lang w:val="es-ES"/>
              </w:rPr>
              <w:t xml:space="preserve">Interrumpir el </w:t>
            </w:r>
            <w:ins w:id="46" w:author="AUTHOR">
              <w:r w:rsidR="007738AF">
                <w:rPr>
                  <w:sz w:val="22"/>
                  <w:szCs w:val="22"/>
                  <w:lang w:val="es-ES"/>
                </w:rPr>
                <w:t>administración</w:t>
              </w:r>
            </w:ins>
            <w:del w:id="47" w:author="AUTHOR">
              <w:r w:rsidRPr="005A5612" w:rsidDel="007738AF">
                <w:rPr>
                  <w:sz w:val="22"/>
                  <w:szCs w:val="22"/>
                  <w:lang w:val="es-ES"/>
                </w:rPr>
                <w:delText>tratamiento</w:delText>
              </w:r>
            </w:del>
            <w:r w:rsidRPr="005A5612">
              <w:rPr>
                <w:sz w:val="22"/>
                <w:szCs w:val="22"/>
                <w:lang w:val="es-ES"/>
              </w:rPr>
              <w:t xml:space="preserve"> con </w:t>
            </w:r>
            <w:r w:rsidR="00DB339E">
              <w:rPr>
                <w:sz w:val="22"/>
                <w:szCs w:val="22"/>
                <w:lang w:val="es-ES"/>
              </w:rPr>
              <w:t>tocilizumab</w:t>
            </w:r>
            <w:r w:rsidRPr="005A5612">
              <w:rPr>
                <w:sz w:val="22"/>
                <w:szCs w:val="22"/>
                <w:lang w:val="es-ES"/>
              </w:rPr>
              <w:t>.</w:t>
            </w:r>
          </w:p>
          <w:p w14:paraId="471129E3" w14:textId="4BCA8443" w:rsidR="007927FC" w:rsidRPr="005A5612" w:rsidRDefault="007927FC">
            <w:pPr>
              <w:pStyle w:val="TextTi12"/>
              <w:keepNext/>
              <w:rPr>
                <w:sz w:val="22"/>
                <w:szCs w:val="22"/>
                <w:lang w:val="es-ES"/>
              </w:rPr>
            </w:pPr>
            <w:r w:rsidRPr="005A5612">
              <w:rPr>
                <w:sz w:val="22"/>
                <w:szCs w:val="22"/>
                <w:lang w:val="es-ES"/>
              </w:rPr>
              <w:t>Cuando el RAN aumente</w:t>
            </w:r>
            <w:r w:rsidR="00454602" w:rsidRPr="00F30AB8">
              <w:rPr>
                <w:rFonts w:ascii="Arial" w:eastAsia="MS Mincho" w:hAnsi="Arial" w:cs="Arial"/>
                <w:sz w:val="10"/>
                <w:szCs w:val="22"/>
                <w:lang w:val="es-ES"/>
              </w:rPr>
              <w:t> </w:t>
            </w:r>
            <w:r w:rsidR="00AF121B" w:rsidRPr="00F30AB8">
              <w:rPr>
                <w:rFonts w:eastAsia="MS Mincho"/>
                <w:sz w:val="22"/>
                <w:szCs w:val="22"/>
                <w:lang w:val="es-ES" w:eastAsia="ja-JP"/>
              </w:rPr>
              <w:t>to &gt; 1 × 10</w:t>
            </w:r>
            <w:r w:rsidR="00AF121B" w:rsidRPr="00F30AB8">
              <w:rPr>
                <w:rFonts w:eastAsia="MS Mincho"/>
                <w:sz w:val="22"/>
                <w:szCs w:val="22"/>
                <w:vertAlign w:val="superscript"/>
                <w:lang w:val="es-ES" w:eastAsia="ja-JP"/>
              </w:rPr>
              <w:t>9</w:t>
            </w:r>
            <w:r w:rsidR="00AF121B" w:rsidRPr="00F30AB8">
              <w:rPr>
                <w:rFonts w:eastAsia="MS Mincho"/>
                <w:sz w:val="22"/>
                <w:szCs w:val="22"/>
                <w:lang w:val="es-ES" w:eastAsia="ja-JP"/>
              </w:rPr>
              <w:t>/l </w:t>
            </w:r>
            <w:r w:rsidRPr="005A5612">
              <w:rPr>
                <w:sz w:val="22"/>
                <w:szCs w:val="22"/>
                <w:lang w:val="es-ES"/>
              </w:rPr>
              <w:t xml:space="preserve"> reestablecer el tratamiento.</w:t>
            </w:r>
          </w:p>
        </w:tc>
      </w:tr>
      <w:tr w:rsidR="007927FC" w:rsidRPr="00541248" w14:paraId="20A61B02" w14:textId="77777777" w:rsidTr="00FC7454">
        <w:tc>
          <w:tcPr>
            <w:tcW w:w="1304" w:type="dxa"/>
          </w:tcPr>
          <w:p w14:paraId="13C8FA46" w14:textId="23E46335" w:rsidR="007927FC" w:rsidRDefault="007927FC" w:rsidP="0078290D">
            <w:pPr>
              <w:pStyle w:val="TextTi12"/>
              <w:keepNext/>
              <w:rPr>
                <w:sz w:val="22"/>
                <w:szCs w:val="22"/>
              </w:rPr>
            </w:pPr>
            <w:r w:rsidRPr="005A5612">
              <w:rPr>
                <w:sz w:val="22"/>
                <w:szCs w:val="22"/>
              </w:rPr>
              <w:t>RAN</w:t>
            </w:r>
            <w:r w:rsidR="00454602" w:rsidRPr="00BB710F">
              <w:rPr>
                <w:rFonts w:ascii="Arial" w:eastAsia="MS Mincho" w:hAnsi="Arial" w:cs="Arial"/>
                <w:sz w:val="10"/>
                <w:szCs w:val="22"/>
                <w:lang w:val="en-GB"/>
              </w:rPr>
              <w:t> </w:t>
            </w:r>
            <w:r w:rsidR="00454602" w:rsidRPr="00BB710F">
              <w:rPr>
                <w:rFonts w:ascii="Arial" w:eastAsia="MS Mincho" w:hAnsi="Arial" w:cs="Arial"/>
                <w:sz w:val="22"/>
                <w:szCs w:val="22"/>
                <w:lang w:val="en-GB"/>
              </w:rPr>
              <w:sym w:font="Symbol" w:char="F03C"/>
            </w:r>
            <w:r w:rsidR="00454602" w:rsidRPr="00BB710F">
              <w:rPr>
                <w:rFonts w:ascii="Arial" w:eastAsia="MS Mincho" w:hAnsi="Arial" w:cs="Arial"/>
                <w:sz w:val="10"/>
                <w:szCs w:val="22"/>
                <w:lang w:val="en-GB"/>
              </w:rPr>
              <w:t> </w:t>
            </w:r>
            <w:r w:rsidRPr="005A5612">
              <w:rPr>
                <w:sz w:val="22"/>
                <w:szCs w:val="22"/>
              </w:rPr>
              <w:t>0</w:t>
            </w:r>
            <w:del w:id="48" w:author="AUTHOR">
              <w:r w:rsidRPr="005A5612" w:rsidDel="007738AF">
                <w:rPr>
                  <w:sz w:val="22"/>
                  <w:szCs w:val="22"/>
                </w:rPr>
                <w:delText>.</w:delText>
              </w:r>
            </w:del>
            <w:ins w:id="49" w:author="AUTHOR">
              <w:r w:rsidR="007738AF">
                <w:rPr>
                  <w:sz w:val="22"/>
                  <w:szCs w:val="22"/>
                </w:rPr>
                <w:t>,</w:t>
              </w:r>
            </w:ins>
            <w:r w:rsidRPr="005A5612">
              <w:rPr>
                <w:sz w:val="22"/>
                <w:szCs w:val="22"/>
              </w:rPr>
              <w:t>5</w:t>
            </w:r>
          </w:p>
          <w:p w14:paraId="7D6A092C" w14:textId="0F953F80" w:rsidR="00AF121B" w:rsidRPr="005A5612" w:rsidRDefault="00AF121B" w:rsidP="0078290D">
            <w:pPr>
              <w:pStyle w:val="TextTi12"/>
              <w:keepNext/>
              <w:rPr>
                <w:sz w:val="22"/>
                <w:szCs w:val="22"/>
              </w:rPr>
            </w:pPr>
            <w:r>
              <w:rPr>
                <w:rFonts w:eastAsia="MS Mincho"/>
                <w:sz w:val="22"/>
                <w:szCs w:val="22"/>
                <w:lang w:val="en-GB" w:eastAsia="ja-JP"/>
              </w:rPr>
              <w:t>RAN</w:t>
            </w:r>
            <w:r w:rsidRPr="00945212">
              <w:rPr>
                <w:rFonts w:eastAsia="MS Mincho"/>
                <w:sz w:val="22"/>
                <w:szCs w:val="22"/>
                <w:lang w:val="en-GB" w:eastAsia="ja-JP"/>
              </w:rPr>
              <w:t> &lt; </w:t>
            </w:r>
            <w:r>
              <w:rPr>
                <w:rFonts w:eastAsia="MS Mincho"/>
                <w:sz w:val="22"/>
                <w:szCs w:val="22"/>
                <w:lang w:val="en-GB" w:eastAsia="ja-JP"/>
              </w:rPr>
              <w:t>0,</w:t>
            </w:r>
            <w:r w:rsidRPr="00945212">
              <w:rPr>
                <w:rFonts w:eastAsia="MS Mincho"/>
                <w:sz w:val="22"/>
                <w:szCs w:val="22"/>
                <w:lang w:val="en-GB" w:eastAsia="ja-JP"/>
              </w:rPr>
              <w:t>5</w:t>
            </w:r>
          </w:p>
        </w:tc>
        <w:tc>
          <w:tcPr>
            <w:tcW w:w="6660" w:type="dxa"/>
          </w:tcPr>
          <w:p w14:paraId="67EEC6DB" w14:textId="5733663C" w:rsidR="007927FC" w:rsidRPr="005A5612" w:rsidRDefault="007927FC" w:rsidP="0078290D">
            <w:pPr>
              <w:pStyle w:val="TextTi12"/>
              <w:keepNext/>
              <w:rPr>
                <w:sz w:val="22"/>
                <w:szCs w:val="22"/>
                <w:lang w:val="es-ES"/>
              </w:rPr>
            </w:pPr>
            <w:r w:rsidRPr="005A5612">
              <w:rPr>
                <w:sz w:val="22"/>
                <w:szCs w:val="22"/>
                <w:lang w:val="es-ES"/>
              </w:rPr>
              <w:t xml:space="preserve">Interrumpir el tratamiento con </w:t>
            </w:r>
            <w:r w:rsidR="00DB339E">
              <w:rPr>
                <w:sz w:val="22"/>
                <w:szCs w:val="22"/>
                <w:lang w:val="es-ES"/>
              </w:rPr>
              <w:t>tocilizumab</w:t>
            </w:r>
            <w:r w:rsidRPr="005A5612">
              <w:rPr>
                <w:sz w:val="22"/>
                <w:szCs w:val="22"/>
                <w:lang w:val="es-ES"/>
              </w:rPr>
              <w:t>.</w:t>
            </w:r>
          </w:p>
          <w:p w14:paraId="4E4FB2B9" w14:textId="4B296D8D" w:rsidR="007927FC" w:rsidRPr="005A5612" w:rsidRDefault="007927FC" w:rsidP="0078290D">
            <w:pPr>
              <w:keepNext/>
              <w:rPr>
                <w:noProof/>
                <w:lang w:val="es-ES"/>
              </w:rPr>
            </w:pPr>
            <w:r w:rsidRPr="005A5612">
              <w:rPr>
                <w:noProof/>
                <w:lang w:val="es-ES"/>
              </w:rPr>
              <w:t xml:space="preserve">La decisión de suspender </w:t>
            </w:r>
            <w:r w:rsidR="00DB339E">
              <w:rPr>
                <w:noProof/>
                <w:lang w:val="es-ES"/>
              </w:rPr>
              <w:t xml:space="preserve">el tratamiento </w:t>
            </w:r>
            <w:r w:rsidR="00D27805">
              <w:rPr>
                <w:noProof/>
                <w:lang w:val="es-ES"/>
              </w:rPr>
              <w:t>en AIJs</w:t>
            </w:r>
            <w:r w:rsidRPr="005A5612">
              <w:rPr>
                <w:noProof/>
                <w:lang w:val="es-ES"/>
              </w:rPr>
              <w:t xml:space="preserve"> por unos valores de laboratorio anómalos debe estar basada en la evaluación individual del médico  para cada paciente.</w:t>
            </w:r>
          </w:p>
          <w:p w14:paraId="62884403" w14:textId="77777777" w:rsidR="007927FC" w:rsidRPr="005A5612" w:rsidRDefault="007927FC" w:rsidP="0078290D">
            <w:pPr>
              <w:pStyle w:val="TextTi12"/>
              <w:keepNext/>
              <w:rPr>
                <w:sz w:val="22"/>
                <w:szCs w:val="22"/>
                <w:lang w:val="es-ES"/>
              </w:rPr>
            </w:pPr>
          </w:p>
        </w:tc>
      </w:tr>
    </w:tbl>
    <w:p w14:paraId="1F66CF21" w14:textId="77777777" w:rsidR="007927FC" w:rsidRPr="008A106B" w:rsidRDefault="007927FC" w:rsidP="007927FC">
      <w:pPr>
        <w:rPr>
          <w:noProof/>
          <w:lang w:val="es-ES"/>
        </w:rPr>
      </w:pPr>
    </w:p>
    <w:p w14:paraId="4624EFB1" w14:textId="77777777" w:rsidR="007927FC" w:rsidRPr="008A106B" w:rsidRDefault="007927FC" w:rsidP="00B376A0">
      <w:pPr>
        <w:keepNext/>
        <w:keepLines/>
        <w:ind w:left="706" w:hanging="706"/>
        <w:rPr>
          <w:lang w:val="es-ES"/>
        </w:rPr>
      </w:pPr>
      <w:r w:rsidRPr="008A106B">
        <w:rPr>
          <w:lang w:val="es-ES"/>
        </w:rPr>
        <w:lastRenderedPageBreak/>
        <w:sym w:font="Symbol" w:char="F0B7"/>
      </w:r>
      <w:r w:rsidRPr="008A106B">
        <w:rPr>
          <w:lang w:val="es-ES"/>
        </w:rPr>
        <w:tab/>
        <w:t>Bajo recuento de plaquetas</w:t>
      </w:r>
    </w:p>
    <w:p w14:paraId="120C36D0" w14:textId="77777777" w:rsidR="007927FC" w:rsidRPr="008A106B" w:rsidRDefault="007927FC" w:rsidP="007927FC">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5"/>
        <w:gridCol w:w="7116"/>
      </w:tblGrid>
      <w:tr w:rsidR="007927FC" w:rsidRPr="005A5612" w14:paraId="30A5B564" w14:textId="77777777" w:rsidTr="00FC7454">
        <w:tc>
          <w:tcPr>
            <w:tcW w:w="1949" w:type="dxa"/>
          </w:tcPr>
          <w:p w14:paraId="799F9769" w14:textId="101C1D3A" w:rsidR="007927FC" w:rsidRPr="005A5612" w:rsidRDefault="007927FC">
            <w:pPr>
              <w:pStyle w:val="TextTi12"/>
              <w:keepNext/>
              <w:keepLines/>
              <w:jc w:val="center"/>
              <w:rPr>
                <w:b/>
                <w:sz w:val="22"/>
                <w:szCs w:val="22"/>
                <w:lang w:val="es-ES"/>
              </w:rPr>
            </w:pPr>
            <w:r w:rsidRPr="005A5612">
              <w:rPr>
                <w:b/>
                <w:sz w:val="22"/>
                <w:szCs w:val="22"/>
                <w:lang w:val="es-ES"/>
              </w:rPr>
              <w:t>Valores de laboratorio</w:t>
            </w:r>
            <w:r w:rsidRPr="005A5612">
              <w:rPr>
                <w:b/>
                <w:sz w:val="22"/>
                <w:szCs w:val="22"/>
                <w:lang w:val="es-ES"/>
              </w:rPr>
              <w:br/>
              <w:t>(células</w:t>
            </w:r>
            <w:r w:rsidR="00AF121B">
              <w:rPr>
                <w:b/>
                <w:sz w:val="22"/>
                <w:szCs w:val="22"/>
                <w:lang w:val="es-ES"/>
              </w:rPr>
              <w:t xml:space="preserve"> </w:t>
            </w:r>
            <w:r w:rsidR="00AF121B" w:rsidRPr="00F30AB8">
              <w:rPr>
                <w:rFonts w:eastAsia="MS Mincho"/>
                <w:b/>
                <w:sz w:val="22"/>
                <w:szCs w:val="22"/>
                <w:lang w:val="es-ES" w:eastAsia="ja-JP"/>
              </w:rPr>
              <w:t> × 10</w:t>
            </w:r>
            <w:r w:rsidR="00AF121B" w:rsidRPr="00F30AB8">
              <w:rPr>
                <w:rFonts w:eastAsia="MS Mincho"/>
                <w:b/>
                <w:sz w:val="22"/>
                <w:szCs w:val="22"/>
                <w:vertAlign w:val="superscript"/>
                <w:lang w:val="es-ES" w:eastAsia="ja-JP"/>
              </w:rPr>
              <w:t>3</w:t>
            </w:r>
            <w:r w:rsidR="00AF121B" w:rsidRPr="00F30AB8">
              <w:rPr>
                <w:rFonts w:eastAsia="MS Mincho"/>
                <w:b/>
                <w:sz w:val="22"/>
                <w:szCs w:val="22"/>
                <w:lang w:val="es-ES" w:eastAsia="ja-JP"/>
              </w:rPr>
              <w:t>/µl</w:t>
            </w:r>
            <w:r w:rsidR="00454602" w:rsidRPr="00F30AB8">
              <w:rPr>
                <w:rFonts w:ascii="Arial" w:eastAsia="MS Mincho" w:hAnsi="Arial" w:cs="Arial"/>
                <w:b/>
                <w:sz w:val="10"/>
                <w:szCs w:val="22"/>
                <w:lang w:val="es-ES"/>
              </w:rPr>
              <w:t> </w:t>
            </w:r>
            <w:r w:rsidRPr="005A5612">
              <w:rPr>
                <w:b/>
                <w:sz w:val="22"/>
                <w:szCs w:val="22"/>
                <w:lang w:val="es-ES"/>
              </w:rPr>
              <w:t>)</w:t>
            </w:r>
          </w:p>
        </w:tc>
        <w:tc>
          <w:tcPr>
            <w:tcW w:w="7338" w:type="dxa"/>
          </w:tcPr>
          <w:p w14:paraId="7A808CC7" w14:textId="77777777" w:rsidR="007927FC" w:rsidRPr="005A5612" w:rsidRDefault="007927FC" w:rsidP="00FC7454">
            <w:pPr>
              <w:pStyle w:val="TextTi12"/>
              <w:keepNext/>
              <w:keepLines/>
              <w:jc w:val="center"/>
              <w:rPr>
                <w:b/>
                <w:sz w:val="22"/>
                <w:szCs w:val="22"/>
                <w:lang w:val="fr-FR"/>
              </w:rPr>
            </w:pPr>
            <w:r w:rsidRPr="005A5612">
              <w:rPr>
                <w:b/>
                <w:sz w:val="22"/>
                <w:szCs w:val="22"/>
                <w:lang w:val="fr-FR"/>
              </w:rPr>
              <w:t>Acción</w:t>
            </w:r>
          </w:p>
        </w:tc>
      </w:tr>
      <w:tr w:rsidR="007927FC" w:rsidRPr="00541248" w14:paraId="7796A756" w14:textId="77777777" w:rsidTr="00FC7454">
        <w:tc>
          <w:tcPr>
            <w:tcW w:w="1949" w:type="dxa"/>
          </w:tcPr>
          <w:p w14:paraId="602C83FC" w14:textId="77777777" w:rsidR="007927FC" w:rsidRPr="005A5612" w:rsidRDefault="007927FC" w:rsidP="00FC7454">
            <w:pPr>
              <w:pStyle w:val="TextTi12"/>
              <w:keepNext/>
              <w:keepLines/>
              <w:rPr>
                <w:sz w:val="22"/>
                <w:szCs w:val="22"/>
                <w:lang w:val="fr-FR"/>
              </w:rPr>
            </w:pPr>
            <w:r w:rsidRPr="005A5612">
              <w:rPr>
                <w:sz w:val="22"/>
                <w:szCs w:val="22"/>
                <w:lang w:val="fr-FR"/>
              </w:rPr>
              <w:t>50 a 100</w:t>
            </w:r>
          </w:p>
        </w:tc>
        <w:tc>
          <w:tcPr>
            <w:tcW w:w="7338" w:type="dxa"/>
          </w:tcPr>
          <w:p w14:paraId="26D03F67" w14:textId="77777777" w:rsidR="007927FC" w:rsidRPr="005A5612" w:rsidRDefault="007927FC" w:rsidP="00FC7454">
            <w:pPr>
              <w:pStyle w:val="TextTi12"/>
              <w:keepNext/>
              <w:keepLines/>
              <w:rPr>
                <w:sz w:val="22"/>
                <w:szCs w:val="22"/>
                <w:lang w:val="es-ES"/>
              </w:rPr>
            </w:pPr>
            <w:r w:rsidRPr="005A5612">
              <w:rPr>
                <w:sz w:val="22"/>
                <w:szCs w:val="22"/>
                <w:lang w:val="es-ES"/>
              </w:rPr>
              <w:t xml:space="preserve">Si procede, modificar la dosis de la medicación concomitante de MTX </w:t>
            </w:r>
          </w:p>
          <w:p w14:paraId="1E1D18A1" w14:textId="516F6FB2" w:rsidR="007927FC" w:rsidRPr="005A5612" w:rsidRDefault="007927FC" w:rsidP="00FC7454">
            <w:pPr>
              <w:pStyle w:val="TextTi12"/>
              <w:keepNext/>
              <w:keepLines/>
              <w:rPr>
                <w:sz w:val="22"/>
                <w:szCs w:val="22"/>
                <w:lang w:val="es-ES"/>
              </w:rPr>
            </w:pPr>
            <w:r w:rsidRPr="005A5612">
              <w:rPr>
                <w:sz w:val="22"/>
                <w:szCs w:val="22"/>
                <w:lang w:val="es-ES"/>
              </w:rPr>
              <w:t xml:space="preserve">Interrumpir </w:t>
            </w:r>
            <w:del w:id="50" w:author="AUTHOR">
              <w:r w:rsidRPr="005A5612" w:rsidDel="00F67CA2">
                <w:rPr>
                  <w:sz w:val="22"/>
                  <w:szCs w:val="22"/>
                  <w:lang w:val="es-ES"/>
                </w:rPr>
                <w:delText>el tratamiento</w:delText>
              </w:r>
            </w:del>
            <w:ins w:id="51" w:author="AUTHOR">
              <w:r w:rsidR="00F67CA2">
                <w:rPr>
                  <w:sz w:val="22"/>
                  <w:szCs w:val="22"/>
                  <w:lang w:val="es-ES"/>
                </w:rPr>
                <w:t>la administración de</w:t>
              </w:r>
            </w:ins>
            <w:del w:id="52" w:author="AUTHOR">
              <w:r w:rsidRPr="005A5612" w:rsidDel="00F67CA2">
                <w:rPr>
                  <w:sz w:val="22"/>
                  <w:szCs w:val="22"/>
                  <w:lang w:val="es-ES"/>
                </w:rPr>
                <w:delText xml:space="preserve"> con</w:delText>
              </w:r>
            </w:del>
            <w:r w:rsidRPr="005A5612">
              <w:rPr>
                <w:sz w:val="22"/>
                <w:szCs w:val="22"/>
                <w:lang w:val="es-ES"/>
              </w:rPr>
              <w:t xml:space="preserve"> </w:t>
            </w:r>
            <w:r w:rsidR="00DB339E">
              <w:rPr>
                <w:sz w:val="22"/>
                <w:szCs w:val="22"/>
                <w:lang w:val="es-ES"/>
              </w:rPr>
              <w:t>tocilizumab</w:t>
            </w:r>
            <w:r w:rsidRPr="005A5612">
              <w:rPr>
                <w:sz w:val="22"/>
                <w:szCs w:val="22"/>
                <w:lang w:val="es-ES"/>
              </w:rPr>
              <w:t>.</w:t>
            </w:r>
          </w:p>
          <w:p w14:paraId="5D469388" w14:textId="7E7D29D2" w:rsidR="007927FC" w:rsidRPr="005A5612" w:rsidRDefault="007927FC">
            <w:pPr>
              <w:pStyle w:val="TextTi12"/>
              <w:keepNext/>
              <w:keepLines/>
              <w:rPr>
                <w:sz w:val="22"/>
                <w:szCs w:val="22"/>
                <w:lang w:val="es-ES"/>
              </w:rPr>
            </w:pPr>
            <w:r w:rsidRPr="005A5612">
              <w:rPr>
                <w:sz w:val="22"/>
                <w:szCs w:val="22"/>
                <w:lang w:val="es-ES"/>
              </w:rPr>
              <w:t>Cuando el recuento de plaquetas</w:t>
            </w:r>
            <w:r w:rsidR="00454602" w:rsidRPr="00F30AB8">
              <w:rPr>
                <w:rFonts w:ascii="Arial" w:eastAsia="MS Mincho" w:hAnsi="Arial" w:cs="Arial"/>
                <w:sz w:val="10"/>
                <w:szCs w:val="22"/>
                <w:lang w:val="es-ES"/>
              </w:rPr>
              <w:t> </w:t>
            </w:r>
            <w:r w:rsidR="00543F93">
              <w:rPr>
                <w:rFonts w:ascii="Arial" w:eastAsia="MS Mincho" w:hAnsi="Arial" w:cs="Arial"/>
                <w:sz w:val="10"/>
                <w:szCs w:val="22"/>
                <w:lang w:val="es-ES"/>
              </w:rPr>
              <w:t xml:space="preserve"> </w:t>
            </w:r>
            <w:r w:rsidR="00543F93" w:rsidRPr="00F30AB8">
              <w:rPr>
                <w:rFonts w:eastAsia="MS Mincho"/>
                <w:sz w:val="22"/>
                <w:szCs w:val="22"/>
                <w:lang w:val="es-ES" w:eastAsia="ja-JP"/>
              </w:rPr>
              <w:t> &gt; 100 × 10</w:t>
            </w:r>
            <w:r w:rsidR="00543F93" w:rsidRPr="00F30AB8">
              <w:rPr>
                <w:rFonts w:eastAsia="MS Mincho"/>
                <w:sz w:val="22"/>
                <w:szCs w:val="22"/>
                <w:vertAlign w:val="superscript"/>
                <w:lang w:val="es-ES" w:eastAsia="ja-JP"/>
              </w:rPr>
              <w:t>3</w:t>
            </w:r>
            <w:r w:rsidR="00543F93" w:rsidRPr="00F30AB8">
              <w:rPr>
                <w:rFonts w:eastAsia="MS Mincho"/>
                <w:sz w:val="22"/>
                <w:szCs w:val="22"/>
                <w:lang w:val="es-ES" w:eastAsia="ja-JP"/>
              </w:rPr>
              <w:t>/µ</w:t>
            </w:r>
            <w:r w:rsidR="00543F93">
              <w:rPr>
                <w:rFonts w:eastAsia="MS Mincho"/>
                <w:sz w:val="22"/>
                <w:szCs w:val="22"/>
                <w:lang w:val="es-ES" w:eastAsia="ja-JP"/>
              </w:rPr>
              <w:t>l</w:t>
            </w:r>
            <w:r w:rsidR="00543F93" w:rsidRPr="00F30AB8">
              <w:rPr>
                <w:rFonts w:eastAsia="MS Mincho"/>
                <w:sz w:val="22"/>
                <w:szCs w:val="22"/>
                <w:lang w:val="es-ES" w:eastAsia="ja-JP"/>
              </w:rPr>
              <w:t xml:space="preserve"> </w:t>
            </w:r>
            <w:r w:rsidRPr="005A5612">
              <w:rPr>
                <w:sz w:val="22"/>
                <w:szCs w:val="22"/>
                <w:lang w:val="es-ES"/>
              </w:rPr>
              <w:t xml:space="preserve"> reestablecer el tratamiento.</w:t>
            </w:r>
          </w:p>
        </w:tc>
      </w:tr>
      <w:tr w:rsidR="007927FC" w:rsidRPr="00541248" w14:paraId="4C3C2601" w14:textId="77777777" w:rsidTr="00FC7454">
        <w:tc>
          <w:tcPr>
            <w:tcW w:w="1949" w:type="dxa"/>
          </w:tcPr>
          <w:p w14:paraId="699E93C3" w14:textId="53F6540E" w:rsidR="007927FC" w:rsidRPr="005A5612" w:rsidRDefault="00543F93" w:rsidP="00FC7454">
            <w:pPr>
              <w:pStyle w:val="TextTi12"/>
              <w:rPr>
                <w:sz w:val="22"/>
                <w:szCs w:val="22"/>
              </w:rPr>
            </w:pPr>
            <w:r w:rsidRPr="00F30AB8">
              <w:rPr>
                <w:rFonts w:eastAsia="MS Mincho"/>
                <w:sz w:val="22"/>
                <w:szCs w:val="22"/>
                <w:lang w:val="es-ES" w:eastAsia="ja-JP"/>
              </w:rPr>
              <w:t> </w:t>
            </w:r>
            <w:r w:rsidRPr="006245AD">
              <w:rPr>
                <w:rFonts w:eastAsia="MS Mincho"/>
                <w:sz w:val="22"/>
                <w:szCs w:val="22"/>
                <w:lang w:val="en-GB" w:eastAsia="ja-JP"/>
              </w:rPr>
              <w:t>&lt;</w:t>
            </w:r>
            <w:r w:rsidRPr="00945212">
              <w:rPr>
                <w:rFonts w:eastAsia="MS Mincho"/>
                <w:sz w:val="22"/>
                <w:szCs w:val="22"/>
                <w:lang w:val="en-GB" w:eastAsia="ja-JP"/>
              </w:rPr>
              <w:t> 50</w:t>
            </w:r>
          </w:p>
        </w:tc>
        <w:tc>
          <w:tcPr>
            <w:tcW w:w="7338" w:type="dxa"/>
          </w:tcPr>
          <w:p w14:paraId="0397940F" w14:textId="2C038430" w:rsidR="007927FC" w:rsidRPr="005A5612" w:rsidRDefault="007927FC" w:rsidP="00FC7454">
            <w:pPr>
              <w:pStyle w:val="TextTi12"/>
              <w:rPr>
                <w:sz w:val="22"/>
                <w:szCs w:val="22"/>
                <w:lang w:val="es-ES"/>
              </w:rPr>
            </w:pPr>
            <w:r w:rsidRPr="005A5612">
              <w:rPr>
                <w:sz w:val="22"/>
                <w:szCs w:val="22"/>
                <w:lang w:val="es-ES"/>
              </w:rPr>
              <w:t xml:space="preserve">Interrumpir el tratamiento con </w:t>
            </w:r>
            <w:r w:rsidR="00DB339E">
              <w:rPr>
                <w:sz w:val="22"/>
                <w:szCs w:val="22"/>
                <w:lang w:val="es-ES"/>
              </w:rPr>
              <w:t>tocilizumab</w:t>
            </w:r>
            <w:r w:rsidRPr="005A5612">
              <w:rPr>
                <w:sz w:val="22"/>
                <w:szCs w:val="22"/>
                <w:lang w:val="es-ES"/>
              </w:rPr>
              <w:t xml:space="preserve">. </w:t>
            </w:r>
          </w:p>
          <w:p w14:paraId="6917AC5C" w14:textId="1DF2FCE2" w:rsidR="007927FC" w:rsidRPr="00D27805" w:rsidRDefault="007927FC" w:rsidP="00376697">
            <w:pPr>
              <w:pStyle w:val="TextTi12"/>
              <w:rPr>
                <w:sz w:val="22"/>
                <w:szCs w:val="22"/>
                <w:lang w:val="es-ES"/>
              </w:rPr>
            </w:pPr>
            <w:r w:rsidRPr="006868F5">
              <w:rPr>
                <w:noProof/>
                <w:sz w:val="22"/>
                <w:szCs w:val="22"/>
                <w:lang w:val="es-ES"/>
              </w:rPr>
              <w:t xml:space="preserve">La decisión de suspender </w:t>
            </w:r>
            <w:r w:rsidR="00DB339E">
              <w:rPr>
                <w:noProof/>
                <w:sz w:val="22"/>
                <w:szCs w:val="22"/>
                <w:lang w:val="es-ES"/>
              </w:rPr>
              <w:t>el tratamiento</w:t>
            </w:r>
            <w:r w:rsidR="00D27805">
              <w:rPr>
                <w:noProof/>
                <w:sz w:val="22"/>
                <w:szCs w:val="22"/>
                <w:lang w:val="es-ES"/>
              </w:rPr>
              <w:t xml:space="preserve"> en AIJs</w:t>
            </w:r>
            <w:r w:rsidRPr="006868F5">
              <w:rPr>
                <w:noProof/>
                <w:sz w:val="22"/>
                <w:szCs w:val="22"/>
                <w:lang w:val="es-ES"/>
              </w:rPr>
              <w:t xml:space="preserve"> por unos valores de laboratorio anómalos debe estar basada en la evaluación individual del médico  para cada paciente</w:t>
            </w:r>
            <w:r w:rsidR="00D80CE2">
              <w:rPr>
                <w:noProof/>
                <w:sz w:val="22"/>
                <w:szCs w:val="22"/>
                <w:lang w:val="es-ES"/>
              </w:rPr>
              <w:t>.</w:t>
            </w:r>
          </w:p>
        </w:tc>
      </w:tr>
    </w:tbl>
    <w:p w14:paraId="3A8AD35F" w14:textId="77777777" w:rsidR="007927FC" w:rsidRPr="008A106B" w:rsidRDefault="007927FC" w:rsidP="007927FC">
      <w:pPr>
        <w:rPr>
          <w:noProof/>
          <w:lang w:val="es-ES"/>
        </w:rPr>
      </w:pPr>
    </w:p>
    <w:p w14:paraId="7ADBC9A3" w14:textId="77777777" w:rsidR="007927FC" w:rsidRDefault="001E7131" w:rsidP="007927FC">
      <w:pPr>
        <w:rPr>
          <w:noProof/>
          <w:lang w:val="es-ES"/>
        </w:rPr>
      </w:pPr>
      <w:r w:rsidRPr="001E7131">
        <w:rPr>
          <w:noProof/>
          <w:lang w:val="es-ES"/>
        </w:rPr>
        <w:t>No hay datos clínicos suficientes para evaluar el impacto de una reducción de la dosis de tocilizumab en pacientes con AIJ</w:t>
      </w:r>
      <w:r>
        <w:rPr>
          <w:noProof/>
          <w:lang w:val="es-ES"/>
        </w:rPr>
        <w:t>s</w:t>
      </w:r>
      <w:r w:rsidRPr="001E7131">
        <w:rPr>
          <w:noProof/>
          <w:lang w:val="es-ES"/>
        </w:rPr>
        <w:t xml:space="preserve"> que han experimentado a</w:t>
      </w:r>
      <w:r>
        <w:rPr>
          <w:noProof/>
          <w:lang w:val="es-ES"/>
        </w:rPr>
        <w:t>nomalías en los valores de laboratorio</w:t>
      </w:r>
      <w:r w:rsidRPr="001E7131">
        <w:rPr>
          <w:noProof/>
          <w:lang w:val="es-ES"/>
        </w:rPr>
        <w:t>.</w:t>
      </w:r>
    </w:p>
    <w:p w14:paraId="5CD36228" w14:textId="77777777" w:rsidR="00DB339E" w:rsidRPr="008A106B" w:rsidRDefault="00DB339E" w:rsidP="007927FC">
      <w:pPr>
        <w:rPr>
          <w:noProof/>
          <w:lang w:val="es-ES"/>
        </w:rPr>
      </w:pPr>
    </w:p>
    <w:p w14:paraId="346980C2" w14:textId="50422A1E" w:rsidR="007927FC" w:rsidRPr="008A106B" w:rsidRDefault="007927FC" w:rsidP="007927FC">
      <w:pPr>
        <w:rPr>
          <w:noProof/>
          <w:lang w:val="es-ES"/>
        </w:rPr>
      </w:pPr>
      <w:r w:rsidRPr="008A106B">
        <w:rPr>
          <w:noProof/>
          <w:lang w:val="es-ES"/>
        </w:rPr>
        <w:t>Los datos disponibles indican que la mejoría clínica se observa a las 6</w:t>
      </w:r>
      <w:r w:rsidR="00DB339E">
        <w:rPr>
          <w:noProof/>
          <w:lang w:val="es-ES"/>
        </w:rPr>
        <w:t> </w:t>
      </w:r>
      <w:r w:rsidRPr="008A106B">
        <w:rPr>
          <w:noProof/>
          <w:lang w:val="es-ES"/>
        </w:rPr>
        <w:t xml:space="preserve">semanas de iniciar el tratamiento con </w:t>
      </w:r>
      <w:r w:rsidR="00DB339E">
        <w:rPr>
          <w:noProof/>
          <w:lang w:val="es-ES"/>
        </w:rPr>
        <w:t>tocilizumab</w:t>
      </w:r>
      <w:r w:rsidRPr="008A106B">
        <w:rPr>
          <w:noProof/>
          <w:lang w:val="es-ES"/>
        </w:rPr>
        <w:t xml:space="preserve">. Se debe reconsiderar cuidadosamente continuar </w:t>
      </w:r>
      <w:r w:rsidR="00E619F4">
        <w:rPr>
          <w:noProof/>
          <w:lang w:val="es-ES"/>
        </w:rPr>
        <w:t xml:space="preserve">el tratamiento </w:t>
      </w:r>
      <w:r w:rsidRPr="008A106B">
        <w:rPr>
          <w:noProof/>
          <w:lang w:val="es-ES"/>
        </w:rPr>
        <w:t>en un paciente que no ha mostrado mejoría en este periodo de tiempo.</w:t>
      </w:r>
    </w:p>
    <w:p w14:paraId="4E7D5F5A" w14:textId="77777777" w:rsidR="007927FC" w:rsidRPr="008A106B" w:rsidRDefault="007927FC" w:rsidP="007927FC">
      <w:pPr>
        <w:rPr>
          <w:i/>
          <w:iCs/>
          <w:lang w:val="es-ES_tradnl"/>
        </w:rPr>
      </w:pPr>
    </w:p>
    <w:p w14:paraId="3ABFE779" w14:textId="77777777" w:rsidR="007927FC" w:rsidRPr="00F30AB8" w:rsidRDefault="007927FC" w:rsidP="007927FC">
      <w:pPr>
        <w:rPr>
          <w:rFonts w:eastAsia="Calibri"/>
          <w:i/>
          <w:szCs w:val="22"/>
          <w:u w:val="single"/>
          <w:lang w:val="es-ES" w:eastAsia="en-US"/>
        </w:rPr>
      </w:pPr>
      <w:r w:rsidRPr="00F30AB8">
        <w:rPr>
          <w:rFonts w:eastAsia="Calibri"/>
          <w:i/>
          <w:szCs w:val="22"/>
          <w:u w:val="single"/>
          <w:lang w:val="es-ES" w:eastAsia="en-US"/>
        </w:rPr>
        <w:t>Pacientes con AIJp</w:t>
      </w:r>
    </w:p>
    <w:p w14:paraId="33706E1B" w14:textId="5942A13C" w:rsidR="007927FC" w:rsidRDefault="007927FC" w:rsidP="007927FC">
      <w:pPr>
        <w:rPr>
          <w:rFonts w:eastAsia="Calibri"/>
          <w:lang w:val="es-ES" w:eastAsia="en-US"/>
        </w:rPr>
      </w:pPr>
      <w:r w:rsidRPr="008A106B">
        <w:rPr>
          <w:rFonts w:eastAsia="Calibri"/>
          <w:lang w:val="es-ES" w:eastAsia="en-US"/>
        </w:rPr>
        <w:t xml:space="preserve">La posología recomendada </w:t>
      </w:r>
      <w:r>
        <w:rPr>
          <w:rFonts w:eastAsia="Calibri"/>
          <w:lang w:val="es-ES" w:eastAsia="en-US"/>
        </w:rPr>
        <w:t>en pacientes mayores de 2</w:t>
      </w:r>
      <w:r w:rsidR="008D0478">
        <w:rPr>
          <w:rFonts w:eastAsia="Calibri"/>
          <w:lang w:val="es-ES" w:eastAsia="en-US"/>
        </w:rPr>
        <w:t> </w:t>
      </w:r>
      <w:r>
        <w:rPr>
          <w:rFonts w:eastAsia="Calibri"/>
          <w:lang w:val="es-ES" w:eastAsia="en-US"/>
        </w:rPr>
        <w:t xml:space="preserve">años de edad </w:t>
      </w:r>
      <w:r w:rsidRPr="008A106B">
        <w:rPr>
          <w:rFonts w:eastAsia="Calibri"/>
          <w:lang w:val="es-ES" w:eastAsia="en-US"/>
        </w:rPr>
        <w:t>es 8 mg/kg una vez cada 4</w:t>
      </w:r>
      <w:r w:rsidR="008D0478">
        <w:rPr>
          <w:rFonts w:eastAsia="Calibri"/>
          <w:lang w:val="es-ES" w:eastAsia="en-US"/>
        </w:rPr>
        <w:t> </w:t>
      </w:r>
      <w:r w:rsidRPr="008A106B">
        <w:rPr>
          <w:rFonts w:eastAsia="Calibri"/>
          <w:lang w:val="es-ES" w:eastAsia="en-US"/>
        </w:rPr>
        <w:t>semanas en pacientes con un peso superior o igual a 30 kg, o de 10 mg/kg una vez cada 4</w:t>
      </w:r>
      <w:r w:rsidR="008D0478">
        <w:rPr>
          <w:rFonts w:eastAsia="Calibri"/>
          <w:lang w:val="es-ES" w:eastAsia="en-US"/>
        </w:rPr>
        <w:t> </w:t>
      </w:r>
      <w:r w:rsidRPr="008A106B">
        <w:rPr>
          <w:rFonts w:eastAsia="Calibri"/>
          <w:lang w:val="es-ES" w:eastAsia="en-US"/>
        </w:rPr>
        <w:t>semanas en pacientes con un peso menor de 30</w:t>
      </w:r>
      <w:r w:rsidR="008D0478">
        <w:rPr>
          <w:rFonts w:eastAsia="Calibri"/>
          <w:lang w:val="es-ES" w:eastAsia="en-US"/>
        </w:rPr>
        <w:t> </w:t>
      </w:r>
      <w:r w:rsidRPr="008A106B">
        <w:rPr>
          <w:rFonts w:eastAsia="Calibri"/>
          <w:lang w:val="es-ES" w:eastAsia="en-US"/>
        </w:rPr>
        <w:t>kg. La dosis debe calcularse basándose en el peso corporal del paciente en cada administración. Un cambio en la dosis únicamente se debe justificar por un cambio sustancial en el peso del paciente con el tiempo.</w:t>
      </w:r>
    </w:p>
    <w:p w14:paraId="7B3CC910" w14:textId="77777777" w:rsidR="007927FC" w:rsidRPr="00C70D0B" w:rsidRDefault="007927FC" w:rsidP="007927FC">
      <w:pPr>
        <w:rPr>
          <w:i/>
          <w:iCs/>
          <w:lang w:val="es-ES_tradnl"/>
        </w:rPr>
      </w:pPr>
    </w:p>
    <w:p w14:paraId="65FA610C" w14:textId="18537E8D" w:rsidR="007927FC" w:rsidRPr="00376697" w:rsidRDefault="007927FC" w:rsidP="007927FC">
      <w:pPr>
        <w:rPr>
          <w:rFonts w:eastAsia="Calibri"/>
          <w:lang w:val="es-ES" w:eastAsia="en-US"/>
        </w:rPr>
      </w:pPr>
      <w:r w:rsidRPr="008A106B">
        <w:rPr>
          <w:rFonts w:eastAsia="Calibri"/>
          <w:lang w:val="es-ES" w:eastAsia="en-US"/>
        </w:rPr>
        <w:t xml:space="preserve">No se ha establecido la seguridad y eficacia de </w:t>
      </w:r>
      <w:r w:rsidR="008D0478">
        <w:rPr>
          <w:rFonts w:eastAsia="Calibri"/>
          <w:lang w:val="es-ES" w:eastAsia="en-US"/>
        </w:rPr>
        <w:t>tocilizumab</w:t>
      </w:r>
      <w:r w:rsidR="008D0478" w:rsidRPr="008A106B">
        <w:rPr>
          <w:rFonts w:eastAsia="Calibri"/>
          <w:lang w:val="es-ES" w:eastAsia="en-US"/>
        </w:rPr>
        <w:t xml:space="preserve"> </w:t>
      </w:r>
      <w:r w:rsidRPr="008A106B">
        <w:rPr>
          <w:rFonts w:eastAsia="Calibri"/>
          <w:lang w:val="es-ES" w:eastAsia="en-US"/>
        </w:rPr>
        <w:t>en niños menores de 2</w:t>
      </w:r>
      <w:r w:rsidR="008D0478">
        <w:rPr>
          <w:rFonts w:eastAsia="Calibri"/>
          <w:lang w:val="es-ES" w:eastAsia="en-US"/>
        </w:rPr>
        <w:t> </w:t>
      </w:r>
      <w:r w:rsidRPr="008A106B">
        <w:rPr>
          <w:rFonts w:eastAsia="Calibri"/>
          <w:lang w:val="es-ES" w:eastAsia="en-US"/>
        </w:rPr>
        <w:t>años</w:t>
      </w:r>
      <w:r>
        <w:rPr>
          <w:rFonts w:eastAsia="Calibri"/>
          <w:lang w:val="es-ES" w:eastAsia="en-US"/>
        </w:rPr>
        <w:t xml:space="preserve"> de edad</w:t>
      </w:r>
      <w:r w:rsidRPr="008A106B">
        <w:rPr>
          <w:rFonts w:eastAsia="Calibri"/>
          <w:lang w:val="es-ES" w:eastAsia="en-US"/>
        </w:rPr>
        <w:t>.</w:t>
      </w:r>
      <w:r w:rsidR="008D0478" w:rsidRPr="00F30AB8">
        <w:rPr>
          <w:lang w:val="es-ES"/>
        </w:rPr>
        <w:t xml:space="preserve"> </w:t>
      </w:r>
      <w:r w:rsidR="008D0478" w:rsidRPr="008D0478">
        <w:rPr>
          <w:rFonts w:eastAsia="Calibri"/>
          <w:lang w:val="es-ES" w:eastAsia="en-US"/>
        </w:rPr>
        <w:t>Los datos actualmente disponibles e</w:t>
      </w:r>
      <w:r w:rsidR="008D0478">
        <w:rPr>
          <w:rFonts w:eastAsia="Calibri"/>
          <w:lang w:val="es-ES" w:eastAsia="en-US"/>
        </w:rPr>
        <w:t>stán descritos en las secciones </w:t>
      </w:r>
      <w:r w:rsidR="008D0478" w:rsidRPr="008D0478">
        <w:rPr>
          <w:rFonts w:eastAsia="Calibri"/>
          <w:lang w:val="es-ES" w:eastAsia="en-US"/>
        </w:rPr>
        <w:t xml:space="preserve">4.8, 5.1 y 5.2, sin </w:t>
      </w:r>
      <w:proofErr w:type="gramStart"/>
      <w:r w:rsidR="008D0478" w:rsidRPr="008D0478">
        <w:rPr>
          <w:rFonts w:eastAsia="Calibri"/>
          <w:lang w:val="es-ES" w:eastAsia="en-US"/>
        </w:rPr>
        <w:t>embargo</w:t>
      </w:r>
      <w:proofErr w:type="gramEnd"/>
      <w:r w:rsidR="008D0478" w:rsidRPr="008D0478">
        <w:rPr>
          <w:rFonts w:eastAsia="Calibri"/>
          <w:lang w:val="es-ES" w:eastAsia="en-US"/>
        </w:rPr>
        <w:t xml:space="preserve"> no se puede hacer una recomendación posológica.</w:t>
      </w:r>
    </w:p>
    <w:p w14:paraId="5169FB79" w14:textId="77777777" w:rsidR="007927FC" w:rsidRPr="008A106B" w:rsidRDefault="007927FC" w:rsidP="007927FC">
      <w:pPr>
        <w:rPr>
          <w:rFonts w:eastAsia="Calibri"/>
          <w:lang w:val="es-ES" w:eastAsia="en-US"/>
        </w:rPr>
      </w:pPr>
    </w:p>
    <w:p w14:paraId="69E1434C" w14:textId="0A0FD424" w:rsidR="007927FC" w:rsidRDefault="007927FC" w:rsidP="007927FC">
      <w:pPr>
        <w:rPr>
          <w:rFonts w:eastAsia="Calibri"/>
          <w:noProof/>
          <w:lang w:val="es-ES" w:eastAsia="en-US"/>
        </w:rPr>
      </w:pPr>
      <w:r w:rsidRPr="008A106B">
        <w:rPr>
          <w:rFonts w:eastAsia="Calibri"/>
          <w:noProof/>
          <w:lang w:val="es-ES" w:eastAsia="en-US"/>
        </w:rPr>
        <w:t>En pacie</w:t>
      </w:r>
      <w:r w:rsidR="00CA5600">
        <w:rPr>
          <w:rFonts w:eastAsia="Calibri"/>
          <w:noProof/>
          <w:lang w:val="es-ES" w:eastAsia="en-US"/>
        </w:rPr>
        <w:t>n</w:t>
      </w:r>
      <w:r w:rsidRPr="008A106B">
        <w:rPr>
          <w:rFonts w:eastAsia="Calibri"/>
          <w:noProof/>
          <w:lang w:val="es-ES" w:eastAsia="en-US"/>
        </w:rPr>
        <w:t>tes con AIJp se recomienda interrumpir la dosis de tocilizumab por valores de laboratorio anómalos, ver tabla</w:t>
      </w:r>
      <w:ins w:id="53" w:author="AUTHOR">
        <w:r w:rsidR="00F67CA2">
          <w:rPr>
            <w:rFonts w:eastAsia="Calibri"/>
            <w:noProof/>
            <w:lang w:val="es-ES" w:eastAsia="en-US"/>
          </w:rPr>
          <w:t>s</w:t>
        </w:r>
      </w:ins>
      <w:r w:rsidRPr="008A106B">
        <w:rPr>
          <w:rFonts w:eastAsia="Calibri"/>
          <w:noProof/>
          <w:lang w:val="es-ES" w:eastAsia="en-US"/>
        </w:rPr>
        <w:t xml:space="preserve"> de abajo. Si procede, la dosis concomitante de </w:t>
      </w:r>
      <w:r w:rsidR="00454602">
        <w:rPr>
          <w:rFonts w:eastAsia="Calibri"/>
          <w:noProof/>
          <w:lang w:val="es-ES" w:eastAsia="en-US"/>
        </w:rPr>
        <w:t>MTX</w:t>
      </w:r>
      <w:r w:rsidR="00454602" w:rsidRPr="008A106B">
        <w:rPr>
          <w:rFonts w:eastAsia="Calibri"/>
          <w:noProof/>
          <w:lang w:val="es-ES" w:eastAsia="en-US"/>
        </w:rPr>
        <w:t xml:space="preserve"> </w:t>
      </w:r>
      <w:r w:rsidRPr="008A106B">
        <w:rPr>
          <w:rFonts w:eastAsia="Calibri"/>
          <w:noProof/>
          <w:lang w:val="es-ES" w:eastAsia="en-US"/>
        </w:rPr>
        <w:t xml:space="preserve">y/o de otra medicación puede ser modificada o </w:t>
      </w:r>
      <w:r w:rsidR="00AC31F4">
        <w:rPr>
          <w:rFonts w:eastAsia="Calibri"/>
          <w:noProof/>
          <w:lang w:val="es-ES" w:eastAsia="en-US"/>
        </w:rPr>
        <w:t>suspendida</w:t>
      </w:r>
      <w:r w:rsidRPr="008A106B">
        <w:rPr>
          <w:rFonts w:eastAsia="Calibri"/>
          <w:noProof/>
          <w:lang w:val="es-ES" w:eastAsia="en-US"/>
        </w:rPr>
        <w:t xml:space="preserve"> y la dosis de tocilizumab interrumpida hasta que la situación clínica haya sido evaluada. Como en los pacientes con AIJp hay diversas comorbilidades que pueden afectar a los valores de laboratorio, la decisión de suspender tocilizumab por unos valores de laboratorio anómalos debe estar basada en la evaluación individual del médico para cada paciente.</w:t>
      </w:r>
    </w:p>
    <w:p w14:paraId="01DF9B7F" w14:textId="77777777" w:rsidR="00F80466" w:rsidRPr="008A106B" w:rsidRDefault="00F80466" w:rsidP="007927FC">
      <w:pPr>
        <w:rPr>
          <w:rFonts w:ascii="Minion" w:eastAsia="Calibri" w:hAnsi="Minion"/>
          <w:noProof/>
          <w:lang w:val="es-ES" w:eastAsia="en-US"/>
        </w:rPr>
      </w:pPr>
    </w:p>
    <w:p w14:paraId="7A5D054A" w14:textId="77777777" w:rsidR="007927FC" w:rsidRDefault="007927FC" w:rsidP="007927FC">
      <w:pPr>
        <w:keepNext/>
        <w:keepLines/>
        <w:ind w:left="714" w:hanging="357"/>
        <w:rPr>
          <w:lang w:val="es-ES"/>
        </w:rPr>
      </w:pPr>
      <w:r w:rsidRPr="008A106B">
        <w:lastRenderedPageBreak/>
        <w:sym w:font="Symbol" w:char="F0B7"/>
      </w:r>
      <w:r w:rsidRPr="008A106B">
        <w:rPr>
          <w:lang w:val="es-ES"/>
        </w:rPr>
        <w:tab/>
        <w:t>Enzimas hepáticas fuera de los valores normales</w:t>
      </w:r>
    </w:p>
    <w:p w14:paraId="3067549E" w14:textId="77777777" w:rsidR="00D33DBC" w:rsidRPr="008A106B" w:rsidRDefault="00D33DBC" w:rsidP="007927FC">
      <w:pPr>
        <w:keepNext/>
        <w:keepLines/>
        <w:ind w:left="714" w:hanging="357"/>
        <w:rPr>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7927FC" w:rsidRPr="005A5612" w14:paraId="1EF85292" w14:textId="77777777" w:rsidTr="00FC7454">
        <w:tc>
          <w:tcPr>
            <w:tcW w:w="1796" w:type="dxa"/>
          </w:tcPr>
          <w:p w14:paraId="5DA0E3E4" w14:textId="77777777" w:rsidR="007927FC" w:rsidRPr="008A106B" w:rsidRDefault="007927FC" w:rsidP="00FC7454">
            <w:pPr>
              <w:keepNext/>
              <w:keepLines/>
              <w:spacing w:after="170" w:line="280" w:lineRule="atLeast"/>
              <w:jc w:val="center"/>
              <w:rPr>
                <w:rFonts w:eastAsia="MS Mincho"/>
                <w:b/>
                <w:szCs w:val="22"/>
                <w:lang w:eastAsia="de-DE"/>
              </w:rPr>
            </w:pPr>
            <w:r w:rsidRPr="008A106B">
              <w:rPr>
                <w:rFonts w:eastAsia="MS Mincho"/>
                <w:b/>
                <w:szCs w:val="22"/>
                <w:lang w:eastAsia="de-DE"/>
              </w:rPr>
              <w:t>Valor de Laboratorio</w:t>
            </w:r>
          </w:p>
        </w:tc>
        <w:tc>
          <w:tcPr>
            <w:tcW w:w="6004" w:type="dxa"/>
          </w:tcPr>
          <w:p w14:paraId="005383EA" w14:textId="77777777" w:rsidR="007927FC" w:rsidRPr="008A106B" w:rsidRDefault="007927FC" w:rsidP="00FC7454">
            <w:pPr>
              <w:keepNext/>
              <w:keepLines/>
              <w:spacing w:after="170" w:line="280" w:lineRule="atLeast"/>
              <w:jc w:val="center"/>
              <w:rPr>
                <w:rFonts w:eastAsia="MS Mincho"/>
                <w:b/>
                <w:szCs w:val="22"/>
                <w:lang w:eastAsia="de-DE"/>
              </w:rPr>
            </w:pPr>
            <w:r w:rsidRPr="008A106B">
              <w:rPr>
                <w:rFonts w:eastAsia="MS Mincho"/>
                <w:b/>
                <w:szCs w:val="22"/>
                <w:lang w:eastAsia="de-DE"/>
              </w:rPr>
              <w:t>Acción</w:t>
            </w:r>
          </w:p>
        </w:tc>
      </w:tr>
      <w:tr w:rsidR="007927FC" w:rsidRPr="00541248" w14:paraId="4371311B" w14:textId="77777777" w:rsidTr="00FC7454">
        <w:tc>
          <w:tcPr>
            <w:tcW w:w="1796" w:type="dxa"/>
          </w:tcPr>
          <w:p w14:paraId="0AF53FF1" w14:textId="1873E6F2" w:rsidR="007B555A" w:rsidRDefault="007B555A" w:rsidP="00FC7454">
            <w:pPr>
              <w:keepNext/>
              <w:keepLines/>
              <w:spacing w:after="170" w:line="280" w:lineRule="atLeast"/>
              <w:jc w:val="both"/>
              <w:rPr>
                <w:rFonts w:eastAsia="MS Mincho"/>
                <w:szCs w:val="22"/>
                <w:lang w:val="es-ES" w:eastAsia="de-DE"/>
              </w:rPr>
            </w:pPr>
          </w:p>
          <w:p w14:paraId="3784651C" w14:textId="6D2DA3E3" w:rsidR="007B555A" w:rsidRPr="008A106B" w:rsidRDefault="007B555A" w:rsidP="00FC7454">
            <w:pPr>
              <w:keepNext/>
              <w:keepLines/>
              <w:spacing w:after="170" w:line="280" w:lineRule="atLeast"/>
              <w:jc w:val="both"/>
              <w:rPr>
                <w:rFonts w:eastAsia="MS Mincho"/>
                <w:szCs w:val="22"/>
                <w:lang w:val="es-ES" w:eastAsia="de-DE"/>
              </w:rPr>
            </w:pPr>
            <w:r w:rsidRPr="00945212">
              <w:rPr>
                <w:rFonts w:eastAsia="MS Mincho"/>
                <w:szCs w:val="22"/>
                <w:lang w:val="en-GB"/>
              </w:rPr>
              <w:t> </w:t>
            </w:r>
            <w:r w:rsidRPr="006245AD">
              <w:rPr>
                <w:rFonts w:eastAsia="MS Mincho"/>
                <w:szCs w:val="22"/>
                <w:lang w:val="en-GB"/>
              </w:rPr>
              <w:t>&gt;</w:t>
            </w:r>
            <w:r w:rsidRPr="00945212">
              <w:rPr>
                <w:rFonts w:eastAsia="MS Mincho"/>
                <w:szCs w:val="22"/>
                <w:lang w:val="en-GB"/>
              </w:rPr>
              <w:t> </w:t>
            </w:r>
            <w:r>
              <w:rPr>
                <w:rFonts w:eastAsia="MS Mincho"/>
                <w:szCs w:val="22"/>
                <w:lang w:val="en-GB"/>
              </w:rPr>
              <w:t xml:space="preserve">1 a </w:t>
            </w:r>
            <w:r w:rsidRPr="00945212">
              <w:rPr>
                <w:rFonts w:eastAsia="MS Mincho"/>
                <w:szCs w:val="22"/>
                <w:lang w:val="en-GB"/>
              </w:rPr>
              <w:t>3 × </w:t>
            </w:r>
            <w:r>
              <w:rPr>
                <w:rFonts w:eastAsia="MS Mincho"/>
                <w:szCs w:val="22"/>
                <w:lang w:val="en-GB"/>
              </w:rPr>
              <w:t>LSN</w:t>
            </w:r>
          </w:p>
        </w:tc>
        <w:tc>
          <w:tcPr>
            <w:tcW w:w="6004" w:type="dxa"/>
          </w:tcPr>
          <w:p w14:paraId="6D27C2A1" w14:textId="77777777" w:rsidR="007927FC" w:rsidRPr="005A5612" w:rsidRDefault="007927FC" w:rsidP="00FC7454">
            <w:pPr>
              <w:keepNext/>
              <w:keepLines/>
              <w:spacing w:after="170" w:line="280" w:lineRule="atLeast"/>
              <w:jc w:val="both"/>
              <w:rPr>
                <w:szCs w:val="22"/>
                <w:lang w:val="es-ES" w:eastAsia="de-DE"/>
              </w:rPr>
            </w:pPr>
            <w:r w:rsidRPr="005A5612">
              <w:rPr>
                <w:szCs w:val="22"/>
                <w:lang w:val="es-ES" w:eastAsia="de-DE"/>
              </w:rPr>
              <w:t xml:space="preserve">Si procede, modificar la dosis de la medicación concomitante de MTX. </w:t>
            </w:r>
          </w:p>
          <w:p w14:paraId="29628410" w14:textId="316F9161" w:rsidR="007927FC" w:rsidRPr="005A5612" w:rsidRDefault="007927FC" w:rsidP="00376697">
            <w:pPr>
              <w:keepNext/>
              <w:keepLines/>
              <w:spacing w:after="170" w:line="280" w:lineRule="atLeast"/>
              <w:jc w:val="both"/>
              <w:rPr>
                <w:sz w:val="24"/>
                <w:szCs w:val="24"/>
                <w:lang w:val="es-ES_tradnl" w:eastAsia="de-DE"/>
              </w:rPr>
            </w:pPr>
            <w:r w:rsidRPr="005A5612">
              <w:rPr>
                <w:szCs w:val="22"/>
                <w:lang w:val="es-ES" w:eastAsia="de-DE"/>
              </w:rPr>
              <w:t xml:space="preserve">Si el incremento continúa dentro de este rango, suspender el tratamiento con </w:t>
            </w:r>
            <w:r w:rsidR="00EC5C8A">
              <w:rPr>
                <w:szCs w:val="22"/>
                <w:lang w:val="es-ES" w:eastAsia="de-DE"/>
              </w:rPr>
              <w:t>tocilizumab</w:t>
            </w:r>
            <w:r w:rsidR="00EC5C8A" w:rsidRPr="005A5612">
              <w:rPr>
                <w:szCs w:val="22"/>
                <w:lang w:val="es-ES" w:eastAsia="de-DE"/>
              </w:rPr>
              <w:t xml:space="preserve"> </w:t>
            </w:r>
            <w:r w:rsidRPr="005A5612">
              <w:rPr>
                <w:szCs w:val="22"/>
                <w:lang w:val="es-ES" w:eastAsia="de-DE"/>
              </w:rPr>
              <w:t xml:space="preserve">hasta que los valores </w:t>
            </w:r>
            <w:r w:rsidRPr="005A5612">
              <w:rPr>
                <w:szCs w:val="22"/>
                <w:lang w:val="es-ES_tradnl" w:eastAsia="de-DE"/>
              </w:rPr>
              <w:t>ALT/AST se normalicen.</w:t>
            </w:r>
          </w:p>
        </w:tc>
      </w:tr>
      <w:tr w:rsidR="007927FC" w:rsidRPr="00541248" w14:paraId="540487CA" w14:textId="77777777" w:rsidTr="00FC7454">
        <w:tc>
          <w:tcPr>
            <w:tcW w:w="1796" w:type="dxa"/>
          </w:tcPr>
          <w:p w14:paraId="7F01F809" w14:textId="51692416" w:rsidR="007B555A" w:rsidRPr="00F30AB8" w:rsidRDefault="007B555A" w:rsidP="007B555A">
            <w:pPr>
              <w:pStyle w:val="TextTi12"/>
              <w:keepNext/>
              <w:keepLines/>
              <w:rPr>
                <w:rFonts w:eastAsia="MS Mincho"/>
                <w:szCs w:val="22"/>
                <w:lang w:val="es-ES"/>
              </w:rPr>
            </w:pPr>
          </w:p>
          <w:p w14:paraId="13E4A2CA" w14:textId="0F59B1AD" w:rsidR="007B555A" w:rsidRPr="00945212" w:rsidRDefault="007B555A" w:rsidP="007B555A">
            <w:pPr>
              <w:pStyle w:val="TextTi12"/>
              <w:keepNext/>
              <w:keepLines/>
              <w:rPr>
                <w:rFonts w:eastAsia="MS Mincho"/>
                <w:sz w:val="22"/>
                <w:szCs w:val="22"/>
                <w:lang w:val="en-GB" w:eastAsia="ja-JP"/>
              </w:rPr>
            </w:pPr>
            <w:r w:rsidRPr="00F30AB8">
              <w:rPr>
                <w:rFonts w:eastAsia="MS Mincho"/>
                <w:sz w:val="22"/>
                <w:szCs w:val="22"/>
                <w:lang w:val="es-ES" w:eastAsia="ja-JP"/>
              </w:rPr>
              <w:t> </w:t>
            </w:r>
            <w:r w:rsidRPr="006245AD">
              <w:rPr>
                <w:rFonts w:eastAsia="MS Mincho"/>
                <w:sz w:val="22"/>
                <w:szCs w:val="22"/>
                <w:lang w:val="en-GB" w:eastAsia="ja-JP"/>
              </w:rPr>
              <w:t>&gt;</w:t>
            </w:r>
            <w:r w:rsidRPr="00945212">
              <w:rPr>
                <w:rFonts w:eastAsia="MS Mincho"/>
                <w:sz w:val="22"/>
                <w:szCs w:val="22"/>
                <w:lang w:val="en-GB" w:eastAsia="ja-JP"/>
              </w:rPr>
              <w:t> 3 × </w:t>
            </w:r>
            <w:r>
              <w:rPr>
                <w:rFonts w:eastAsia="MS Mincho"/>
                <w:sz w:val="22"/>
                <w:szCs w:val="22"/>
                <w:lang w:val="en-GB" w:eastAsia="ja-JP"/>
              </w:rPr>
              <w:t>LSN a</w:t>
            </w:r>
            <w:r w:rsidRPr="00945212">
              <w:rPr>
                <w:rFonts w:eastAsia="MS Mincho"/>
                <w:sz w:val="22"/>
                <w:szCs w:val="22"/>
                <w:lang w:val="en-GB" w:eastAsia="ja-JP"/>
              </w:rPr>
              <w:t xml:space="preserve"> 5 × </w:t>
            </w:r>
            <w:r>
              <w:rPr>
                <w:rFonts w:eastAsia="MS Mincho"/>
                <w:sz w:val="22"/>
                <w:szCs w:val="22"/>
                <w:lang w:val="en-GB" w:eastAsia="ja-JP"/>
              </w:rPr>
              <w:t>LSN</w:t>
            </w:r>
          </w:p>
          <w:p w14:paraId="0FBE1BCD" w14:textId="77777777" w:rsidR="007B555A" w:rsidRPr="008A106B" w:rsidRDefault="007B555A" w:rsidP="00FC7454">
            <w:pPr>
              <w:keepNext/>
              <w:keepLines/>
              <w:spacing w:after="170" w:line="280" w:lineRule="atLeast"/>
              <w:jc w:val="both"/>
              <w:rPr>
                <w:rFonts w:eastAsia="MS Mincho"/>
                <w:szCs w:val="22"/>
                <w:lang w:eastAsia="de-DE"/>
              </w:rPr>
            </w:pPr>
          </w:p>
          <w:p w14:paraId="041755B7" w14:textId="77777777" w:rsidR="007927FC" w:rsidRPr="008A106B" w:rsidRDefault="007927FC" w:rsidP="00FC7454">
            <w:pPr>
              <w:keepNext/>
              <w:keepLines/>
              <w:spacing w:after="170" w:line="280" w:lineRule="atLeast"/>
              <w:jc w:val="both"/>
              <w:rPr>
                <w:rFonts w:eastAsia="MS Mincho"/>
                <w:szCs w:val="22"/>
                <w:lang w:eastAsia="de-DE"/>
              </w:rPr>
            </w:pPr>
          </w:p>
        </w:tc>
        <w:tc>
          <w:tcPr>
            <w:tcW w:w="6004" w:type="dxa"/>
          </w:tcPr>
          <w:p w14:paraId="0E400EF9" w14:textId="77777777" w:rsidR="007927FC" w:rsidRPr="005A5612" w:rsidRDefault="007927FC" w:rsidP="00FC7454">
            <w:pPr>
              <w:keepNext/>
              <w:keepLines/>
              <w:spacing w:after="170" w:line="280" w:lineRule="atLeast"/>
              <w:jc w:val="both"/>
              <w:rPr>
                <w:szCs w:val="22"/>
                <w:lang w:val="es-ES" w:eastAsia="de-DE"/>
              </w:rPr>
            </w:pPr>
            <w:r w:rsidRPr="005A5612">
              <w:rPr>
                <w:szCs w:val="22"/>
                <w:lang w:val="es-ES" w:eastAsia="de-DE"/>
              </w:rPr>
              <w:t xml:space="preserve">Si procede, modificar la dosis de la medicación concomitante de MTX. </w:t>
            </w:r>
          </w:p>
          <w:p w14:paraId="4A8B107E" w14:textId="12401C8D" w:rsidR="007927FC" w:rsidRPr="00FF4E7C" w:rsidRDefault="00454602">
            <w:pPr>
              <w:keepNext/>
              <w:keepLines/>
              <w:spacing w:after="170" w:line="280" w:lineRule="atLeast"/>
              <w:jc w:val="both"/>
              <w:rPr>
                <w:rFonts w:eastAsia="MS Mincho"/>
                <w:szCs w:val="22"/>
                <w:lang w:val="es-ES" w:eastAsia="de-DE"/>
              </w:rPr>
            </w:pPr>
            <w:r>
              <w:rPr>
                <w:szCs w:val="22"/>
                <w:lang w:val="es-ES_tradnl" w:eastAsia="de-DE"/>
              </w:rPr>
              <w:t>Se d</w:t>
            </w:r>
            <w:del w:id="54" w:author="AUTHOR">
              <w:r w:rsidR="007927FC" w:rsidRPr="006868F5" w:rsidDel="00F67CA2">
                <w:rPr>
                  <w:szCs w:val="22"/>
                  <w:lang w:val="es-ES_tradnl" w:eastAsia="de-DE"/>
                </w:rPr>
                <w:delText>D</w:delText>
              </w:r>
            </w:del>
            <w:r w:rsidR="007927FC" w:rsidRPr="006868F5">
              <w:rPr>
                <w:szCs w:val="22"/>
                <w:lang w:val="es-ES_tradnl" w:eastAsia="de-DE"/>
              </w:rPr>
              <w:t xml:space="preserve">ebe interrumpir el tratamiento con </w:t>
            </w:r>
            <w:r w:rsidR="00EC5C8A">
              <w:rPr>
                <w:szCs w:val="22"/>
                <w:lang w:val="es-ES_tradnl" w:eastAsia="de-DE"/>
              </w:rPr>
              <w:t>t</w:t>
            </w:r>
            <w:r w:rsidR="00EC5C8A">
              <w:rPr>
                <w:szCs w:val="22"/>
                <w:lang w:val="es-ES" w:eastAsia="de-DE"/>
              </w:rPr>
              <w:t>ocilizumab</w:t>
            </w:r>
            <w:r w:rsidR="00EC5C8A" w:rsidRPr="005A5612">
              <w:rPr>
                <w:szCs w:val="22"/>
                <w:lang w:val="es-ES" w:eastAsia="de-DE"/>
              </w:rPr>
              <w:t xml:space="preserve"> </w:t>
            </w:r>
            <w:r w:rsidR="007927FC" w:rsidRPr="006868F5">
              <w:rPr>
                <w:szCs w:val="22"/>
                <w:lang w:val="es-ES_tradnl" w:eastAsia="de-DE"/>
              </w:rPr>
              <w:t>hasta que los valores sean</w:t>
            </w:r>
            <w:r w:rsidRPr="00F30AB8">
              <w:rPr>
                <w:rFonts w:eastAsia="MS Mincho"/>
                <w:sz w:val="10"/>
                <w:szCs w:val="22"/>
                <w:lang w:val="es-ES"/>
              </w:rPr>
              <w:t> </w:t>
            </w:r>
            <w:r w:rsidR="007B555A" w:rsidRPr="00F30AB8">
              <w:rPr>
                <w:rFonts w:eastAsia="MS Mincho"/>
                <w:szCs w:val="22"/>
                <w:lang w:val="es-ES"/>
              </w:rPr>
              <w:t>&lt; 3 × LSN</w:t>
            </w:r>
            <w:r w:rsidR="007B555A">
              <w:rPr>
                <w:szCs w:val="22"/>
                <w:lang w:val="es-ES_tradnl" w:eastAsia="de-DE"/>
              </w:rPr>
              <w:t xml:space="preserve"> </w:t>
            </w:r>
            <w:r w:rsidR="007927FC" w:rsidRPr="006868F5">
              <w:rPr>
                <w:szCs w:val="22"/>
                <w:lang w:val="es-ES_tradnl" w:eastAsia="de-DE"/>
              </w:rPr>
              <w:t>y seguir las recomendaciones indicadas arriba, para valores</w:t>
            </w:r>
            <w:r w:rsidR="007B555A">
              <w:rPr>
                <w:rFonts w:ascii="Arial" w:eastAsia="MS Mincho" w:hAnsi="Arial" w:cs="Arial"/>
                <w:sz w:val="10"/>
                <w:szCs w:val="22"/>
                <w:lang w:val="es-ES"/>
              </w:rPr>
              <w:t xml:space="preserve"> </w:t>
            </w:r>
            <w:r w:rsidR="007B555A" w:rsidRPr="00F30AB8">
              <w:rPr>
                <w:rFonts w:eastAsia="MS Mincho"/>
                <w:szCs w:val="22"/>
                <w:lang w:val="es-ES"/>
              </w:rPr>
              <w:t>&gt; </w:t>
            </w:r>
            <w:r w:rsidR="007B555A">
              <w:rPr>
                <w:rFonts w:eastAsia="MS Mincho"/>
                <w:szCs w:val="22"/>
                <w:lang w:val="es-ES"/>
              </w:rPr>
              <w:t>1 a</w:t>
            </w:r>
            <w:r w:rsidR="007B555A" w:rsidRPr="00F30AB8">
              <w:rPr>
                <w:rFonts w:eastAsia="MS Mincho"/>
                <w:szCs w:val="22"/>
                <w:lang w:val="es-ES"/>
              </w:rPr>
              <w:t xml:space="preserve"> 3 × LSN</w:t>
            </w:r>
            <w:r w:rsidR="00FF4E7C">
              <w:rPr>
                <w:szCs w:val="22"/>
                <w:lang w:val="es-ES_tradnl" w:eastAsia="de-DE"/>
              </w:rPr>
              <w:t>.</w:t>
            </w:r>
            <w:r w:rsidR="007927FC" w:rsidRPr="00FF4E7C">
              <w:rPr>
                <w:rFonts w:eastAsia="MS Mincho"/>
                <w:szCs w:val="22"/>
                <w:lang w:val="es-ES" w:eastAsia="de-DE"/>
              </w:rPr>
              <w:t xml:space="preserve"> </w:t>
            </w:r>
          </w:p>
        </w:tc>
      </w:tr>
      <w:tr w:rsidR="007927FC" w:rsidRPr="00541248" w14:paraId="51720CFE" w14:textId="77777777" w:rsidTr="00FC7454">
        <w:tc>
          <w:tcPr>
            <w:tcW w:w="1796" w:type="dxa"/>
          </w:tcPr>
          <w:p w14:paraId="1FC75332" w14:textId="477FF0A1" w:rsidR="007927FC" w:rsidRPr="00F30AB8" w:rsidRDefault="007927FC" w:rsidP="00FC7454">
            <w:pPr>
              <w:spacing w:after="170" w:line="280" w:lineRule="atLeast"/>
              <w:jc w:val="both"/>
              <w:rPr>
                <w:rFonts w:eastAsia="MS Mincho"/>
                <w:szCs w:val="22"/>
                <w:lang w:val="es-ES" w:eastAsia="de-DE"/>
              </w:rPr>
            </w:pPr>
          </w:p>
          <w:p w14:paraId="4CDA3E4D" w14:textId="0B504A29" w:rsidR="007B555A" w:rsidRPr="008A106B" w:rsidRDefault="007B555A">
            <w:pPr>
              <w:spacing w:after="170" w:line="280" w:lineRule="atLeast"/>
              <w:jc w:val="both"/>
              <w:rPr>
                <w:rFonts w:eastAsia="MS Mincho"/>
                <w:szCs w:val="22"/>
                <w:lang w:eastAsia="de-DE"/>
              </w:rPr>
            </w:pPr>
            <w:r w:rsidRPr="00F30AB8">
              <w:rPr>
                <w:rFonts w:eastAsia="MS Mincho"/>
                <w:szCs w:val="22"/>
                <w:lang w:val="es-ES"/>
              </w:rPr>
              <w:t> </w:t>
            </w:r>
            <w:r w:rsidRPr="006245AD">
              <w:rPr>
                <w:rFonts w:eastAsia="MS Mincho"/>
                <w:szCs w:val="22"/>
                <w:lang w:val="en-GB"/>
              </w:rPr>
              <w:t>&gt;</w:t>
            </w:r>
            <w:r w:rsidRPr="00945212">
              <w:rPr>
                <w:rFonts w:eastAsia="MS Mincho"/>
                <w:szCs w:val="22"/>
                <w:lang w:val="en-GB"/>
              </w:rPr>
              <w:t> 5 × </w:t>
            </w:r>
            <w:r>
              <w:rPr>
                <w:rFonts w:eastAsia="MS Mincho"/>
                <w:szCs w:val="22"/>
                <w:lang w:val="en-GB"/>
              </w:rPr>
              <w:t>LSN</w:t>
            </w:r>
          </w:p>
        </w:tc>
        <w:tc>
          <w:tcPr>
            <w:tcW w:w="6004" w:type="dxa"/>
          </w:tcPr>
          <w:p w14:paraId="6B94FBB8" w14:textId="123F2A08" w:rsidR="007927FC" w:rsidRPr="005A5612" w:rsidRDefault="007927FC" w:rsidP="00FC7454">
            <w:pPr>
              <w:spacing w:after="170" w:line="280" w:lineRule="atLeast"/>
              <w:jc w:val="both"/>
              <w:rPr>
                <w:szCs w:val="22"/>
                <w:lang w:val="es-ES" w:eastAsia="de-DE"/>
              </w:rPr>
            </w:pPr>
            <w:r w:rsidRPr="005A5612">
              <w:rPr>
                <w:szCs w:val="22"/>
                <w:lang w:val="es-ES" w:eastAsia="de-DE"/>
              </w:rPr>
              <w:t xml:space="preserve">Interrumpir el tratamiento con </w:t>
            </w:r>
            <w:proofErr w:type="gramStart"/>
            <w:r w:rsidR="00EC5C8A">
              <w:rPr>
                <w:szCs w:val="22"/>
                <w:lang w:val="es-ES" w:eastAsia="de-DE"/>
              </w:rPr>
              <w:t>tocilizumab</w:t>
            </w:r>
            <w:r w:rsidR="00EC5C8A" w:rsidRPr="005A5612">
              <w:rPr>
                <w:szCs w:val="22"/>
                <w:lang w:val="es-ES" w:eastAsia="de-DE"/>
              </w:rPr>
              <w:t xml:space="preserve"> </w:t>
            </w:r>
            <w:r w:rsidRPr="005A5612">
              <w:rPr>
                <w:szCs w:val="22"/>
                <w:lang w:val="es-ES" w:eastAsia="de-DE"/>
              </w:rPr>
              <w:t>.</w:t>
            </w:r>
            <w:proofErr w:type="gramEnd"/>
          </w:p>
          <w:p w14:paraId="4D89A353" w14:textId="1C3C2AB5" w:rsidR="007927FC" w:rsidRPr="005A5612" w:rsidRDefault="007927FC" w:rsidP="00FC7454">
            <w:pPr>
              <w:rPr>
                <w:noProof/>
                <w:lang w:val="es-ES"/>
              </w:rPr>
            </w:pPr>
            <w:r w:rsidRPr="005A5612">
              <w:rPr>
                <w:noProof/>
                <w:lang w:val="es-ES"/>
              </w:rPr>
              <w:t xml:space="preserve">La decisión de suspender </w:t>
            </w:r>
            <w:r w:rsidR="00EC5C8A">
              <w:rPr>
                <w:noProof/>
                <w:lang w:val="es-ES"/>
              </w:rPr>
              <w:t>t</w:t>
            </w:r>
            <w:r w:rsidR="00EC5C8A">
              <w:rPr>
                <w:szCs w:val="22"/>
                <w:lang w:val="es-ES" w:eastAsia="de-DE"/>
              </w:rPr>
              <w:t>ocilizumab</w:t>
            </w:r>
            <w:r w:rsidR="00EC5C8A" w:rsidRPr="005A5612">
              <w:rPr>
                <w:szCs w:val="22"/>
                <w:lang w:val="es-ES" w:eastAsia="de-DE"/>
              </w:rPr>
              <w:t xml:space="preserve"> </w:t>
            </w:r>
            <w:r w:rsidRPr="005A5612">
              <w:rPr>
                <w:noProof/>
                <w:lang w:val="es-ES"/>
              </w:rPr>
              <w:t>en pacientes con AIJp por unos valores de laboratorio anómalos debe estar basada en la evaluación individual del médico para cada paciente.</w:t>
            </w:r>
          </w:p>
          <w:p w14:paraId="344B8D21" w14:textId="77777777" w:rsidR="007927FC" w:rsidRPr="008A106B" w:rsidRDefault="007927FC" w:rsidP="00FC7454">
            <w:pPr>
              <w:spacing w:after="170" w:line="280" w:lineRule="atLeast"/>
              <w:jc w:val="both"/>
              <w:rPr>
                <w:rFonts w:eastAsia="MS Mincho"/>
                <w:szCs w:val="22"/>
                <w:lang w:val="es-ES" w:eastAsia="de-DE"/>
              </w:rPr>
            </w:pPr>
          </w:p>
        </w:tc>
      </w:tr>
    </w:tbl>
    <w:p w14:paraId="1F695C98" w14:textId="77777777" w:rsidR="007927FC" w:rsidRPr="008A106B" w:rsidRDefault="007927FC" w:rsidP="003569D6">
      <w:pPr>
        <w:spacing w:line="276" w:lineRule="auto"/>
        <w:rPr>
          <w:rFonts w:ascii="Minion" w:eastAsia="Calibri" w:hAnsi="Minion"/>
          <w:szCs w:val="22"/>
          <w:lang w:val="es-ES" w:eastAsia="en-US"/>
        </w:rPr>
      </w:pPr>
    </w:p>
    <w:p w14:paraId="2811F169" w14:textId="77777777" w:rsidR="007927FC" w:rsidRDefault="007927FC" w:rsidP="007927FC">
      <w:pPr>
        <w:rPr>
          <w:lang w:val="es-ES"/>
        </w:rPr>
      </w:pPr>
      <w:r w:rsidRPr="008A106B">
        <w:rPr>
          <w:lang w:val="es-ES"/>
        </w:rPr>
        <w:tab/>
      </w:r>
      <w:r w:rsidRPr="008A106B">
        <w:sym w:font="Symbol" w:char="F0B7"/>
      </w:r>
      <w:r w:rsidRPr="008A106B">
        <w:rPr>
          <w:lang w:val="es-ES"/>
        </w:rPr>
        <w:tab/>
        <w:t>Bajo Recuento Absoluto de Neutrófilos (RAN)</w:t>
      </w:r>
    </w:p>
    <w:p w14:paraId="536719D7" w14:textId="77777777" w:rsidR="00EC5C8A" w:rsidRPr="008A106B" w:rsidRDefault="00EC5C8A" w:rsidP="007927FC">
      <w:pPr>
        <w:rPr>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6588"/>
      </w:tblGrid>
      <w:tr w:rsidR="007927FC" w:rsidRPr="005A5612" w14:paraId="1DDB91C9" w14:textId="77777777" w:rsidTr="00FC7454">
        <w:tc>
          <w:tcPr>
            <w:tcW w:w="1035" w:type="dxa"/>
          </w:tcPr>
          <w:p w14:paraId="35573EFF" w14:textId="353BAC10" w:rsidR="007927FC" w:rsidRPr="008A106B" w:rsidRDefault="007927FC">
            <w:pPr>
              <w:spacing w:after="170" w:line="280" w:lineRule="atLeast"/>
              <w:jc w:val="center"/>
              <w:rPr>
                <w:rFonts w:eastAsia="MS Mincho"/>
                <w:b/>
                <w:szCs w:val="22"/>
                <w:lang w:val="es-ES" w:eastAsia="de-DE"/>
              </w:rPr>
            </w:pPr>
            <w:r w:rsidRPr="008A106B">
              <w:rPr>
                <w:rFonts w:eastAsia="MS Mincho"/>
                <w:b/>
                <w:szCs w:val="22"/>
                <w:lang w:val="es-ES" w:eastAsia="de-DE"/>
              </w:rPr>
              <w:t>Valor de Laboratorio</w:t>
            </w:r>
            <w:r w:rsidRPr="008A106B">
              <w:rPr>
                <w:rFonts w:eastAsia="MS Mincho"/>
                <w:b/>
                <w:szCs w:val="22"/>
                <w:lang w:val="es-ES" w:eastAsia="de-DE"/>
              </w:rPr>
              <w:br/>
              <w:t>(células</w:t>
            </w:r>
            <w:r w:rsidR="007B555A" w:rsidRPr="00F30AB8">
              <w:rPr>
                <w:rFonts w:eastAsia="MS Mincho"/>
                <w:szCs w:val="22"/>
                <w:lang w:val="es-ES"/>
              </w:rPr>
              <w:t> × 10</w:t>
            </w:r>
            <w:r w:rsidR="007B555A" w:rsidRPr="00F30AB8">
              <w:rPr>
                <w:rFonts w:eastAsia="MS Mincho"/>
                <w:szCs w:val="22"/>
                <w:vertAlign w:val="superscript"/>
                <w:lang w:val="es-ES"/>
              </w:rPr>
              <w:t>9</w:t>
            </w:r>
            <w:r w:rsidR="007B555A" w:rsidRPr="00F30AB8">
              <w:rPr>
                <w:rFonts w:eastAsia="MS Mincho"/>
                <w:szCs w:val="22"/>
                <w:lang w:val="es-ES"/>
              </w:rPr>
              <w:t>/l</w:t>
            </w:r>
            <w:r w:rsidRPr="008A106B">
              <w:rPr>
                <w:rFonts w:eastAsia="MS Mincho"/>
                <w:b/>
                <w:szCs w:val="22"/>
                <w:lang w:val="es-ES" w:eastAsia="de-DE"/>
              </w:rPr>
              <w:t>)</w:t>
            </w:r>
          </w:p>
        </w:tc>
        <w:tc>
          <w:tcPr>
            <w:tcW w:w="6660" w:type="dxa"/>
          </w:tcPr>
          <w:p w14:paraId="6F189A12" w14:textId="77777777" w:rsidR="007927FC" w:rsidRPr="008A106B" w:rsidRDefault="007927FC" w:rsidP="00FC7454">
            <w:pPr>
              <w:spacing w:after="170" w:line="280" w:lineRule="atLeast"/>
              <w:jc w:val="center"/>
              <w:rPr>
                <w:rFonts w:eastAsia="MS Mincho"/>
                <w:b/>
                <w:szCs w:val="22"/>
                <w:lang w:eastAsia="de-DE"/>
              </w:rPr>
            </w:pPr>
            <w:r w:rsidRPr="008A106B">
              <w:rPr>
                <w:rFonts w:eastAsia="MS Mincho"/>
                <w:b/>
                <w:szCs w:val="22"/>
                <w:lang w:eastAsia="de-DE"/>
              </w:rPr>
              <w:t>Acción</w:t>
            </w:r>
          </w:p>
        </w:tc>
      </w:tr>
      <w:tr w:rsidR="007927FC" w:rsidRPr="005A5612" w14:paraId="4EE773CB" w14:textId="77777777" w:rsidTr="00FC7454">
        <w:tc>
          <w:tcPr>
            <w:tcW w:w="1035" w:type="dxa"/>
          </w:tcPr>
          <w:p w14:paraId="0B749F91" w14:textId="03160FC7" w:rsidR="007B555A" w:rsidRPr="008A106B" w:rsidRDefault="007B555A" w:rsidP="00FC7454">
            <w:pPr>
              <w:spacing w:after="170" w:line="280" w:lineRule="atLeast"/>
              <w:jc w:val="both"/>
              <w:rPr>
                <w:rFonts w:eastAsia="MS Mincho"/>
                <w:szCs w:val="22"/>
                <w:lang w:eastAsia="de-DE"/>
              </w:rPr>
            </w:pPr>
            <w:r>
              <w:rPr>
                <w:rFonts w:eastAsia="MS Mincho"/>
                <w:szCs w:val="22"/>
                <w:lang w:val="en-GB"/>
              </w:rPr>
              <w:t>RAN</w:t>
            </w:r>
            <w:r w:rsidRPr="00945212">
              <w:rPr>
                <w:rFonts w:eastAsia="MS Mincho"/>
                <w:szCs w:val="22"/>
                <w:lang w:val="en-GB"/>
              </w:rPr>
              <w:t> &gt; 1</w:t>
            </w:r>
          </w:p>
        </w:tc>
        <w:tc>
          <w:tcPr>
            <w:tcW w:w="6660" w:type="dxa"/>
          </w:tcPr>
          <w:p w14:paraId="141A4576" w14:textId="77777777" w:rsidR="007927FC" w:rsidRPr="008A106B" w:rsidRDefault="007927FC" w:rsidP="00FC7454">
            <w:pPr>
              <w:spacing w:after="170" w:line="280" w:lineRule="atLeast"/>
              <w:jc w:val="both"/>
              <w:rPr>
                <w:rFonts w:eastAsia="MS Mincho"/>
                <w:szCs w:val="22"/>
                <w:lang w:eastAsia="de-DE"/>
              </w:rPr>
            </w:pPr>
            <w:r w:rsidRPr="008A106B">
              <w:rPr>
                <w:rFonts w:eastAsia="MS Mincho"/>
                <w:szCs w:val="22"/>
                <w:lang w:eastAsia="de-DE"/>
              </w:rPr>
              <w:t>Mantener la dosis</w:t>
            </w:r>
            <w:r w:rsidR="00FF4E7C">
              <w:rPr>
                <w:rFonts w:eastAsia="MS Mincho"/>
                <w:szCs w:val="22"/>
                <w:lang w:eastAsia="de-DE"/>
              </w:rPr>
              <w:t>.</w:t>
            </w:r>
          </w:p>
        </w:tc>
      </w:tr>
      <w:tr w:rsidR="007927FC" w:rsidRPr="00541248" w14:paraId="2976EDC2" w14:textId="77777777" w:rsidTr="00FC7454">
        <w:tc>
          <w:tcPr>
            <w:tcW w:w="1035" w:type="dxa"/>
          </w:tcPr>
          <w:p w14:paraId="205207DE" w14:textId="0067F8EC" w:rsidR="007927FC" w:rsidRPr="008A106B" w:rsidRDefault="007927FC" w:rsidP="00FC7454">
            <w:pPr>
              <w:spacing w:after="170" w:line="280" w:lineRule="atLeast"/>
              <w:jc w:val="both"/>
              <w:rPr>
                <w:rFonts w:eastAsia="MS Mincho"/>
                <w:szCs w:val="22"/>
                <w:lang w:eastAsia="de-DE"/>
              </w:rPr>
            </w:pPr>
            <w:r w:rsidRPr="008A106B">
              <w:rPr>
                <w:rFonts w:eastAsia="MS Mincho"/>
                <w:szCs w:val="22"/>
                <w:lang w:eastAsia="de-DE"/>
              </w:rPr>
              <w:t>RAN 0</w:t>
            </w:r>
            <w:r w:rsidR="007B555A">
              <w:rPr>
                <w:rFonts w:eastAsia="MS Mincho"/>
                <w:szCs w:val="22"/>
                <w:lang w:eastAsia="de-DE"/>
              </w:rPr>
              <w:t>,</w:t>
            </w:r>
            <w:r w:rsidRPr="008A106B">
              <w:rPr>
                <w:rFonts w:eastAsia="MS Mincho"/>
                <w:szCs w:val="22"/>
                <w:lang w:eastAsia="de-DE"/>
              </w:rPr>
              <w:t>5 a 1</w:t>
            </w:r>
          </w:p>
        </w:tc>
        <w:tc>
          <w:tcPr>
            <w:tcW w:w="6660" w:type="dxa"/>
          </w:tcPr>
          <w:p w14:paraId="06049051" w14:textId="2FC52EFC" w:rsidR="007927FC" w:rsidRPr="008A106B" w:rsidRDefault="007927FC" w:rsidP="00FC7454">
            <w:pPr>
              <w:spacing w:after="170" w:line="280" w:lineRule="atLeast"/>
              <w:jc w:val="both"/>
              <w:rPr>
                <w:rFonts w:eastAsia="MS Mincho"/>
                <w:szCs w:val="22"/>
                <w:lang w:val="es-ES" w:eastAsia="de-DE"/>
              </w:rPr>
            </w:pPr>
            <w:r w:rsidRPr="008A106B">
              <w:rPr>
                <w:rFonts w:eastAsia="MS Mincho"/>
                <w:szCs w:val="22"/>
                <w:lang w:val="es-ES" w:eastAsia="de-DE"/>
              </w:rPr>
              <w:t xml:space="preserve">Interrumpir el tratamiento con </w:t>
            </w:r>
            <w:r w:rsidR="00EC5C8A">
              <w:rPr>
                <w:rFonts w:eastAsia="MS Mincho"/>
                <w:szCs w:val="22"/>
                <w:lang w:val="es-ES" w:eastAsia="de-DE"/>
              </w:rPr>
              <w:t>t</w:t>
            </w:r>
            <w:r w:rsidR="00EC5C8A">
              <w:rPr>
                <w:szCs w:val="22"/>
                <w:lang w:val="es-ES" w:eastAsia="de-DE"/>
              </w:rPr>
              <w:t>ocilizumab</w:t>
            </w:r>
            <w:r w:rsidRPr="008A106B">
              <w:rPr>
                <w:rFonts w:eastAsia="MS Mincho"/>
                <w:szCs w:val="22"/>
                <w:lang w:val="es-ES" w:eastAsia="de-DE"/>
              </w:rPr>
              <w:t>.</w:t>
            </w:r>
          </w:p>
          <w:p w14:paraId="78211D88" w14:textId="3DD49666" w:rsidR="007927FC" w:rsidRPr="008A106B" w:rsidRDefault="007927FC">
            <w:pPr>
              <w:spacing w:after="170" w:line="280" w:lineRule="atLeast"/>
              <w:jc w:val="both"/>
              <w:rPr>
                <w:rFonts w:eastAsia="MS Mincho"/>
                <w:szCs w:val="22"/>
                <w:lang w:val="es-ES" w:eastAsia="de-DE"/>
              </w:rPr>
            </w:pPr>
            <w:r w:rsidRPr="008A106B">
              <w:rPr>
                <w:rFonts w:eastAsia="MS Mincho"/>
                <w:szCs w:val="22"/>
                <w:lang w:val="es-ES" w:eastAsia="de-DE"/>
              </w:rPr>
              <w:t>Cuando el RAN aumente</w:t>
            </w:r>
            <w:r w:rsidR="007B555A">
              <w:rPr>
                <w:rFonts w:eastAsia="MS Mincho"/>
                <w:szCs w:val="22"/>
                <w:lang w:val="es-ES" w:eastAsia="de-DE"/>
              </w:rPr>
              <w:t xml:space="preserve"> </w:t>
            </w:r>
            <w:del w:id="55" w:author="AUTHOR">
              <w:r w:rsidR="007B555A" w:rsidRPr="00F30AB8" w:rsidDel="00F67CA2">
                <w:rPr>
                  <w:rFonts w:eastAsia="MS Mincho"/>
                  <w:szCs w:val="22"/>
                  <w:lang w:val="es-ES"/>
                </w:rPr>
                <w:delText>A </w:delText>
              </w:r>
            </w:del>
            <w:ins w:id="56" w:author="AUTHOR">
              <w:r w:rsidR="00F67CA2">
                <w:rPr>
                  <w:rFonts w:eastAsia="MS Mincho"/>
                  <w:szCs w:val="22"/>
                  <w:lang w:val="es-ES"/>
                </w:rPr>
                <w:t>a</w:t>
              </w:r>
              <w:r w:rsidR="00F67CA2" w:rsidRPr="00F30AB8">
                <w:rPr>
                  <w:rFonts w:eastAsia="MS Mincho"/>
                  <w:szCs w:val="22"/>
                  <w:lang w:val="es-ES"/>
                </w:rPr>
                <w:t> </w:t>
              </w:r>
            </w:ins>
            <w:r w:rsidR="007B555A" w:rsidRPr="00F30AB8">
              <w:rPr>
                <w:rFonts w:eastAsia="MS Mincho"/>
                <w:szCs w:val="22"/>
                <w:lang w:val="es-ES"/>
              </w:rPr>
              <w:t>&gt; 1 × 10</w:t>
            </w:r>
            <w:r w:rsidR="007B555A" w:rsidRPr="00F30AB8">
              <w:rPr>
                <w:rFonts w:eastAsia="MS Mincho"/>
                <w:szCs w:val="22"/>
                <w:vertAlign w:val="superscript"/>
                <w:lang w:val="es-ES"/>
              </w:rPr>
              <w:t>9</w:t>
            </w:r>
            <w:r w:rsidR="007B555A" w:rsidRPr="00F30AB8">
              <w:rPr>
                <w:rFonts w:eastAsia="MS Mincho"/>
                <w:szCs w:val="22"/>
                <w:lang w:val="es-ES"/>
              </w:rPr>
              <w:t xml:space="preserve">/l </w:t>
            </w:r>
            <w:r w:rsidRPr="008A106B">
              <w:rPr>
                <w:rFonts w:eastAsia="MS Mincho"/>
                <w:szCs w:val="22"/>
                <w:lang w:val="es-ES" w:eastAsia="de-DE"/>
              </w:rPr>
              <w:t xml:space="preserve"> restablecer el tratamiento con </w:t>
            </w:r>
            <w:r w:rsidR="00EC5C8A">
              <w:rPr>
                <w:noProof/>
                <w:lang w:val="es-ES"/>
              </w:rPr>
              <w:t>t</w:t>
            </w:r>
            <w:r w:rsidR="00EC5C8A">
              <w:rPr>
                <w:szCs w:val="22"/>
                <w:lang w:val="es-ES" w:eastAsia="de-DE"/>
              </w:rPr>
              <w:t>ocilizumab</w:t>
            </w:r>
            <w:r w:rsidR="00FF4E7C">
              <w:rPr>
                <w:rFonts w:eastAsia="MS Mincho"/>
                <w:szCs w:val="22"/>
                <w:lang w:val="es-ES" w:eastAsia="de-DE"/>
              </w:rPr>
              <w:t>.</w:t>
            </w:r>
            <w:r w:rsidRPr="008A106B">
              <w:rPr>
                <w:rFonts w:eastAsia="MS Mincho"/>
                <w:szCs w:val="22"/>
                <w:lang w:val="es-ES" w:eastAsia="de-DE"/>
              </w:rPr>
              <w:t xml:space="preserve"> </w:t>
            </w:r>
          </w:p>
        </w:tc>
      </w:tr>
      <w:tr w:rsidR="007927FC" w:rsidRPr="00541248" w14:paraId="2DFE41C2" w14:textId="77777777" w:rsidTr="00FC7454">
        <w:trPr>
          <w:trHeight w:val="1268"/>
        </w:trPr>
        <w:tc>
          <w:tcPr>
            <w:tcW w:w="1035" w:type="dxa"/>
          </w:tcPr>
          <w:p w14:paraId="528BEEFC" w14:textId="445B6DBE" w:rsidR="007927FC" w:rsidRPr="008A106B" w:rsidRDefault="007B555A" w:rsidP="00FC7454">
            <w:pPr>
              <w:spacing w:after="170" w:line="280" w:lineRule="atLeast"/>
              <w:jc w:val="both"/>
              <w:rPr>
                <w:rFonts w:eastAsia="MS Mincho"/>
                <w:szCs w:val="22"/>
                <w:lang w:eastAsia="de-DE"/>
              </w:rPr>
            </w:pPr>
            <w:r>
              <w:rPr>
                <w:rFonts w:eastAsia="MS Mincho"/>
                <w:szCs w:val="22"/>
                <w:lang w:val="en-GB"/>
              </w:rPr>
              <w:t>RAN</w:t>
            </w:r>
            <w:r w:rsidRPr="00945212">
              <w:rPr>
                <w:rFonts w:eastAsia="MS Mincho"/>
                <w:szCs w:val="22"/>
                <w:lang w:val="en-GB"/>
              </w:rPr>
              <w:t> &lt; </w:t>
            </w:r>
            <w:r>
              <w:rPr>
                <w:rFonts w:eastAsia="MS Mincho"/>
                <w:szCs w:val="22"/>
                <w:lang w:val="en-GB"/>
              </w:rPr>
              <w:t>0,</w:t>
            </w:r>
            <w:r w:rsidRPr="00945212">
              <w:rPr>
                <w:rFonts w:eastAsia="MS Mincho"/>
                <w:szCs w:val="22"/>
                <w:lang w:val="en-GB"/>
              </w:rPr>
              <w:t>5</w:t>
            </w:r>
          </w:p>
        </w:tc>
        <w:tc>
          <w:tcPr>
            <w:tcW w:w="6660" w:type="dxa"/>
          </w:tcPr>
          <w:p w14:paraId="5D5C2CA3" w14:textId="028DDF47" w:rsidR="007927FC" w:rsidRPr="008A106B" w:rsidRDefault="007927FC" w:rsidP="00FC7454">
            <w:pPr>
              <w:spacing w:after="170" w:line="280" w:lineRule="atLeast"/>
              <w:jc w:val="both"/>
              <w:rPr>
                <w:rFonts w:eastAsia="MS Mincho"/>
                <w:szCs w:val="22"/>
                <w:lang w:val="es-ES" w:eastAsia="de-DE"/>
              </w:rPr>
            </w:pPr>
            <w:r w:rsidRPr="008A106B">
              <w:rPr>
                <w:rFonts w:eastAsia="MS Mincho"/>
                <w:szCs w:val="22"/>
                <w:lang w:val="es-ES" w:eastAsia="de-DE"/>
              </w:rPr>
              <w:t xml:space="preserve">Interrumpir el tratamiento con </w:t>
            </w:r>
            <w:r w:rsidR="00EC5C8A">
              <w:rPr>
                <w:noProof/>
                <w:lang w:val="es-ES"/>
              </w:rPr>
              <w:t>t</w:t>
            </w:r>
            <w:r w:rsidR="00EC5C8A">
              <w:rPr>
                <w:szCs w:val="22"/>
                <w:lang w:val="es-ES" w:eastAsia="de-DE"/>
              </w:rPr>
              <w:t>ocilizumab</w:t>
            </w:r>
            <w:r w:rsidRPr="008A106B">
              <w:rPr>
                <w:rFonts w:eastAsia="MS Mincho"/>
                <w:szCs w:val="22"/>
                <w:lang w:val="es-ES" w:eastAsia="de-DE"/>
              </w:rPr>
              <w:t>.</w:t>
            </w:r>
          </w:p>
          <w:p w14:paraId="3429430E" w14:textId="0B1268C5" w:rsidR="007927FC" w:rsidRPr="005A5612" w:rsidRDefault="007927FC" w:rsidP="00376697">
            <w:pPr>
              <w:rPr>
                <w:noProof/>
                <w:lang w:val="es-ES"/>
              </w:rPr>
            </w:pPr>
            <w:r w:rsidRPr="005A5612">
              <w:rPr>
                <w:noProof/>
                <w:lang w:val="es-ES"/>
              </w:rPr>
              <w:t xml:space="preserve">La decisión de suspender </w:t>
            </w:r>
            <w:r w:rsidR="00EC5C8A">
              <w:rPr>
                <w:noProof/>
                <w:lang w:val="es-ES"/>
              </w:rPr>
              <w:t>t</w:t>
            </w:r>
            <w:r w:rsidR="00EC5C8A">
              <w:rPr>
                <w:szCs w:val="22"/>
                <w:lang w:val="es-ES" w:eastAsia="de-DE"/>
              </w:rPr>
              <w:t>ocilizumab</w:t>
            </w:r>
            <w:r w:rsidRPr="005A5612">
              <w:rPr>
                <w:noProof/>
                <w:lang w:val="es-ES"/>
              </w:rPr>
              <w:t xml:space="preserve"> en pacientes con AIJp por unos valores de laboratorio an</w:t>
            </w:r>
            <w:r w:rsidR="00FF4E7C">
              <w:rPr>
                <w:noProof/>
                <w:lang w:val="es-ES"/>
              </w:rPr>
              <w:t>ó</w:t>
            </w:r>
            <w:r w:rsidRPr="005A5612">
              <w:rPr>
                <w:noProof/>
                <w:lang w:val="es-ES"/>
              </w:rPr>
              <w:t>malos debe estar basada en la evaluación individual del médico para cada paciente.</w:t>
            </w:r>
          </w:p>
        </w:tc>
      </w:tr>
    </w:tbl>
    <w:p w14:paraId="0E2D88DF" w14:textId="77777777" w:rsidR="007927FC" w:rsidRPr="008A106B" w:rsidRDefault="007927FC" w:rsidP="007927FC">
      <w:pPr>
        <w:rPr>
          <w:noProof/>
          <w:lang w:val="es-ES"/>
        </w:rPr>
      </w:pPr>
    </w:p>
    <w:p w14:paraId="03E87AE1" w14:textId="77777777" w:rsidR="007927FC" w:rsidRDefault="007927FC" w:rsidP="007927FC">
      <w:pPr>
        <w:keepNext/>
        <w:keepLines/>
        <w:ind w:left="714" w:hanging="357"/>
      </w:pPr>
      <w:r w:rsidRPr="008A106B">
        <w:lastRenderedPageBreak/>
        <w:sym w:font="Symbol" w:char="F0B7"/>
      </w:r>
      <w:r w:rsidRPr="008A106B">
        <w:tab/>
        <w:t>Bajo recuento de plaquetas</w:t>
      </w:r>
    </w:p>
    <w:p w14:paraId="08BEAF22" w14:textId="77777777" w:rsidR="00EC5C8A" w:rsidRPr="008A106B" w:rsidRDefault="00EC5C8A" w:rsidP="007927FC">
      <w:pPr>
        <w:keepNext/>
        <w:keepLines/>
        <w:ind w:left="714" w:hanging="357"/>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7"/>
        <w:gridCol w:w="5998"/>
      </w:tblGrid>
      <w:tr w:rsidR="007927FC" w:rsidRPr="005A5612" w14:paraId="2203FF8E" w14:textId="77777777" w:rsidTr="00FC7454">
        <w:trPr>
          <w:trHeight w:val="1269"/>
        </w:trPr>
        <w:tc>
          <w:tcPr>
            <w:tcW w:w="1697" w:type="dxa"/>
          </w:tcPr>
          <w:p w14:paraId="165150F8" w14:textId="5B6BB7ED" w:rsidR="007927FC" w:rsidRPr="008A106B" w:rsidRDefault="007927FC">
            <w:pPr>
              <w:keepNext/>
              <w:keepLines/>
              <w:spacing w:after="170" w:line="280" w:lineRule="atLeast"/>
              <w:jc w:val="center"/>
              <w:rPr>
                <w:rFonts w:eastAsia="MS Mincho"/>
                <w:szCs w:val="22"/>
                <w:lang w:val="es-ES" w:eastAsia="de-DE"/>
              </w:rPr>
            </w:pPr>
            <w:r w:rsidRPr="008A106B">
              <w:rPr>
                <w:rFonts w:eastAsia="MS Mincho"/>
                <w:b/>
                <w:szCs w:val="22"/>
                <w:lang w:val="es-ES" w:eastAsia="de-DE"/>
              </w:rPr>
              <w:t>Valor de Laboratorio</w:t>
            </w:r>
            <w:r w:rsidRPr="008A106B">
              <w:rPr>
                <w:rFonts w:eastAsia="MS Mincho"/>
                <w:b/>
                <w:szCs w:val="22"/>
                <w:lang w:val="es-ES" w:eastAsia="de-DE"/>
              </w:rPr>
              <w:br/>
              <w:t>(células</w:t>
            </w:r>
            <w:r w:rsidR="007B555A">
              <w:rPr>
                <w:rFonts w:eastAsia="MS Mincho"/>
                <w:b/>
                <w:szCs w:val="22"/>
                <w:lang w:val="es-ES" w:eastAsia="de-DE"/>
              </w:rPr>
              <w:t xml:space="preserve"> </w:t>
            </w:r>
            <w:r w:rsidR="007B555A" w:rsidRPr="00F30AB8">
              <w:rPr>
                <w:rFonts w:eastAsia="MS Mincho"/>
                <w:szCs w:val="22"/>
                <w:lang w:val="es-ES"/>
              </w:rPr>
              <w:t> × 10</w:t>
            </w:r>
            <w:r w:rsidR="007B555A" w:rsidRPr="00F30AB8">
              <w:rPr>
                <w:rFonts w:eastAsia="MS Mincho"/>
                <w:szCs w:val="22"/>
                <w:vertAlign w:val="superscript"/>
                <w:lang w:val="es-ES"/>
              </w:rPr>
              <w:t>3</w:t>
            </w:r>
            <w:r w:rsidR="007B555A" w:rsidRPr="00F30AB8">
              <w:rPr>
                <w:rFonts w:eastAsia="MS Mincho"/>
                <w:szCs w:val="22"/>
                <w:lang w:val="es-ES"/>
              </w:rPr>
              <w:t>/µl)</w:t>
            </w:r>
          </w:p>
        </w:tc>
        <w:tc>
          <w:tcPr>
            <w:tcW w:w="5998" w:type="dxa"/>
          </w:tcPr>
          <w:p w14:paraId="489BF49D" w14:textId="77777777" w:rsidR="007927FC" w:rsidRPr="008A106B" w:rsidRDefault="007927FC" w:rsidP="00FC7454">
            <w:pPr>
              <w:keepNext/>
              <w:keepLines/>
              <w:spacing w:after="170" w:line="280" w:lineRule="atLeast"/>
              <w:jc w:val="center"/>
              <w:rPr>
                <w:rFonts w:eastAsia="MS Mincho"/>
                <w:szCs w:val="22"/>
                <w:lang w:eastAsia="de-DE"/>
              </w:rPr>
            </w:pPr>
            <w:r w:rsidRPr="008A106B">
              <w:rPr>
                <w:rFonts w:eastAsia="MS Mincho"/>
                <w:b/>
                <w:szCs w:val="22"/>
                <w:lang w:eastAsia="de-DE"/>
              </w:rPr>
              <w:t>Acción</w:t>
            </w:r>
          </w:p>
        </w:tc>
      </w:tr>
      <w:tr w:rsidR="007927FC" w:rsidRPr="00541248" w14:paraId="1612A10C" w14:textId="77777777" w:rsidTr="00FC7454">
        <w:tc>
          <w:tcPr>
            <w:tcW w:w="1697" w:type="dxa"/>
          </w:tcPr>
          <w:p w14:paraId="0E6FC03B" w14:textId="77777777" w:rsidR="007927FC" w:rsidRPr="008A106B" w:rsidRDefault="007927FC" w:rsidP="00FC7454">
            <w:pPr>
              <w:keepNext/>
              <w:keepLines/>
              <w:spacing w:after="170" w:line="280" w:lineRule="atLeast"/>
              <w:jc w:val="both"/>
              <w:rPr>
                <w:rFonts w:eastAsia="MS Mincho"/>
                <w:szCs w:val="22"/>
                <w:lang w:eastAsia="de-DE"/>
              </w:rPr>
            </w:pPr>
            <w:r w:rsidRPr="008A106B">
              <w:rPr>
                <w:rFonts w:eastAsia="MS Mincho"/>
                <w:szCs w:val="22"/>
                <w:lang w:eastAsia="de-DE"/>
              </w:rPr>
              <w:t>50 a 100</w:t>
            </w:r>
          </w:p>
        </w:tc>
        <w:tc>
          <w:tcPr>
            <w:tcW w:w="5998" w:type="dxa"/>
          </w:tcPr>
          <w:p w14:paraId="702E6282" w14:textId="77777777" w:rsidR="007927FC" w:rsidRPr="005A5612" w:rsidRDefault="007927FC" w:rsidP="00FC7454">
            <w:pPr>
              <w:spacing w:after="170" w:line="280" w:lineRule="atLeast"/>
              <w:rPr>
                <w:szCs w:val="22"/>
                <w:lang w:val="es-ES" w:eastAsia="de-DE"/>
              </w:rPr>
            </w:pPr>
            <w:r w:rsidRPr="005A5612">
              <w:rPr>
                <w:szCs w:val="22"/>
                <w:lang w:val="es-ES" w:eastAsia="de-DE"/>
              </w:rPr>
              <w:t xml:space="preserve">Si procede, modificar la dosis de la medicación concomitante de MTX. </w:t>
            </w:r>
          </w:p>
          <w:p w14:paraId="3E861594" w14:textId="047BCEED" w:rsidR="007927FC" w:rsidRPr="008A106B" w:rsidRDefault="007927FC" w:rsidP="00FC7454">
            <w:pPr>
              <w:keepNext/>
              <w:keepLines/>
              <w:spacing w:after="170" w:line="280" w:lineRule="atLeast"/>
              <w:jc w:val="both"/>
              <w:rPr>
                <w:rFonts w:eastAsia="MS Mincho"/>
                <w:szCs w:val="22"/>
                <w:lang w:val="es-ES" w:eastAsia="de-DE"/>
              </w:rPr>
            </w:pPr>
            <w:r w:rsidRPr="008A106B">
              <w:rPr>
                <w:rFonts w:eastAsia="MS Mincho"/>
                <w:szCs w:val="22"/>
                <w:lang w:val="es-ES" w:eastAsia="de-DE"/>
              </w:rPr>
              <w:t xml:space="preserve">Interrumpir </w:t>
            </w:r>
            <w:del w:id="57" w:author="AUTHOR">
              <w:r w:rsidRPr="008A106B" w:rsidDel="00F67CA2">
                <w:rPr>
                  <w:rFonts w:eastAsia="MS Mincho"/>
                  <w:szCs w:val="22"/>
                  <w:lang w:val="es-ES" w:eastAsia="de-DE"/>
                </w:rPr>
                <w:delText xml:space="preserve">el tratamiento </w:delText>
              </w:r>
            </w:del>
            <w:ins w:id="58" w:author="AUTHOR">
              <w:r w:rsidR="00F67CA2">
                <w:rPr>
                  <w:rFonts w:eastAsia="MS Mincho"/>
                  <w:szCs w:val="22"/>
                  <w:lang w:val="es-ES" w:eastAsia="de-DE"/>
                </w:rPr>
                <w:t>la administración de</w:t>
              </w:r>
            </w:ins>
            <w:del w:id="59" w:author="AUTHOR">
              <w:r w:rsidRPr="008A106B" w:rsidDel="00F67CA2">
                <w:rPr>
                  <w:rFonts w:eastAsia="MS Mincho"/>
                  <w:szCs w:val="22"/>
                  <w:lang w:val="es-ES" w:eastAsia="de-DE"/>
                </w:rPr>
                <w:delText>con</w:delText>
              </w:r>
            </w:del>
            <w:r w:rsidRPr="008A106B">
              <w:rPr>
                <w:rFonts w:eastAsia="MS Mincho"/>
                <w:szCs w:val="22"/>
                <w:lang w:val="es-ES" w:eastAsia="de-DE"/>
              </w:rPr>
              <w:t xml:space="preserve"> </w:t>
            </w:r>
            <w:r w:rsidR="00EC5C8A">
              <w:rPr>
                <w:noProof/>
                <w:lang w:val="es-ES"/>
              </w:rPr>
              <w:t>t</w:t>
            </w:r>
            <w:r w:rsidR="00EC5C8A">
              <w:rPr>
                <w:szCs w:val="22"/>
                <w:lang w:val="es-ES" w:eastAsia="de-DE"/>
              </w:rPr>
              <w:t>ocilizumab</w:t>
            </w:r>
            <w:r w:rsidRPr="008A106B">
              <w:rPr>
                <w:rFonts w:eastAsia="MS Mincho"/>
                <w:szCs w:val="22"/>
                <w:lang w:val="es-ES" w:eastAsia="de-DE"/>
              </w:rPr>
              <w:t>.</w:t>
            </w:r>
          </w:p>
          <w:p w14:paraId="38F6AE73" w14:textId="799F5B6B" w:rsidR="007927FC" w:rsidRPr="008A106B" w:rsidRDefault="007927FC" w:rsidP="00FC7454">
            <w:pPr>
              <w:keepNext/>
              <w:keepLines/>
              <w:spacing w:after="170" w:line="280" w:lineRule="atLeast"/>
              <w:jc w:val="both"/>
              <w:rPr>
                <w:rFonts w:eastAsia="MS Mincho"/>
                <w:szCs w:val="22"/>
                <w:lang w:val="es-ES" w:eastAsia="de-DE"/>
              </w:rPr>
            </w:pPr>
            <w:r w:rsidRPr="008A106B">
              <w:rPr>
                <w:rFonts w:eastAsia="MS Mincho"/>
                <w:szCs w:val="22"/>
                <w:lang w:val="es-ES" w:eastAsia="de-DE"/>
              </w:rPr>
              <w:t>Cuando el recuento de plaquetas sea</w:t>
            </w:r>
            <w:r w:rsidR="007B555A">
              <w:rPr>
                <w:rFonts w:eastAsia="MS Mincho"/>
                <w:szCs w:val="22"/>
                <w:lang w:val="es-ES" w:eastAsia="de-DE"/>
              </w:rPr>
              <w:t xml:space="preserve"> </w:t>
            </w:r>
            <w:r w:rsidR="007B555A" w:rsidRPr="00F30AB8">
              <w:rPr>
                <w:rFonts w:eastAsia="MS Mincho"/>
                <w:szCs w:val="22"/>
                <w:lang w:val="es-ES"/>
              </w:rPr>
              <w:t> &gt; 100 × 10</w:t>
            </w:r>
            <w:r w:rsidR="007B555A" w:rsidRPr="00F30AB8">
              <w:rPr>
                <w:rFonts w:eastAsia="MS Mincho"/>
                <w:szCs w:val="22"/>
                <w:vertAlign w:val="superscript"/>
                <w:lang w:val="es-ES"/>
              </w:rPr>
              <w:t>3</w:t>
            </w:r>
            <w:r w:rsidR="007B555A" w:rsidRPr="00F30AB8">
              <w:rPr>
                <w:rFonts w:eastAsia="MS Mincho"/>
                <w:szCs w:val="22"/>
                <w:lang w:val="es-ES"/>
              </w:rPr>
              <w:t>/µ</w:t>
            </w:r>
            <w:r w:rsidR="007B555A">
              <w:rPr>
                <w:rFonts w:eastAsia="MS Mincho"/>
                <w:szCs w:val="22"/>
                <w:lang w:val="es-ES"/>
              </w:rPr>
              <w:t>l</w:t>
            </w:r>
            <w:r w:rsidR="00454602" w:rsidRPr="00F30AB8">
              <w:rPr>
                <w:rFonts w:ascii="Arial" w:eastAsia="MS Mincho" w:hAnsi="Arial" w:cs="Arial"/>
                <w:sz w:val="10"/>
                <w:szCs w:val="22"/>
                <w:lang w:val="es-ES"/>
              </w:rPr>
              <w:t> </w:t>
            </w:r>
            <w:r w:rsidRPr="008A106B">
              <w:rPr>
                <w:rFonts w:eastAsia="MS Mincho"/>
                <w:szCs w:val="22"/>
                <w:lang w:val="es-ES" w:eastAsia="de-DE"/>
              </w:rPr>
              <w:t xml:space="preserve"> restablecer el tratamiento</w:t>
            </w:r>
            <w:del w:id="60" w:author="AUTHOR">
              <w:r w:rsidRPr="008A106B" w:rsidDel="00F67CA2">
                <w:rPr>
                  <w:rFonts w:eastAsia="MS Mincho"/>
                  <w:szCs w:val="22"/>
                  <w:lang w:val="es-ES" w:eastAsia="de-DE"/>
                </w:rPr>
                <w:delText xml:space="preserve"> con </w:delText>
              </w:r>
              <w:r w:rsidR="00EC5C8A" w:rsidDel="00F67CA2">
                <w:rPr>
                  <w:noProof/>
                  <w:lang w:val="es-ES"/>
                </w:rPr>
                <w:delText>t</w:delText>
              </w:r>
              <w:r w:rsidR="00EC5C8A" w:rsidDel="00F67CA2">
                <w:rPr>
                  <w:szCs w:val="22"/>
                  <w:lang w:val="es-ES" w:eastAsia="de-DE"/>
                </w:rPr>
                <w:delText>ocilizumab</w:delText>
              </w:r>
            </w:del>
            <w:r w:rsidRPr="008A106B">
              <w:rPr>
                <w:rFonts w:eastAsia="MS Mincho"/>
                <w:szCs w:val="22"/>
                <w:lang w:val="es-ES" w:eastAsia="de-DE"/>
              </w:rPr>
              <w:t>.</w:t>
            </w:r>
          </w:p>
          <w:p w14:paraId="6A8F49E4" w14:textId="77777777" w:rsidR="007927FC" w:rsidRPr="008A106B" w:rsidRDefault="007927FC" w:rsidP="00FC7454">
            <w:pPr>
              <w:keepNext/>
              <w:keepLines/>
              <w:spacing w:after="170" w:line="280" w:lineRule="atLeast"/>
              <w:jc w:val="both"/>
              <w:rPr>
                <w:rFonts w:eastAsia="MS Mincho"/>
                <w:szCs w:val="22"/>
                <w:lang w:val="es-ES" w:eastAsia="de-DE"/>
              </w:rPr>
            </w:pPr>
          </w:p>
        </w:tc>
      </w:tr>
      <w:tr w:rsidR="007927FC" w:rsidRPr="00541248" w14:paraId="41C0FB6E" w14:textId="77777777" w:rsidTr="00FC7454">
        <w:tc>
          <w:tcPr>
            <w:tcW w:w="1697" w:type="dxa"/>
          </w:tcPr>
          <w:p w14:paraId="63B90E71" w14:textId="457229ED" w:rsidR="007927FC" w:rsidRPr="008A106B" w:rsidRDefault="007B555A" w:rsidP="00FC7454">
            <w:pPr>
              <w:spacing w:after="170" w:line="280" w:lineRule="atLeast"/>
              <w:jc w:val="both"/>
              <w:rPr>
                <w:rFonts w:eastAsia="MS Mincho"/>
                <w:szCs w:val="22"/>
                <w:lang w:eastAsia="de-DE"/>
              </w:rPr>
            </w:pPr>
            <w:r w:rsidRPr="00F30AB8">
              <w:rPr>
                <w:rFonts w:eastAsia="MS Mincho"/>
                <w:szCs w:val="22"/>
                <w:lang w:val="es-ES"/>
              </w:rPr>
              <w:t> </w:t>
            </w:r>
            <w:r w:rsidRPr="006245AD">
              <w:rPr>
                <w:rFonts w:eastAsia="MS Mincho"/>
                <w:szCs w:val="22"/>
                <w:lang w:val="en-GB"/>
              </w:rPr>
              <w:t>&lt;</w:t>
            </w:r>
            <w:r w:rsidRPr="00945212">
              <w:rPr>
                <w:rFonts w:eastAsia="MS Mincho"/>
                <w:szCs w:val="22"/>
                <w:lang w:val="en-GB"/>
              </w:rPr>
              <w:t> 50</w:t>
            </w:r>
          </w:p>
        </w:tc>
        <w:tc>
          <w:tcPr>
            <w:tcW w:w="5998" w:type="dxa"/>
          </w:tcPr>
          <w:p w14:paraId="4D6BF106" w14:textId="47BF5226" w:rsidR="007927FC" w:rsidRPr="008A106B" w:rsidRDefault="007927FC" w:rsidP="00FC7454">
            <w:pPr>
              <w:keepNext/>
              <w:keepLines/>
              <w:spacing w:after="170" w:line="280" w:lineRule="atLeast"/>
              <w:jc w:val="both"/>
              <w:rPr>
                <w:rFonts w:eastAsia="MS Mincho"/>
                <w:szCs w:val="22"/>
                <w:lang w:val="es-ES" w:eastAsia="de-DE"/>
              </w:rPr>
            </w:pPr>
            <w:r w:rsidRPr="008A106B">
              <w:rPr>
                <w:rFonts w:eastAsia="MS Mincho"/>
                <w:szCs w:val="22"/>
                <w:lang w:val="es-ES" w:eastAsia="de-DE"/>
              </w:rPr>
              <w:t xml:space="preserve">Interrumpir el tratamiento con </w:t>
            </w:r>
            <w:r w:rsidR="00EC5C8A">
              <w:rPr>
                <w:noProof/>
                <w:lang w:val="es-ES"/>
              </w:rPr>
              <w:t>t</w:t>
            </w:r>
            <w:r w:rsidR="00EC5C8A">
              <w:rPr>
                <w:szCs w:val="22"/>
                <w:lang w:val="es-ES" w:eastAsia="de-DE"/>
              </w:rPr>
              <w:t>ocilizumab</w:t>
            </w:r>
            <w:r w:rsidRPr="008A106B">
              <w:rPr>
                <w:rFonts w:eastAsia="MS Mincho"/>
                <w:szCs w:val="22"/>
                <w:lang w:val="es-ES" w:eastAsia="de-DE"/>
              </w:rPr>
              <w:t>.</w:t>
            </w:r>
          </w:p>
          <w:p w14:paraId="410A4334" w14:textId="11BF489C" w:rsidR="007927FC" w:rsidRPr="008A106B" w:rsidRDefault="007927FC" w:rsidP="00FC7454">
            <w:pPr>
              <w:spacing w:after="170" w:line="280" w:lineRule="atLeast"/>
              <w:jc w:val="both"/>
              <w:rPr>
                <w:rFonts w:eastAsia="MS Mincho"/>
                <w:szCs w:val="22"/>
                <w:lang w:val="es-ES" w:eastAsia="de-DE"/>
              </w:rPr>
            </w:pPr>
            <w:r w:rsidRPr="005A5612">
              <w:rPr>
                <w:noProof/>
                <w:szCs w:val="22"/>
                <w:lang w:val="es-ES" w:eastAsia="de-DE"/>
              </w:rPr>
              <w:t xml:space="preserve">La decisión de suspender </w:t>
            </w:r>
            <w:r w:rsidR="004D39E6">
              <w:rPr>
                <w:noProof/>
                <w:lang w:val="es-ES"/>
              </w:rPr>
              <w:t>t</w:t>
            </w:r>
            <w:r w:rsidR="004D39E6">
              <w:rPr>
                <w:szCs w:val="22"/>
                <w:lang w:val="es-ES" w:eastAsia="de-DE"/>
              </w:rPr>
              <w:t>ocilizumab</w:t>
            </w:r>
            <w:r w:rsidR="004D39E6" w:rsidRPr="005A5612" w:rsidDel="004D39E6">
              <w:rPr>
                <w:noProof/>
                <w:szCs w:val="22"/>
                <w:lang w:val="es-ES" w:eastAsia="de-DE"/>
              </w:rPr>
              <w:t xml:space="preserve"> </w:t>
            </w:r>
            <w:r w:rsidRPr="005A5612">
              <w:rPr>
                <w:noProof/>
                <w:szCs w:val="22"/>
                <w:lang w:val="es-ES" w:eastAsia="de-DE"/>
              </w:rPr>
              <w:t>en pacientes con AIJp por unos valores de laboratorio anómalos debe estar basada en la evaluación individual del médico para cada paciente.</w:t>
            </w:r>
          </w:p>
        </w:tc>
      </w:tr>
    </w:tbl>
    <w:p w14:paraId="237A8720" w14:textId="77777777" w:rsidR="007927FC" w:rsidRPr="008A106B" w:rsidRDefault="007927FC" w:rsidP="007927FC">
      <w:pPr>
        <w:rPr>
          <w:noProof/>
          <w:lang w:val="es-ES"/>
        </w:rPr>
      </w:pPr>
    </w:p>
    <w:p w14:paraId="2E9E9A23" w14:textId="77777777" w:rsidR="007927FC" w:rsidRDefault="007927FC" w:rsidP="007927FC">
      <w:pPr>
        <w:rPr>
          <w:rFonts w:eastAsia="Calibri"/>
          <w:noProof/>
          <w:lang w:val="es-ES" w:eastAsia="en-US"/>
        </w:rPr>
      </w:pPr>
      <w:r w:rsidRPr="00C70D0B">
        <w:rPr>
          <w:rFonts w:eastAsia="Calibri"/>
          <w:noProof/>
          <w:lang w:val="es-ES" w:eastAsia="en-US"/>
        </w:rPr>
        <w:t xml:space="preserve">En pacientes con AIJp no se ha estudiado el efecto de las reducciones de dosis </w:t>
      </w:r>
      <w:r w:rsidR="004D39E6">
        <w:rPr>
          <w:rFonts w:eastAsia="Calibri"/>
          <w:noProof/>
          <w:lang w:val="es-ES" w:eastAsia="en-US"/>
        </w:rPr>
        <w:t xml:space="preserve">de </w:t>
      </w:r>
      <w:r w:rsidR="004D39E6">
        <w:rPr>
          <w:noProof/>
          <w:lang w:val="es-ES"/>
        </w:rPr>
        <w:t>t</w:t>
      </w:r>
      <w:r w:rsidR="004D39E6">
        <w:rPr>
          <w:szCs w:val="22"/>
          <w:lang w:val="es-ES" w:eastAsia="de-DE"/>
        </w:rPr>
        <w:t>ocilizumab</w:t>
      </w:r>
      <w:r w:rsidR="004D39E6" w:rsidRPr="00C70D0B">
        <w:rPr>
          <w:rFonts w:eastAsia="Calibri"/>
          <w:noProof/>
          <w:lang w:val="es-ES" w:eastAsia="en-US"/>
        </w:rPr>
        <w:t xml:space="preserve"> </w:t>
      </w:r>
      <w:r w:rsidRPr="00C70D0B">
        <w:rPr>
          <w:rFonts w:eastAsia="Calibri"/>
          <w:noProof/>
          <w:lang w:val="es-ES" w:eastAsia="en-US"/>
        </w:rPr>
        <w:t>debidas a una anomalía en los valores de laboratorio.</w:t>
      </w:r>
    </w:p>
    <w:p w14:paraId="158BFD72" w14:textId="77777777" w:rsidR="007927FC" w:rsidRPr="00C70D0B" w:rsidRDefault="007927FC" w:rsidP="007927FC">
      <w:pPr>
        <w:rPr>
          <w:rFonts w:eastAsia="Calibri"/>
          <w:noProof/>
          <w:lang w:val="es-ES" w:eastAsia="en-US"/>
        </w:rPr>
      </w:pPr>
    </w:p>
    <w:p w14:paraId="3686B1E4" w14:textId="3288A373" w:rsidR="007927FC" w:rsidRDefault="007927FC" w:rsidP="007927FC">
      <w:pPr>
        <w:rPr>
          <w:rFonts w:eastAsia="Calibri"/>
          <w:noProof/>
          <w:lang w:val="es-ES" w:eastAsia="en-US"/>
        </w:rPr>
      </w:pPr>
      <w:r w:rsidRPr="008A106B">
        <w:rPr>
          <w:rFonts w:eastAsia="Calibri"/>
          <w:noProof/>
          <w:lang w:val="es-ES" w:eastAsia="en-US"/>
        </w:rPr>
        <w:t>Los datos disponibles indican que la mejoría clínica se observa a las 12</w:t>
      </w:r>
      <w:r w:rsidR="004D39E6">
        <w:rPr>
          <w:rFonts w:eastAsia="Calibri"/>
          <w:noProof/>
          <w:lang w:val="es-ES" w:eastAsia="en-US"/>
        </w:rPr>
        <w:t> </w:t>
      </w:r>
      <w:r w:rsidRPr="008A106B">
        <w:rPr>
          <w:rFonts w:eastAsia="Calibri"/>
          <w:noProof/>
          <w:lang w:val="es-ES" w:eastAsia="en-US"/>
        </w:rPr>
        <w:t xml:space="preserve">semanas de iniciar el tratamiento con </w:t>
      </w:r>
      <w:r w:rsidR="004D39E6">
        <w:rPr>
          <w:rFonts w:eastAsia="Calibri"/>
          <w:noProof/>
          <w:lang w:val="es-ES" w:eastAsia="en-US"/>
        </w:rPr>
        <w:t>tocilizumab</w:t>
      </w:r>
      <w:r w:rsidRPr="008A106B">
        <w:rPr>
          <w:rFonts w:eastAsia="Calibri"/>
          <w:noProof/>
          <w:lang w:val="es-ES" w:eastAsia="en-US"/>
        </w:rPr>
        <w:t>. Se debe reconsiderar cuidadosamente continuar el tratamiento en un paciente que no ha mostrado mejoría en este periodo de tiempo.</w:t>
      </w:r>
    </w:p>
    <w:p w14:paraId="6863497F" w14:textId="77777777" w:rsidR="004D39E6" w:rsidRDefault="004D39E6" w:rsidP="007927FC">
      <w:pPr>
        <w:rPr>
          <w:rFonts w:eastAsia="Calibri"/>
          <w:noProof/>
          <w:lang w:val="es-ES" w:eastAsia="en-US"/>
        </w:rPr>
      </w:pPr>
    </w:p>
    <w:p w14:paraId="44078CE4" w14:textId="77777777" w:rsidR="004D39E6" w:rsidRPr="00D33DBC" w:rsidRDefault="004D39E6" w:rsidP="007927FC">
      <w:pPr>
        <w:rPr>
          <w:rFonts w:eastAsia="Calibri"/>
          <w:i/>
          <w:iCs/>
          <w:noProof/>
          <w:u w:val="single"/>
          <w:lang w:val="es-ES" w:eastAsia="en-US"/>
        </w:rPr>
      </w:pPr>
      <w:r w:rsidRPr="00D33DBC">
        <w:rPr>
          <w:rFonts w:eastAsia="Calibri"/>
          <w:i/>
          <w:iCs/>
          <w:noProof/>
          <w:u w:val="single"/>
          <w:lang w:val="es-ES" w:eastAsia="en-US"/>
        </w:rPr>
        <w:t>SLC</w:t>
      </w:r>
    </w:p>
    <w:p w14:paraId="645E45D6" w14:textId="3EF34C9E" w:rsidR="004D39E6" w:rsidRPr="008A106B" w:rsidRDefault="004D39E6" w:rsidP="007927FC">
      <w:pPr>
        <w:rPr>
          <w:iCs/>
          <w:lang w:val="es-ES"/>
        </w:rPr>
      </w:pPr>
      <w:r w:rsidRPr="004D39E6">
        <w:rPr>
          <w:iCs/>
          <w:lang w:val="es-ES"/>
        </w:rPr>
        <w:t xml:space="preserve">Tocilizumab </w:t>
      </w:r>
      <w:r>
        <w:rPr>
          <w:iCs/>
          <w:lang w:val="es-ES"/>
        </w:rPr>
        <w:t>se puede utilizar en pacientes pediátricos (2 </w:t>
      </w:r>
      <w:r w:rsidRPr="004D39E6">
        <w:rPr>
          <w:iCs/>
          <w:lang w:val="es-ES"/>
        </w:rPr>
        <w:t>años de edad y mayores) a la mi</w:t>
      </w:r>
      <w:r>
        <w:rPr>
          <w:iCs/>
          <w:lang w:val="es-ES"/>
        </w:rPr>
        <w:t>sma posología que en adultos en SLC. Ver sección </w:t>
      </w:r>
      <w:r w:rsidRPr="004D39E6">
        <w:rPr>
          <w:iCs/>
          <w:lang w:val="es-ES"/>
        </w:rPr>
        <w:t xml:space="preserve">4.2 Posología y forma de administración, </w:t>
      </w:r>
      <w:r w:rsidR="00FC1C57" w:rsidRPr="00FC1C57">
        <w:rPr>
          <w:iCs/>
          <w:lang w:val="es-ES"/>
        </w:rPr>
        <w:t>Síndrome de Liberación de Citoquinas (SLC) (adultos y población pediátrica)</w:t>
      </w:r>
      <w:r w:rsidR="00FC1C57">
        <w:rPr>
          <w:iCs/>
          <w:lang w:val="es-ES"/>
        </w:rPr>
        <w:t xml:space="preserve"> </w:t>
      </w:r>
      <w:r w:rsidRPr="004D39E6">
        <w:rPr>
          <w:iCs/>
          <w:lang w:val="es-ES"/>
        </w:rPr>
        <w:t>subapartado población adulta.</w:t>
      </w:r>
    </w:p>
    <w:p w14:paraId="78A4F575" w14:textId="77777777" w:rsidR="007927FC" w:rsidRPr="008A106B" w:rsidRDefault="007927FC" w:rsidP="007927FC">
      <w:pPr>
        <w:rPr>
          <w:lang w:val="es-ES_tradnl"/>
        </w:rPr>
      </w:pPr>
    </w:p>
    <w:p w14:paraId="6B696F7B" w14:textId="77777777" w:rsidR="007927FC" w:rsidRDefault="007927FC" w:rsidP="007927FC">
      <w:pPr>
        <w:rPr>
          <w:u w:val="single"/>
          <w:lang w:val="es-ES_tradnl"/>
        </w:rPr>
      </w:pPr>
      <w:r w:rsidRPr="008A106B">
        <w:rPr>
          <w:u w:val="single"/>
          <w:lang w:val="es-ES_tradnl"/>
        </w:rPr>
        <w:t>Forma de administración</w:t>
      </w:r>
    </w:p>
    <w:p w14:paraId="4AF4F6EE" w14:textId="77777777" w:rsidR="007A583D" w:rsidRDefault="007A583D" w:rsidP="007927FC">
      <w:pPr>
        <w:rPr>
          <w:lang w:val="es-ES"/>
        </w:rPr>
      </w:pPr>
      <w:r w:rsidRPr="007A583D">
        <w:rPr>
          <w:lang w:val="es-ES"/>
        </w:rPr>
        <w:t xml:space="preserve">Tras la dilución, este medicamento se debe administrar como </w:t>
      </w:r>
      <w:r>
        <w:rPr>
          <w:lang w:val="es-ES"/>
        </w:rPr>
        <w:t>perfusión intravenosa durante 1 </w:t>
      </w:r>
      <w:r w:rsidRPr="007A583D">
        <w:rPr>
          <w:lang w:val="es-ES"/>
        </w:rPr>
        <w:t>hora. Si aparecen signos y síntomas de una reacción relacionada con la perfusión, se debe ralentizar o detener la perfusión y se debe administrar inmediatamente el medicamento/tratamiento</w:t>
      </w:r>
      <w:r>
        <w:rPr>
          <w:lang w:val="es-ES"/>
        </w:rPr>
        <w:t xml:space="preserve"> de apoyo adecuado (ver </w:t>
      </w:r>
      <w:r w:rsidRPr="00F30AB8">
        <w:rPr>
          <w:noProof/>
          <w:lang w:val="es-ES"/>
        </w:rPr>
        <w:t>sección 4</w:t>
      </w:r>
      <w:r w:rsidRPr="007A583D">
        <w:rPr>
          <w:lang w:val="es-ES"/>
        </w:rPr>
        <w:t>.4).</w:t>
      </w:r>
    </w:p>
    <w:p w14:paraId="32B1D56A" w14:textId="77777777" w:rsidR="007A583D" w:rsidRPr="00F30AB8" w:rsidRDefault="007A583D" w:rsidP="007927FC">
      <w:pPr>
        <w:rPr>
          <w:lang w:val="es-ES"/>
        </w:rPr>
      </w:pPr>
    </w:p>
    <w:p w14:paraId="6B550BE3" w14:textId="3B705D03" w:rsidR="007927FC" w:rsidRPr="008A106B" w:rsidRDefault="007927FC" w:rsidP="007927FC">
      <w:pPr>
        <w:rPr>
          <w:lang w:val="es-ES"/>
        </w:rPr>
      </w:pPr>
      <w:r w:rsidRPr="00F30AB8">
        <w:rPr>
          <w:i/>
          <w:lang w:val="es-ES_tradnl"/>
        </w:rPr>
        <w:t>Pacientes con AR</w:t>
      </w:r>
      <w:r w:rsidR="009A0A07" w:rsidRPr="00F30AB8">
        <w:rPr>
          <w:i/>
          <w:lang w:val="es-ES_tradnl"/>
        </w:rPr>
        <w:t>,</w:t>
      </w:r>
      <w:r w:rsidRPr="00F30AB8">
        <w:rPr>
          <w:i/>
          <w:lang w:val="es-ES_tradnl"/>
        </w:rPr>
        <w:t xml:space="preserve"> AIJs</w:t>
      </w:r>
      <w:r w:rsidR="007C179B" w:rsidRPr="00F30AB8">
        <w:rPr>
          <w:i/>
          <w:lang w:val="es-ES_tradnl"/>
        </w:rPr>
        <w:t>,</w:t>
      </w:r>
      <w:r w:rsidRPr="00F30AB8">
        <w:rPr>
          <w:i/>
          <w:lang w:val="es-ES_tradnl"/>
        </w:rPr>
        <w:t xml:space="preserve"> AIJp</w:t>
      </w:r>
      <w:r w:rsidR="00095A09" w:rsidRPr="00F30AB8">
        <w:rPr>
          <w:i/>
          <w:lang w:val="es-ES_tradnl"/>
        </w:rPr>
        <w:t>,</w:t>
      </w:r>
      <w:r w:rsidR="007C179B" w:rsidRPr="00F30AB8">
        <w:rPr>
          <w:i/>
          <w:lang w:val="es-ES_tradnl"/>
        </w:rPr>
        <w:t xml:space="preserve"> SLC</w:t>
      </w:r>
      <w:r w:rsidR="00095A09" w:rsidRPr="00F30AB8">
        <w:rPr>
          <w:i/>
          <w:lang w:val="es-ES_tradnl"/>
        </w:rPr>
        <w:t xml:space="preserve"> y COVID-19</w:t>
      </w:r>
      <w:r w:rsidRPr="00F30AB8">
        <w:rPr>
          <w:i/>
          <w:lang w:val="es-ES_tradnl"/>
        </w:rPr>
        <w:t xml:space="preserve"> con </w:t>
      </w:r>
      <w:proofErr w:type="gramStart"/>
      <w:r w:rsidRPr="00F30AB8">
        <w:rPr>
          <w:i/>
          <w:lang w:val="es-ES_tradnl"/>
        </w:rPr>
        <w:t xml:space="preserve">peso </w:t>
      </w:r>
      <w:r w:rsidR="00FC7F6E">
        <w:rPr>
          <w:i/>
          <w:lang w:val="es-ES_tradnl"/>
        </w:rPr>
        <w:t> </w:t>
      </w:r>
      <w:r w:rsidRPr="00F30AB8">
        <w:rPr>
          <w:i/>
          <w:lang w:val="es-ES"/>
        </w:rPr>
        <w:t>≥</w:t>
      </w:r>
      <w:proofErr w:type="gramEnd"/>
      <w:r w:rsidR="007A583D" w:rsidRPr="00F30AB8">
        <w:rPr>
          <w:i/>
          <w:lang w:val="es-ES"/>
        </w:rPr>
        <w:t> </w:t>
      </w:r>
      <w:r w:rsidRPr="00F30AB8">
        <w:rPr>
          <w:i/>
          <w:lang w:val="es-ES"/>
        </w:rPr>
        <w:t>30kg</w:t>
      </w:r>
    </w:p>
    <w:p w14:paraId="38B5EF23" w14:textId="44456B27" w:rsidR="007927FC" w:rsidRPr="008A106B" w:rsidRDefault="007A583D" w:rsidP="007927FC">
      <w:pPr>
        <w:rPr>
          <w:lang w:val="es-ES_tradnl"/>
        </w:rPr>
      </w:pPr>
      <w:r>
        <w:rPr>
          <w:lang w:val="es-ES_tradnl"/>
        </w:rPr>
        <w:t>Este medicamento se</w:t>
      </w:r>
      <w:r w:rsidRPr="008A106B">
        <w:rPr>
          <w:lang w:val="es-ES_tradnl"/>
        </w:rPr>
        <w:t xml:space="preserve"> </w:t>
      </w:r>
      <w:r w:rsidR="007927FC" w:rsidRPr="008A106B">
        <w:rPr>
          <w:lang w:val="es-ES_tradnl"/>
        </w:rPr>
        <w:t>debe</w:t>
      </w:r>
      <w:ins w:id="61" w:author="AUTHOR">
        <w:r w:rsidR="00F67CA2">
          <w:rPr>
            <w:lang w:val="es-ES_tradnl"/>
          </w:rPr>
          <w:t xml:space="preserve"> </w:t>
        </w:r>
      </w:ins>
      <w:r w:rsidR="007927FC" w:rsidRPr="008A106B">
        <w:rPr>
          <w:lang w:val="es-ES_tradnl"/>
        </w:rPr>
        <w:t>dilui</w:t>
      </w:r>
      <w:r>
        <w:rPr>
          <w:lang w:val="es-ES_tradnl"/>
        </w:rPr>
        <w:t>r</w:t>
      </w:r>
      <w:r w:rsidR="007927FC" w:rsidRPr="008A106B">
        <w:rPr>
          <w:lang w:val="es-ES_tradnl"/>
        </w:rPr>
        <w:t xml:space="preserve"> hasta un volumen final de 100 ml con una solución para inyección estéril, apirógena de cloruro sódico, 9 mg/ml (0,9</w:t>
      </w:r>
      <w:del w:id="62" w:author="AUTHOR">
        <w:r w:rsidR="007927FC" w:rsidRPr="008A106B" w:rsidDel="00801229">
          <w:rPr>
            <w:lang w:val="es-ES_tradnl"/>
          </w:rPr>
          <w:delText> </w:delText>
        </w:r>
      </w:del>
      <w:r w:rsidR="007927FC" w:rsidRPr="008A106B">
        <w:rPr>
          <w:lang w:val="es-ES_tradnl"/>
        </w:rPr>
        <w:t>%) mediante una técnica aséptica.</w:t>
      </w:r>
    </w:p>
    <w:p w14:paraId="36A3EC4E" w14:textId="77777777" w:rsidR="007927FC" w:rsidRPr="008A106B" w:rsidRDefault="007927FC" w:rsidP="007927FC">
      <w:pPr>
        <w:rPr>
          <w:lang w:val="es-ES_tradnl"/>
        </w:rPr>
      </w:pPr>
    </w:p>
    <w:p w14:paraId="49AD36F7" w14:textId="714098B1" w:rsidR="007927FC" w:rsidRPr="008A106B" w:rsidRDefault="007927FC" w:rsidP="007927FC">
      <w:pPr>
        <w:rPr>
          <w:lang w:val="es-ES_tradnl"/>
        </w:rPr>
      </w:pPr>
      <w:r w:rsidRPr="008A106B">
        <w:rPr>
          <w:lang w:val="es-ES_tradnl"/>
        </w:rPr>
        <w:t>Para consultar las instrucciones de dilución del medicamento antes de la administración</w:t>
      </w:r>
      <w:ins w:id="63" w:author="AUTHOR">
        <w:r w:rsidR="00F67CA2">
          <w:rPr>
            <w:lang w:val="es-ES_tradnl"/>
          </w:rPr>
          <w:t>,</w:t>
        </w:r>
      </w:ins>
      <w:r w:rsidRPr="008A106B">
        <w:rPr>
          <w:lang w:val="es-ES_tradnl"/>
        </w:rPr>
        <w:t xml:space="preserve"> ver sección</w:t>
      </w:r>
      <w:r w:rsidR="007A583D">
        <w:rPr>
          <w:lang w:val="es-ES_tradnl"/>
        </w:rPr>
        <w:t> </w:t>
      </w:r>
      <w:r w:rsidRPr="008A106B">
        <w:rPr>
          <w:lang w:val="es-ES_tradnl"/>
        </w:rPr>
        <w:t>6.6.</w:t>
      </w:r>
    </w:p>
    <w:p w14:paraId="15227847" w14:textId="77777777" w:rsidR="007927FC" w:rsidRPr="008A106B" w:rsidRDefault="007927FC" w:rsidP="007927FC">
      <w:pPr>
        <w:rPr>
          <w:lang w:val="es-ES_tradnl"/>
        </w:rPr>
      </w:pPr>
    </w:p>
    <w:p w14:paraId="666CE766" w14:textId="2967F48A" w:rsidR="007927FC" w:rsidRDefault="007927FC" w:rsidP="007927FC">
      <w:pPr>
        <w:rPr>
          <w:rFonts w:eastAsia="SimSun"/>
          <w:i/>
          <w:szCs w:val="22"/>
          <w:lang w:val="es-ES_tradnl" w:eastAsia="zh-CN"/>
        </w:rPr>
      </w:pPr>
      <w:r w:rsidRPr="00F30AB8">
        <w:rPr>
          <w:rFonts w:eastAsia="SimSun"/>
          <w:i/>
          <w:szCs w:val="22"/>
          <w:lang w:val="es-ES_tradnl" w:eastAsia="zh-CN"/>
        </w:rPr>
        <w:t>Pacientes con AIJs</w:t>
      </w:r>
      <w:r w:rsidR="007C179B" w:rsidRPr="00F30AB8">
        <w:rPr>
          <w:rFonts w:eastAsia="SimSun"/>
          <w:i/>
          <w:szCs w:val="22"/>
          <w:lang w:val="es-ES_tradnl" w:eastAsia="zh-CN"/>
        </w:rPr>
        <w:t>,</w:t>
      </w:r>
      <w:r w:rsidRPr="00F30AB8">
        <w:rPr>
          <w:rFonts w:eastAsia="SimSun"/>
          <w:i/>
          <w:szCs w:val="22"/>
          <w:lang w:val="es-ES_tradnl" w:eastAsia="zh-CN"/>
        </w:rPr>
        <w:t xml:space="preserve"> con AIJp</w:t>
      </w:r>
      <w:r w:rsidR="007C179B" w:rsidRPr="00F30AB8">
        <w:rPr>
          <w:rFonts w:eastAsia="SimSun"/>
          <w:i/>
          <w:szCs w:val="22"/>
          <w:lang w:val="es-ES_tradnl" w:eastAsia="zh-CN"/>
        </w:rPr>
        <w:t xml:space="preserve"> y con SLC</w:t>
      </w:r>
      <w:r w:rsidRPr="00F30AB8">
        <w:rPr>
          <w:rFonts w:eastAsia="SimSun"/>
          <w:i/>
          <w:szCs w:val="22"/>
          <w:lang w:val="es-ES_tradnl" w:eastAsia="zh-CN"/>
        </w:rPr>
        <w:t xml:space="preserve"> con peso </w:t>
      </w:r>
      <w:r w:rsidR="00FC7F6E">
        <w:rPr>
          <w:rFonts w:eastAsia="SimSun"/>
          <w:i/>
          <w:szCs w:val="22"/>
          <w:lang w:val="es-ES_tradnl" w:eastAsia="zh-CN"/>
        </w:rPr>
        <w:t> </w:t>
      </w:r>
      <w:r w:rsidRPr="00F30AB8">
        <w:rPr>
          <w:rFonts w:eastAsia="SimSun"/>
          <w:i/>
          <w:szCs w:val="22"/>
          <w:lang w:val="es-ES_tradnl" w:eastAsia="zh-CN"/>
        </w:rPr>
        <w:t>&lt;</w:t>
      </w:r>
      <w:del w:id="64" w:author="AUTHOR">
        <w:r w:rsidR="007A583D" w:rsidRPr="00F30AB8" w:rsidDel="00801229">
          <w:rPr>
            <w:rFonts w:eastAsia="SimSun"/>
            <w:i/>
            <w:szCs w:val="22"/>
            <w:lang w:val="es-ES_tradnl" w:eastAsia="zh-CN"/>
          </w:rPr>
          <w:delText> </w:delText>
        </w:r>
      </w:del>
      <w:r w:rsidRPr="00F30AB8">
        <w:rPr>
          <w:rFonts w:eastAsia="SimSun"/>
          <w:i/>
          <w:szCs w:val="22"/>
          <w:lang w:val="es-ES_tradnl" w:eastAsia="zh-CN"/>
        </w:rPr>
        <w:t>30kg</w:t>
      </w:r>
    </w:p>
    <w:p w14:paraId="7AF62950" w14:textId="77777777" w:rsidR="007A583D" w:rsidRPr="00F30AB8" w:rsidRDefault="007A583D" w:rsidP="007927FC">
      <w:pPr>
        <w:rPr>
          <w:rFonts w:eastAsia="SimSun"/>
          <w:i/>
          <w:szCs w:val="22"/>
          <w:lang w:val="es-ES_tradnl" w:eastAsia="zh-CN"/>
        </w:rPr>
      </w:pPr>
    </w:p>
    <w:p w14:paraId="509BEC87" w14:textId="53DCE6B0" w:rsidR="007927FC" w:rsidRPr="00F30AB8" w:rsidRDefault="007A583D" w:rsidP="007927FC">
      <w:pPr>
        <w:rPr>
          <w:rFonts w:eastAsia="SimSun"/>
          <w:szCs w:val="22"/>
          <w:lang w:val="es-ES_tradnl" w:eastAsia="zh-CN"/>
        </w:rPr>
      </w:pPr>
      <w:r>
        <w:rPr>
          <w:rFonts w:eastAsia="SimSun"/>
          <w:szCs w:val="22"/>
          <w:lang w:val="es-ES_tradnl" w:eastAsia="zh-CN"/>
        </w:rPr>
        <w:t xml:space="preserve">Este medicamento se </w:t>
      </w:r>
      <w:r w:rsidR="007927FC" w:rsidRPr="008A106B">
        <w:rPr>
          <w:rFonts w:eastAsia="SimSun"/>
          <w:szCs w:val="22"/>
          <w:lang w:val="es-ES_tradnl" w:eastAsia="zh-CN"/>
        </w:rPr>
        <w:t>debe dilui</w:t>
      </w:r>
      <w:r>
        <w:rPr>
          <w:rFonts w:eastAsia="SimSun"/>
          <w:szCs w:val="22"/>
          <w:lang w:val="es-ES_tradnl" w:eastAsia="zh-CN"/>
        </w:rPr>
        <w:t>r</w:t>
      </w:r>
      <w:r w:rsidR="007927FC" w:rsidRPr="008A106B">
        <w:rPr>
          <w:rFonts w:eastAsia="SimSun"/>
          <w:szCs w:val="22"/>
          <w:lang w:val="es-ES_tradnl" w:eastAsia="zh-CN"/>
        </w:rPr>
        <w:t xml:space="preserve"> a un volumen final de 50</w:t>
      </w:r>
      <w:r>
        <w:rPr>
          <w:rFonts w:eastAsia="SimSun"/>
          <w:szCs w:val="22"/>
          <w:lang w:val="es-ES_tradnl" w:eastAsia="zh-CN"/>
        </w:rPr>
        <w:t> </w:t>
      </w:r>
      <w:r w:rsidR="007927FC" w:rsidRPr="008A106B">
        <w:rPr>
          <w:rFonts w:eastAsia="SimSun"/>
          <w:szCs w:val="22"/>
          <w:lang w:val="es-ES_tradnl" w:eastAsia="zh-CN"/>
        </w:rPr>
        <w:t xml:space="preserve">ml </w:t>
      </w:r>
      <w:r w:rsidR="007927FC" w:rsidRPr="008A106B">
        <w:rPr>
          <w:lang w:val="es-ES_tradnl"/>
        </w:rPr>
        <w:t>con una solución para inyección estéril, apirógena de cloruro sódico, 9 mg/ml (0,9 %) mediante una técnica aséptica.</w:t>
      </w:r>
    </w:p>
    <w:p w14:paraId="08CDEAA9" w14:textId="77777777" w:rsidR="007927FC" w:rsidRPr="008A106B" w:rsidRDefault="007927FC" w:rsidP="007927FC">
      <w:pPr>
        <w:rPr>
          <w:lang w:val="es-ES_tradnl"/>
        </w:rPr>
      </w:pPr>
    </w:p>
    <w:p w14:paraId="7E34A5C3" w14:textId="271CD514" w:rsidR="007927FC" w:rsidRDefault="007927FC" w:rsidP="007927FC">
      <w:pPr>
        <w:rPr>
          <w:ins w:id="65" w:author="tcs" w:date="2026-02-26T10:46:00Z"/>
          <w:lang w:val="es-ES"/>
        </w:rPr>
      </w:pPr>
      <w:r w:rsidRPr="008A106B">
        <w:rPr>
          <w:lang w:val="es-ES_tradnl"/>
        </w:rPr>
        <w:t>Para consultar las instrucciones de dilución del medicamento antes de la administración ver sección</w:t>
      </w:r>
      <w:r w:rsidR="007A583D">
        <w:rPr>
          <w:lang w:val="es-ES_tradnl"/>
        </w:rPr>
        <w:t> </w:t>
      </w:r>
      <w:r w:rsidRPr="008A106B">
        <w:rPr>
          <w:lang w:val="es-ES_tradnl"/>
        </w:rPr>
        <w:t>6.6.</w:t>
      </w:r>
      <w:r w:rsidR="00095A09" w:rsidRPr="004B67DA">
        <w:rPr>
          <w:lang w:val="es-ES"/>
        </w:rPr>
        <w:t xml:space="preserve"> </w:t>
      </w:r>
    </w:p>
    <w:p w14:paraId="18271C96" w14:textId="77777777" w:rsidR="006F20F2" w:rsidRPr="008A106B" w:rsidRDefault="006F20F2" w:rsidP="007927FC">
      <w:pPr>
        <w:rPr>
          <w:rFonts w:eastAsia="SimSun"/>
          <w:szCs w:val="22"/>
          <w:lang w:val="es-ES_tradnl" w:eastAsia="zh-CN"/>
        </w:rPr>
      </w:pPr>
    </w:p>
    <w:p w14:paraId="44C82C24" w14:textId="77777777" w:rsidR="007927FC" w:rsidRPr="008A106B" w:rsidRDefault="007927FC" w:rsidP="007927FC">
      <w:pPr>
        <w:keepNext/>
        <w:keepLines/>
        <w:ind w:left="567" w:hanging="567"/>
        <w:rPr>
          <w:lang w:val="es-ES"/>
        </w:rPr>
      </w:pPr>
      <w:r w:rsidRPr="008A106B">
        <w:rPr>
          <w:b/>
          <w:bCs/>
          <w:lang w:val="es-ES"/>
        </w:rPr>
        <w:lastRenderedPageBreak/>
        <w:t>4.3</w:t>
      </w:r>
      <w:r w:rsidRPr="008A106B">
        <w:rPr>
          <w:b/>
          <w:bCs/>
          <w:lang w:val="es-ES"/>
        </w:rPr>
        <w:tab/>
      </w:r>
      <w:r w:rsidRPr="008A106B">
        <w:rPr>
          <w:b/>
          <w:bCs/>
          <w:lang w:val="es-ES_tradnl"/>
        </w:rPr>
        <w:t>Contraindicaciones</w:t>
      </w:r>
    </w:p>
    <w:p w14:paraId="4E52361F" w14:textId="77777777" w:rsidR="007927FC" w:rsidRPr="008A106B" w:rsidRDefault="007927FC" w:rsidP="007927FC">
      <w:pPr>
        <w:keepNext/>
        <w:keepLines/>
        <w:rPr>
          <w:lang w:val="es-ES"/>
        </w:rPr>
      </w:pPr>
    </w:p>
    <w:p w14:paraId="42F32352" w14:textId="7606E83E" w:rsidR="007927FC" w:rsidRPr="008A106B" w:rsidRDefault="007927FC" w:rsidP="007927FC">
      <w:pPr>
        <w:keepNext/>
        <w:keepLines/>
        <w:rPr>
          <w:lang w:val="es-ES_tradnl"/>
        </w:rPr>
      </w:pPr>
      <w:r w:rsidRPr="008A106B">
        <w:rPr>
          <w:lang w:val="es-ES_tradnl"/>
        </w:rPr>
        <w:t>Hipersensibilidad al principio activo o a alguno de los excipientes incluidos en la sección</w:t>
      </w:r>
      <w:r w:rsidR="00C031B7">
        <w:rPr>
          <w:lang w:val="es-ES_tradnl"/>
        </w:rPr>
        <w:t> </w:t>
      </w:r>
      <w:r w:rsidRPr="008A106B">
        <w:rPr>
          <w:lang w:val="es-ES_tradnl"/>
        </w:rPr>
        <w:t>6.1.</w:t>
      </w:r>
    </w:p>
    <w:p w14:paraId="049ED563" w14:textId="77777777" w:rsidR="007927FC" w:rsidRPr="008A106B" w:rsidRDefault="007927FC" w:rsidP="007927FC">
      <w:pPr>
        <w:keepNext/>
        <w:keepLines/>
        <w:rPr>
          <w:lang w:val="es-ES_tradnl"/>
        </w:rPr>
      </w:pPr>
    </w:p>
    <w:p w14:paraId="5C6CED36" w14:textId="02088997" w:rsidR="007927FC" w:rsidRPr="008A106B" w:rsidRDefault="007927FC" w:rsidP="007927FC">
      <w:pPr>
        <w:keepNext/>
        <w:keepLines/>
        <w:rPr>
          <w:lang w:val="es-ES"/>
        </w:rPr>
      </w:pPr>
      <w:r w:rsidRPr="008A106B">
        <w:rPr>
          <w:lang w:val="es-ES_tradnl"/>
        </w:rPr>
        <w:t xml:space="preserve">Infecciones graves y activas </w:t>
      </w:r>
      <w:r w:rsidR="00D87738">
        <w:rPr>
          <w:lang w:val="es-ES_tradnl"/>
        </w:rPr>
        <w:t>a</w:t>
      </w:r>
      <w:r w:rsidR="00095A09">
        <w:rPr>
          <w:lang w:val="es-ES_tradnl"/>
        </w:rPr>
        <w:t xml:space="preserve"> excepción de COVID-19 </w:t>
      </w:r>
      <w:r w:rsidRPr="008A106B">
        <w:rPr>
          <w:lang w:val="es-ES_tradnl"/>
        </w:rPr>
        <w:t>(ver sección</w:t>
      </w:r>
      <w:r w:rsidR="00C031B7">
        <w:rPr>
          <w:lang w:val="es-ES_tradnl"/>
        </w:rPr>
        <w:t> </w:t>
      </w:r>
      <w:r w:rsidRPr="008A106B">
        <w:rPr>
          <w:lang w:val="es-ES_tradnl"/>
        </w:rPr>
        <w:t>4.4)</w:t>
      </w:r>
      <w:r w:rsidR="004D4C13">
        <w:rPr>
          <w:lang w:val="es-ES_tradnl"/>
        </w:rPr>
        <w:t>.</w:t>
      </w:r>
    </w:p>
    <w:p w14:paraId="59D51DF0" w14:textId="77777777" w:rsidR="007927FC" w:rsidRPr="008A106B" w:rsidRDefault="007927FC" w:rsidP="007927FC">
      <w:pPr>
        <w:keepNext/>
        <w:keepLines/>
        <w:ind w:left="567" w:hanging="567"/>
        <w:outlineLvl w:val="0"/>
        <w:rPr>
          <w:b/>
          <w:lang w:val="es-ES"/>
        </w:rPr>
      </w:pPr>
    </w:p>
    <w:p w14:paraId="5FEA5A8D" w14:textId="77777777" w:rsidR="007927FC" w:rsidRPr="008A106B" w:rsidRDefault="007927FC" w:rsidP="007927FC">
      <w:pPr>
        <w:keepNext/>
        <w:keepLines/>
        <w:ind w:left="567" w:hanging="567"/>
        <w:outlineLvl w:val="0"/>
        <w:rPr>
          <w:b/>
          <w:bCs/>
          <w:lang w:val="es-ES"/>
        </w:rPr>
      </w:pPr>
      <w:r w:rsidRPr="008A106B">
        <w:rPr>
          <w:b/>
          <w:bCs/>
          <w:lang w:val="es-ES"/>
        </w:rPr>
        <w:t>4.4</w:t>
      </w:r>
      <w:r w:rsidRPr="008A106B">
        <w:rPr>
          <w:b/>
          <w:bCs/>
          <w:lang w:val="es-ES"/>
        </w:rPr>
        <w:tab/>
      </w:r>
      <w:r w:rsidRPr="008A106B">
        <w:rPr>
          <w:b/>
          <w:bCs/>
          <w:lang w:val="es-ES_tradnl"/>
        </w:rPr>
        <w:t>Advertencias y precauciones especiales de empleo</w:t>
      </w:r>
    </w:p>
    <w:p w14:paraId="3CA0AF4F" w14:textId="77777777" w:rsidR="007927FC" w:rsidRPr="008A106B" w:rsidRDefault="007927FC" w:rsidP="007927FC">
      <w:pPr>
        <w:ind w:left="567" w:hanging="567"/>
        <w:outlineLvl w:val="0"/>
        <w:rPr>
          <w:b/>
          <w:lang w:val="es-ES"/>
        </w:rPr>
      </w:pPr>
    </w:p>
    <w:p w14:paraId="7B724C9A" w14:textId="77777777" w:rsidR="004D4C13" w:rsidRDefault="004D4C13" w:rsidP="007927FC">
      <w:pPr>
        <w:ind w:left="567" w:hanging="567"/>
        <w:outlineLvl w:val="0"/>
        <w:rPr>
          <w:iCs/>
          <w:u w:val="single"/>
          <w:lang w:val="es-ES_tradnl"/>
        </w:rPr>
      </w:pPr>
      <w:r w:rsidRPr="00F30AB8">
        <w:rPr>
          <w:iCs/>
          <w:u w:val="single"/>
          <w:lang w:val="es-ES_tradnl"/>
        </w:rPr>
        <w:t>Trazabilidad</w:t>
      </w:r>
    </w:p>
    <w:p w14:paraId="6AF1A727" w14:textId="77777777" w:rsidR="00C031B7" w:rsidRPr="00F30AB8" w:rsidRDefault="00C031B7" w:rsidP="007927FC">
      <w:pPr>
        <w:ind w:left="567" w:hanging="567"/>
        <w:outlineLvl w:val="0"/>
        <w:rPr>
          <w:iCs/>
          <w:u w:val="single"/>
          <w:lang w:val="es-ES_tradnl"/>
        </w:rPr>
      </w:pPr>
    </w:p>
    <w:p w14:paraId="53A68312" w14:textId="77777777" w:rsidR="004752A7" w:rsidRDefault="004752A7" w:rsidP="004752A7">
      <w:pPr>
        <w:rPr>
          <w:lang w:val="es-ES_tradnl"/>
        </w:rPr>
      </w:pPr>
      <w:r w:rsidRPr="00FF2AFA">
        <w:rPr>
          <w:lang w:val="es-ES_tradnl"/>
        </w:rPr>
        <w:t xml:space="preserve">Para mejorar la trazabilidad de los medicamentos biológicos, </w:t>
      </w:r>
      <w:r w:rsidR="00EB51B9" w:rsidRPr="00FF2AFA">
        <w:rPr>
          <w:lang w:val="es-ES_tradnl"/>
        </w:rPr>
        <w:t xml:space="preserve">el nombre </w:t>
      </w:r>
      <w:r w:rsidRPr="00FF2AFA">
        <w:rPr>
          <w:lang w:val="es-ES_tradnl"/>
        </w:rPr>
        <w:t xml:space="preserve">del medicamento </w:t>
      </w:r>
      <w:r w:rsidR="007B6ED4" w:rsidRPr="00FF2AFA">
        <w:rPr>
          <w:lang w:val="es-ES_tradnl"/>
        </w:rPr>
        <w:t xml:space="preserve">y el número de lote </w:t>
      </w:r>
      <w:r w:rsidRPr="00FF2AFA">
        <w:rPr>
          <w:lang w:val="es-ES_tradnl"/>
        </w:rPr>
        <w:t>administrado debe estar claramente registrad</w:t>
      </w:r>
      <w:r w:rsidR="008621A5" w:rsidRPr="00FF2AFA">
        <w:rPr>
          <w:lang w:val="es-ES_tradnl"/>
        </w:rPr>
        <w:t>o</w:t>
      </w:r>
      <w:r w:rsidRPr="00FF2AFA">
        <w:rPr>
          <w:lang w:val="es-ES_tradnl"/>
        </w:rPr>
        <w:t xml:space="preserve"> (o declarad</w:t>
      </w:r>
      <w:r w:rsidR="008621A5" w:rsidRPr="00FF2AFA">
        <w:rPr>
          <w:lang w:val="es-ES_tradnl"/>
        </w:rPr>
        <w:t>o</w:t>
      </w:r>
      <w:r w:rsidRPr="00FF2AFA">
        <w:rPr>
          <w:lang w:val="es-ES_tradnl"/>
        </w:rPr>
        <w:t>) en la historia clínica del paciente.</w:t>
      </w:r>
    </w:p>
    <w:p w14:paraId="35FF25C7" w14:textId="77777777" w:rsidR="00095A09" w:rsidRPr="00FF2AFA" w:rsidRDefault="00095A09" w:rsidP="004752A7">
      <w:pPr>
        <w:rPr>
          <w:lang w:val="es-ES_tradnl"/>
        </w:rPr>
      </w:pPr>
    </w:p>
    <w:p w14:paraId="18590DC6" w14:textId="77777777" w:rsidR="004752A7" w:rsidRPr="00F30AB8" w:rsidRDefault="00095A09" w:rsidP="006868F5">
      <w:pPr>
        <w:outlineLvl w:val="0"/>
        <w:rPr>
          <w:iCs/>
          <w:u w:val="single"/>
          <w:lang w:val="es-ES_tradnl"/>
        </w:rPr>
      </w:pPr>
      <w:r w:rsidRPr="00F30AB8">
        <w:rPr>
          <w:iCs/>
          <w:u w:val="single"/>
          <w:lang w:val="es-ES_tradnl"/>
        </w:rPr>
        <w:t>Pacientes con AR, AIJs y AIJp</w:t>
      </w:r>
    </w:p>
    <w:p w14:paraId="2B722D89" w14:textId="77777777" w:rsidR="00095A09" w:rsidRPr="006868F5" w:rsidRDefault="00095A09" w:rsidP="006868F5">
      <w:pPr>
        <w:outlineLvl w:val="0"/>
        <w:rPr>
          <w:iCs/>
          <w:lang w:val="es-ES_tradnl"/>
        </w:rPr>
      </w:pPr>
    </w:p>
    <w:p w14:paraId="5649BAFB" w14:textId="77777777" w:rsidR="007927FC" w:rsidRPr="008A106B" w:rsidRDefault="007927FC" w:rsidP="007927FC">
      <w:pPr>
        <w:ind w:left="567" w:hanging="567"/>
        <w:outlineLvl w:val="0"/>
        <w:rPr>
          <w:lang w:val="es-ES"/>
        </w:rPr>
      </w:pPr>
      <w:r w:rsidRPr="008A106B">
        <w:rPr>
          <w:i/>
          <w:iCs/>
          <w:lang w:val="es-ES_tradnl"/>
        </w:rPr>
        <w:t>Infecciones</w:t>
      </w:r>
      <w:r w:rsidRPr="008A106B">
        <w:rPr>
          <w:i/>
          <w:iCs/>
          <w:lang w:val="es-ES"/>
        </w:rPr>
        <w:t xml:space="preserve"> </w:t>
      </w:r>
    </w:p>
    <w:p w14:paraId="659723B2" w14:textId="628AA608" w:rsidR="007927FC" w:rsidRPr="008A106B" w:rsidRDefault="007927FC" w:rsidP="007927FC">
      <w:pPr>
        <w:rPr>
          <w:lang w:val="es-ES_tradnl"/>
        </w:rPr>
      </w:pPr>
      <w:r w:rsidRPr="008A106B">
        <w:rPr>
          <w:lang w:val="es-ES_tradnl"/>
        </w:rPr>
        <w:t>Se han notificado infecciones graves y en algunos casos mortales en pacientes que reciben agentes inmunosupresores incluido</w:t>
      </w:r>
      <w:r w:rsidR="009F450D">
        <w:rPr>
          <w:lang w:val="es-ES_tradnl"/>
        </w:rPr>
        <w:t xml:space="preserve"> tocilizumab</w:t>
      </w:r>
      <w:r w:rsidRPr="008A106B">
        <w:rPr>
          <w:lang w:val="es-ES_tradnl"/>
        </w:rPr>
        <w:t xml:space="preserve"> (ver sección</w:t>
      </w:r>
      <w:r w:rsidR="009F450D">
        <w:rPr>
          <w:lang w:val="es-ES_tradnl"/>
        </w:rPr>
        <w:t> </w:t>
      </w:r>
      <w:r w:rsidRPr="008A106B">
        <w:rPr>
          <w:lang w:val="es-ES_tradnl"/>
        </w:rPr>
        <w:t>4.8). No debe iniciarse el tratamiento en pacientes con infecciones activas (ver sección 4.3).</w:t>
      </w:r>
      <w:r w:rsidRPr="008A106B">
        <w:rPr>
          <w:lang w:val="es-ES"/>
        </w:rPr>
        <w:t xml:space="preserve"> </w:t>
      </w:r>
      <w:r w:rsidRPr="008A106B">
        <w:rPr>
          <w:lang w:val="es-ES_tradnl"/>
        </w:rPr>
        <w:t xml:space="preserve">Se debe interrumpir la administración de </w:t>
      </w:r>
      <w:del w:id="66" w:author="AUTHOR">
        <w:r w:rsidRPr="008A106B" w:rsidDel="00F67CA2">
          <w:rPr>
            <w:lang w:val="es-ES_tradnl"/>
          </w:rPr>
          <w:delText xml:space="preserve">RoActemra </w:delText>
        </w:r>
      </w:del>
      <w:ins w:id="67" w:author="AUTHOR">
        <w:r w:rsidR="00F67CA2">
          <w:rPr>
            <w:lang w:val="es-ES_tradnl"/>
          </w:rPr>
          <w:t>tocilizumab</w:t>
        </w:r>
        <w:r w:rsidR="00F67CA2" w:rsidRPr="008A106B">
          <w:rPr>
            <w:lang w:val="es-ES_tradnl"/>
          </w:rPr>
          <w:t xml:space="preserve"> </w:t>
        </w:r>
      </w:ins>
      <w:r w:rsidRPr="008A106B">
        <w:rPr>
          <w:lang w:val="es-ES_tradnl"/>
        </w:rPr>
        <w:t>si un paciente desarrolla una infección grave, hasta que la infección esté controlada (ver sección</w:t>
      </w:r>
      <w:r w:rsidR="00142EDD">
        <w:rPr>
          <w:lang w:val="es-ES_tradnl"/>
        </w:rPr>
        <w:t> </w:t>
      </w:r>
      <w:r w:rsidRPr="008A106B">
        <w:rPr>
          <w:lang w:val="es-ES_tradnl"/>
        </w:rPr>
        <w:t>4.8).</w:t>
      </w:r>
      <w:r w:rsidRPr="008A106B">
        <w:rPr>
          <w:lang w:val="es-ES"/>
        </w:rPr>
        <w:t xml:space="preserve"> </w:t>
      </w:r>
      <w:r w:rsidRPr="008A106B">
        <w:rPr>
          <w:lang w:val="es-ES_tradnl"/>
        </w:rPr>
        <w:t xml:space="preserve">Los profesionales sanitarios deben tener precaución cuando consideren el uso de </w:t>
      </w:r>
      <w:r w:rsidR="00142EDD">
        <w:rPr>
          <w:lang w:val="es-ES_tradnl"/>
        </w:rPr>
        <w:t>este medicamento</w:t>
      </w:r>
      <w:r w:rsidRPr="008A106B">
        <w:rPr>
          <w:lang w:val="es-ES_tradnl"/>
        </w:rPr>
        <w:t xml:space="preserve"> en pacientes con un historial de infecciones recurrentes o crónicas o con procesos subyacentes (p. ej., diverticulitis, diabetes y enfermedad pulmonar intersticial) que puedan predisponer a los pacientes a infecciones.</w:t>
      </w:r>
    </w:p>
    <w:p w14:paraId="72414ECF" w14:textId="77777777" w:rsidR="007927FC" w:rsidRPr="008A106B" w:rsidRDefault="007927FC" w:rsidP="007927FC">
      <w:pPr>
        <w:rPr>
          <w:lang w:val="es-ES"/>
        </w:rPr>
      </w:pPr>
    </w:p>
    <w:p w14:paraId="4E7951A9" w14:textId="77777777" w:rsidR="007927FC" w:rsidRPr="008A106B" w:rsidRDefault="007927FC" w:rsidP="007927FC">
      <w:pPr>
        <w:rPr>
          <w:lang w:val="es-ES_tradnl"/>
        </w:rPr>
      </w:pPr>
      <w:r w:rsidRPr="008A106B">
        <w:rPr>
          <w:lang w:val="es-ES_tradnl"/>
        </w:rPr>
        <w:t xml:space="preserve">Se recomienda estar alerta para la detección oportuna de infecciones graves en pacientes que reciben tratamientos biológicos, ya que los signos y síntomas de la inflamación aguda pueden reducirse, debido a la supresión de la reacción de fase aguda. Cuando se evalúe una potencial infección en un paciente hay que tener en cuenta los efectos de tocilizumab sobre la proteína C reactiva (PCR), neutrófilos y los signos y síntomas de la infección. </w:t>
      </w:r>
      <w:r w:rsidRPr="008A106B">
        <w:rPr>
          <w:lang w:val="es-ES"/>
        </w:rPr>
        <w:t xml:space="preserve">Se </w:t>
      </w:r>
      <w:r w:rsidRPr="008A106B">
        <w:rPr>
          <w:lang w:val="es-ES_tradnl"/>
        </w:rPr>
        <w:t>deben dar instrucciones precisas a los pacientes (incluidos niños pequeños con AIJs o AIJp que pueden ser menos capaces de comunicar sus síntomas) y a los padres o cuidadores de los pacientes con AIJs</w:t>
      </w:r>
      <w:r w:rsidR="009A0A07">
        <w:rPr>
          <w:lang w:val="es-ES_tradnl"/>
        </w:rPr>
        <w:t xml:space="preserve"> </w:t>
      </w:r>
      <w:r w:rsidR="00A813E6">
        <w:rPr>
          <w:lang w:val="es-ES_tradnl"/>
        </w:rPr>
        <w:t xml:space="preserve">o </w:t>
      </w:r>
      <w:r w:rsidR="009A0A07">
        <w:rPr>
          <w:lang w:val="es-ES_tradnl"/>
        </w:rPr>
        <w:t>AIJp</w:t>
      </w:r>
      <w:r w:rsidRPr="008A106B">
        <w:rPr>
          <w:lang w:val="es-ES_tradnl"/>
        </w:rPr>
        <w:t xml:space="preserve"> para que contacten inmediatamente con su profesional sanitario cuando aparezca cualquier síntoma que sugiera infección, para asegurar una evaluación rápida y un tratamiento adecuado.</w:t>
      </w:r>
    </w:p>
    <w:p w14:paraId="1F3EA0FB" w14:textId="77777777" w:rsidR="007927FC" w:rsidRPr="008A106B" w:rsidRDefault="007927FC" w:rsidP="007927FC">
      <w:pPr>
        <w:rPr>
          <w:lang w:val="es-ES_tradnl"/>
        </w:rPr>
      </w:pPr>
    </w:p>
    <w:p w14:paraId="40B275D4" w14:textId="77777777" w:rsidR="007927FC" w:rsidRPr="008A106B" w:rsidRDefault="007927FC" w:rsidP="007927FC">
      <w:pPr>
        <w:rPr>
          <w:i/>
          <w:lang w:val="es-ES_tradnl"/>
        </w:rPr>
      </w:pPr>
      <w:r w:rsidRPr="008A106B">
        <w:rPr>
          <w:i/>
          <w:lang w:val="es-ES_tradnl"/>
        </w:rPr>
        <w:t>Tuberculosis</w:t>
      </w:r>
      <w:r w:rsidR="0076740E">
        <w:rPr>
          <w:i/>
          <w:lang w:val="es-ES_tradnl"/>
        </w:rPr>
        <w:t xml:space="preserve"> (TB)</w:t>
      </w:r>
    </w:p>
    <w:p w14:paraId="195F2C25" w14:textId="02219F06" w:rsidR="007927FC" w:rsidRPr="008A106B" w:rsidRDefault="007927FC" w:rsidP="007927FC">
      <w:pPr>
        <w:rPr>
          <w:lang w:val="es-ES_tradnl"/>
        </w:rPr>
      </w:pPr>
      <w:r w:rsidRPr="008A106B">
        <w:rPr>
          <w:lang w:val="es-ES_tradnl"/>
        </w:rPr>
        <w:t>Al igual que en otros tratamientos de artritis reumatoide</w:t>
      </w:r>
      <w:r w:rsidR="009A0A07">
        <w:rPr>
          <w:lang w:val="es-ES_tradnl"/>
        </w:rPr>
        <w:t>,</w:t>
      </w:r>
      <w:r w:rsidRPr="008A106B">
        <w:rPr>
          <w:lang w:val="es-ES_tradnl"/>
        </w:rPr>
        <w:t xml:space="preserve"> AIJs y AIJp con tratamientos biológicos, se recomienda realizar a los pacientes un cribado de infección latente de</w:t>
      </w:r>
      <w:r w:rsidR="0076740E">
        <w:rPr>
          <w:lang w:val="es-ES_tradnl"/>
        </w:rPr>
        <w:t xml:space="preserve"> </w:t>
      </w:r>
      <w:del w:id="68" w:author="AUTHOR">
        <w:r w:rsidR="0076740E" w:rsidDel="00F67CA2">
          <w:rPr>
            <w:lang w:val="es-ES_tradnl"/>
          </w:rPr>
          <w:delText>TB</w:delText>
        </w:r>
        <w:r w:rsidRPr="008A106B" w:rsidDel="00F67CA2">
          <w:rPr>
            <w:lang w:val="es-ES_tradnl"/>
          </w:rPr>
          <w:delText xml:space="preserve"> </w:delText>
        </w:r>
      </w:del>
      <w:r w:rsidR="0076740E">
        <w:rPr>
          <w:lang w:val="es-ES_tradnl"/>
        </w:rPr>
        <w:t>TB</w:t>
      </w:r>
      <w:r w:rsidRPr="008A106B">
        <w:rPr>
          <w:lang w:val="es-ES_tradnl"/>
        </w:rPr>
        <w:t xml:space="preserve"> antes de comenzar el tratamiento con </w:t>
      </w:r>
      <w:r w:rsidR="0076740E">
        <w:rPr>
          <w:lang w:val="es-ES_tradnl"/>
        </w:rPr>
        <w:t>tocilicumab</w:t>
      </w:r>
      <w:r w:rsidRPr="008A106B">
        <w:rPr>
          <w:lang w:val="es-ES_tradnl"/>
        </w:rPr>
        <w:t>.</w:t>
      </w:r>
      <w:r w:rsidRPr="008A106B">
        <w:rPr>
          <w:lang w:val="es-ES"/>
        </w:rPr>
        <w:t xml:space="preserve"> </w:t>
      </w:r>
      <w:r w:rsidRPr="008A106B">
        <w:rPr>
          <w:lang w:val="es-ES_tradnl"/>
        </w:rPr>
        <w:t xml:space="preserve">Los pacientes con </w:t>
      </w:r>
      <w:r w:rsidR="0076740E">
        <w:rPr>
          <w:lang w:val="es-ES_tradnl"/>
        </w:rPr>
        <w:t>TB</w:t>
      </w:r>
      <w:r w:rsidR="0076740E" w:rsidRPr="008A106B">
        <w:rPr>
          <w:lang w:val="es-ES_tradnl"/>
        </w:rPr>
        <w:t xml:space="preserve"> </w:t>
      </w:r>
      <w:r w:rsidRPr="008A106B">
        <w:rPr>
          <w:lang w:val="es-ES_tradnl"/>
        </w:rPr>
        <w:t>latente deben recibir tratamiento estándar con antimicobacteriano antes de comenzar el tratamiento.</w:t>
      </w:r>
      <w:r w:rsidRPr="008A106B">
        <w:rPr>
          <w:lang w:val="es-ES"/>
        </w:rPr>
        <w:t xml:space="preserve"> Los profesionales sanitarios deben recordar el riesgo que existe de falsos negativos al realizar la prueba cutánea de la tuberculina </w:t>
      </w:r>
      <w:r w:rsidRPr="008A106B">
        <w:rPr>
          <w:lang w:val="es-ES_tradnl"/>
        </w:rPr>
        <w:t>y la detección del gamma interferón, especialmente en pacientes que están gravemente enfermos o inmunodeprimidos.</w:t>
      </w:r>
    </w:p>
    <w:p w14:paraId="732D5105" w14:textId="77777777" w:rsidR="007927FC" w:rsidRPr="008A106B" w:rsidRDefault="007927FC" w:rsidP="007927FC">
      <w:pPr>
        <w:rPr>
          <w:lang w:val="es-ES_tradnl"/>
        </w:rPr>
      </w:pPr>
    </w:p>
    <w:p w14:paraId="2C8A14E5" w14:textId="0E08D837" w:rsidR="007927FC" w:rsidRPr="008A106B" w:rsidRDefault="007927FC" w:rsidP="007927FC">
      <w:pPr>
        <w:rPr>
          <w:lang w:val="es-ES"/>
        </w:rPr>
      </w:pPr>
      <w:r w:rsidRPr="008A106B">
        <w:rPr>
          <w:lang w:val="es-ES_tradnl"/>
        </w:rPr>
        <w:t xml:space="preserve">Se debe dar instrucciones a los pacientes para que acudan al médico si se presentan signos y síntomas (por ejemplo, tos persistente, debilidad / pérdida de peso, fiebre baja) que puedan sugerir una infección por tuberculosis, se produzca durante o después del tratamiento con </w:t>
      </w:r>
      <w:r w:rsidR="0076740E">
        <w:rPr>
          <w:lang w:val="es-ES_tradnl"/>
        </w:rPr>
        <w:t>este medicamento</w:t>
      </w:r>
      <w:r w:rsidRPr="008A106B">
        <w:rPr>
          <w:lang w:val="es-ES_tradnl"/>
        </w:rPr>
        <w:t>.</w:t>
      </w:r>
    </w:p>
    <w:p w14:paraId="48505435" w14:textId="77777777" w:rsidR="007927FC" w:rsidRPr="008A106B" w:rsidRDefault="007927FC" w:rsidP="007927FC">
      <w:pPr>
        <w:rPr>
          <w:lang w:val="es-ES"/>
        </w:rPr>
      </w:pPr>
    </w:p>
    <w:p w14:paraId="4CBB45E0" w14:textId="77777777" w:rsidR="007927FC" w:rsidRPr="008A106B" w:rsidRDefault="007927FC" w:rsidP="007927FC">
      <w:pPr>
        <w:rPr>
          <w:i/>
          <w:lang w:val="es-ES"/>
        </w:rPr>
      </w:pPr>
      <w:r w:rsidRPr="008A106B">
        <w:rPr>
          <w:i/>
          <w:lang w:val="es-ES"/>
        </w:rPr>
        <w:t xml:space="preserve">Reactivación viral </w:t>
      </w:r>
    </w:p>
    <w:p w14:paraId="47748D4C" w14:textId="2EFA4107" w:rsidR="007927FC" w:rsidRPr="008A106B" w:rsidRDefault="007927FC" w:rsidP="007927FC">
      <w:pPr>
        <w:rPr>
          <w:rFonts w:eastAsia="SimSun"/>
          <w:lang w:val="es-ES" w:eastAsia="zh-CN"/>
        </w:rPr>
      </w:pPr>
      <w:r w:rsidRPr="008A106B">
        <w:rPr>
          <w:rFonts w:eastAsia="SimSun"/>
          <w:lang w:val="es-ES" w:eastAsia="zh-CN"/>
        </w:rPr>
        <w:t xml:space="preserve">Se ha notificado reactivación viral (por </w:t>
      </w:r>
      <w:r w:rsidR="001A5921" w:rsidRPr="008A106B">
        <w:rPr>
          <w:rFonts w:eastAsia="SimSun"/>
          <w:lang w:val="es-ES" w:eastAsia="zh-CN"/>
        </w:rPr>
        <w:t>ejemplo,</w:t>
      </w:r>
      <w:r w:rsidRPr="008A106B">
        <w:rPr>
          <w:rFonts w:eastAsia="SimSun"/>
          <w:lang w:val="es-ES" w:eastAsia="zh-CN"/>
        </w:rPr>
        <w:t xml:space="preserve"> virus de la hepatitis B) en pacientes con AR que estaban en tratamiento con terapias biológicas. En los ensayos clínicos con tocilizumab, se excluyeron los pacientes con </w:t>
      </w:r>
      <w:del w:id="69" w:author="AUTHOR">
        <w:r w:rsidRPr="008A106B" w:rsidDel="00F67CA2">
          <w:rPr>
            <w:rFonts w:eastAsia="SimSun"/>
            <w:lang w:val="es-ES" w:eastAsia="zh-CN"/>
          </w:rPr>
          <w:delText xml:space="preserve">screening </w:delText>
        </w:r>
      </w:del>
      <w:ins w:id="70" w:author="AUTHOR">
        <w:r w:rsidR="00F67CA2">
          <w:rPr>
            <w:rFonts w:eastAsia="SimSun"/>
            <w:lang w:val="es-ES" w:eastAsia="zh-CN"/>
          </w:rPr>
          <w:t>resultado</w:t>
        </w:r>
        <w:r w:rsidR="00F67CA2" w:rsidRPr="008A106B">
          <w:rPr>
            <w:rFonts w:eastAsia="SimSun"/>
            <w:lang w:val="es-ES" w:eastAsia="zh-CN"/>
          </w:rPr>
          <w:t xml:space="preserve"> </w:t>
        </w:r>
      </w:ins>
      <w:r w:rsidRPr="008A106B">
        <w:rPr>
          <w:rFonts w:eastAsia="SimSun"/>
          <w:lang w:val="es-ES" w:eastAsia="zh-CN"/>
        </w:rPr>
        <w:t>positivo para hepatitis.</w:t>
      </w:r>
    </w:p>
    <w:p w14:paraId="5D5D7E2A" w14:textId="77777777" w:rsidR="007927FC" w:rsidRPr="008A106B" w:rsidRDefault="007927FC" w:rsidP="007927FC">
      <w:pPr>
        <w:autoSpaceDE w:val="0"/>
        <w:autoSpaceDN w:val="0"/>
        <w:adjustRightInd w:val="0"/>
        <w:rPr>
          <w:rFonts w:ascii="TimesNewRomanPSMT" w:eastAsia="SimSun" w:hAnsi="TimesNewRomanPSMT" w:cs="TimesNewRomanPSMT"/>
          <w:sz w:val="21"/>
          <w:szCs w:val="21"/>
          <w:lang w:val="es-ES" w:eastAsia="zh-CN"/>
        </w:rPr>
      </w:pPr>
    </w:p>
    <w:p w14:paraId="66BDFE20" w14:textId="77777777" w:rsidR="007927FC" w:rsidRPr="008A106B" w:rsidRDefault="007927FC" w:rsidP="00484513">
      <w:pPr>
        <w:keepNext/>
        <w:keepLines/>
        <w:rPr>
          <w:i/>
          <w:iCs/>
          <w:lang w:val="es-ES"/>
        </w:rPr>
      </w:pPr>
      <w:r w:rsidRPr="008A106B">
        <w:rPr>
          <w:i/>
          <w:iCs/>
          <w:lang w:val="es-ES_tradnl"/>
        </w:rPr>
        <w:lastRenderedPageBreak/>
        <w:t>Complicaciones de la diverticulitis</w:t>
      </w:r>
    </w:p>
    <w:p w14:paraId="21CB0EE8" w14:textId="1183D8A1" w:rsidR="007927FC" w:rsidRPr="008A106B" w:rsidRDefault="007927FC" w:rsidP="00484513">
      <w:pPr>
        <w:keepNext/>
        <w:keepLines/>
        <w:rPr>
          <w:lang w:val="es-ES"/>
        </w:rPr>
      </w:pPr>
      <w:r w:rsidRPr="008A106B">
        <w:rPr>
          <w:lang w:val="es-ES_tradnl"/>
        </w:rPr>
        <w:t>Se han notificado casos poco frecuentes de perforaciones diverticulares como complicaciones de una diverticulitis.</w:t>
      </w:r>
      <w:r w:rsidRPr="008A106B">
        <w:rPr>
          <w:lang w:val="es-ES"/>
        </w:rPr>
        <w:t xml:space="preserve"> </w:t>
      </w:r>
      <w:r w:rsidR="0076740E">
        <w:rPr>
          <w:lang w:val="es-ES"/>
        </w:rPr>
        <w:t>tocilizumab</w:t>
      </w:r>
      <w:r w:rsidRPr="008A106B">
        <w:rPr>
          <w:lang w:val="es-ES_tradnl"/>
        </w:rPr>
        <w:t xml:space="preserve"> en pacientes con AR (ver sección</w:t>
      </w:r>
      <w:r w:rsidR="0076740E">
        <w:rPr>
          <w:lang w:val="es-ES_tradnl"/>
        </w:rPr>
        <w:t> </w:t>
      </w:r>
      <w:r w:rsidRPr="008A106B">
        <w:rPr>
          <w:lang w:val="es-ES_tradnl"/>
        </w:rPr>
        <w:t>4.8)</w:t>
      </w:r>
      <w:r w:rsidR="00107DD7">
        <w:rPr>
          <w:lang w:val="es-ES_tradnl"/>
        </w:rPr>
        <w:t>. Este medicamento</w:t>
      </w:r>
      <w:ins w:id="71" w:author="AUTHOR">
        <w:r w:rsidR="00F67CA2">
          <w:rPr>
            <w:lang w:val="es-ES_tradnl"/>
          </w:rPr>
          <w:t xml:space="preserve"> </w:t>
        </w:r>
      </w:ins>
      <w:r w:rsidRPr="008A106B">
        <w:rPr>
          <w:lang w:val="es-ES_tradnl"/>
        </w:rPr>
        <w:t>debe utilizarse con precaución en pacientes con antecedentes de ulceración intestinal o diverticulitis.</w:t>
      </w:r>
      <w:r w:rsidRPr="008A106B">
        <w:rPr>
          <w:lang w:val="es-ES"/>
        </w:rPr>
        <w:t xml:space="preserve"> </w:t>
      </w:r>
      <w:r w:rsidRPr="008A106B">
        <w:rPr>
          <w:lang w:val="es-ES_tradnl"/>
        </w:rPr>
        <w:t>Los pacientes que presenten síntomas potencialmente indicativos de diverticulitis complicada, como dolor abdominal, hemorragia y/o cambio inexplicado en los hábitos intestinales con fiebre deben ser evaluados rápidamente para la identificación precoz de diverticulitis, que puede asociarse con perforación gastrointestinal.</w:t>
      </w:r>
    </w:p>
    <w:p w14:paraId="0607A8BC" w14:textId="77777777" w:rsidR="007927FC" w:rsidRPr="00376697" w:rsidRDefault="007927FC" w:rsidP="00484513">
      <w:pPr>
        <w:keepNext/>
        <w:keepLines/>
        <w:ind w:left="567" w:hanging="567"/>
        <w:outlineLvl w:val="0"/>
        <w:rPr>
          <w:bCs/>
          <w:lang w:val="es-ES"/>
        </w:rPr>
      </w:pPr>
    </w:p>
    <w:p w14:paraId="6EE0EE97" w14:textId="77777777" w:rsidR="007927FC" w:rsidRPr="008A106B" w:rsidRDefault="007927FC" w:rsidP="00484513">
      <w:pPr>
        <w:keepNext/>
        <w:keepLines/>
        <w:ind w:left="561" w:hanging="561"/>
        <w:outlineLvl w:val="0"/>
        <w:rPr>
          <w:i/>
          <w:iCs/>
          <w:lang w:val="es-ES"/>
        </w:rPr>
      </w:pPr>
      <w:r w:rsidRPr="008A106B">
        <w:rPr>
          <w:i/>
          <w:iCs/>
          <w:lang w:val="es-ES_tradnl"/>
        </w:rPr>
        <w:t>Reacciones de hipersensibilidad</w:t>
      </w:r>
    </w:p>
    <w:p w14:paraId="462DFCD5" w14:textId="61BE1F51" w:rsidR="007927FC" w:rsidRPr="008A106B" w:rsidRDefault="007927FC" w:rsidP="00484513">
      <w:pPr>
        <w:keepNext/>
        <w:keepLines/>
        <w:rPr>
          <w:lang w:val="es-ES"/>
        </w:rPr>
      </w:pPr>
      <w:r w:rsidRPr="008A106B">
        <w:rPr>
          <w:lang w:val="es-ES_tradnl"/>
        </w:rPr>
        <w:t xml:space="preserve">Se han notificado reacciones de hipersensibilidad graves asociadas a la perfusión de </w:t>
      </w:r>
      <w:r w:rsidR="00107DD7">
        <w:rPr>
          <w:lang w:val="es-ES_tradnl"/>
        </w:rPr>
        <w:t>tocilizumab</w:t>
      </w:r>
      <w:r w:rsidR="00107DD7" w:rsidRPr="008A106B">
        <w:rPr>
          <w:lang w:val="es-ES_tradnl"/>
        </w:rPr>
        <w:t xml:space="preserve"> </w:t>
      </w:r>
      <w:r w:rsidRPr="008A106B">
        <w:rPr>
          <w:lang w:val="es-ES_tradnl"/>
        </w:rPr>
        <w:t>(ver sección</w:t>
      </w:r>
      <w:r w:rsidR="00107DD7">
        <w:rPr>
          <w:lang w:val="es-ES_tradnl"/>
        </w:rPr>
        <w:t> </w:t>
      </w:r>
      <w:r w:rsidRPr="008A106B">
        <w:rPr>
          <w:lang w:val="es-ES_tradnl"/>
        </w:rPr>
        <w:t>4.8).</w:t>
      </w:r>
      <w:r w:rsidRPr="008A106B">
        <w:rPr>
          <w:lang w:val="es-ES"/>
        </w:rPr>
        <w:t xml:space="preserve"> </w:t>
      </w:r>
      <w:r w:rsidRPr="008A106B">
        <w:rPr>
          <w:lang w:val="es-ES_tradnl"/>
        </w:rPr>
        <w:t>Estas reacciones pueden ser más graves y potencialmente mortales en pacientes que han experimentado reacciones de hipersensibilidad durante perfusiones previas, incluso si han recibido premedicación con esteroides y antihistamínicos. Debe estar disponible un tratamiento adecuado para su uso inmediato en el caso de que se produjese una reacción anafiláctica durante el tratamiento</w:t>
      </w:r>
      <w:del w:id="72" w:author="AUTHOR">
        <w:r w:rsidRPr="008A106B" w:rsidDel="00F67CA2">
          <w:rPr>
            <w:lang w:val="es-ES_tradnl"/>
          </w:rPr>
          <w:delText xml:space="preserve"> de </w:delText>
        </w:r>
        <w:r w:rsidR="00107DD7" w:rsidDel="00F67CA2">
          <w:rPr>
            <w:lang w:val="es-ES_tradnl"/>
          </w:rPr>
          <w:delText>tocilizumab</w:delText>
        </w:r>
      </w:del>
      <w:r w:rsidRPr="008A106B">
        <w:rPr>
          <w:lang w:val="es-ES_tradnl"/>
        </w:rPr>
        <w:t xml:space="preserve">. Si se produce una reacción anafiláctica u otra hipersensibilidad grave/reacción grave relacionada con la perfusión, el </w:t>
      </w:r>
      <w:proofErr w:type="gramStart"/>
      <w:r w:rsidRPr="008A106B">
        <w:rPr>
          <w:lang w:val="es-ES_tradnl"/>
        </w:rPr>
        <w:t>tratamiento  debe</w:t>
      </w:r>
      <w:proofErr w:type="gramEnd"/>
      <w:r w:rsidRPr="008A106B">
        <w:rPr>
          <w:lang w:val="es-ES_tradnl"/>
        </w:rPr>
        <w:t xml:space="preserve"> interrumpirse inmediatamente y ser suspendido definitivamente</w:t>
      </w:r>
      <w:r w:rsidR="00CA5600">
        <w:rPr>
          <w:lang w:val="es-ES_tradnl"/>
        </w:rPr>
        <w:t>.</w:t>
      </w:r>
    </w:p>
    <w:p w14:paraId="6D495975" w14:textId="77777777" w:rsidR="007927FC" w:rsidRPr="008A106B" w:rsidRDefault="007927FC" w:rsidP="007927FC">
      <w:pPr>
        <w:ind w:left="567" w:hanging="567"/>
        <w:outlineLvl w:val="0"/>
        <w:rPr>
          <w:i/>
          <w:iCs/>
          <w:lang w:val="es-ES_tradnl"/>
        </w:rPr>
      </w:pPr>
    </w:p>
    <w:p w14:paraId="31F9D4CA" w14:textId="77777777" w:rsidR="007927FC" w:rsidRPr="008A106B" w:rsidRDefault="007927FC" w:rsidP="007927FC">
      <w:pPr>
        <w:ind w:left="567" w:hanging="567"/>
        <w:outlineLvl w:val="0"/>
        <w:rPr>
          <w:i/>
          <w:iCs/>
          <w:lang w:val="es-ES"/>
        </w:rPr>
      </w:pPr>
      <w:r w:rsidRPr="008A106B">
        <w:rPr>
          <w:i/>
          <w:iCs/>
          <w:lang w:val="es-ES_tradnl"/>
        </w:rPr>
        <w:t>Enfermedad hepática activa e insuficiencia hepática</w:t>
      </w:r>
    </w:p>
    <w:p w14:paraId="586529D0" w14:textId="1C44A684" w:rsidR="007927FC" w:rsidRPr="008A106B" w:rsidRDefault="007927FC" w:rsidP="007927FC">
      <w:pPr>
        <w:rPr>
          <w:lang w:val="es-ES"/>
        </w:rPr>
      </w:pPr>
      <w:r w:rsidRPr="008A106B">
        <w:rPr>
          <w:lang w:val="es-ES_tradnl"/>
        </w:rPr>
        <w:t xml:space="preserve">El tratamiento con </w:t>
      </w:r>
      <w:r w:rsidR="00107DD7">
        <w:rPr>
          <w:lang w:val="es-ES_tradnl"/>
        </w:rPr>
        <w:t>tocilizumab</w:t>
      </w:r>
      <w:r w:rsidRPr="008A106B">
        <w:rPr>
          <w:lang w:val="es-ES_tradnl"/>
        </w:rPr>
        <w:t>, especialmente cuando se administra simultáneamente con MTX, puede estar asociado a elevaciones de las transaminasas hepáticas, por tanto, debe tenerse precaución al valorar el tratamiento de pacientes con enfermedad hepática activa o insuficiencia hepática, (ver sección</w:t>
      </w:r>
      <w:r w:rsidR="00107DD7">
        <w:rPr>
          <w:lang w:val="es-ES_tradnl"/>
        </w:rPr>
        <w:t> </w:t>
      </w:r>
      <w:r w:rsidRPr="008A106B">
        <w:rPr>
          <w:lang w:val="es-ES_tradnl"/>
        </w:rPr>
        <w:t>4.2 y 4.8).</w:t>
      </w:r>
    </w:p>
    <w:p w14:paraId="3C020800" w14:textId="77777777" w:rsidR="007927FC" w:rsidRPr="008A106B" w:rsidRDefault="007927FC" w:rsidP="007927FC">
      <w:pPr>
        <w:rPr>
          <w:lang w:val="es-ES"/>
        </w:rPr>
      </w:pPr>
    </w:p>
    <w:p w14:paraId="34F9B002" w14:textId="77777777" w:rsidR="007927FC" w:rsidRPr="008A106B" w:rsidRDefault="009F0D74" w:rsidP="007927FC">
      <w:pPr>
        <w:rPr>
          <w:i/>
          <w:iCs/>
          <w:lang w:val="es-ES"/>
        </w:rPr>
      </w:pPr>
      <w:r>
        <w:rPr>
          <w:i/>
          <w:iCs/>
          <w:lang w:val="es-ES_tradnl"/>
        </w:rPr>
        <w:t>Hepatotoxicidad</w:t>
      </w:r>
    </w:p>
    <w:p w14:paraId="69E2058E" w14:textId="2C4C2A94" w:rsidR="007927FC" w:rsidRDefault="009F0D74" w:rsidP="007927FC">
      <w:pPr>
        <w:rPr>
          <w:lang w:val="es-ES_tradnl"/>
        </w:rPr>
      </w:pPr>
      <w:r>
        <w:rPr>
          <w:lang w:val="es-ES_tradnl"/>
        </w:rPr>
        <w:t>S</w:t>
      </w:r>
      <w:r w:rsidR="007927FC" w:rsidRPr="008A106B">
        <w:rPr>
          <w:lang w:val="es-ES_tradnl"/>
        </w:rPr>
        <w:t xml:space="preserve">e han notificado frecuentemente elevaciones leves y moderadas transitorias o intermitentes de las transaminasas hepáticas con el tratamiento con </w:t>
      </w:r>
      <w:r w:rsidR="00107DD7">
        <w:rPr>
          <w:lang w:val="es-ES_tradnl"/>
        </w:rPr>
        <w:t>tocilizumab</w:t>
      </w:r>
      <w:r w:rsidR="00107DD7" w:rsidRPr="008A106B">
        <w:rPr>
          <w:lang w:val="es-ES_tradnl"/>
        </w:rPr>
        <w:t xml:space="preserve"> </w:t>
      </w:r>
      <w:r w:rsidR="007927FC" w:rsidRPr="008A106B">
        <w:rPr>
          <w:lang w:val="es-ES_tradnl"/>
        </w:rPr>
        <w:t>(ver sección</w:t>
      </w:r>
      <w:r w:rsidR="00107DD7">
        <w:rPr>
          <w:lang w:val="es-ES_tradnl"/>
        </w:rPr>
        <w:t> </w:t>
      </w:r>
      <w:r w:rsidR="007927FC" w:rsidRPr="008A106B">
        <w:rPr>
          <w:lang w:val="es-ES_tradnl"/>
        </w:rPr>
        <w:t>4.8).</w:t>
      </w:r>
      <w:r w:rsidR="007927FC" w:rsidRPr="008A106B">
        <w:rPr>
          <w:lang w:val="es-ES"/>
        </w:rPr>
        <w:t xml:space="preserve"> </w:t>
      </w:r>
      <w:r w:rsidR="007927FC" w:rsidRPr="008A106B">
        <w:rPr>
          <w:lang w:val="es-ES_tradnl"/>
        </w:rPr>
        <w:t xml:space="preserve">Se observó un aumento de la frecuencia de estas elevaciones cuando se usaron </w:t>
      </w:r>
      <w:r w:rsidR="00107DD7">
        <w:rPr>
          <w:lang w:val="es-ES_tradnl"/>
        </w:rPr>
        <w:t>estos medicamentos</w:t>
      </w:r>
      <w:r w:rsidR="007A207C">
        <w:rPr>
          <w:lang w:val="es-ES_tradnl"/>
        </w:rPr>
        <w:t>, los cuales son conocidos por producir</w:t>
      </w:r>
      <w:r w:rsidR="007927FC" w:rsidRPr="008A106B">
        <w:rPr>
          <w:lang w:val="es-ES_tradnl"/>
        </w:rPr>
        <w:t xml:space="preserve"> hepatot</w:t>
      </w:r>
      <w:r w:rsidR="00CA5600">
        <w:rPr>
          <w:lang w:val="es-ES_tradnl"/>
        </w:rPr>
        <w:t>o</w:t>
      </w:r>
      <w:r w:rsidR="007927FC" w:rsidRPr="008A106B">
        <w:rPr>
          <w:lang w:val="es-ES_tradnl"/>
        </w:rPr>
        <w:t>xic</w:t>
      </w:r>
      <w:r w:rsidR="007A207C">
        <w:rPr>
          <w:lang w:val="es-ES_tradnl"/>
        </w:rPr>
        <w:t>idad</w:t>
      </w:r>
      <w:r w:rsidR="007927FC" w:rsidRPr="008A106B">
        <w:rPr>
          <w:lang w:val="es-ES_tradnl"/>
        </w:rPr>
        <w:t xml:space="preserve"> (p. ej., MTX) en combinación con </w:t>
      </w:r>
      <w:r w:rsidR="00107DD7">
        <w:rPr>
          <w:lang w:val="es-ES_tradnl"/>
        </w:rPr>
        <w:t>tocilizumab</w:t>
      </w:r>
      <w:r w:rsidR="007927FC" w:rsidRPr="008A106B">
        <w:rPr>
          <w:lang w:val="es-ES_tradnl"/>
        </w:rPr>
        <w:t>. Se debe considerar realizar otras pruebas hepáticas, incluida bilirrubina, cuando est</w:t>
      </w:r>
      <w:del w:id="73" w:author="AUTHOR">
        <w:r w:rsidR="007927FC" w:rsidRPr="008A106B" w:rsidDel="00F67CA2">
          <w:rPr>
            <w:lang w:val="es-ES_tradnl"/>
          </w:rPr>
          <w:delText>e</w:delText>
        </w:r>
      </w:del>
      <w:ins w:id="74" w:author="AUTHOR">
        <w:r w:rsidR="00F67CA2">
          <w:rPr>
            <w:lang w:val="es-ES_tradnl"/>
          </w:rPr>
          <w:t>é</w:t>
        </w:r>
      </w:ins>
      <w:r w:rsidR="007927FC" w:rsidRPr="008A106B">
        <w:rPr>
          <w:lang w:val="es-ES_tradnl"/>
        </w:rPr>
        <w:t xml:space="preserve"> clínicamente indicado</w:t>
      </w:r>
      <w:r w:rsidR="003E4062">
        <w:rPr>
          <w:lang w:val="es-ES_tradnl"/>
        </w:rPr>
        <w:t>.</w:t>
      </w:r>
    </w:p>
    <w:p w14:paraId="1EFC07B5" w14:textId="77777777" w:rsidR="009F0D74" w:rsidRDefault="009F0D74" w:rsidP="007927FC">
      <w:pPr>
        <w:rPr>
          <w:lang w:val="es-ES_tradnl"/>
        </w:rPr>
      </w:pPr>
    </w:p>
    <w:p w14:paraId="45C06C8A" w14:textId="345FCC01" w:rsidR="009F0D74" w:rsidRPr="008A106B" w:rsidRDefault="009F0D74" w:rsidP="007927FC">
      <w:pPr>
        <w:rPr>
          <w:lang w:val="es-ES"/>
        </w:rPr>
      </w:pPr>
      <w:r>
        <w:rPr>
          <w:lang w:val="es-ES_tradnl"/>
        </w:rPr>
        <w:t xml:space="preserve">Se han observado casos graves de daño hepático, incluyendo fallo hepático agudo, hepatitis e ictericia con </w:t>
      </w:r>
      <w:r w:rsidR="00107DD7">
        <w:rPr>
          <w:lang w:val="es-ES_tradnl"/>
        </w:rPr>
        <w:t xml:space="preserve">tocilizumab </w:t>
      </w:r>
      <w:r>
        <w:rPr>
          <w:lang w:val="es-ES_tradnl"/>
        </w:rPr>
        <w:t>(ver sección</w:t>
      </w:r>
      <w:r w:rsidR="00107DD7">
        <w:rPr>
          <w:lang w:val="es-ES_tradnl"/>
        </w:rPr>
        <w:t> </w:t>
      </w:r>
      <w:r>
        <w:rPr>
          <w:lang w:val="es-ES_tradnl"/>
        </w:rPr>
        <w:t>4.8). El daño hepático grave ocurrió entre 2</w:t>
      </w:r>
      <w:r w:rsidR="00107DD7">
        <w:rPr>
          <w:lang w:val="es-ES_tradnl"/>
        </w:rPr>
        <w:t> </w:t>
      </w:r>
      <w:r>
        <w:rPr>
          <w:lang w:val="es-ES_tradnl"/>
        </w:rPr>
        <w:t>semanas hasta más de 5</w:t>
      </w:r>
      <w:r w:rsidR="00107DD7">
        <w:rPr>
          <w:lang w:val="es-ES_tradnl"/>
        </w:rPr>
        <w:t> </w:t>
      </w:r>
      <w:r>
        <w:rPr>
          <w:lang w:val="es-ES_tradnl"/>
        </w:rPr>
        <w:t xml:space="preserve">años después de iniciar </w:t>
      </w:r>
      <w:r w:rsidR="00107DD7">
        <w:rPr>
          <w:lang w:val="es-ES_tradnl"/>
        </w:rPr>
        <w:t>el tratamiento</w:t>
      </w:r>
      <w:r w:rsidR="00C468AC">
        <w:rPr>
          <w:lang w:val="es-ES_tradnl"/>
        </w:rPr>
        <w:t xml:space="preserve">. Se han notificado </w:t>
      </w:r>
      <w:r w:rsidR="00FD186B">
        <w:rPr>
          <w:lang w:val="es-ES_tradnl"/>
        </w:rPr>
        <w:t>casos de fallo hepático que han precisado trasplante hepático. Aconseje a los pacientes que soliciten asistencia médica inmediata si experimentan signos y síntomas de fallo hepático.</w:t>
      </w:r>
    </w:p>
    <w:p w14:paraId="0210D669" w14:textId="77777777" w:rsidR="007927FC" w:rsidRPr="008A106B" w:rsidRDefault="007927FC" w:rsidP="007927FC">
      <w:pPr>
        <w:rPr>
          <w:lang w:val="es-ES"/>
        </w:rPr>
      </w:pPr>
    </w:p>
    <w:p w14:paraId="5AFE1950" w14:textId="4CE6B8F4" w:rsidR="007927FC" w:rsidRDefault="00454602" w:rsidP="007927FC">
      <w:pPr>
        <w:rPr>
          <w:lang w:val="es-ES_tradnl"/>
        </w:rPr>
      </w:pPr>
      <w:r>
        <w:rPr>
          <w:lang w:val="es-ES_tradnl"/>
        </w:rPr>
        <w:t>Se d</w:t>
      </w:r>
      <w:r w:rsidR="007927FC" w:rsidRPr="008A106B">
        <w:rPr>
          <w:lang w:val="es-ES_tradnl"/>
        </w:rPr>
        <w:t>ebe tener precaución al valorar el inicio del tratamiento en pacientes con elevación de las transaminasas (ALT) o (AST) &gt; 1,5</w:t>
      </w:r>
      <w:r w:rsidRPr="00F30AB8">
        <w:rPr>
          <w:rFonts w:eastAsia="MS Mincho"/>
          <w:sz w:val="10"/>
          <w:szCs w:val="22"/>
          <w:lang w:val="es-ES"/>
        </w:rPr>
        <w:t> </w:t>
      </w:r>
      <w:r w:rsidRPr="00B65EA9">
        <w:rPr>
          <w:rFonts w:eastAsia="MS Mincho"/>
          <w:szCs w:val="22"/>
          <w:lang w:val="en-GB"/>
        </w:rPr>
        <w:sym w:font="Symbol" w:char="F0B4"/>
      </w:r>
      <w:ins w:id="75" w:author="AUTHOR">
        <w:r w:rsidR="000C7D20" w:rsidRPr="00467FFD">
          <w:rPr>
            <w:szCs w:val="22"/>
            <w:lang w:val="es-ES"/>
            <w:rPrChange w:id="76" w:author="AUTHOR">
              <w:rPr>
                <w:szCs w:val="22"/>
                <w:lang w:val="en-GB"/>
              </w:rPr>
            </w:rPrChange>
          </w:rPr>
          <w:t> </w:t>
        </w:r>
      </w:ins>
      <w:del w:id="77" w:author="AUTHOR">
        <w:r w:rsidRPr="00F30AB8" w:rsidDel="000C7D20">
          <w:rPr>
            <w:rFonts w:ascii="Arial" w:eastAsia="MS Mincho" w:hAnsi="Arial" w:cs="Arial"/>
            <w:sz w:val="10"/>
            <w:szCs w:val="22"/>
            <w:lang w:val="es-ES"/>
          </w:rPr>
          <w:delText> </w:delText>
        </w:r>
        <w:r w:rsidRPr="00F30AB8" w:rsidDel="000C7D20">
          <w:rPr>
            <w:szCs w:val="22"/>
            <w:lang w:val="es-ES"/>
          </w:rPr>
          <w:delText xml:space="preserve"> </w:delText>
        </w:r>
      </w:del>
      <w:r w:rsidR="007927FC" w:rsidRPr="008A106B">
        <w:rPr>
          <w:lang w:val="es-ES_tradnl"/>
        </w:rPr>
        <w:t>LSN.</w:t>
      </w:r>
      <w:r w:rsidR="007927FC" w:rsidRPr="008A106B">
        <w:rPr>
          <w:lang w:val="es-ES"/>
        </w:rPr>
        <w:t xml:space="preserve"> </w:t>
      </w:r>
      <w:r w:rsidR="00D87738">
        <w:rPr>
          <w:lang w:val="es-ES"/>
        </w:rPr>
        <w:t xml:space="preserve">En </w:t>
      </w:r>
      <w:r w:rsidR="00D87738" w:rsidRPr="00D87738">
        <w:rPr>
          <w:lang w:val="es-ES"/>
        </w:rPr>
        <w:t>AR, AIJp y AIJs</w:t>
      </w:r>
      <w:r w:rsidR="00D87738">
        <w:rPr>
          <w:lang w:val="es-ES"/>
        </w:rPr>
        <w:t xml:space="preserve">, </w:t>
      </w:r>
      <w:r w:rsidR="00D87738" w:rsidRPr="00D87738">
        <w:rPr>
          <w:lang w:val="es-ES"/>
        </w:rPr>
        <w:t xml:space="preserve"> </w:t>
      </w:r>
      <w:r w:rsidR="00D87738">
        <w:rPr>
          <w:lang w:val="es-ES"/>
        </w:rPr>
        <w:t>n</w:t>
      </w:r>
      <w:r w:rsidR="007927FC" w:rsidRPr="008A106B">
        <w:rPr>
          <w:lang w:val="es-ES_tradnl"/>
        </w:rPr>
        <w:t>o se recomienda el tratamiento en pacientes</w:t>
      </w:r>
      <w:r w:rsidR="00D87738">
        <w:rPr>
          <w:lang w:val="es-ES_tradnl"/>
        </w:rPr>
        <w:t xml:space="preserve"> </w:t>
      </w:r>
      <w:r w:rsidR="007927FC" w:rsidRPr="008A106B">
        <w:rPr>
          <w:lang w:val="es-ES_tradnl"/>
        </w:rPr>
        <w:t>con ALT o AST &gt; 5</w:t>
      </w:r>
      <w:r w:rsidRPr="00F30AB8">
        <w:rPr>
          <w:rFonts w:eastAsia="MS Mincho"/>
          <w:sz w:val="10"/>
          <w:szCs w:val="22"/>
          <w:lang w:val="es-ES"/>
        </w:rPr>
        <w:t> </w:t>
      </w:r>
      <w:r w:rsidRPr="00B65EA9">
        <w:rPr>
          <w:rFonts w:eastAsia="MS Mincho"/>
          <w:szCs w:val="22"/>
          <w:lang w:val="en-GB"/>
        </w:rPr>
        <w:sym w:font="Symbol" w:char="F0B4"/>
      </w:r>
      <w:ins w:id="78" w:author="AUTHOR">
        <w:r w:rsidR="000C7D20" w:rsidRPr="00467FFD">
          <w:rPr>
            <w:szCs w:val="22"/>
            <w:lang w:val="es-ES"/>
            <w:rPrChange w:id="79" w:author="AUTHOR">
              <w:rPr>
                <w:szCs w:val="22"/>
                <w:lang w:val="en-GB"/>
              </w:rPr>
            </w:rPrChange>
          </w:rPr>
          <w:t> </w:t>
        </w:r>
      </w:ins>
      <w:del w:id="80" w:author="AUTHOR">
        <w:r w:rsidRPr="00F30AB8" w:rsidDel="000C7D20">
          <w:rPr>
            <w:rFonts w:ascii="Arial" w:eastAsia="MS Mincho" w:hAnsi="Arial" w:cs="Arial"/>
            <w:sz w:val="10"/>
            <w:szCs w:val="22"/>
            <w:lang w:val="es-ES"/>
          </w:rPr>
          <w:delText> </w:delText>
        </w:r>
        <w:r w:rsidRPr="00F30AB8" w:rsidDel="000C7D20">
          <w:rPr>
            <w:szCs w:val="22"/>
            <w:lang w:val="es-ES"/>
          </w:rPr>
          <w:delText xml:space="preserve"> </w:delText>
        </w:r>
      </w:del>
      <w:r w:rsidR="007927FC" w:rsidRPr="008A106B">
        <w:rPr>
          <w:lang w:val="es-ES_tradnl"/>
        </w:rPr>
        <w:t>LSN al inicio.</w:t>
      </w:r>
    </w:p>
    <w:p w14:paraId="611E017B" w14:textId="77777777" w:rsidR="009F0D74" w:rsidRPr="008A106B" w:rsidRDefault="009F0D74" w:rsidP="007927FC">
      <w:pPr>
        <w:rPr>
          <w:lang w:val="es-ES"/>
        </w:rPr>
      </w:pPr>
    </w:p>
    <w:p w14:paraId="572BC059" w14:textId="5013BB7B" w:rsidR="007927FC" w:rsidRPr="008A106B" w:rsidRDefault="007927FC" w:rsidP="007927FC">
      <w:pPr>
        <w:rPr>
          <w:lang w:val="es-ES"/>
        </w:rPr>
      </w:pPr>
      <w:r w:rsidRPr="008A106B">
        <w:rPr>
          <w:lang w:val="es-ES"/>
        </w:rPr>
        <w:t>En pacientes con AR</w:t>
      </w:r>
      <w:r w:rsidR="009F0D74">
        <w:rPr>
          <w:lang w:val="es-ES"/>
        </w:rPr>
        <w:t>, AIJp y AIJs</w:t>
      </w:r>
      <w:r w:rsidRPr="008A106B">
        <w:rPr>
          <w:lang w:val="es-ES"/>
        </w:rPr>
        <w:t xml:space="preserve"> se deben vigilar </w:t>
      </w:r>
      <w:r w:rsidR="009F0D74">
        <w:rPr>
          <w:lang w:val="es-ES_tradnl"/>
        </w:rPr>
        <w:t xml:space="preserve">la </w:t>
      </w:r>
      <w:r w:rsidRPr="008A106B">
        <w:rPr>
          <w:lang w:val="es-ES_tradnl"/>
        </w:rPr>
        <w:t xml:space="preserve">ALT </w:t>
      </w:r>
      <w:r w:rsidR="009F0D74">
        <w:rPr>
          <w:lang w:val="es-ES_tradnl"/>
        </w:rPr>
        <w:t>/</w:t>
      </w:r>
      <w:r w:rsidRPr="008A106B">
        <w:rPr>
          <w:lang w:val="es-ES_tradnl"/>
        </w:rPr>
        <w:t>AST entre 4 y 8</w:t>
      </w:r>
      <w:r w:rsidR="00107DD7">
        <w:rPr>
          <w:lang w:val="es-ES_tradnl"/>
        </w:rPr>
        <w:t> </w:t>
      </w:r>
      <w:r w:rsidRPr="008A106B">
        <w:rPr>
          <w:lang w:val="es-ES_tradnl"/>
        </w:rPr>
        <w:t>semanas los 6</w:t>
      </w:r>
      <w:r w:rsidR="00107DD7">
        <w:rPr>
          <w:lang w:val="es-ES_tradnl"/>
        </w:rPr>
        <w:t> </w:t>
      </w:r>
      <w:r w:rsidRPr="008A106B">
        <w:rPr>
          <w:lang w:val="es-ES_tradnl"/>
        </w:rPr>
        <w:t>primeros meses de tratamiento y a partir de entonces cada 12</w:t>
      </w:r>
      <w:r w:rsidR="00107DD7">
        <w:rPr>
          <w:lang w:val="es-ES_tradnl"/>
        </w:rPr>
        <w:t> </w:t>
      </w:r>
      <w:r w:rsidRPr="008A106B">
        <w:rPr>
          <w:lang w:val="es-ES_tradnl"/>
        </w:rPr>
        <w:t xml:space="preserve">semanas. Para las modificaciones </w:t>
      </w:r>
      <w:ins w:id="81" w:author="AUTHOR">
        <w:r w:rsidR="00F67CA2">
          <w:rPr>
            <w:lang w:val="es-ES_tradnl"/>
          </w:rPr>
          <w:t xml:space="preserve">recomendadas </w:t>
        </w:r>
      </w:ins>
      <w:r w:rsidRPr="008A106B">
        <w:rPr>
          <w:lang w:val="es-ES_tradnl"/>
        </w:rPr>
        <w:t>de la dosis</w:t>
      </w:r>
      <w:r w:rsidR="009F0D74">
        <w:rPr>
          <w:lang w:val="es-ES_tradnl"/>
        </w:rPr>
        <w:t xml:space="preserve">, incluyendo la discontinuación de </w:t>
      </w:r>
      <w:r w:rsidR="00107DD7">
        <w:rPr>
          <w:lang w:val="es-ES_tradnl"/>
        </w:rPr>
        <w:t>tocilizumab</w:t>
      </w:r>
      <w:r w:rsidR="009F0D74">
        <w:rPr>
          <w:lang w:val="es-ES_tradnl"/>
        </w:rPr>
        <w:t xml:space="preserve">, </w:t>
      </w:r>
      <w:r w:rsidRPr="008A106B">
        <w:rPr>
          <w:lang w:val="es-ES_tradnl"/>
        </w:rPr>
        <w:t xml:space="preserve">basadas en </w:t>
      </w:r>
      <w:r w:rsidR="009F0D74">
        <w:rPr>
          <w:lang w:val="es-ES_tradnl"/>
        </w:rPr>
        <w:t xml:space="preserve">los niveles de </w:t>
      </w:r>
      <w:r w:rsidRPr="008A106B">
        <w:rPr>
          <w:lang w:val="es-ES_tradnl"/>
        </w:rPr>
        <w:t>transaminasas ver sección</w:t>
      </w:r>
      <w:r w:rsidR="00107DD7">
        <w:rPr>
          <w:lang w:val="es-ES_tradnl"/>
        </w:rPr>
        <w:t> </w:t>
      </w:r>
      <w:r w:rsidRPr="008A106B">
        <w:rPr>
          <w:lang w:val="es-ES_tradnl"/>
        </w:rPr>
        <w:t>4.2.</w:t>
      </w:r>
      <w:r w:rsidRPr="008A106B">
        <w:rPr>
          <w:lang w:val="es-ES"/>
        </w:rPr>
        <w:t xml:space="preserve"> </w:t>
      </w:r>
      <w:r w:rsidRPr="008A106B">
        <w:rPr>
          <w:lang w:val="es-ES_tradnl"/>
        </w:rPr>
        <w:t>En elevaciones de ALT o AST</w:t>
      </w:r>
      <w:r w:rsidR="00454602" w:rsidRPr="00F30AB8">
        <w:rPr>
          <w:rFonts w:eastAsia="MS Mincho"/>
          <w:sz w:val="10"/>
          <w:szCs w:val="22"/>
          <w:lang w:val="es-ES"/>
        </w:rPr>
        <w:t> </w:t>
      </w:r>
      <w:r w:rsidR="00454602" w:rsidRPr="00B65EA9">
        <w:rPr>
          <w:rFonts w:eastAsia="MS Mincho"/>
          <w:szCs w:val="22"/>
          <w:lang w:val="en-GB"/>
        </w:rPr>
        <w:sym w:font="Symbol" w:char="F03E"/>
      </w:r>
      <w:r w:rsidR="00454602" w:rsidRPr="00F30AB8">
        <w:rPr>
          <w:rFonts w:ascii="Arial" w:eastAsia="MS Mincho" w:hAnsi="Arial" w:cs="Arial"/>
          <w:sz w:val="10"/>
          <w:szCs w:val="22"/>
          <w:lang w:val="es-ES"/>
        </w:rPr>
        <w:t> </w:t>
      </w:r>
      <w:r w:rsidRPr="008A106B">
        <w:rPr>
          <w:lang w:val="es-ES_tradnl"/>
        </w:rPr>
        <w:t>3</w:t>
      </w:r>
      <w:r w:rsidR="00454602" w:rsidRPr="00F30AB8">
        <w:rPr>
          <w:szCs w:val="22"/>
          <w:lang w:val="es-ES"/>
        </w:rPr>
        <w:noBreakHyphen/>
      </w:r>
      <w:r w:rsidRPr="008A106B">
        <w:rPr>
          <w:lang w:val="es-ES_tradnl"/>
        </w:rPr>
        <w:t>5</w:t>
      </w:r>
      <w:r w:rsidR="00454602" w:rsidRPr="00F30AB8">
        <w:rPr>
          <w:rFonts w:eastAsia="MS Mincho"/>
          <w:sz w:val="10"/>
          <w:szCs w:val="22"/>
          <w:lang w:val="es-ES"/>
        </w:rPr>
        <w:t> </w:t>
      </w:r>
      <w:r w:rsidR="00454602" w:rsidRPr="00B65EA9">
        <w:rPr>
          <w:rFonts w:eastAsia="MS Mincho"/>
          <w:szCs w:val="22"/>
          <w:lang w:val="en-GB"/>
        </w:rPr>
        <w:sym w:font="Symbol" w:char="F0B4"/>
      </w:r>
      <w:r w:rsidR="00454602" w:rsidRPr="00F30AB8">
        <w:rPr>
          <w:rFonts w:ascii="Arial" w:eastAsia="MS Mincho" w:hAnsi="Arial" w:cs="Arial"/>
          <w:sz w:val="10"/>
          <w:szCs w:val="22"/>
          <w:lang w:val="es-ES"/>
        </w:rPr>
        <w:t> </w:t>
      </w:r>
      <w:r w:rsidR="00454602" w:rsidRPr="00F30AB8">
        <w:rPr>
          <w:szCs w:val="22"/>
          <w:lang w:val="es-ES"/>
        </w:rPr>
        <w:t xml:space="preserve"> </w:t>
      </w:r>
      <w:r w:rsidRPr="008A106B">
        <w:rPr>
          <w:lang w:val="es-ES_tradnl"/>
        </w:rPr>
        <w:t>LSN, confirmadas por pruebas repetidas, debe interrumpirse el tratamiento.</w:t>
      </w:r>
      <w:r w:rsidRPr="008A106B">
        <w:rPr>
          <w:lang w:val="es-ES"/>
        </w:rPr>
        <w:t xml:space="preserve"> </w:t>
      </w:r>
      <w:r w:rsidRPr="008A106B">
        <w:rPr>
          <w:lang w:val="es-ES_tradnl"/>
        </w:rPr>
        <w:t> </w:t>
      </w:r>
      <w:r w:rsidRPr="008A106B" w:rsidDel="007866BB">
        <w:rPr>
          <w:lang w:val="es-ES_tradnl"/>
        </w:rPr>
        <w:t xml:space="preserve"> </w:t>
      </w:r>
    </w:p>
    <w:p w14:paraId="447EE90E" w14:textId="77777777" w:rsidR="007927FC" w:rsidRPr="008A106B" w:rsidRDefault="007927FC" w:rsidP="007927FC">
      <w:pPr>
        <w:rPr>
          <w:i/>
          <w:iCs/>
          <w:lang w:val="es-ES_tradnl"/>
        </w:rPr>
      </w:pPr>
    </w:p>
    <w:p w14:paraId="53BF85F1" w14:textId="77777777" w:rsidR="007927FC" w:rsidRPr="008A106B" w:rsidRDefault="007927FC" w:rsidP="007927FC">
      <w:pPr>
        <w:rPr>
          <w:i/>
          <w:iCs/>
          <w:lang w:val="es-ES"/>
        </w:rPr>
      </w:pPr>
      <w:r w:rsidRPr="008A106B">
        <w:rPr>
          <w:i/>
          <w:iCs/>
          <w:lang w:val="es-ES_tradnl"/>
        </w:rPr>
        <w:t>Efectos hematológicos</w:t>
      </w:r>
    </w:p>
    <w:p w14:paraId="75824FCE" w14:textId="34C3F611" w:rsidR="007927FC" w:rsidRPr="008A106B" w:rsidRDefault="007927FC" w:rsidP="007927FC">
      <w:pPr>
        <w:rPr>
          <w:lang w:val="es-ES"/>
        </w:rPr>
      </w:pPr>
      <w:r w:rsidRPr="008A106B">
        <w:rPr>
          <w:lang w:val="es-ES_tradnl"/>
        </w:rPr>
        <w:t>Se han producido descensos de los recuentos de neutrófilos y plaquetas después del tratamiento con tocilizumab 8 mg/kg en combinación con metotrexato (ver sección</w:t>
      </w:r>
      <w:r w:rsidR="00107DD7">
        <w:rPr>
          <w:lang w:val="es-ES_tradnl"/>
        </w:rPr>
        <w:t> </w:t>
      </w:r>
      <w:r w:rsidRPr="008A106B">
        <w:rPr>
          <w:lang w:val="es-ES_tradnl"/>
        </w:rPr>
        <w:t>4.8).</w:t>
      </w:r>
      <w:r w:rsidRPr="008A106B">
        <w:rPr>
          <w:lang w:val="es-ES"/>
        </w:rPr>
        <w:t xml:space="preserve"> El riesgo de neutropenia puede aumentar en pacientes que han sido previamente tratados con antagonistas del TNF.</w:t>
      </w:r>
    </w:p>
    <w:p w14:paraId="233C8933" w14:textId="77777777" w:rsidR="007927FC" w:rsidRPr="008A106B" w:rsidRDefault="007927FC" w:rsidP="007927FC">
      <w:pPr>
        <w:rPr>
          <w:lang w:val="es-ES"/>
        </w:rPr>
      </w:pPr>
    </w:p>
    <w:p w14:paraId="64682AA3" w14:textId="125683D9" w:rsidR="007927FC" w:rsidRPr="008A106B" w:rsidRDefault="007927FC" w:rsidP="007927FC">
      <w:pPr>
        <w:rPr>
          <w:lang w:val="es-ES_tradnl"/>
        </w:rPr>
      </w:pPr>
      <w:r w:rsidRPr="008A106B">
        <w:rPr>
          <w:lang w:val="es-ES"/>
        </w:rPr>
        <w:t xml:space="preserve">No se recomienda iniciar el tratamiento, en pacientes que no han sido tratados previamente con </w:t>
      </w:r>
      <w:r w:rsidR="00107DD7">
        <w:rPr>
          <w:lang w:val="es-ES"/>
        </w:rPr>
        <w:t>tocilizumab</w:t>
      </w:r>
      <w:r w:rsidRPr="008A106B">
        <w:rPr>
          <w:lang w:val="es-ES"/>
        </w:rPr>
        <w:t xml:space="preserve">, si el </w:t>
      </w:r>
      <w:r w:rsidR="00107DD7">
        <w:rPr>
          <w:lang w:val="es-ES"/>
        </w:rPr>
        <w:t>ANC</w:t>
      </w:r>
      <w:r w:rsidRPr="008A106B">
        <w:rPr>
          <w:lang w:val="es-ES"/>
        </w:rPr>
        <w:t xml:space="preserve"> está por debajo de </w:t>
      </w:r>
      <w:r w:rsidRPr="008A106B">
        <w:rPr>
          <w:bCs/>
          <w:lang w:val="es-ES"/>
        </w:rPr>
        <w:t>2</w:t>
      </w:r>
      <w:r w:rsidR="00FC7F6E">
        <w:rPr>
          <w:rFonts w:eastAsia="MS Mincho"/>
          <w:sz w:val="10"/>
          <w:szCs w:val="22"/>
          <w:lang w:val="es-ES"/>
        </w:rPr>
        <w:t> </w:t>
      </w:r>
      <w:r w:rsidR="00454602" w:rsidRPr="00B65EA9">
        <w:rPr>
          <w:rFonts w:eastAsia="MS Mincho"/>
          <w:szCs w:val="22"/>
          <w:lang w:val="en-GB"/>
        </w:rPr>
        <w:sym w:font="Symbol" w:char="F0B4"/>
      </w:r>
      <w:r w:rsidR="00454602" w:rsidRPr="00F30AB8">
        <w:rPr>
          <w:rFonts w:ascii="Arial" w:eastAsia="MS Mincho" w:hAnsi="Arial" w:cs="Arial"/>
          <w:sz w:val="10"/>
          <w:szCs w:val="22"/>
          <w:lang w:val="es-ES"/>
        </w:rPr>
        <w:t> </w:t>
      </w:r>
      <w:del w:id="82" w:author="AUTHOR">
        <w:r w:rsidR="00454602" w:rsidRPr="008A106B" w:rsidDel="00F67CA2">
          <w:rPr>
            <w:bCs/>
            <w:lang w:val="es-ES"/>
          </w:rPr>
          <w:delText xml:space="preserve"> </w:delText>
        </w:r>
      </w:del>
      <w:r w:rsidRPr="008A106B">
        <w:rPr>
          <w:bCs/>
          <w:lang w:val="es-ES"/>
        </w:rPr>
        <w:t>10</w:t>
      </w:r>
      <w:r w:rsidRPr="008A106B">
        <w:rPr>
          <w:bCs/>
          <w:vertAlign w:val="superscript"/>
          <w:lang w:val="es-ES"/>
        </w:rPr>
        <w:t>9</w:t>
      </w:r>
      <w:r w:rsidRPr="008A106B">
        <w:rPr>
          <w:bCs/>
          <w:lang w:val="es-ES"/>
        </w:rPr>
        <w:t>/l.</w:t>
      </w:r>
      <w:r w:rsidRPr="008A106B">
        <w:rPr>
          <w:lang w:val="es-ES"/>
        </w:rPr>
        <w:t xml:space="preserve"> </w:t>
      </w:r>
      <w:r w:rsidRPr="008A106B">
        <w:rPr>
          <w:lang w:val="es-ES_tradnl"/>
        </w:rPr>
        <w:t xml:space="preserve">Debe tenerse precaución al valorar el inicio del tratamiento </w:t>
      </w:r>
      <w:r w:rsidR="00107DD7" w:rsidRPr="008A106B">
        <w:rPr>
          <w:lang w:val="es-ES_tradnl"/>
        </w:rPr>
        <w:t xml:space="preserve"> </w:t>
      </w:r>
      <w:r w:rsidRPr="008A106B">
        <w:rPr>
          <w:lang w:val="es-ES_tradnl"/>
        </w:rPr>
        <w:t xml:space="preserve">en pacientes con un recuento bajo de plaquetas (es decir, recuento de plaquetas por debajo </w:t>
      </w:r>
      <w:r w:rsidRPr="008A106B">
        <w:rPr>
          <w:lang w:val="es-ES_tradnl"/>
        </w:rPr>
        <w:lastRenderedPageBreak/>
        <w:t>de 100</w:t>
      </w:r>
      <w:r w:rsidR="00454602" w:rsidRPr="00F30AB8">
        <w:rPr>
          <w:rFonts w:eastAsia="MS Mincho"/>
          <w:sz w:val="10"/>
          <w:szCs w:val="22"/>
          <w:lang w:val="es-ES"/>
        </w:rPr>
        <w:t> </w:t>
      </w:r>
      <w:r w:rsidR="00454602" w:rsidRPr="00B65EA9">
        <w:rPr>
          <w:rFonts w:eastAsia="MS Mincho"/>
          <w:szCs w:val="22"/>
          <w:lang w:val="en-GB"/>
        </w:rPr>
        <w:sym w:font="Symbol" w:char="F0B4"/>
      </w:r>
      <w:ins w:id="83" w:author="AUTHOR">
        <w:r w:rsidR="00994C36" w:rsidRPr="00467FFD">
          <w:rPr>
            <w:szCs w:val="22"/>
            <w:lang w:val="es-ES"/>
            <w:rPrChange w:id="84" w:author="AUTHOR">
              <w:rPr>
                <w:szCs w:val="22"/>
                <w:lang w:val="en-GB"/>
              </w:rPr>
            </w:rPrChange>
          </w:rPr>
          <w:t> </w:t>
        </w:r>
      </w:ins>
      <w:del w:id="85" w:author="AUTHOR">
        <w:r w:rsidR="00454602" w:rsidRPr="00F30AB8" w:rsidDel="00994C36">
          <w:rPr>
            <w:rFonts w:ascii="Arial" w:eastAsia="MS Mincho" w:hAnsi="Arial" w:cs="Arial"/>
            <w:sz w:val="10"/>
            <w:szCs w:val="22"/>
            <w:lang w:val="es-ES"/>
          </w:rPr>
          <w:delText> </w:delText>
        </w:r>
        <w:r w:rsidR="00454602" w:rsidRPr="008A106B" w:rsidDel="00994C36">
          <w:rPr>
            <w:lang w:val="es-ES_tradnl"/>
          </w:rPr>
          <w:delText xml:space="preserve"> </w:delText>
        </w:r>
      </w:del>
      <w:r w:rsidRPr="008A106B">
        <w:rPr>
          <w:lang w:val="es-ES_tradnl"/>
        </w:rPr>
        <w:t>10</w:t>
      </w:r>
      <w:r w:rsidRPr="008A106B">
        <w:rPr>
          <w:vertAlign w:val="superscript"/>
          <w:lang w:val="es-ES_tradnl"/>
        </w:rPr>
        <w:t>3</w:t>
      </w:r>
      <w:r w:rsidRPr="008A106B">
        <w:rPr>
          <w:lang w:val="es-ES_tradnl"/>
        </w:rPr>
        <w:t>/μl).</w:t>
      </w:r>
      <w:r w:rsidRPr="008A106B">
        <w:rPr>
          <w:lang w:val="es-ES"/>
        </w:rPr>
        <w:t xml:space="preserve"> </w:t>
      </w:r>
      <w:r w:rsidRPr="008A106B">
        <w:rPr>
          <w:lang w:val="es-ES_tradnl"/>
        </w:rPr>
        <w:t>No se recomienda continuar el tratamiento en pacientes</w:t>
      </w:r>
      <w:r w:rsidR="00104535" w:rsidRPr="004B67DA">
        <w:rPr>
          <w:lang w:val="es-ES"/>
        </w:rPr>
        <w:t xml:space="preserve"> </w:t>
      </w:r>
      <w:r w:rsidR="00104535" w:rsidRPr="00104535">
        <w:rPr>
          <w:lang w:val="es-ES_tradnl"/>
        </w:rPr>
        <w:t>con AR, AIJp y AIJs</w:t>
      </w:r>
      <w:r w:rsidRPr="008A106B">
        <w:rPr>
          <w:lang w:val="es-ES_tradnl"/>
        </w:rPr>
        <w:t xml:space="preserve"> que desarrollen un recuento absoluto de neutrófilos &lt; 0,5</w:t>
      </w:r>
      <w:r w:rsidR="00454602" w:rsidRPr="00F30AB8">
        <w:rPr>
          <w:rFonts w:eastAsia="MS Mincho"/>
          <w:sz w:val="10"/>
          <w:szCs w:val="22"/>
          <w:lang w:val="es-ES"/>
        </w:rPr>
        <w:t> </w:t>
      </w:r>
      <w:r w:rsidR="00454602" w:rsidRPr="00B65EA9">
        <w:rPr>
          <w:rFonts w:eastAsia="MS Mincho"/>
          <w:szCs w:val="22"/>
          <w:lang w:val="en-GB"/>
        </w:rPr>
        <w:sym w:font="Symbol" w:char="F0B4"/>
      </w:r>
      <w:r w:rsidR="00454602" w:rsidRPr="00F30AB8">
        <w:rPr>
          <w:rFonts w:ascii="Arial" w:eastAsia="MS Mincho" w:hAnsi="Arial" w:cs="Arial"/>
          <w:sz w:val="10"/>
          <w:szCs w:val="22"/>
          <w:lang w:val="es-ES"/>
        </w:rPr>
        <w:t> </w:t>
      </w:r>
      <w:del w:id="86" w:author="AUTHOR">
        <w:r w:rsidR="00454602" w:rsidRPr="008A106B" w:rsidDel="00F67CA2">
          <w:rPr>
            <w:lang w:val="es-ES_tradnl"/>
          </w:rPr>
          <w:delText xml:space="preserve"> </w:delText>
        </w:r>
      </w:del>
      <w:r w:rsidRPr="008A106B">
        <w:rPr>
          <w:lang w:val="es-ES_tradnl"/>
        </w:rPr>
        <w:t>10</w:t>
      </w:r>
      <w:r w:rsidRPr="008A106B">
        <w:rPr>
          <w:vertAlign w:val="superscript"/>
          <w:lang w:val="es-ES_tradnl"/>
        </w:rPr>
        <w:t>9</w:t>
      </w:r>
      <w:r w:rsidRPr="008A106B">
        <w:rPr>
          <w:lang w:val="es-ES_tradnl"/>
        </w:rPr>
        <w:t>/l o un recuento de plaquetas &lt; 50</w:t>
      </w:r>
      <w:r w:rsidR="00454602" w:rsidRPr="00F30AB8">
        <w:rPr>
          <w:rFonts w:eastAsia="MS Mincho"/>
          <w:sz w:val="10"/>
          <w:szCs w:val="22"/>
          <w:lang w:val="es-ES"/>
        </w:rPr>
        <w:t> </w:t>
      </w:r>
      <w:r w:rsidR="00454602" w:rsidRPr="00B65EA9">
        <w:rPr>
          <w:rFonts w:eastAsia="MS Mincho"/>
          <w:szCs w:val="22"/>
          <w:lang w:val="en-GB"/>
        </w:rPr>
        <w:sym w:font="Symbol" w:char="F0B4"/>
      </w:r>
      <w:r w:rsidR="00454602" w:rsidRPr="00F30AB8">
        <w:rPr>
          <w:rFonts w:ascii="Arial" w:eastAsia="MS Mincho" w:hAnsi="Arial" w:cs="Arial"/>
          <w:sz w:val="10"/>
          <w:szCs w:val="22"/>
          <w:lang w:val="es-ES"/>
        </w:rPr>
        <w:t> </w:t>
      </w:r>
      <w:r w:rsidR="00454602" w:rsidRPr="008A106B" w:rsidDel="00454602">
        <w:rPr>
          <w:lang w:val="es-ES_tradnl"/>
        </w:rPr>
        <w:t xml:space="preserve"> </w:t>
      </w:r>
      <w:r w:rsidRPr="008A106B">
        <w:rPr>
          <w:lang w:val="es-ES_tradnl"/>
        </w:rPr>
        <w:t>10</w:t>
      </w:r>
      <w:r w:rsidRPr="008A106B">
        <w:rPr>
          <w:vertAlign w:val="superscript"/>
          <w:lang w:val="es-ES_tradnl"/>
        </w:rPr>
        <w:t>3</w:t>
      </w:r>
      <w:r w:rsidRPr="008A106B">
        <w:rPr>
          <w:lang w:val="es-ES_tradnl"/>
        </w:rPr>
        <w:t>/μl.</w:t>
      </w:r>
    </w:p>
    <w:p w14:paraId="0B38A980" w14:textId="77777777" w:rsidR="007927FC" w:rsidRPr="008A106B" w:rsidRDefault="007927FC" w:rsidP="007927FC">
      <w:pPr>
        <w:rPr>
          <w:lang w:val="es-ES"/>
        </w:rPr>
      </w:pPr>
    </w:p>
    <w:p w14:paraId="17CB57C3" w14:textId="11421884" w:rsidR="007927FC" w:rsidRPr="008A106B" w:rsidRDefault="007927FC" w:rsidP="007927FC">
      <w:pPr>
        <w:rPr>
          <w:lang w:val="es-ES"/>
        </w:rPr>
      </w:pPr>
      <w:r w:rsidRPr="008A106B">
        <w:rPr>
          <w:lang w:val="es-ES"/>
        </w:rPr>
        <w:t xml:space="preserve">La neutropenia grave se puede asociar con un aumento del riesgo de infecciones </w:t>
      </w:r>
      <w:r w:rsidR="001A5921" w:rsidRPr="008A106B">
        <w:rPr>
          <w:lang w:val="es-ES"/>
        </w:rPr>
        <w:t>graves,</w:t>
      </w:r>
      <w:r w:rsidRPr="008A106B">
        <w:rPr>
          <w:lang w:val="es-ES"/>
        </w:rPr>
        <w:t xml:space="preserve"> aunque no se ha observado una clara asociación entre el descenso de neutrófilos y la aparición de infecciones graves en los ensayos clínicos realizados con </w:t>
      </w:r>
      <w:r w:rsidR="00107DD7">
        <w:rPr>
          <w:lang w:val="es-ES"/>
        </w:rPr>
        <w:t>tocilizumab</w:t>
      </w:r>
      <w:r w:rsidR="00107DD7" w:rsidRPr="008A106B">
        <w:rPr>
          <w:lang w:val="es-ES"/>
        </w:rPr>
        <w:t xml:space="preserve"> </w:t>
      </w:r>
      <w:r w:rsidRPr="008A106B">
        <w:rPr>
          <w:lang w:val="es-ES"/>
        </w:rPr>
        <w:t>hasta la fecha.</w:t>
      </w:r>
    </w:p>
    <w:p w14:paraId="6EF29985" w14:textId="77777777" w:rsidR="007927FC" w:rsidRPr="008A106B" w:rsidRDefault="007927FC" w:rsidP="007927FC">
      <w:pPr>
        <w:rPr>
          <w:lang w:val="es-ES"/>
        </w:rPr>
      </w:pPr>
    </w:p>
    <w:p w14:paraId="6BF880AB" w14:textId="0A2A64BB" w:rsidR="007927FC" w:rsidRPr="008A106B" w:rsidRDefault="007927FC" w:rsidP="007927FC">
      <w:pPr>
        <w:rPr>
          <w:lang w:val="es-ES_tradnl"/>
        </w:rPr>
      </w:pPr>
      <w:r w:rsidRPr="008A106B">
        <w:rPr>
          <w:lang w:val="es-ES_tradnl"/>
        </w:rPr>
        <w:t>En pacientes con AR el recuento de neutrófilos y plaquetas debe vigilarse de 4 a 8</w:t>
      </w:r>
      <w:r w:rsidR="00107DD7">
        <w:rPr>
          <w:lang w:val="es-ES_tradnl"/>
        </w:rPr>
        <w:t> </w:t>
      </w:r>
      <w:r w:rsidRPr="008A106B">
        <w:rPr>
          <w:lang w:val="es-ES_tradnl"/>
        </w:rPr>
        <w:t>semanas después del comienzo del tratamiento y posteriormente, siguiendo las recomendaciones de la práctica clínica habitual. Para las modificaciones de la dosis</w:t>
      </w:r>
      <w:r w:rsidR="0035300D">
        <w:rPr>
          <w:lang w:val="es-ES_tradnl"/>
        </w:rPr>
        <w:t>,</w:t>
      </w:r>
      <w:r w:rsidRPr="008A106B">
        <w:rPr>
          <w:lang w:val="es-ES_tradnl"/>
        </w:rPr>
        <w:t xml:space="preserve"> basadas en RAN y recuento de plaquetas ver sección</w:t>
      </w:r>
      <w:r w:rsidR="00107DD7">
        <w:rPr>
          <w:lang w:val="es-ES_tradnl"/>
        </w:rPr>
        <w:t> </w:t>
      </w:r>
      <w:r w:rsidRPr="008A106B">
        <w:rPr>
          <w:lang w:val="es-ES_tradnl"/>
        </w:rPr>
        <w:t>4.2.</w:t>
      </w:r>
    </w:p>
    <w:p w14:paraId="376D1BFA" w14:textId="77777777" w:rsidR="007927FC" w:rsidRPr="008A106B" w:rsidRDefault="007927FC" w:rsidP="007927FC">
      <w:pPr>
        <w:rPr>
          <w:lang w:val="es-ES_tradnl"/>
        </w:rPr>
      </w:pPr>
    </w:p>
    <w:p w14:paraId="6FD72966" w14:textId="176704CC" w:rsidR="007927FC" w:rsidRPr="008A106B" w:rsidRDefault="007927FC" w:rsidP="007927FC">
      <w:pPr>
        <w:rPr>
          <w:rFonts w:eastAsia="SimSun"/>
          <w:szCs w:val="22"/>
          <w:lang w:val="es-ES" w:eastAsia="zh-CN"/>
        </w:rPr>
      </w:pPr>
      <w:r w:rsidRPr="008A106B">
        <w:rPr>
          <w:lang w:val="es-ES_tradnl"/>
        </w:rPr>
        <w:t>En pacientes con AIJs y con AIJp el recuento de neutrófilos y plaquetas deben ser vigilados en el momento de la segunda perfusión y posteriormente siguiendo las recomendaciones de las buenas prácticas clínicas,</w:t>
      </w:r>
      <w:r w:rsidRPr="008A106B">
        <w:rPr>
          <w:rFonts w:eastAsia="SimSun"/>
          <w:szCs w:val="22"/>
          <w:lang w:val="es-ES" w:eastAsia="zh-CN"/>
        </w:rPr>
        <w:t xml:space="preserve"> ver sección</w:t>
      </w:r>
      <w:r w:rsidR="00107DD7">
        <w:rPr>
          <w:rFonts w:eastAsia="SimSun"/>
          <w:szCs w:val="22"/>
          <w:lang w:val="es-ES" w:eastAsia="zh-CN"/>
        </w:rPr>
        <w:t> </w:t>
      </w:r>
      <w:r w:rsidRPr="008A106B">
        <w:rPr>
          <w:rFonts w:eastAsia="SimSun"/>
          <w:szCs w:val="22"/>
          <w:lang w:val="es-ES" w:eastAsia="zh-CN"/>
        </w:rPr>
        <w:t>4.2</w:t>
      </w:r>
      <w:r w:rsidR="00F97391">
        <w:rPr>
          <w:rFonts w:eastAsia="SimSun"/>
          <w:szCs w:val="22"/>
          <w:lang w:val="es-ES" w:eastAsia="zh-CN"/>
        </w:rPr>
        <w:t>.</w:t>
      </w:r>
      <w:r w:rsidRPr="008A106B">
        <w:rPr>
          <w:rFonts w:eastAsia="SimSun"/>
          <w:szCs w:val="22"/>
          <w:lang w:val="es-ES" w:eastAsia="zh-CN"/>
        </w:rPr>
        <w:t xml:space="preserve"> </w:t>
      </w:r>
    </w:p>
    <w:p w14:paraId="2C5C1741" w14:textId="77777777" w:rsidR="007927FC" w:rsidRPr="008A106B" w:rsidRDefault="007927FC" w:rsidP="007927FC">
      <w:pPr>
        <w:rPr>
          <w:rFonts w:eastAsia="SimSun"/>
          <w:szCs w:val="22"/>
          <w:lang w:val="es-ES" w:eastAsia="zh-CN"/>
        </w:rPr>
      </w:pPr>
    </w:p>
    <w:p w14:paraId="63F4F359" w14:textId="77777777" w:rsidR="007927FC" w:rsidRPr="008A106B" w:rsidRDefault="007927FC" w:rsidP="007927FC">
      <w:pPr>
        <w:keepNext/>
        <w:keepLines/>
        <w:rPr>
          <w:i/>
          <w:iCs/>
          <w:lang w:val="es-ES_tradnl"/>
        </w:rPr>
      </w:pPr>
      <w:r w:rsidRPr="008A106B">
        <w:rPr>
          <w:i/>
          <w:iCs/>
          <w:lang w:val="es-ES_tradnl"/>
        </w:rPr>
        <w:t>Parámetros lipídicos</w:t>
      </w:r>
    </w:p>
    <w:p w14:paraId="47289C43" w14:textId="77777777" w:rsidR="007927FC" w:rsidRPr="008A106B" w:rsidRDefault="007927FC" w:rsidP="007927FC">
      <w:pPr>
        <w:keepNext/>
        <w:keepLines/>
        <w:rPr>
          <w:lang w:val="es-ES_tradnl"/>
        </w:rPr>
      </w:pPr>
      <w:r w:rsidRPr="008A106B">
        <w:rPr>
          <w:lang w:val="es-ES_tradnl"/>
        </w:rPr>
        <w:t xml:space="preserve">En los pacientes tratados con tocilizumab se han observado aumentos de parámetros lipídicos incluido colesterol total, lipoproteínas de baja densidad (LDL), lipoproteínas de alta densidad (HDL), y triglicéridos (ver sección 4.8). En la mayoría de los pacientes no hubo aumento del índice aterogénico, y el aumento del colesterol total, respondió al tratamiento con agentes hipolipemiantes. </w:t>
      </w:r>
    </w:p>
    <w:p w14:paraId="7BFF84A3" w14:textId="77777777" w:rsidR="007927FC" w:rsidRPr="008A106B" w:rsidRDefault="007927FC" w:rsidP="007927FC">
      <w:pPr>
        <w:rPr>
          <w:lang w:val="es-ES_tradnl"/>
        </w:rPr>
      </w:pPr>
    </w:p>
    <w:p w14:paraId="14905A4D" w14:textId="760A6CF8" w:rsidR="007927FC" w:rsidRPr="008A106B" w:rsidRDefault="007927FC" w:rsidP="007927FC">
      <w:pPr>
        <w:rPr>
          <w:lang w:val="es-ES"/>
        </w:rPr>
      </w:pPr>
      <w:r w:rsidRPr="008A106B">
        <w:rPr>
          <w:lang w:val="es-ES"/>
        </w:rPr>
        <w:t>En pacientes con AIJs, AIJp y AR d</w:t>
      </w:r>
      <w:r w:rsidRPr="008A106B">
        <w:rPr>
          <w:lang w:val="es-ES_tradnl"/>
        </w:rPr>
        <w:t>e 4 a 8</w:t>
      </w:r>
      <w:r w:rsidR="00454602" w:rsidRPr="00F30AB8">
        <w:rPr>
          <w:szCs w:val="22"/>
          <w:lang w:val="es-ES"/>
        </w:rPr>
        <w:t> </w:t>
      </w:r>
      <w:r w:rsidRPr="008A106B">
        <w:rPr>
          <w:lang w:val="es-ES_tradnl"/>
        </w:rPr>
        <w:t xml:space="preserve">semanas después del inicio del tratamiento </w:t>
      </w:r>
      <w:r w:rsidR="00454602">
        <w:rPr>
          <w:lang w:val="es-ES_tradnl"/>
        </w:rPr>
        <w:t xml:space="preserve">se </w:t>
      </w:r>
      <w:r w:rsidRPr="008A106B">
        <w:rPr>
          <w:lang w:val="es-ES_tradnl"/>
        </w:rPr>
        <w:t>debe realizar una evaluación de los parámetros lipídicos. Los pacientes deben tratarse de acuerdo con las directrices clínicas locales para el manejo de la hiperlipidemia.</w:t>
      </w:r>
    </w:p>
    <w:p w14:paraId="00E503D5" w14:textId="77777777" w:rsidR="007927FC" w:rsidRPr="008A106B" w:rsidRDefault="007927FC" w:rsidP="007927FC">
      <w:pPr>
        <w:ind w:left="567" w:hanging="567"/>
        <w:outlineLvl w:val="0"/>
        <w:rPr>
          <w:i/>
          <w:iCs/>
          <w:lang w:val="es-ES_tradnl"/>
        </w:rPr>
      </w:pPr>
    </w:p>
    <w:p w14:paraId="6CD0BD45" w14:textId="77777777" w:rsidR="007927FC" w:rsidRPr="008A106B" w:rsidRDefault="007927FC" w:rsidP="007927FC">
      <w:pPr>
        <w:keepNext/>
        <w:ind w:left="567" w:hanging="567"/>
        <w:outlineLvl w:val="0"/>
        <w:rPr>
          <w:i/>
          <w:iCs/>
          <w:lang w:val="es-ES"/>
        </w:rPr>
      </w:pPr>
      <w:r w:rsidRPr="008A106B">
        <w:rPr>
          <w:i/>
          <w:iCs/>
          <w:lang w:val="es-ES_tradnl"/>
        </w:rPr>
        <w:t>Trastornos neurológicos</w:t>
      </w:r>
    </w:p>
    <w:p w14:paraId="1EF9F76E" w14:textId="090355D1" w:rsidR="007927FC" w:rsidRPr="008A106B" w:rsidRDefault="007927FC" w:rsidP="007927FC">
      <w:pPr>
        <w:outlineLvl w:val="0"/>
        <w:rPr>
          <w:lang w:val="es-ES"/>
        </w:rPr>
      </w:pPr>
      <w:r w:rsidRPr="008A106B">
        <w:rPr>
          <w:lang w:val="es-ES_tradnl"/>
        </w:rPr>
        <w:t>Los médicos deben estar atentos a síntomas potencialmente indicativos de trastornos desmielinizantes centrales de nueva aparición.</w:t>
      </w:r>
      <w:r w:rsidRPr="008A106B">
        <w:rPr>
          <w:lang w:val="es-ES"/>
        </w:rPr>
        <w:t xml:space="preserve"> </w:t>
      </w:r>
      <w:r w:rsidRPr="008A106B">
        <w:rPr>
          <w:lang w:val="es-ES_tradnl"/>
        </w:rPr>
        <w:t xml:space="preserve">Actualmente, se desconocen las posibilidades de que se produzca una desmielinización central con </w:t>
      </w:r>
      <w:r w:rsidR="00107DD7">
        <w:rPr>
          <w:lang w:val="es-ES_tradnl"/>
        </w:rPr>
        <w:t>tocilizumab</w:t>
      </w:r>
      <w:r w:rsidRPr="008A106B">
        <w:rPr>
          <w:lang w:val="es-ES_tradnl"/>
        </w:rPr>
        <w:t>.</w:t>
      </w:r>
    </w:p>
    <w:p w14:paraId="7696039C" w14:textId="77777777" w:rsidR="007927FC" w:rsidRPr="008A106B" w:rsidRDefault="007927FC" w:rsidP="007927FC">
      <w:pPr>
        <w:ind w:left="567" w:hanging="567"/>
        <w:outlineLvl w:val="0"/>
        <w:rPr>
          <w:lang w:val="es-ES"/>
        </w:rPr>
      </w:pPr>
    </w:p>
    <w:p w14:paraId="741570E7" w14:textId="77777777" w:rsidR="007927FC" w:rsidRPr="008A106B" w:rsidRDefault="007927FC" w:rsidP="007927FC">
      <w:pPr>
        <w:ind w:left="567" w:hanging="567"/>
        <w:outlineLvl w:val="0"/>
        <w:rPr>
          <w:i/>
          <w:iCs/>
          <w:lang w:val="es-ES"/>
        </w:rPr>
      </w:pPr>
      <w:r w:rsidRPr="008A106B">
        <w:rPr>
          <w:i/>
          <w:iCs/>
          <w:lang w:val="es-ES_tradnl"/>
        </w:rPr>
        <w:t>Tumores malignos</w:t>
      </w:r>
    </w:p>
    <w:p w14:paraId="75994A39" w14:textId="7639DA78" w:rsidR="007927FC" w:rsidRPr="00376697" w:rsidRDefault="007927FC" w:rsidP="007927FC">
      <w:pPr>
        <w:autoSpaceDE w:val="0"/>
        <w:autoSpaceDN w:val="0"/>
        <w:adjustRightInd w:val="0"/>
        <w:rPr>
          <w:lang w:val="es-ES"/>
        </w:rPr>
      </w:pPr>
      <w:r w:rsidRPr="008A106B">
        <w:rPr>
          <w:lang w:val="es-ES_tradnl"/>
        </w:rPr>
        <w:t>El riesgo de tumores malignos se incrementa en pacientes con artritis reumatoide.</w:t>
      </w:r>
      <w:r w:rsidRPr="008A106B">
        <w:rPr>
          <w:lang w:val="es-ES"/>
        </w:rPr>
        <w:t xml:space="preserve"> </w:t>
      </w:r>
      <w:r w:rsidRPr="008A106B">
        <w:rPr>
          <w:lang w:val="es-ES_tradnl"/>
        </w:rPr>
        <w:t>Los fármacos inmunomoduladores pueden aumentar el riesgo de tumores malignos.</w:t>
      </w:r>
      <w:r w:rsidRPr="008A106B">
        <w:rPr>
          <w:lang w:val="es-ES"/>
        </w:rPr>
        <w:t xml:space="preserve"> </w:t>
      </w:r>
      <w:r w:rsidR="00107DD7" w:rsidRPr="00107DD7">
        <w:rPr>
          <w:lang w:val="es-ES"/>
        </w:rPr>
        <w:t xml:space="preserve">Los datos clínicos son insuficientes para evaluar la posible incidencia de tumores malignos después de la exposición a </w:t>
      </w:r>
      <w:proofErr w:type="gramStart"/>
      <w:r w:rsidR="00107DD7" w:rsidRPr="00107DD7">
        <w:rPr>
          <w:lang w:val="es-ES"/>
        </w:rPr>
        <w:t>tocilizumab.</w:t>
      </w:r>
      <w:r w:rsidR="00CB7369">
        <w:rPr>
          <w:lang w:val="es-ES"/>
        </w:rPr>
        <w:t>Se</w:t>
      </w:r>
      <w:proofErr w:type="gramEnd"/>
      <w:r w:rsidR="00CB7369">
        <w:rPr>
          <w:lang w:val="es-ES"/>
        </w:rPr>
        <w:t xml:space="preserve"> están realizando</w:t>
      </w:r>
      <w:r w:rsidR="00107DD7" w:rsidRPr="00107DD7">
        <w:rPr>
          <w:lang w:val="es-ES"/>
        </w:rPr>
        <w:t xml:space="preserve"> evaluaciones de seguridad a largo plazo.</w:t>
      </w:r>
    </w:p>
    <w:p w14:paraId="14C153BD" w14:textId="77777777" w:rsidR="007927FC" w:rsidRPr="008A106B" w:rsidRDefault="007927FC" w:rsidP="007927FC">
      <w:pPr>
        <w:ind w:left="567" w:hanging="567"/>
        <w:outlineLvl w:val="0"/>
        <w:rPr>
          <w:lang w:val="es-ES"/>
        </w:rPr>
      </w:pPr>
    </w:p>
    <w:p w14:paraId="57B623D8" w14:textId="77777777" w:rsidR="007927FC" w:rsidRPr="008A106B" w:rsidRDefault="007927FC" w:rsidP="007927FC">
      <w:pPr>
        <w:ind w:left="567" w:hanging="567"/>
        <w:outlineLvl w:val="0"/>
        <w:rPr>
          <w:i/>
          <w:iCs/>
          <w:lang w:val="es-ES"/>
        </w:rPr>
      </w:pPr>
      <w:r w:rsidRPr="008A106B">
        <w:rPr>
          <w:i/>
          <w:iCs/>
          <w:lang w:val="es-ES_tradnl"/>
        </w:rPr>
        <w:t>Vacunación</w:t>
      </w:r>
    </w:p>
    <w:p w14:paraId="0189F96D" w14:textId="1E18DC3E" w:rsidR="007927FC" w:rsidRPr="008A106B" w:rsidRDefault="007927FC" w:rsidP="007927FC">
      <w:pPr>
        <w:rPr>
          <w:lang w:val="es-ES"/>
        </w:rPr>
      </w:pPr>
      <w:r w:rsidRPr="008A106B">
        <w:rPr>
          <w:lang w:val="es-ES_tradnl"/>
        </w:rPr>
        <w:t>No deben administrarse vacunas vivas o vivas atenuadas simultáneamente con</w:t>
      </w:r>
      <w:ins w:id="87" w:author="AUTHOR">
        <w:r w:rsidR="00F67CA2">
          <w:rPr>
            <w:lang w:val="es-ES_tradnl"/>
          </w:rPr>
          <w:t xml:space="preserve"> </w:t>
        </w:r>
      </w:ins>
      <w:r w:rsidR="00322A79">
        <w:rPr>
          <w:lang w:val="es-ES_tradnl"/>
        </w:rPr>
        <w:t>este medicamento</w:t>
      </w:r>
      <w:r w:rsidRPr="008A106B">
        <w:rPr>
          <w:lang w:val="es-ES_tradnl"/>
        </w:rPr>
        <w:t xml:space="preserve">, porque no se ha establecido la seguridad clínica. </w:t>
      </w:r>
      <w:r w:rsidR="009B1856">
        <w:rPr>
          <w:lang w:val="es-ES_tradnl"/>
        </w:rPr>
        <w:t xml:space="preserve">En un </w:t>
      </w:r>
      <w:del w:id="88" w:author="AUTHOR">
        <w:r w:rsidR="009B1856" w:rsidDel="00994C36">
          <w:rPr>
            <w:lang w:val="es-ES_tradnl"/>
          </w:rPr>
          <w:delText>estudio</w:delText>
        </w:r>
      </w:del>
      <w:ins w:id="89" w:author="AUTHOR">
        <w:r w:rsidR="00994C36">
          <w:rPr>
            <w:lang w:val="es-ES_tradnl"/>
          </w:rPr>
          <w:t>ensayo</w:t>
        </w:r>
      </w:ins>
      <w:r w:rsidR="009B1856">
        <w:rPr>
          <w:lang w:val="es-ES_tradnl"/>
        </w:rPr>
        <w:t xml:space="preserve">, abierto, aleatorizado en pacientes adultos con AR tratados con </w:t>
      </w:r>
      <w:r w:rsidR="00322A79">
        <w:rPr>
          <w:lang w:val="es-ES_tradnl"/>
        </w:rPr>
        <w:t xml:space="preserve">tocilizumab </w:t>
      </w:r>
      <w:r w:rsidR="009B1856">
        <w:rPr>
          <w:lang w:val="es-ES_tradnl"/>
        </w:rPr>
        <w:t xml:space="preserve">y </w:t>
      </w:r>
      <w:r w:rsidR="00322A79">
        <w:rPr>
          <w:lang w:val="es-ES_tradnl"/>
        </w:rPr>
        <w:t>MTX</w:t>
      </w:r>
      <w:r w:rsidR="009B1856">
        <w:rPr>
          <w:lang w:val="es-ES_tradnl"/>
        </w:rPr>
        <w:t xml:space="preserve"> lograron una respuesta eficaz a: la vacuna neumocócica polisacárida 23 valente y a la vacuna del toxoide tetánico, que fue comparable a la respuesta observada en pacientes tratados con </w:t>
      </w:r>
      <w:r w:rsidR="00322A79">
        <w:rPr>
          <w:lang w:val="es-ES_tradnl"/>
        </w:rPr>
        <w:t>MTX</w:t>
      </w:r>
      <w:r w:rsidR="009B1856">
        <w:rPr>
          <w:lang w:val="es-ES_tradnl"/>
        </w:rPr>
        <w:t xml:space="preserve"> sólo. </w:t>
      </w:r>
      <w:r w:rsidRPr="008A106B">
        <w:rPr>
          <w:lang w:val="es-ES_tradnl"/>
        </w:rPr>
        <w:t xml:space="preserve">Se recomienda que todos los pacientes, especialmente los de AIJs y AIJp, estén al día con su vacunación de acuerdo con los actuales calendarios de vacunación antes de comenzar el tratamiento. El intervalo entre la iniciación del tratamiento y la administración de vacunas vivas debe estar de acuerdo con las guías actuales de vacunación de agentes inmunosupresores. </w:t>
      </w:r>
    </w:p>
    <w:p w14:paraId="253289EA" w14:textId="77777777" w:rsidR="007927FC" w:rsidRPr="008A106B" w:rsidRDefault="007927FC" w:rsidP="007927FC">
      <w:pPr>
        <w:rPr>
          <w:lang w:val="es-ES"/>
        </w:rPr>
      </w:pPr>
    </w:p>
    <w:p w14:paraId="1EE19C25" w14:textId="77777777" w:rsidR="007927FC" w:rsidRPr="008A106B" w:rsidRDefault="007927FC" w:rsidP="007927FC">
      <w:pPr>
        <w:rPr>
          <w:i/>
          <w:iCs/>
          <w:lang w:val="es-ES"/>
        </w:rPr>
      </w:pPr>
      <w:r w:rsidRPr="008A106B">
        <w:rPr>
          <w:i/>
          <w:iCs/>
          <w:lang w:val="es-ES_tradnl"/>
        </w:rPr>
        <w:t>Riesgo cardiovascular</w:t>
      </w:r>
    </w:p>
    <w:p w14:paraId="502FF704" w14:textId="77777777" w:rsidR="007927FC" w:rsidRPr="008A106B" w:rsidRDefault="007927FC" w:rsidP="007927FC">
      <w:pPr>
        <w:rPr>
          <w:lang w:val="es-ES"/>
        </w:rPr>
      </w:pPr>
      <w:r w:rsidRPr="008A106B">
        <w:rPr>
          <w:lang w:val="es-ES_tradnl"/>
        </w:rPr>
        <w:t>Los pacientes con artritis reumatoide tienen mayor riesgo de trastornos cardiovasculares y deben tener tratamiento de sus factores de riesgo (p. ej., hipertensión, hiperlipidemia) como parte de la asistencia habitual.</w:t>
      </w:r>
    </w:p>
    <w:p w14:paraId="5B244628" w14:textId="77777777" w:rsidR="007927FC" w:rsidRPr="008A106B" w:rsidRDefault="007927FC" w:rsidP="007927FC">
      <w:pPr>
        <w:rPr>
          <w:lang w:val="es-ES"/>
        </w:rPr>
      </w:pPr>
    </w:p>
    <w:p w14:paraId="19A44BB1" w14:textId="77777777" w:rsidR="007927FC" w:rsidRPr="008A106B" w:rsidRDefault="007927FC" w:rsidP="007927FC">
      <w:pPr>
        <w:rPr>
          <w:i/>
          <w:iCs/>
          <w:lang w:val="es-ES"/>
        </w:rPr>
      </w:pPr>
      <w:r w:rsidRPr="008A106B">
        <w:rPr>
          <w:i/>
          <w:iCs/>
          <w:lang w:val="es-ES_tradnl"/>
        </w:rPr>
        <w:t>Combinación con agentes antagonistas del TNF</w:t>
      </w:r>
    </w:p>
    <w:p w14:paraId="4EF89300" w14:textId="58BCAEC3" w:rsidR="007927FC" w:rsidRPr="008A106B" w:rsidRDefault="007927FC" w:rsidP="007927FC">
      <w:pPr>
        <w:rPr>
          <w:lang w:val="es-ES_tradnl"/>
        </w:rPr>
      </w:pPr>
      <w:r w:rsidRPr="008A106B">
        <w:rPr>
          <w:lang w:val="es-ES_tradnl"/>
        </w:rPr>
        <w:t xml:space="preserve">No hay experiencia en el uso de </w:t>
      </w:r>
      <w:r w:rsidR="001A5370">
        <w:rPr>
          <w:lang w:val="es-ES_tradnl"/>
        </w:rPr>
        <w:t>tocilizumab</w:t>
      </w:r>
      <w:r w:rsidR="001A5370" w:rsidRPr="008A106B">
        <w:rPr>
          <w:lang w:val="es-ES_tradnl"/>
        </w:rPr>
        <w:t xml:space="preserve"> </w:t>
      </w:r>
      <w:r w:rsidRPr="008A106B">
        <w:rPr>
          <w:lang w:val="es-ES_tradnl"/>
        </w:rPr>
        <w:t>con antagonistas del TNF u otros tratamientos biológicos para la artritis reumatoide ni para AIJs ni para AIJp.</w:t>
      </w:r>
      <w:r w:rsidRPr="008A106B">
        <w:rPr>
          <w:lang w:val="es-ES"/>
        </w:rPr>
        <w:t xml:space="preserve"> </w:t>
      </w:r>
      <w:r w:rsidRPr="008A106B">
        <w:rPr>
          <w:lang w:val="es-ES_tradnl"/>
        </w:rPr>
        <w:t xml:space="preserve">No se recomienda el uso de </w:t>
      </w:r>
      <w:r w:rsidR="001A5370">
        <w:rPr>
          <w:lang w:val="es-ES_tradnl"/>
        </w:rPr>
        <w:t>este medicamento</w:t>
      </w:r>
      <w:r w:rsidRPr="008A106B">
        <w:rPr>
          <w:lang w:val="es-ES_tradnl"/>
        </w:rPr>
        <w:t xml:space="preserve"> con otros agentes biológicos.</w:t>
      </w:r>
    </w:p>
    <w:p w14:paraId="312C4EB4" w14:textId="7D473CFE" w:rsidR="007927FC" w:rsidRPr="008A106B" w:rsidDel="00000156" w:rsidRDefault="007927FC" w:rsidP="00467FFD">
      <w:pPr>
        <w:rPr>
          <w:del w:id="90" w:author="AUTHOR"/>
          <w:lang w:val="es-ES_tradnl"/>
        </w:rPr>
      </w:pPr>
    </w:p>
    <w:p w14:paraId="0BD411DB" w14:textId="5DED6102" w:rsidR="007927FC" w:rsidRPr="008A106B" w:rsidDel="00720FD4" w:rsidRDefault="007927FC">
      <w:pPr>
        <w:keepNext/>
        <w:keepLines/>
        <w:rPr>
          <w:del w:id="91" w:author="AUTHOR"/>
          <w:i/>
          <w:lang w:val="es-ES_tradnl"/>
        </w:rPr>
        <w:pPrChange w:id="92" w:author="AUTHOR">
          <w:pPr>
            <w:keepNext/>
          </w:pPr>
        </w:pPrChange>
      </w:pPr>
      <w:del w:id="93" w:author="AUTHOR">
        <w:r w:rsidRPr="008A106B" w:rsidDel="00720FD4">
          <w:rPr>
            <w:i/>
            <w:lang w:val="es-ES_tradnl"/>
          </w:rPr>
          <w:lastRenderedPageBreak/>
          <w:delText xml:space="preserve">Sodio </w:delText>
        </w:r>
      </w:del>
    </w:p>
    <w:p w14:paraId="460D6D50" w14:textId="7250266F" w:rsidR="00533308" w:rsidRPr="00533308" w:rsidDel="00720FD4" w:rsidRDefault="00533308">
      <w:pPr>
        <w:keepNext/>
        <w:keepLines/>
        <w:rPr>
          <w:del w:id="94" w:author="AUTHOR"/>
          <w:lang w:val="es-ES"/>
        </w:rPr>
        <w:pPrChange w:id="95" w:author="AUTHOR">
          <w:pPr/>
        </w:pPrChange>
      </w:pPr>
      <w:del w:id="96" w:author="AUTHOR">
        <w:r w:rsidDel="00720FD4">
          <w:rPr>
            <w:lang w:val="es-ES"/>
          </w:rPr>
          <w:delText>Tras la</w:delText>
        </w:r>
        <w:r w:rsidRPr="00533308" w:rsidDel="00720FD4">
          <w:rPr>
            <w:lang w:val="es-ES"/>
          </w:rPr>
          <w:delText xml:space="preserve"> dilución con una solución de cloruro de sodio al 0,9 %, </w:delText>
        </w:r>
        <w:r w:rsidDel="00720FD4">
          <w:rPr>
            <w:lang w:val="es-ES"/>
          </w:rPr>
          <w:delText>este medicamento contiene 230,6 </w:delText>
        </w:r>
        <w:r w:rsidRPr="00533308" w:rsidDel="00720FD4">
          <w:rPr>
            <w:lang w:val="es-ES"/>
          </w:rPr>
          <w:delText>mg d</w:delText>
        </w:r>
        <w:r w:rsidDel="00720FD4">
          <w:rPr>
            <w:lang w:val="es-ES"/>
          </w:rPr>
          <w:delText>e sodio por dosis máxima de 800 </w:delText>
        </w:r>
        <w:r w:rsidRPr="00533308" w:rsidDel="00720FD4">
          <w:rPr>
            <w:lang w:val="es-ES"/>
          </w:rPr>
          <w:delText>mg, equivalente al 11,5</w:delText>
        </w:r>
        <w:r w:rsidDel="00720FD4">
          <w:rPr>
            <w:lang w:val="es-ES"/>
          </w:rPr>
          <w:delText> </w:delText>
        </w:r>
        <w:r w:rsidRPr="00533308" w:rsidDel="00720FD4">
          <w:rPr>
            <w:lang w:val="es-ES"/>
          </w:rPr>
          <w:delText>% de la in</w:delText>
        </w:r>
        <w:r w:rsidDel="00720FD4">
          <w:rPr>
            <w:lang w:val="es-ES"/>
          </w:rPr>
          <w:delText>gesta máxima diaria de 2 </w:delText>
        </w:r>
        <w:r w:rsidRPr="00533308" w:rsidDel="00720FD4">
          <w:rPr>
            <w:lang w:val="es-ES"/>
          </w:rPr>
          <w:delText>g de sodio recomendada por la OMS para un adulto.</w:delText>
        </w:r>
      </w:del>
    </w:p>
    <w:p w14:paraId="0C27627E" w14:textId="07DF71CE" w:rsidR="00533308" w:rsidRPr="00533308" w:rsidDel="00720FD4" w:rsidRDefault="00533308">
      <w:pPr>
        <w:keepNext/>
        <w:keepLines/>
        <w:rPr>
          <w:del w:id="97" w:author="AUTHOR"/>
          <w:lang w:val="es-ES"/>
        </w:rPr>
        <w:pPrChange w:id="98" w:author="AUTHOR">
          <w:pPr/>
        </w:pPrChange>
      </w:pPr>
    </w:p>
    <w:p w14:paraId="5DFA39BD" w14:textId="64BD9A02" w:rsidR="00533308" w:rsidRPr="00F30AB8" w:rsidDel="00720FD4" w:rsidRDefault="00533308">
      <w:pPr>
        <w:keepNext/>
        <w:keepLines/>
        <w:rPr>
          <w:del w:id="99" w:author="AUTHOR"/>
          <w:i/>
          <w:lang w:val="es-ES"/>
        </w:rPr>
        <w:pPrChange w:id="100" w:author="AUTHOR">
          <w:pPr/>
        </w:pPrChange>
      </w:pPr>
      <w:del w:id="101" w:author="AUTHOR">
        <w:r w:rsidRPr="00F30AB8" w:rsidDel="00720FD4">
          <w:rPr>
            <w:i/>
            <w:lang w:val="es-ES"/>
          </w:rPr>
          <w:delText>Polisorbato</w:delText>
        </w:r>
      </w:del>
    </w:p>
    <w:p w14:paraId="6385E9D0" w14:textId="0BE4FE4E" w:rsidR="00533308" w:rsidRPr="00533308" w:rsidDel="00720FD4" w:rsidRDefault="00533308">
      <w:pPr>
        <w:keepNext/>
        <w:keepLines/>
        <w:rPr>
          <w:del w:id="102" w:author="AUTHOR"/>
          <w:lang w:val="es-ES"/>
        </w:rPr>
        <w:pPrChange w:id="103" w:author="AUTHOR">
          <w:pPr/>
        </w:pPrChange>
      </w:pPr>
      <w:del w:id="104" w:author="AUTHOR">
        <w:r w:rsidDel="00720FD4">
          <w:rPr>
            <w:lang w:val="es-ES"/>
          </w:rPr>
          <w:delText>Este medicamento contiene 2 mg de polisorbato 80 en cada vial de 80 mg, 5 </w:delText>
        </w:r>
        <w:r w:rsidRPr="00533308" w:rsidDel="00720FD4">
          <w:rPr>
            <w:lang w:val="es-ES"/>
          </w:rPr>
          <w:delText>mg de pol</w:delText>
        </w:r>
        <w:r w:rsidDel="00720FD4">
          <w:rPr>
            <w:lang w:val="es-ES"/>
          </w:rPr>
          <w:delText>isorbato 80 en cada vial de 200 </w:delText>
        </w:r>
        <w:r w:rsidRPr="00533308" w:rsidDel="00720FD4">
          <w:rPr>
            <w:lang w:val="es-ES"/>
          </w:rPr>
          <w:delText>mg y 10</w:delText>
        </w:r>
        <w:r w:rsidDel="00720FD4">
          <w:rPr>
            <w:lang w:val="es-ES"/>
          </w:rPr>
          <w:delText> </w:delText>
        </w:r>
        <w:r w:rsidRPr="00533308" w:rsidDel="00720FD4">
          <w:rPr>
            <w:lang w:val="es-ES"/>
          </w:rPr>
          <w:delText>mg de pol</w:delText>
        </w:r>
        <w:r w:rsidDel="00720FD4">
          <w:rPr>
            <w:lang w:val="es-ES"/>
          </w:rPr>
          <w:delText>isorbato 80 en cada vial de 400 </w:delText>
        </w:r>
        <w:r w:rsidRPr="00533308" w:rsidDel="00720FD4">
          <w:rPr>
            <w:lang w:val="es-ES"/>
          </w:rPr>
          <w:delText>mg, lo que equivale a 0,5</w:delText>
        </w:r>
        <w:r w:rsidR="00FC7F6E" w:rsidDel="00720FD4">
          <w:rPr>
            <w:lang w:val="es-ES"/>
          </w:rPr>
          <w:delText> </w:delText>
        </w:r>
        <w:r w:rsidRPr="00533308" w:rsidDel="00720FD4">
          <w:rPr>
            <w:lang w:val="es-ES"/>
          </w:rPr>
          <w:delText>mg/ml.</w:delText>
        </w:r>
      </w:del>
    </w:p>
    <w:p w14:paraId="2367CED2" w14:textId="21FF937F" w:rsidR="00095A09" w:rsidRPr="006D747C" w:rsidDel="00720FD4" w:rsidRDefault="00533308">
      <w:pPr>
        <w:keepNext/>
        <w:keepLines/>
        <w:shd w:val="clear" w:color="auto" w:fill="FFFFFF" w:themeFill="background1"/>
        <w:rPr>
          <w:del w:id="105" w:author="AUTHOR"/>
          <w:lang w:val="es-ES"/>
        </w:rPr>
        <w:pPrChange w:id="106" w:author="AUTHOR">
          <w:pPr>
            <w:shd w:val="clear" w:color="auto" w:fill="FFFFFF" w:themeFill="background1"/>
          </w:pPr>
        </w:pPrChange>
      </w:pPr>
      <w:del w:id="107" w:author="AUTHOR">
        <w:r w:rsidRPr="00533308" w:rsidDel="00720FD4">
          <w:rPr>
            <w:lang w:val="es-ES"/>
          </w:rPr>
          <w:delText>Los polisorbatos pueden causar reacciones alérgicas.</w:delText>
        </w:r>
        <w:r w:rsidR="00335FBF" w:rsidDel="00720FD4">
          <w:rPr>
            <w:lang w:val="es-ES"/>
          </w:rPr>
          <w:delText xml:space="preserve"> </w:delText>
        </w:r>
        <w:r w:rsidR="006D747C" w:rsidDel="00720FD4">
          <w:rPr>
            <w:lang w:val="es-ES"/>
          </w:rPr>
          <w:delText xml:space="preserve"> </w:delText>
        </w:r>
        <w:r w:rsidR="006D747C" w:rsidRPr="006D747C" w:rsidDel="00720FD4">
          <w:rPr>
            <w:lang w:val="es-ES"/>
          </w:rPr>
          <w:delText xml:space="preserve">Se </w:delText>
        </w:r>
        <w:r w:rsidR="006D747C" w:rsidDel="00720FD4">
          <w:rPr>
            <w:lang w:val="es-ES"/>
          </w:rPr>
          <w:delText xml:space="preserve">debe tener en cuenta </w:delText>
        </w:r>
        <w:r w:rsidR="006D747C" w:rsidRPr="006D747C" w:rsidDel="00720FD4">
          <w:rPr>
            <w:lang w:val="es-ES"/>
          </w:rPr>
          <w:delText>las alergias conocidas de los pacientes.</w:delText>
        </w:r>
      </w:del>
    </w:p>
    <w:p w14:paraId="6076043C" w14:textId="77777777" w:rsidR="00533308" w:rsidRPr="00F30AB8" w:rsidRDefault="00533308">
      <w:pPr>
        <w:keepNext/>
        <w:keepLines/>
        <w:shd w:val="clear" w:color="auto" w:fill="FFFFFF" w:themeFill="background1"/>
        <w:rPr>
          <w:lang w:val="es-ES"/>
        </w:rPr>
        <w:pPrChange w:id="108" w:author="AUTHOR">
          <w:pPr>
            <w:shd w:val="clear" w:color="auto" w:fill="FFFFFF" w:themeFill="background1"/>
          </w:pPr>
        </w:pPrChange>
      </w:pPr>
    </w:p>
    <w:p w14:paraId="0E194A29" w14:textId="5A31929E" w:rsidR="00095A09" w:rsidRPr="00D33DBC" w:rsidRDefault="00095A09">
      <w:pPr>
        <w:keepNext/>
        <w:keepLines/>
        <w:rPr>
          <w:u w:val="single"/>
          <w:lang w:val="es-ES_tradnl"/>
        </w:rPr>
        <w:pPrChange w:id="109" w:author="AUTHOR">
          <w:pPr/>
        </w:pPrChange>
      </w:pPr>
      <w:r w:rsidRPr="00F30AB8">
        <w:rPr>
          <w:u w:val="single"/>
          <w:lang w:val="es-ES_tradnl"/>
        </w:rPr>
        <w:t>Pacientes con COVID-19</w:t>
      </w:r>
    </w:p>
    <w:p w14:paraId="7B3EBB1E" w14:textId="46394D17" w:rsidR="00095A09" w:rsidRDefault="001F09ED">
      <w:pPr>
        <w:keepNext/>
        <w:keepLines/>
        <w:ind w:left="714" w:hanging="357"/>
        <w:rPr>
          <w:lang w:val="es-ES_tradnl"/>
        </w:rPr>
        <w:pPrChange w:id="110" w:author="AUTHOR">
          <w:pPr>
            <w:ind w:left="714" w:hanging="357"/>
          </w:pPr>
        </w:pPrChange>
      </w:pPr>
      <w:r w:rsidRPr="008A106B">
        <w:sym w:font="Symbol" w:char="F0B7"/>
      </w:r>
      <w:r w:rsidRPr="00F30AB8">
        <w:rPr>
          <w:lang w:val="es-ES"/>
        </w:rPr>
        <w:tab/>
      </w:r>
      <w:r w:rsidR="00095A09" w:rsidRPr="00095A09">
        <w:rPr>
          <w:lang w:val="es-ES_tradnl"/>
        </w:rPr>
        <w:t xml:space="preserve">No se ha establecido la eficacia de </w:t>
      </w:r>
      <w:r w:rsidR="00533308">
        <w:rPr>
          <w:lang w:val="es-ES_tradnl"/>
        </w:rPr>
        <w:t>este medicamento</w:t>
      </w:r>
      <w:r w:rsidR="00533308" w:rsidRPr="00095A09">
        <w:rPr>
          <w:lang w:val="es-ES_tradnl"/>
        </w:rPr>
        <w:t xml:space="preserve"> </w:t>
      </w:r>
      <w:r w:rsidR="00095A09" w:rsidRPr="00095A09">
        <w:rPr>
          <w:lang w:val="es-ES_tradnl"/>
        </w:rPr>
        <w:t>en el tratamiento de pacientes con COVID-19 que no presentan</w:t>
      </w:r>
      <w:r w:rsidR="00D87738">
        <w:rPr>
          <w:lang w:val="es-ES_tradnl"/>
        </w:rPr>
        <w:t xml:space="preserve"> niveles elevados de proteína C reactiva (PCR)</w:t>
      </w:r>
      <w:del w:id="111" w:author="AUTHOR">
        <w:r w:rsidR="00095A09" w:rsidRPr="00095A09" w:rsidDel="009E094B">
          <w:rPr>
            <w:lang w:val="es-ES_tradnl"/>
          </w:rPr>
          <w:delText xml:space="preserve"> </w:delText>
        </w:r>
      </w:del>
      <w:r w:rsidR="00095A09" w:rsidRPr="00095A09">
        <w:rPr>
          <w:lang w:val="es-ES_tradnl"/>
        </w:rPr>
        <w:t>, ver sección</w:t>
      </w:r>
      <w:r w:rsidR="00533308">
        <w:rPr>
          <w:lang w:val="es-ES_tradnl"/>
        </w:rPr>
        <w:t> </w:t>
      </w:r>
      <w:r w:rsidR="00095A09" w:rsidRPr="00095A09">
        <w:rPr>
          <w:lang w:val="es-ES_tradnl"/>
        </w:rPr>
        <w:t>5.1.</w:t>
      </w:r>
    </w:p>
    <w:p w14:paraId="309D5EE4" w14:textId="6FF52784" w:rsidR="00443EFC" w:rsidRPr="00443EFC" w:rsidRDefault="001F09ED">
      <w:pPr>
        <w:keepNext/>
        <w:keepLines/>
        <w:ind w:left="714" w:hanging="357"/>
        <w:rPr>
          <w:lang w:val="es-ES"/>
        </w:rPr>
        <w:pPrChange w:id="112" w:author="AUTHOR">
          <w:pPr>
            <w:ind w:left="714" w:hanging="357"/>
          </w:pPr>
        </w:pPrChange>
      </w:pPr>
      <w:r w:rsidRPr="008A106B">
        <w:sym w:font="Symbol" w:char="F0B7"/>
      </w:r>
      <w:r w:rsidRPr="00F30AB8">
        <w:rPr>
          <w:lang w:val="es-ES"/>
        </w:rPr>
        <w:tab/>
      </w:r>
      <w:r w:rsidR="00533308">
        <w:rPr>
          <w:lang w:val="es-ES"/>
        </w:rPr>
        <w:t xml:space="preserve">Este medicamento </w:t>
      </w:r>
      <w:r w:rsidR="00443EFC" w:rsidRPr="00443EFC">
        <w:rPr>
          <w:lang w:val="es-ES"/>
        </w:rPr>
        <w:t xml:space="preserve">no </w:t>
      </w:r>
      <w:r w:rsidR="00533308">
        <w:rPr>
          <w:lang w:val="es-ES"/>
        </w:rPr>
        <w:t xml:space="preserve">se </w:t>
      </w:r>
      <w:r w:rsidR="00443EFC" w:rsidRPr="00443EFC">
        <w:rPr>
          <w:lang w:val="es-ES"/>
        </w:rPr>
        <w:t>debe administrar a pacientes con COVID-19 que no estén recibiendo corticosteroides sistémicos ya que no se puede excluir un aumento de la mortalidad en este subgrupo, ver sección</w:t>
      </w:r>
      <w:r w:rsidR="00533308" w:rsidRPr="00F30AB8">
        <w:rPr>
          <w:noProof/>
          <w:lang w:val="es-ES"/>
        </w:rPr>
        <w:t> </w:t>
      </w:r>
      <w:r w:rsidR="00443EFC" w:rsidRPr="00443EFC">
        <w:rPr>
          <w:lang w:val="es-ES"/>
        </w:rPr>
        <w:t>5.1.</w:t>
      </w:r>
    </w:p>
    <w:p w14:paraId="204E275F" w14:textId="77777777" w:rsidR="00443EFC" w:rsidRPr="00095A09" w:rsidRDefault="00443EFC" w:rsidP="004B67DA">
      <w:pPr>
        <w:ind w:left="720"/>
        <w:rPr>
          <w:lang w:val="es-ES_tradnl"/>
        </w:rPr>
      </w:pPr>
    </w:p>
    <w:p w14:paraId="7149397B" w14:textId="5B255D72" w:rsidR="00095A09" w:rsidRPr="00095A09" w:rsidDel="00B056DC" w:rsidRDefault="00095A09" w:rsidP="00095A09">
      <w:pPr>
        <w:rPr>
          <w:del w:id="113" w:author="tcs" w:date="2026-02-25T23:33:00Z"/>
          <w:lang w:val="es-ES_tradnl"/>
        </w:rPr>
      </w:pPr>
    </w:p>
    <w:p w14:paraId="212F18F3" w14:textId="77777777" w:rsidR="00095A09" w:rsidRPr="004B67DA" w:rsidRDefault="00095A09" w:rsidP="00095A09">
      <w:pPr>
        <w:rPr>
          <w:i/>
          <w:lang w:val="es-ES_tradnl"/>
        </w:rPr>
      </w:pPr>
      <w:r w:rsidRPr="004B67DA">
        <w:rPr>
          <w:i/>
          <w:lang w:val="es-ES_tradnl"/>
        </w:rPr>
        <w:t>Infecciones</w:t>
      </w:r>
    </w:p>
    <w:p w14:paraId="26DCE018" w14:textId="4E34E26B" w:rsidR="00095A09" w:rsidRPr="00095A09" w:rsidRDefault="00095A09" w:rsidP="00095A09">
      <w:pPr>
        <w:rPr>
          <w:lang w:val="es-ES_tradnl"/>
        </w:rPr>
      </w:pPr>
      <w:r w:rsidRPr="00095A09">
        <w:rPr>
          <w:lang w:val="es-ES_tradnl"/>
        </w:rPr>
        <w:t xml:space="preserve">En pacientes con COVID-19, no se debe administrar </w:t>
      </w:r>
      <w:r w:rsidR="00533308">
        <w:rPr>
          <w:lang w:val="es-ES_tradnl"/>
        </w:rPr>
        <w:t>este medicamento</w:t>
      </w:r>
      <w:r w:rsidRPr="00095A09">
        <w:rPr>
          <w:lang w:val="es-ES_tradnl"/>
        </w:rPr>
        <w:t xml:space="preserve"> si tienen alguna otra infección activa grave concurrente. Los profesionales sanitarios deben tener cuidado al considerar el uso de </w:t>
      </w:r>
      <w:r w:rsidR="00533308">
        <w:rPr>
          <w:lang w:val="es-ES_tradnl"/>
        </w:rPr>
        <w:t>tocilizumab</w:t>
      </w:r>
      <w:r w:rsidR="00533308" w:rsidRPr="00095A09">
        <w:rPr>
          <w:lang w:val="es-ES_tradnl"/>
        </w:rPr>
        <w:t xml:space="preserve"> </w:t>
      </w:r>
      <w:r w:rsidRPr="00095A09">
        <w:rPr>
          <w:lang w:val="es-ES_tradnl"/>
        </w:rPr>
        <w:t xml:space="preserve">en pacientes con antecedentes de infecciones recurrentes o crónicas o con enfermedades subyacentes (p. </w:t>
      </w:r>
      <w:proofErr w:type="gramStart"/>
      <w:r w:rsidR="00224AB8">
        <w:rPr>
          <w:lang w:val="es-ES_tradnl"/>
        </w:rPr>
        <w:t>e</w:t>
      </w:r>
      <w:r w:rsidRPr="00095A09">
        <w:rPr>
          <w:lang w:val="es-ES_tradnl"/>
        </w:rPr>
        <w:t>j.</w:t>
      </w:r>
      <w:r w:rsidR="00224AB8">
        <w:rPr>
          <w:lang w:val="es-ES_tradnl"/>
        </w:rPr>
        <w:t>d</w:t>
      </w:r>
      <w:r w:rsidRPr="00095A09">
        <w:rPr>
          <w:lang w:val="es-ES_tradnl"/>
        </w:rPr>
        <w:t>iverticulitis</w:t>
      </w:r>
      <w:proofErr w:type="gramEnd"/>
      <w:r w:rsidRPr="00095A09">
        <w:rPr>
          <w:lang w:val="es-ES_tradnl"/>
        </w:rPr>
        <w:t>, diabetes y enfermedad pulmonar intersticial) que pueden predisponer a los pacientes a infecciones.</w:t>
      </w:r>
    </w:p>
    <w:p w14:paraId="028DCCF1" w14:textId="77777777" w:rsidR="00095A09" w:rsidRPr="00095A09" w:rsidRDefault="00095A09" w:rsidP="00095A09">
      <w:pPr>
        <w:rPr>
          <w:lang w:val="es-ES_tradnl"/>
        </w:rPr>
      </w:pPr>
    </w:p>
    <w:p w14:paraId="14FBF353" w14:textId="77777777" w:rsidR="00095A09" w:rsidRPr="004B67DA" w:rsidRDefault="00095A09" w:rsidP="00095A09">
      <w:pPr>
        <w:rPr>
          <w:i/>
          <w:lang w:val="es-ES_tradnl"/>
        </w:rPr>
      </w:pPr>
      <w:r w:rsidRPr="004B67DA">
        <w:rPr>
          <w:i/>
          <w:lang w:val="es-ES_tradnl"/>
        </w:rPr>
        <w:t>Hepatotoxicidad</w:t>
      </w:r>
    </w:p>
    <w:p w14:paraId="20B26C5B" w14:textId="4F46BBA4" w:rsidR="00095A09" w:rsidRPr="00095A09" w:rsidRDefault="00095A09" w:rsidP="00095A09">
      <w:pPr>
        <w:rPr>
          <w:lang w:val="es-ES_tradnl"/>
        </w:rPr>
      </w:pPr>
      <w:r w:rsidRPr="00095A09">
        <w:rPr>
          <w:lang w:val="es-ES_tradnl"/>
        </w:rPr>
        <w:t xml:space="preserve">Los pacientes hospitalizados con COVID-19 pueden tener niveles elevados de ALT o AST. </w:t>
      </w:r>
      <w:r w:rsidR="004465FB">
        <w:rPr>
          <w:lang w:val="es-ES_tradnl"/>
        </w:rPr>
        <w:t>El</w:t>
      </w:r>
      <w:r w:rsidRPr="00095A09">
        <w:rPr>
          <w:lang w:val="es-ES_tradnl"/>
        </w:rPr>
        <w:t xml:space="preserve"> </w:t>
      </w:r>
      <w:r w:rsidR="00224AB8">
        <w:rPr>
          <w:lang w:val="es-ES_tradnl"/>
        </w:rPr>
        <w:t>fallo</w:t>
      </w:r>
      <w:r w:rsidRPr="00095A09">
        <w:rPr>
          <w:lang w:val="es-ES_tradnl"/>
        </w:rPr>
        <w:t xml:space="preserve"> multiorgánic</w:t>
      </w:r>
      <w:r w:rsidR="00224AB8">
        <w:rPr>
          <w:lang w:val="es-ES_tradnl"/>
        </w:rPr>
        <w:t>o</w:t>
      </w:r>
      <w:r w:rsidRPr="00095A09">
        <w:rPr>
          <w:lang w:val="es-ES_tradnl"/>
        </w:rPr>
        <w:t xml:space="preserve"> con afectación del hígado se reconoce como una complicación del COVID-19 grave. </w:t>
      </w:r>
      <w:r w:rsidR="00224AB8">
        <w:rPr>
          <w:lang w:val="es-ES_tradnl"/>
        </w:rPr>
        <w:t>En l</w:t>
      </w:r>
      <w:r w:rsidRPr="00095A09">
        <w:rPr>
          <w:lang w:val="es-ES_tradnl"/>
        </w:rPr>
        <w:t xml:space="preserve">a decisión de administrar tocilizumab </w:t>
      </w:r>
      <w:r w:rsidR="004465FB">
        <w:rPr>
          <w:lang w:val="es-ES_tradnl"/>
        </w:rPr>
        <w:t xml:space="preserve">se </w:t>
      </w:r>
      <w:r w:rsidRPr="00095A09">
        <w:rPr>
          <w:lang w:val="es-ES_tradnl"/>
        </w:rPr>
        <w:t>debe sopesar el beneficio potencial del tratamiento de COVID-19 con los riesgos potenciales del tratamiento agudo con tocilizumab. En pacientes con COVID-19 con ALT o AST elevados por encima d</w:t>
      </w:r>
      <w:r>
        <w:rPr>
          <w:lang w:val="es-ES_tradnl"/>
        </w:rPr>
        <w:t>e 10</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Del="00205482">
        <w:rPr>
          <w:lang w:val="es-ES_tradnl"/>
        </w:rPr>
        <w:t xml:space="preserve"> </w:t>
      </w:r>
      <w:r w:rsidRPr="00095A09">
        <w:rPr>
          <w:lang w:val="es-ES_tradnl"/>
        </w:rPr>
        <w:t>LSN</w:t>
      </w:r>
      <w:r>
        <w:rPr>
          <w:lang w:val="es-ES_tradnl"/>
        </w:rPr>
        <w:t xml:space="preserve">, no se recomienda </w:t>
      </w:r>
      <w:r w:rsidRPr="00095A09">
        <w:rPr>
          <w:lang w:val="es-ES_tradnl"/>
        </w:rPr>
        <w:t xml:space="preserve">el tratamiento con </w:t>
      </w:r>
      <w:r w:rsidR="00533308">
        <w:rPr>
          <w:lang w:val="es-ES_tradnl"/>
        </w:rPr>
        <w:t>tocilizumab</w:t>
      </w:r>
      <w:r w:rsidRPr="00095A09">
        <w:rPr>
          <w:lang w:val="es-ES_tradnl"/>
        </w:rPr>
        <w:t xml:space="preserve">. En pacientes con COVID-19, </w:t>
      </w:r>
      <w:r>
        <w:rPr>
          <w:lang w:val="es-ES_tradnl"/>
        </w:rPr>
        <w:t xml:space="preserve">se debe </w:t>
      </w:r>
      <w:r w:rsidR="00D87738">
        <w:rPr>
          <w:lang w:val="es-ES_tradnl"/>
        </w:rPr>
        <w:t>monitorizar</w:t>
      </w:r>
      <w:r>
        <w:rPr>
          <w:lang w:val="es-ES_tradnl"/>
        </w:rPr>
        <w:t xml:space="preserve"> la ALT / AST </w:t>
      </w:r>
      <w:r w:rsidRPr="00095A09">
        <w:rPr>
          <w:lang w:val="es-ES_tradnl"/>
        </w:rPr>
        <w:t>de acuerdo con las prácticas clínicas estándar actuales.</w:t>
      </w:r>
    </w:p>
    <w:p w14:paraId="77F3A82F" w14:textId="77777777" w:rsidR="00095A09" w:rsidRPr="00095A09" w:rsidRDefault="00095A09" w:rsidP="00095A09">
      <w:pPr>
        <w:rPr>
          <w:lang w:val="es-ES_tradnl"/>
        </w:rPr>
      </w:pPr>
    </w:p>
    <w:p w14:paraId="59881E11" w14:textId="77777777" w:rsidR="00095A09" w:rsidRPr="004B67DA" w:rsidRDefault="00095A09" w:rsidP="00095A09">
      <w:pPr>
        <w:rPr>
          <w:i/>
          <w:lang w:val="es-ES_tradnl"/>
        </w:rPr>
      </w:pPr>
      <w:r w:rsidRPr="004B67DA">
        <w:rPr>
          <w:i/>
          <w:lang w:val="es-ES_tradnl"/>
        </w:rPr>
        <w:t>Anomalías hematológicas</w:t>
      </w:r>
    </w:p>
    <w:p w14:paraId="55F649EA" w14:textId="5140089B" w:rsidR="00CD1064" w:rsidRDefault="00095A09" w:rsidP="00095A09">
      <w:pPr>
        <w:rPr>
          <w:lang w:val="es-ES_tradnl"/>
        </w:rPr>
      </w:pPr>
      <w:r w:rsidRPr="00095A09">
        <w:rPr>
          <w:lang w:val="es-ES_tradnl"/>
        </w:rPr>
        <w:t>En pacientes con COVID-19 que</w:t>
      </w:r>
      <w:r>
        <w:rPr>
          <w:lang w:val="es-ES_tradnl"/>
        </w:rPr>
        <w:t xml:space="preserve"> desarrollan un RAN</w:t>
      </w:r>
      <w:r w:rsidR="00205482" w:rsidRPr="00B65EA9">
        <w:rPr>
          <w:rFonts w:eastAsia="MS Mincho"/>
          <w:szCs w:val="22"/>
          <w:lang w:val="en-GB"/>
        </w:rPr>
        <w:sym w:font="Symbol" w:char="F03C"/>
      </w:r>
      <w:r w:rsidR="00205482" w:rsidRPr="00F30AB8">
        <w:rPr>
          <w:rFonts w:ascii="Arial" w:eastAsia="MS Mincho" w:hAnsi="Arial" w:cs="Arial"/>
          <w:sz w:val="10"/>
          <w:szCs w:val="22"/>
          <w:lang w:val="es-ES"/>
        </w:rPr>
        <w:t> </w:t>
      </w:r>
      <w:r>
        <w:rPr>
          <w:lang w:val="es-ES_tradnl"/>
        </w:rPr>
        <w:t>1</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Del="00205482">
        <w:rPr>
          <w:lang w:val="es-ES_tradnl"/>
        </w:rPr>
        <w:t xml:space="preserve"> </w:t>
      </w:r>
      <w:r>
        <w:rPr>
          <w:lang w:val="es-ES_tradnl"/>
        </w:rPr>
        <w:t>10</w:t>
      </w:r>
      <w:r w:rsidRPr="004B67DA">
        <w:rPr>
          <w:vertAlign w:val="superscript"/>
          <w:lang w:val="es-ES_tradnl"/>
        </w:rPr>
        <w:t>9</w:t>
      </w:r>
      <w:r>
        <w:rPr>
          <w:lang w:val="es-ES_tradnl"/>
        </w:rPr>
        <w:t xml:space="preserve"> / l</w:t>
      </w:r>
      <w:r w:rsidRPr="00095A09">
        <w:rPr>
          <w:lang w:val="es-ES_tradnl"/>
        </w:rPr>
        <w:t xml:space="preserve"> o un recu</w:t>
      </w:r>
      <w:r>
        <w:rPr>
          <w:lang w:val="es-ES_tradnl"/>
        </w:rPr>
        <w:t>ento de plaquetas</w:t>
      </w:r>
      <w:r w:rsidR="00205482" w:rsidRPr="00B65EA9">
        <w:rPr>
          <w:rFonts w:eastAsia="MS Mincho"/>
          <w:szCs w:val="22"/>
          <w:lang w:val="en-GB"/>
        </w:rPr>
        <w:sym w:font="Symbol" w:char="F03C"/>
      </w:r>
      <w:r w:rsidR="00205482" w:rsidRPr="00F30AB8">
        <w:rPr>
          <w:rFonts w:ascii="Arial" w:eastAsia="MS Mincho" w:hAnsi="Arial" w:cs="Arial"/>
          <w:sz w:val="10"/>
          <w:szCs w:val="22"/>
          <w:lang w:val="es-ES"/>
        </w:rPr>
        <w:t> </w:t>
      </w:r>
      <w:r>
        <w:rPr>
          <w:lang w:val="es-ES_tradnl"/>
        </w:rPr>
        <w:t>50</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Del="00205482">
        <w:rPr>
          <w:lang w:val="es-ES_tradnl"/>
        </w:rPr>
        <w:t xml:space="preserve"> </w:t>
      </w:r>
      <w:r>
        <w:rPr>
          <w:lang w:val="es-ES_tradnl"/>
        </w:rPr>
        <w:t>10</w:t>
      </w:r>
      <w:r w:rsidRPr="004B67DA">
        <w:rPr>
          <w:vertAlign w:val="superscript"/>
          <w:lang w:val="es-ES_tradnl"/>
        </w:rPr>
        <w:t>3</w:t>
      </w:r>
      <w:r>
        <w:rPr>
          <w:lang w:val="es-ES_tradnl"/>
        </w:rPr>
        <w:t xml:space="preserve"> / μl</w:t>
      </w:r>
      <w:r w:rsidRPr="00095A09">
        <w:rPr>
          <w:lang w:val="es-ES_tradnl"/>
        </w:rPr>
        <w:t xml:space="preserve">, no se recomienda la administración de tratamiento. Los recuentos de neutrófilos y plaquetas </w:t>
      </w:r>
      <w:r>
        <w:rPr>
          <w:lang w:val="es-ES_tradnl"/>
        </w:rPr>
        <w:t xml:space="preserve">se </w:t>
      </w:r>
      <w:r w:rsidRPr="00095A09">
        <w:rPr>
          <w:lang w:val="es-ES_tradnl"/>
        </w:rPr>
        <w:t xml:space="preserve">deben </w:t>
      </w:r>
      <w:r w:rsidR="00D87738">
        <w:rPr>
          <w:lang w:val="es-ES_tradnl"/>
        </w:rPr>
        <w:t>monitorizar</w:t>
      </w:r>
      <w:r w:rsidRPr="00095A09">
        <w:rPr>
          <w:lang w:val="es-ES_tradnl"/>
        </w:rPr>
        <w:t xml:space="preserve"> de acuerdo con las prácticas clínicas estándar actuales, ver sección 4.2.</w:t>
      </w:r>
    </w:p>
    <w:p w14:paraId="647E8ABF" w14:textId="77777777" w:rsidR="00095A09" w:rsidRDefault="00095A09" w:rsidP="00095A09">
      <w:pPr>
        <w:rPr>
          <w:lang w:val="es-ES_tradnl"/>
        </w:rPr>
      </w:pPr>
    </w:p>
    <w:p w14:paraId="659D9B13" w14:textId="77777777" w:rsidR="007927FC" w:rsidRDefault="007927FC" w:rsidP="006868F5">
      <w:pPr>
        <w:keepNext/>
        <w:rPr>
          <w:u w:val="single"/>
          <w:lang w:val="es-ES_tradnl"/>
        </w:rPr>
      </w:pPr>
      <w:r w:rsidRPr="00E576A0">
        <w:rPr>
          <w:u w:val="single"/>
          <w:lang w:val="es-ES_tradnl"/>
        </w:rPr>
        <w:t>Población pediátrica</w:t>
      </w:r>
    </w:p>
    <w:p w14:paraId="6A531200" w14:textId="77777777" w:rsidR="00FD38EB" w:rsidRPr="00E576A0" w:rsidRDefault="00FD38EB" w:rsidP="006868F5">
      <w:pPr>
        <w:keepNext/>
        <w:rPr>
          <w:u w:val="single"/>
          <w:lang w:val="es-ES_tradnl"/>
        </w:rPr>
      </w:pPr>
    </w:p>
    <w:p w14:paraId="0FE66BA3" w14:textId="77777777" w:rsidR="007927FC" w:rsidRPr="008208B4" w:rsidRDefault="007927FC" w:rsidP="007927FC">
      <w:pPr>
        <w:keepNext/>
        <w:rPr>
          <w:i/>
          <w:lang w:val="es-ES"/>
        </w:rPr>
      </w:pPr>
      <w:r w:rsidRPr="008208B4">
        <w:rPr>
          <w:i/>
          <w:lang w:val="es-ES_tradnl"/>
        </w:rPr>
        <w:t>Pacientes con AIJs</w:t>
      </w:r>
    </w:p>
    <w:p w14:paraId="15BBF355" w14:textId="77777777" w:rsidR="007927FC" w:rsidRDefault="007927FC" w:rsidP="007927FC">
      <w:pPr>
        <w:rPr>
          <w:ins w:id="114" w:author="AUTHOR"/>
          <w:lang w:val="es-ES"/>
        </w:rPr>
      </w:pPr>
      <w:r w:rsidRPr="008A106B">
        <w:rPr>
          <w:lang w:val="es-ES"/>
        </w:rPr>
        <w:t>El síndrome de activación de macrófagos (SAM) es un trastorno grave y potencialmente mortal que puede desarrollarse en pacientes con AIJs. En los ensayos clínicos con tocilizumab no se han estudiado pacientes durante un episodio de activación de SAM.</w:t>
      </w:r>
    </w:p>
    <w:p w14:paraId="7829944D" w14:textId="77777777" w:rsidR="00720FD4" w:rsidRPr="008A106B" w:rsidRDefault="00720FD4" w:rsidP="007927FC">
      <w:pPr>
        <w:rPr>
          <w:lang w:val="es-ES"/>
        </w:rPr>
      </w:pPr>
    </w:p>
    <w:p w14:paraId="145A701D" w14:textId="77777777" w:rsidR="00720FD4" w:rsidRPr="008A106B" w:rsidRDefault="00720FD4" w:rsidP="00720FD4">
      <w:pPr>
        <w:keepNext/>
        <w:rPr>
          <w:ins w:id="115" w:author="AUTHOR"/>
          <w:i/>
          <w:lang w:val="es-ES_tradnl"/>
        </w:rPr>
      </w:pPr>
      <w:ins w:id="116" w:author="AUTHOR">
        <w:r w:rsidRPr="008A106B">
          <w:rPr>
            <w:i/>
            <w:lang w:val="es-ES_tradnl"/>
          </w:rPr>
          <w:t xml:space="preserve">Sodio </w:t>
        </w:r>
      </w:ins>
    </w:p>
    <w:p w14:paraId="6C8BB5F0" w14:textId="77777777" w:rsidR="00720FD4" w:rsidRPr="00533308" w:rsidRDefault="00720FD4" w:rsidP="00720FD4">
      <w:pPr>
        <w:rPr>
          <w:ins w:id="117" w:author="AUTHOR"/>
          <w:lang w:val="es-ES"/>
        </w:rPr>
      </w:pPr>
      <w:ins w:id="118" w:author="AUTHOR">
        <w:r>
          <w:rPr>
            <w:lang w:val="es-ES"/>
          </w:rPr>
          <w:t>Tras la</w:t>
        </w:r>
        <w:r w:rsidRPr="00533308">
          <w:rPr>
            <w:lang w:val="es-ES"/>
          </w:rPr>
          <w:t xml:space="preserve"> dilución con una solución de cloruro de sodio al 0,9 %, </w:t>
        </w:r>
        <w:r>
          <w:rPr>
            <w:lang w:val="es-ES"/>
          </w:rPr>
          <w:t>este medicamento contiene 230,6 </w:t>
        </w:r>
        <w:r w:rsidRPr="00533308">
          <w:rPr>
            <w:lang w:val="es-ES"/>
          </w:rPr>
          <w:t>mg d</w:t>
        </w:r>
        <w:r>
          <w:rPr>
            <w:lang w:val="es-ES"/>
          </w:rPr>
          <w:t>e sodio por dosis máxima de 800 </w:t>
        </w:r>
        <w:r w:rsidRPr="00533308">
          <w:rPr>
            <w:lang w:val="es-ES"/>
          </w:rPr>
          <w:t>mg, equivalente al 11,5</w:t>
        </w:r>
        <w:r>
          <w:rPr>
            <w:lang w:val="es-ES"/>
          </w:rPr>
          <w:t> </w:t>
        </w:r>
        <w:r w:rsidRPr="00533308">
          <w:rPr>
            <w:lang w:val="es-ES"/>
          </w:rPr>
          <w:t>% de la in</w:t>
        </w:r>
        <w:r>
          <w:rPr>
            <w:lang w:val="es-ES"/>
          </w:rPr>
          <w:t>gesta máxima diaria de 2 </w:t>
        </w:r>
        <w:r w:rsidRPr="00533308">
          <w:rPr>
            <w:lang w:val="es-ES"/>
          </w:rPr>
          <w:t>g de sodio recomendada por la OMS para un adulto.</w:t>
        </w:r>
      </w:ins>
    </w:p>
    <w:p w14:paraId="46CFBB3D" w14:textId="77777777" w:rsidR="00720FD4" w:rsidRPr="00533308" w:rsidRDefault="00720FD4" w:rsidP="00720FD4">
      <w:pPr>
        <w:rPr>
          <w:ins w:id="119" w:author="AUTHOR"/>
          <w:lang w:val="es-ES"/>
        </w:rPr>
      </w:pPr>
    </w:p>
    <w:p w14:paraId="2A4EE12A" w14:textId="78FE5839" w:rsidR="00720FD4" w:rsidRPr="00F30AB8" w:rsidRDefault="00720FD4" w:rsidP="00720FD4">
      <w:pPr>
        <w:rPr>
          <w:ins w:id="120" w:author="AUTHOR"/>
          <w:i/>
          <w:lang w:val="es-ES"/>
        </w:rPr>
      </w:pPr>
      <w:ins w:id="121" w:author="AUTHOR">
        <w:r w:rsidRPr="00F30AB8">
          <w:rPr>
            <w:i/>
            <w:lang w:val="es-ES"/>
          </w:rPr>
          <w:t>Polisorbato</w:t>
        </w:r>
      </w:ins>
      <w:r w:rsidR="00D33DBC">
        <w:rPr>
          <w:i/>
          <w:lang w:val="es-ES"/>
        </w:rPr>
        <w:t xml:space="preserve"> </w:t>
      </w:r>
      <w:ins w:id="122" w:author="AUTHOR">
        <w:r w:rsidR="00D33DBC" w:rsidRPr="00E52815">
          <w:t>80 (E 433)</w:t>
        </w:r>
      </w:ins>
    </w:p>
    <w:p w14:paraId="2F20BF1B" w14:textId="77777777" w:rsidR="00720FD4" w:rsidRPr="00533308" w:rsidRDefault="00720FD4" w:rsidP="00720FD4">
      <w:pPr>
        <w:rPr>
          <w:ins w:id="123" w:author="AUTHOR"/>
          <w:lang w:val="es-ES"/>
        </w:rPr>
      </w:pPr>
      <w:ins w:id="124" w:author="AUTHOR">
        <w:r>
          <w:rPr>
            <w:lang w:val="es-ES"/>
          </w:rPr>
          <w:t>Este medicamento contiene 2 mg de polisorbato 80 en cada vial de 80 mg, 5 </w:t>
        </w:r>
        <w:r w:rsidRPr="00533308">
          <w:rPr>
            <w:lang w:val="es-ES"/>
          </w:rPr>
          <w:t>mg de pol</w:t>
        </w:r>
        <w:r>
          <w:rPr>
            <w:lang w:val="es-ES"/>
          </w:rPr>
          <w:t>isorbato 80 en cada vial de 200 </w:t>
        </w:r>
        <w:r w:rsidRPr="00533308">
          <w:rPr>
            <w:lang w:val="es-ES"/>
          </w:rPr>
          <w:t>mg y 10</w:t>
        </w:r>
        <w:r>
          <w:rPr>
            <w:lang w:val="es-ES"/>
          </w:rPr>
          <w:t> </w:t>
        </w:r>
        <w:r w:rsidRPr="00533308">
          <w:rPr>
            <w:lang w:val="es-ES"/>
          </w:rPr>
          <w:t>mg de pol</w:t>
        </w:r>
        <w:r>
          <w:rPr>
            <w:lang w:val="es-ES"/>
          </w:rPr>
          <w:t>isorbato 80 en cada vial de 400 </w:t>
        </w:r>
        <w:r w:rsidRPr="00533308">
          <w:rPr>
            <w:lang w:val="es-ES"/>
          </w:rPr>
          <w:t>mg, lo que equivale a 0,5</w:t>
        </w:r>
        <w:r>
          <w:rPr>
            <w:lang w:val="es-ES"/>
          </w:rPr>
          <w:t> </w:t>
        </w:r>
        <w:r w:rsidRPr="00533308">
          <w:rPr>
            <w:lang w:val="es-ES"/>
          </w:rPr>
          <w:t>mg/ml.</w:t>
        </w:r>
      </w:ins>
    </w:p>
    <w:p w14:paraId="16504727" w14:textId="77777777" w:rsidR="00720FD4" w:rsidRPr="006D747C" w:rsidRDefault="00720FD4" w:rsidP="00720FD4">
      <w:pPr>
        <w:shd w:val="clear" w:color="auto" w:fill="FFFFFF" w:themeFill="background1"/>
        <w:rPr>
          <w:ins w:id="125" w:author="AUTHOR"/>
          <w:lang w:val="es-ES"/>
        </w:rPr>
      </w:pPr>
      <w:ins w:id="126" w:author="AUTHOR">
        <w:r w:rsidRPr="00533308">
          <w:rPr>
            <w:lang w:val="es-ES"/>
          </w:rPr>
          <w:t>Los polisorbatos pueden causar reacciones alérgicas.</w:t>
        </w:r>
        <w:r>
          <w:rPr>
            <w:lang w:val="es-ES"/>
          </w:rPr>
          <w:t xml:space="preserve">  </w:t>
        </w:r>
        <w:r w:rsidRPr="006D747C">
          <w:rPr>
            <w:lang w:val="es-ES"/>
          </w:rPr>
          <w:t xml:space="preserve">Se </w:t>
        </w:r>
        <w:r>
          <w:rPr>
            <w:lang w:val="es-ES"/>
          </w:rPr>
          <w:t xml:space="preserve">debe tener en cuenta </w:t>
        </w:r>
        <w:r w:rsidRPr="006D747C">
          <w:rPr>
            <w:lang w:val="es-ES"/>
          </w:rPr>
          <w:t>las alergias conocidas de los pacientes.</w:t>
        </w:r>
      </w:ins>
    </w:p>
    <w:p w14:paraId="6672B04F" w14:textId="77777777" w:rsidR="007927FC" w:rsidRPr="008A106B" w:rsidRDefault="007927FC" w:rsidP="007927FC">
      <w:pPr>
        <w:rPr>
          <w:lang w:val="es-ES"/>
        </w:rPr>
      </w:pPr>
    </w:p>
    <w:p w14:paraId="58E2BBE3" w14:textId="77777777" w:rsidR="007927FC" w:rsidRDefault="007927FC" w:rsidP="0078290D">
      <w:pPr>
        <w:keepNext/>
        <w:ind w:left="567" w:hanging="567"/>
        <w:outlineLvl w:val="0"/>
        <w:rPr>
          <w:b/>
          <w:bCs/>
          <w:lang w:val="es-ES_tradnl"/>
        </w:rPr>
      </w:pPr>
      <w:r w:rsidRPr="008A106B">
        <w:rPr>
          <w:b/>
          <w:bCs/>
          <w:lang w:val="es-ES"/>
        </w:rPr>
        <w:t>4.5</w:t>
      </w:r>
      <w:r w:rsidRPr="008A106B">
        <w:rPr>
          <w:b/>
          <w:bCs/>
          <w:lang w:val="es-ES"/>
        </w:rPr>
        <w:tab/>
      </w:r>
      <w:r w:rsidRPr="008A106B">
        <w:rPr>
          <w:b/>
          <w:bCs/>
          <w:lang w:val="es-ES_tradnl"/>
        </w:rPr>
        <w:t>Interacción con otros medicamentos y otras formas de interacción</w:t>
      </w:r>
    </w:p>
    <w:p w14:paraId="0D4ED09B" w14:textId="77777777" w:rsidR="007927FC" w:rsidRDefault="007927FC" w:rsidP="007927FC">
      <w:pPr>
        <w:ind w:left="567" w:hanging="567"/>
        <w:outlineLvl w:val="0"/>
        <w:rPr>
          <w:b/>
          <w:bCs/>
          <w:lang w:val="es-ES_tradnl"/>
        </w:rPr>
      </w:pPr>
    </w:p>
    <w:p w14:paraId="23A57552" w14:textId="3C44BDB3" w:rsidR="007927FC" w:rsidRDefault="007927FC" w:rsidP="007927FC">
      <w:pPr>
        <w:rPr>
          <w:lang w:val="es-ES"/>
        </w:rPr>
      </w:pPr>
      <w:r w:rsidRPr="000911DD">
        <w:rPr>
          <w:lang w:val="es-ES"/>
        </w:rPr>
        <w:t xml:space="preserve">Los </w:t>
      </w:r>
      <w:del w:id="127" w:author="AUTHOR">
        <w:r w:rsidRPr="000911DD" w:rsidDel="006C4AF1">
          <w:rPr>
            <w:lang w:val="es-ES"/>
          </w:rPr>
          <w:delText xml:space="preserve">estudios </w:delText>
        </w:r>
      </w:del>
      <w:ins w:id="128" w:author="AUTHOR">
        <w:r w:rsidR="006C4AF1">
          <w:rPr>
            <w:lang w:val="es-ES"/>
          </w:rPr>
          <w:t>ensayos</w:t>
        </w:r>
        <w:r w:rsidR="006C4AF1" w:rsidRPr="000911DD">
          <w:rPr>
            <w:lang w:val="es-ES"/>
          </w:rPr>
          <w:t xml:space="preserve"> </w:t>
        </w:r>
      </w:ins>
      <w:r w:rsidRPr="000911DD">
        <w:rPr>
          <w:lang w:val="es-ES"/>
        </w:rPr>
        <w:t>de interacciones se han realizado sólo en adultos.</w:t>
      </w:r>
    </w:p>
    <w:p w14:paraId="1D92884F" w14:textId="77777777" w:rsidR="000F1AB2" w:rsidRPr="000911DD" w:rsidRDefault="000F1AB2" w:rsidP="007927FC">
      <w:pPr>
        <w:rPr>
          <w:lang w:val="es-ES"/>
        </w:rPr>
      </w:pPr>
    </w:p>
    <w:p w14:paraId="1983F70C" w14:textId="2096F6C1" w:rsidR="007927FC" w:rsidRPr="008A106B" w:rsidRDefault="007927FC" w:rsidP="007927FC">
      <w:pPr>
        <w:rPr>
          <w:lang w:val="es-ES"/>
        </w:rPr>
      </w:pPr>
      <w:r w:rsidRPr="00D20200">
        <w:rPr>
          <w:lang w:val="es-ES_tradnl"/>
        </w:rPr>
        <w:t>La administración simultánea de una dosis</w:t>
      </w:r>
      <w:r w:rsidRPr="00EB73CE">
        <w:rPr>
          <w:lang w:val="es-ES_tradnl"/>
        </w:rPr>
        <w:t xml:space="preserve"> única de 10 mg/kg de tocilizumab con 10-25 mg de metotrexato una vez por semana no tuvo efecto clínicamente significativo</w:t>
      </w:r>
      <w:r w:rsidRPr="008A106B">
        <w:rPr>
          <w:lang w:val="es-ES_tradnl"/>
        </w:rPr>
        <w:t xml:space="preserve"> en la exposición al </w:t>
      </w:r>
      <w:r w:rsidR="00205482">
        <w:rPr>
          <w:lang w:val="es-ES_tradnl"/>
        </w:rPr>
        <w:t>MTX</w:t>
      </w:r>
      <w:r w:rsidRPr="008A106B">
        <w:rPr>
          <w:lang w:val="es-ES_tradnl"/>
        </w:rPr>
        <w:t>.</w:t>
      </w:r>
    </w:p>
    <w:p w14:paraId="76A9519C" w14:textId="77777777" w:rsidR="007927FC" w:rsidRPr="008A106B" w:rsidRDefault="007927FC" w:rsidP="007927FC">
      <w:pPr>
        <w:rPr>
          <w:lang w:val="es-ES_tradnl"/>
        </w:rPr>
      </w:pPr>
    </w:p>
    <w:p w14:paraId="58ACCE19" w14:textId="3F14CC95" w:rsidR="007927FC" w:rsidRPr="008A106B" w:rsidRDefault="007927FC" w:rsidP="007927FC">
      <w:pPr>
        <w:rPr>
          <w:lang w:val="es-ES_tradnl"/>
        </w:rPr>
      </w:pPr>
      <w:r w:rsidRPr="008A106B">
        <w:rPr>
          <w:lang w:val="es-ES_tradnl"/>
        </w:rPr>
        <w:t>Los análisis farmacocinéticos de la población no revelaron ningún efecto en el aclaramiento de tocilizumab con MTX, AINEs o corticosteroides.</w:t>
      </w:r>
    </w:p>
    <w:p w14:paraId="786B7BCE" w14:textId="77777777" w:rsidR="007927FC" w:rsidRPr="008A106B" w:rsidRDefault="007927FC" w:rsidP="007927FC">
      <w:pPr>
        <w:rPr>
          <w:lang w:val="es-ES"/>
        </w:rPr>
      </w:pPr>
    </w:p>
    <w:p w14:paraId="4E798F29" w14:textId="77777777" w:rsidR="007927FC" w:rsidRPr="008A106B" w:rsidRDefault="007927FC" w:rsidP="007927FC">
      <w:pPr>
        <w:rPr>
          <w:lang w:val="es-ES"/>
        </w:rPr>
      </w:pPr>
      <w:r w:rsidRPr="008A106B">
        <w:rPr>
          <w:lang w:val="es-ES_tradnl"/>
        </w:rPr>
        <w:t>La expresión de las enzimas CYP450 hepáticas se suprime por las citocinas, como la IL-6, que estimulan la inflamación crónica.</w:t>
      </w:r>
      <w:r w:rsidRPr="008A106B">
        <w:rPr>
          <w:lang w:val="es-ES"/>
        </w:rPr>
        <w:t xml:space="preserve"> </w:t>
      </w:r>
      <w:r w:rsidRPr="008A106B">
        <w:rPr>
          <w:lang w:val="es-ES_tradnl"/>
        </w:rPr>
        <w:t>Así pues, la expresión de CYP450 puede revertirse cuando se introduce un tratamiento potente inhibidor de las citocinas, como tocilizumab.</w:t>
      </w:r>
      <w:r w:rsidRPr="008A106B">
        <w:rPr>
          <w:lang w:val="es-ES"/>
        </w:rPr>
        <w:t xml:space="preserve"> </w:t>
      </w:r>
    </w:p>
    <w:p w14:paraId="28760584" w14:textId="77777777" w:rsidR="007927FC" w:rsidRPr="008A106B" w:rsidRDefault="007927FC" w:rsidP="007927FC">
      <w:pPr>
        <w:rPr>
          <w:lang w:val="es-ES"/>
        </w:rPr>
      </w:pPr>
    </w:p>
    <w:p w14:paraId="52BE68D3" w14:textId="77777777" w:rsidR="007927FC" w:rsidRPr="008A106B" w:rsidRDefault="007927FC" w:rsidP="007927FC">
      <w:pPr>
        <w:rPr>
          <w:lang w:val="es-ES_tradnl"/>
        </w:rPr>
      </w:pPr>
      <w:r w:rsidRPr="008A106B">
        <w:rPr>
          <w:lang w:val="es-ES_tradnl"/>
        </w:rPr>
        <w:t xml:space="preserve">Los estudios </w:t>
      </w:r>
      <w:r w:rsidRPr="008A106B">
        <w:rPr>
          <w:i/>
          <w:iCs/>
          <w:lang w:val="es-ES_tradnl"/>
        </w:rPr>
        <w:t>in vitro</w:t>
      </w:r>
      <w:r w:rsidRPr="008A106B">
        <w:rPr>
          <w:lang w:val="es-ES_tradnl"/>
        </w:rPr>
        <w:t xml:space="preserve"> con hepatocitos humanos cultivados demostraron que la IL-6 produjo una reducción de la expresión de enzimas CYP1A2, CYP2C9, CYP2C19 y CYP3A4. Tocilizumab regulariza la expresión de estas enzimas.</w:t>
      </w:r>
    </w:p>
    <w:p w14:paraId="6DC8589E" w14:textId="77777777" w:rsidR="007927FC" w:rsidRPr="008A106B" w:rsidRDefault="007927FC" w:rsidP="007927FC">
      <w:pPr>
        <w:rPr>
          <w:lang w:val="es-ES_tradnl"/>
        </w:rPr>
      </w:pPr>
    </w:p>
    <w:p w14:paraId="39FC89CE" w14:textId="2F984FF4" w:rsidR="007927FC" w:rsidRPr="008A106B" w:rsidRDefault="007927FC" w:rsidP="007927FC">
      <w:pPr>
        <w:rPr>
          <w:lang w:val="es-ES"/>
        </w:rPr>
      </w:pPr>
      <w:r w:rsidRPr="008A106B">
        <w:rPr>
          <w:lang w:val="es-ES_tradnl"/>
        </w:rPr>
        <w:t xml:space="preserve">Una semana después de la administración de una dosis única de tocilizumab, en un </w:t>
      </w:r>
      <w:del w:id="129" w:author="AUTHOR">
        <w:r w:rsidRPr="008A106B" w:rsidDel="00994C36">
          <w:rPr>
            <w:lang w:val="es-ES_tradnl"/>
          </w:rPr>
          <w:delText xml:space="preserve">estudio </w:delText>
        </w:r>
      </w:del>
      <w:ins w:id="130" w:author="AUTHOR">
        <w:r w:rsidR="00994C36">
          <w:rPr>
            <w:lang w:val="es-ES_tradnl"/>
          </w:rPr>
          <w:t>ensayo</w:t>
        </w:r>
        <w:r w:rsidR="00994C36" w:rsidRPr="008A106B">
          <w:rPr>
            <w:lang w:val="es-ES_tradnl"/>
          </w:rPr>
          <w:t xml:space="preserve"> </w:t>
        </w:r>
      </w:ins>
      <w:r w:rsidRPr="008A106B">
        <w:rPr>
          <w:lang w:val="es-ES_tradnl"/>
        </w:rPr>
        <w:t>realizado en pacientes con AR, los niveles de simvastatina (CYP3A4) disminuyeron en un 57%, a niveles similares o ligeramente superiores a los observados en sujetos sanos.</w:t>
      </w:r>
    </w:p>
    <w:p w14:paraId="283F6699" w14:textId="77777777" w:rsidR="007927FC" w:rsidRPr="008A106B" w:rsidRDefault="007927FC" w:rsidP="007927FC">
      <w:pPr>
        <w:rPr>
          <w:lang w:val="es-ES"/>
        </w:rPr>
      </w:pPr>
    </w:p>
    <w:p w14:paraId="234FCF5B" w14:textId="77777777" w:rsidR="007927FC" w:rsidRPr="008A106B" w:rsidRDefault="007927FC" w:rsidP="007927FC">
      <w:pPr>
        <w:rPr>
          <w:lang w:val="es-ES"/>
        </w:rPr>
      </w:pPr>
      <w:r w:rsidRPr="008A106B">
        <w:rPr>
          <w:lang w:val="es-ES_tradnl"/>
        </w:rPr>
        <w:t xml:space="preserve">Cuando se comienza o se detiene el tratamiento con tocilizumab, </w:t>
      </w:r>
      <w:r w:rsidR="00BD0EDB">
        <w:rPr>
          <w:lang w:val="es-ES_tradnl"/>
        </w:rPr>
        <w:t xml:space="preserve">se </w:t>
      </w:r>
      <w:r w:rsidRPr="008A106B">
        <w:rPr>
          <w:lang w:val="es-ES_tradnl"/>
        </w:rPr>
        <w:t>debe vigilar a los pacientes que toman medicamentos que se ajustan individualmente y se metabolizan mediante CYP450 3A4, 1A2, 2C9 o (p. ej.,</w:t>
      </w:r>
      <w:r w:rsidR="00F35BF1">
        <w:rPr>
          <w:lang w:val="es-ES_tradnl"/>
        </w:rPr>
        <w:t xml:space="preserve"> metilprednisolona, dexametasona, (</w:t>
      </w:r>
      <w:r w:rsidR="00C36C44">
        <w:rPr>
          <w:lang w:val="es-ES_tradnl"/>
        </w:rPr>
        <w:t>c</w:t>
      </w:r>
      <w:r w:rsidR="00C36C44" w:rsidRPr="008204EA">
        <w:rPr>
          <w:lang w:val="es-ES_tradnl"/>
        </w:rPr>
        <w:t>on la posibilidad de</w:t>
      </w:r>
      <w:r w:rsidR="00C36C44">
        <w:rPr>
          <w:lang w:val="es-ES_tradnl"/>
        </w:rPr>
        <w:t xml:space="preserve"> padecer el síndrome de abstinencia</w:t>
      </w:r>
      <w:r w:rsidR="00C36C44" w:rsidRPr="008204EA">
        <w:rPr>
          <w:lang w:val="es-ES_tradnl"/>
        </w:rPr>
        <w:t xml:space="preserve"> de </w:t>
      </w:r>
      <w:r w:rsidR="00C36C44">
        <w:rPr>
          <w:lang w:val="es-ES_tradnl"/>
        </w:rPr>
        <w:t xml:space="preserve">los </w:t>
      </w:r>
      <w:r w:rsidR="00C36C44" w:rsidRPr="008204EA">
        <w:rPr>
          <w:lang w:val="es-ES_tradnl"/>
        </w:rPr>
        <w:t>glucocorticoides</w:t>
      </w:r>
      <w:r w:rsidR="00C36C44">
        <w:rPr>
          <w:lang w:val="es-ES_tradnl"/>
        </w:rPr>
        <w:t xml:space="preserve"> orales</w:t>
      </w:r>
      <w:r w:rsidR="00F35BF1">
        <w:rPr>
          <w:lang w:val="es-ES_tradnl"/>
        </w:rPr>
        <w:t>)</w:t>
      </w:r>
      <w:r w:rsidR="00B60E5A">
        <w:rPr>
          <w:lang w:val="es-ES_tradnl"/>
        </w:rPr>
        <w:t>,</w:t>
      </w:r>
      <w:r w:rsidRPr="008A106B">
        <w:rPr>
          <w:lang w:val="es-ES_tradnl"/>
        </w:rPr>
        <w:t xml:space="preserve"> atorvastatina, antagonistas del canal del calcio, teofilina, warfarina, </w:t>
      </w:r>
      <w:r w:rsidR="002A5329">
        <w:rPr>
          <w:lang w:val="es-ES_tradnl"/>
        </w:rPr>
        <w:t>fenprocumon</w:t>
      </w:r>
      <w:r w:rsidR="00A813E6">
        <w:rPr>
          <w:lang w:val="es-ES_tradnl"/>
        </w:rPr>
        <w:t>a</w:t>
      </w:r>
      <w:r w:rsidR="002A5329">
        <w:rPr>
          <w:lang w:val="es-ES_tradnl"/>
        </w:rPr>
        <w:t xml:space="preserve">, </w:t>
      </w:r>
      <w:r w:rsidRPr="008A106B">
        <w:rPr>
          <w:lang w:val="es-ES_tradnl"/>
        </w:rPr>
        <w:t>fenitoína, ciclosporina o benzodiazepinas), porque puede ser necesario un aumento de dosis para mantener el efecto terapéutico.</w:t>
      </w:r>
      <w:r w:rsidRPr="008A106B">
        <w:rPr>
          <w:lang w:val="es-ES"/>
        </w:rPr>
        <w:t xml:space="preserve"> </w:t>
      </w:r>
      <w:r w:rsidRPr="008A106B">
        <w:rPr>
          <w:lang w:val="es-ES_tradnl"/>
        </w:rPr>
        <w:t xml:space="preserve">Dada la larga semivida de eliminación </w:t>
      </w:r>
      <w:r w:rsidRPr="008A106B">
        <w:rPr>
          <w:iCs/>
          <w:lang w:val="es-ES"/>
        </w:rPr>
        <w:t>(t</w:t>
      </w:r>
      <w:r w:rsidRPr="008A106B">
        <w:rPr>
          <w:iCs/>
          <w:vertAlign w:val="subscript"/>
          <w:lang w:val="es-ES"/>
        </w:rPr>
        <w:t>1/2</w:t>
      </w:r>
      <w:r w:rsidRPr="008A106B">
        <w:rPr>
          <w:iCs/>
          <w:lang w:val="es-ES"/>
        </w:rPr>
        <w:t>)</w:t>
      </w:r>
      <w:r w:rsidRPr="008A106B">
        <w:rPr>
          <w:rFonts w:eastAsia="SimSun"/>
          <w:lang w:val="es-ES" w:eastAsia="zh-CN" w:bidi="th-TH"/>
        </w:rPr>
        <w:t>,</w:t>
      </w:r>
      <w:r w:rsidRPr="008A106B">
        <w:rPr>
          <w:lang w:val="es-ES_tradnl"/>
        </w:rPr>
        <w:t xml:space="preserve"> el efecto de tocilizumab sobre la actividad del en</w:t>
      </w:r>
      <w:r w:rsidR="00B60E5A">
        <w:rPr>
          <w:lang w:val="es-ES_tradnl"/>
        </w:rPr>
        <w:t>z</w:t>
      </w:r>
      <w:r w:rsidRPr="008A106B">
        <w:rPr>
          <w:lang w:val="es-ES_tradnl"/>
        </w:rPr>
        <w:t>ima CYP450 podría persistir durante varias semanas después de suspender el tratamiento.</w:t>
      </w:r>
      <w:r w:rsidRPr="008A106B">
        <w:rPr>
          <w:lang w:val="es-ES"/>
        </w:rPr>
        <w:t xml:space="preserve"> </w:t>
      </w:r>
    </w:p>
    <w:p w14:paraId="47D28C62" w14:textId="77777777" w:rsidR="007927FC" w:rsidRPr="008A106B" w:rsidRDefault="007927FC" w:rsidP="007927FC">
      <w:pPr>
        <w:ind w:left="567" w:hanging="567"/>
        <w:outlineLvl w:val="0"/>
        <w:rPr>
          <w:b/>
          <w:bCs/>
          <w:lang w:val="es-ES"/>
        </w:rPr>
      </w:pPr>
    </w:p>
    <w:p w14:paraId="73605986" w14:textId="77777777" w:rsidR="007927FC" w:rsidRDefault="007927FC" w:rsidP="007927FC">
      <w:pPr>
        <w:ind w:left="567" w:hanging="567"/>
        <w:outlineLvl w:val="0"/>
        <w:rPr>
          <w:b/>
          <w:bCs/>
          <w:lang w:val="es-ES_tradnl"/>
        </w:rPr>
      </w:pPr>
      <w:r w:rsidRPr="008A106B">
        <w:rPr>
          <w:b/>
          <w:bCs/>
          <w:lang w:val="es-ES"/>
        </w:rPr>
        <w:t>4.6</w:t>
      </w:r>
      <w:r w:rsidRPr="008A106B">
        <w:rPr>
          <w:b/>
          <w:bCs/>
          <w:lang w:val="es-ES"/>
        </w:rPr>
        <w:tab/>
        <w:t xml:space="preserve">Fertilidad, </w:t>
      </w:r>
      <w:r w:rsidRPr="008A106B">
        <w:rPr>
          <w:b/>
          <w:bCs/>
          <w:lang w:val="es-ES_tradnl"/>
        </w:rPr>
        <w:t>embarazo y lactancia</w:t>
      </w:r>
    </w:p>
    <w:p w14:paraId="52576649" w14:textId="77777777" w:rsidR="007927FC" w:rsidRDefault="007927FC" w:rsidP="007927FC">
      <w:pPr>
        <w:ind w:left="567" w:hanging="567"/>
        <w:outlineLvl w:val="0"/>
        <w:rPr>
          <w:b/>
          <w:bCs/>
          <w:lang w:val="es-ES_tradnl"/>
        </w:rPr>
      </w:pPr>
    </w:p>
    <w:p w14:paraId="7DFBDB0D" w14:textId="77777777" w:rsidR="007927FC" w:rsidRDefault="007927FC" w:rsidP="007927FC">
      <w:pPr>
        <w:ind w:left="567" w:hanging="567"/>
        <w:outlineLvl w:val="0"/>
        <w:rPr>
          <w:bCs/>
          <w:u w:val="single"/>
          <w:lang w:val="es-ES"/>
        </w:rPr>
      </w:pPr>
      <w:r w:rsidRPr="000C2ADC">
        <w:rPr>
          <w:bCs/>
          <w:u w:val="single"/>
          <w:lang w:val="es-ES"/>
        </w:rPr>
        <w:t>Mujeres en edad fértil</w:t>
      </w:r>
    </w:p>
    <w:p w14:paraId="420F8E70" w14:textId="77777777" w:rsidR="00533308" w:rsidRPr="000C2ADC" w:rsidDel="00801229" w:rsidRDefault="00533308" w:rsidP="00467FFD">
      <w:pPr>
        <w:ind w:left="567" w:hanging="567"/>
        <w:outlineLvl w:val="0"/>
        <w:rPr>
          <w:del w:id="131" w:author="AUTHOR"/>
          <w:bCs/>
          <w:u w:val="single"/>
          <w:lang w:val="es-ES"/>
        </w:rPr>
      </w:pPr>
    </w:p>
    <w:p w14:paraId="69D83D52" w14:textId="31587CD6" w:rsidR="007927FC" w:rsidRPr="000C2ADC" w:rsidRDefault="007927FC">
      <w:pPr>
        <w:outlineLvl w:val="0"/>
        <w:rPr>
          <w:bCs/>
          <w:lang w:val="es-ES"/>
        </w:rPr>
        <w:pPrChange w:id="132" w:author="AUTHOR">
          <w:pPr>
            <w:ind w:left="567" w:hanging="567"/>
            <w:outlineLvl w:val="0"/>
          </w:pPr>
        </w:pPrChange>
      </w:pPr>
      <w:r w:rsidRPr="000C2ADC">
        <w:rPr>
          <w:bCs/>
          <w:lang w:val="es-ES"/>
        </w:rPr>
        <w:t xml:space="preserve">Las mujeres en edad fértil </w:t>
      </w:r>
      <w:r w:rsidR="00335FBF">
        <w:rPr>
          <w:bCs/>
          <w:lang w:val="es-ES"/>
        </w:rPr>
        <w:t>deben</w:t>
      </w:r>
      <w:r w:rsidRPr="000C2ADC">
        <w:rPr>
          <w:bCs/>
          <w:lang w:val="es-ES"/>
        </w:rPr>
        <w:t xml:space="preserve"> utilizar métodos anticonceptivos eficaces durante y hasta 3</w:t>
      </w:r>
      <w:r w:rsidR="00533308">
        <w:rPr>
          <w:bCs/>
          <w:lang w:val="es-ES"/>
        </w:rPr>
        <w:t> </w:t>
      </w:r>
    </w:p>
    <w:p w14:paraId="27B55C71" w14:textId="77777777" w:rsidR="007927FC" w:rsidRPr="000C2ADC" w:rsidRDefault="007927FC" w:rsidP="007927FC">
      <w:pPr>
        <w:ind w:left="567" w:hanging="567"/>
        <w:outlineLvl w:val="0"/>
        <w:rPr>
          <w:bCs/>
          <w:lang w:val="es-ES"/>
        </w:rPr>
      </w:pPr>
      <w:r w:rsidRPr="000C2ADC">
        <w:rPr>
          <w:bCs/>
          <w:lang w:val="es-ES"/>
        </w:rPr>
        <w:t>meses después del tratamiento.</w:t>
      </w:r>
    </w:p>
    <w:p w14:paraId="73A812DF" w14:textId="77777777" w:rsidR="007927FC" w:rsidRPr="008A106B" w:rsidRDefault="007927FC" w:rsidP="007927FC">
      <w:pPr>
        <w:ind w:left="567" w:hanging="567"/>
        <w:outlineLvl w:val="0"/>
        <w:rPr>
          <w:lang w:val="es-ES"/>
        </w:rPr>
      </w:pPr>
    </w:p>
    <w:p w14:paraId="11E8DB38" w14:textId="77777777" w:rsidR="00533308" w:rsidRPr="008A106B" w:rsidRDefault="007927FC" w:rsidP="007927FC">
      <w:pPr>
        <w:ind w:left="567" w:hanging="567"/>
        <w:outlineLvl w:val="0"/>
        <w:rPr>
          <w:u w:val="single"/>
          <w:lang w:val="es-ES"/>
        </w:rPr>
      </w:pPr>
      <w:r w:rsidRPr="008A106B">
        <w:rPr>
          <w:iCs/>
          <w:u w:val="single"/>
          <w:lang w:val="es-ES_tradnl"/>
        </w:rPr>
        <w:t>Embarazo</w:t>
      </w:r>
      <w:r w:rsidRPr="008A106B">
        <w:rPr>
          <w:iCs/>
          <w:u w:val="single"/>
          <w:lang w:val="es-ES"/>
        </w:rPr>
        <w:t xml:space="preserve"> </w:t>
      </w:r>
    </w:p>
    <w:p w14:paraId="2D2E9D88" w14:textId="6A47F1CC" w:rsidR="007927FC" w:rsidRDefault="007927FC" w:rsidP="007927FC">
      <w:pPr>
        <w:rPr>
          <w:lang w:val="es-ES_tradnl"/>
        </w:rPr>
      </w:pPr>
      <w:r w:rsidRPr="008A106B">
        <w:rPr>
          <w:lang w:val="es-ES_tradnl"/>
        </w:rPr>
        <w:t>No hay datos suficientes acerca del uso de tocilizumab en mujeres embarazadas.</w:t>
      </w:r>
      <w:r w:rsidRPr="008A106B">
        <w:rPr>
          <w:lang w:val="es-ES"/>
        </w:rPr>
        <w:t xml:space="preserve"> </w:t>
      </w:r>
      <w:r w:rsidRPr="008A106B">
        <w:rPr>
          <w:lang w:val="es-ES_tradnl"/>
        </w:rPr>
        <w:t xml:space="preserve">Un </w:t>
      </w:r>
      <w:del w:id="133" w:author="AUTHOR">
        <w:r w:rsidRPr="008A106B" w:rsidDel="00994C36">
          <w:rPr>
            <w:lang w:val="es-ES_tradnl"/>
          </w:rPr>
          <w:delText xml:space="preserve">estudio </w:delText>
        </w:r>
      </w:del>
      <w:ins w:id="134" w:author="AUTHOR">
        <w:r w:rsidR="00994C36">
          <w:rPr>
            <w:lang w:val="es-ES_tradnl"/>
          </w:rPr>
          <w:t>ensayo</w:t>
        </w:r>
        <w:r w:rsidR="00994C36" w:rsidRPr="008A106B">
          <w:rPr>
            <w:lang w:val="es-ES_tradnl"/>
          </w:rPr>
          <w:t xml:space="preserve"> </w:t>
        </w:r>
      </w:ins>
      <w:r w:rsidRPr="008A106B">
        <w:rPr>
          <w:lang w:val="es-ES_tradnl"/>
        </w:rPr>
        <w:t>en animales ha mostrado un aumento del riesgo de aborto espontáneo / muerte embriofetal a una dosis alta (ver sección</w:t>
      </w:r>
      <w:r w:rsidR="00533308">
        <w:rPr>
          <w:lang w:val="es-ES_tradnl"/>
        </w:rPr>
        <w:t> </w:t>
      </w:r>
      <w:r w:rsidRPr="008A106B">
        <w:rPr>
          <w:lang w:val="es-ES_tradnl"/>
        </w:rPr>
        <w:t>5.3).</w:t>
      </w:r>
      <w:r w:rsidRPr="008A106B">
        <w:rPr>
          <w:lang w:val="es-ES"/>
        </w:rPr>
        <w:t xml:space="preserve"> </w:t>
      </w:r>
      <w:r w:rsidRPr="008A106B">
        <w:rPr>
          <w:lang w:val="es-ES_tradnl"/>
        </w:rPr>
        <w:t xml:space="preserve">Se desconoce el riesgo potencial en los seres humanos. </w:t>
      </w:r>
    </w:p>
    <w:p w14:paraId="705E27FF" w14:textId="77777777" w:rsidR="00533308" w:rsidRPr="008A106B" w:rsidRDefault="00533308" w:rsidP="007927FC">
      <w:pPr>
        <w:rPr>
          <w:lang w:val="es-ES"/>
        </w:rPr>
      </w:pPr>
    </w:p>
    <w:p w14:paraId="67314750" w14:textId="77777777" w:rsidR="007927FC" w:rsidRPr="008A106B" w:rsidRDefault="007927FC" w:rsidP="007927FC">
      <w:pPr>
        <w:ind w:left="567" w:hanging="567"/>
        <w:outlineLvl w:val="0"/>
        <w:rPr>
          <w:lang w:val="es-ES"/>
        </w:rPr>
      </w:pPr>
      <w:r w:rsidRPr="008A106B">
        <w:rPr>
          <w:lang w:val="es-ES_tradnl"/>
        </w:rPr>
        <w:t>RoActemra no se debe utilizar durante el embarazo, salvo que sea claramente necesario.</w:t>
      </w:r>
    </w:p>
    <w:p w14:paraId="6889B4A2" w14:textId="77777777" w:rsidR="007927FC" w:rsidRPr="008A106B" w:rsidRDefault="007927FC" w:rsidP="007927FC">
      <w:pPr>
        <w:ind w:left="567" w:hanging="567"/>
        <w:outlineLvl w:val="0"/>
        <w:rPr>
          <w:iCs/>
          <w:lang w:val="es-ES"/>
        </w:rPr>
      </w:pPr>
    </w:p>
    <w:p w14:paraId="05E38C43" w14:textId="77777777" w:rsidR="007927FC" w:rsidRDefault="007927FC" w:rsidP="007927FC">
      <w:pPr>
        <w:ind w:left="567" w:hanging="567"/>
        <w:outlineLvl w:val="0"/>
        <w:rPr>
          <w:iCs/>
          <w:u w:val="single"/>
          <w:lang w:val="es-ES"/>
        </w:rPr>
      </w:pPr>
      <w:r w:rsidRPr="008A106B">
        <w:rPr>
          <w:iCs/>
          <w:u w:val="single"/>
          <w:lang w:val="es-ES_tradnl"/>
        </w:rPr>
        <w:t>Lactancia</w:t>
      </w:r>
      <w:r w:rsidRPr="008A106B">
        <w:rPr>
          <w:iCs/>
          <w:u w:val="single"/>
          <w:lang w:val="es-ES"/>
        </w:rPr>
        <w:t xml:space="preserve"> </w:t>
      </w:r>
    </w:p>
    <w:p w14:paraId="05889EEA" w14:textId="77777777" w:rsidR="00533308" w:rsidRPr="008A106B" w:rsidDel="00801229" w:rsidRDefault="00533308" w:rsidP="007927FC">
      <w:pPr>
        <w:ind w:left="567" w:hanging="567"/>
        <w:outlineLvl w:val="0"/>
        <w:rPr>
          <w:del w:id="135" w:author="AUTHOR"/>
          <w:u w:val="single"/>
          <w:lang w:val="es-ES"/>
        </w:rPr>
      </w:pPr>
    </w:p>
    <w:p w14:paraId="65452FCD" w14:textId="1EB0D44B" w:rsidR="007927FC" w:rsidRPr="008A106B" w:rsidRDefault="007927FC" w:rsidP="007927FC">
      <w:pPr>
        <w:rPr>
          <w:lang w:val="es-ES_tradnl"/>
        </w:rPr>
      </w:pPr>
      <w:r w:rsidRPr="008A106B">
        <w:rPr>
          <w:lang w:val="es-ES_tradnl"/>
        </w:rPr>
        <w:t>Se desconoce si tocilizumab se excreta en la leche materna</w:t>
      </w:r>
      <w:r w:rsidR="00F97391">
        <w:rPr>
          <w:lang w:val="es-ES_tradnl"/>
        </w:rPr>
        <w:t>.</w:t>
      </w:r>
      <w:r w:rsidRPr="008A106B">
        <w:rPr>
          <w:lang w:val="es-ES"/>
        </w:rPr>
        <w:t xml:space="preserve"> La excreción de tocilizumab en leche no ha sido estudiada en animales. </w:t>
      </w:r>
      <w:r w:rsidR="003532C2">
        <w:rPr>
          <w:lang w:val="es-ES"/>
        </w:rPr>
        <w:t>Se d</w:t>
      </w:r>
      <w:del w:id="136" w:author="AUTHOR">
        <w:r w:rsidRPr="008A106B" w:rsidDel="009E094B">
          <w:rPr>
            <w:lang w:val="es-ES_tradnl"/>
          </w:rPr>
          <w:delText>D</w:delText>
        </w:r>
      </w:del>
      <w:r w:rsidRPr="008A106B">
        <w:rPr>
          <w:lang w:val="es-ES_tradnl"/>
        </w:rPr>
        <w:t xml:space="preserve">ebe tomar una decisión acerca de  suspender la lactancia o suspender </w:t>
      </w:r>
      <w:r w:rsidR="003532C2">
        <w:rPr>
          <w:lang w:val="es-ES_tradnl"/>
        </w:rPr>
        <w:t xml:space="preserve">abstenerse </w:t>
      </w:r>
      <w:r w:rsidRPr="008A106B">
        <w:rPr>
          <w:lang w:val="es-ES_tradnl"/>
        </w:rPr>
        <w:t xml:space="preserve">el tratamiento con </w:t>
      </w:r>
      <w:r w:rsidR="006D6334">
        <w:rPr>
          <w:lang w:val="es-ES_tradnl"/>
        </w:rPr>
        <w:t>tocilizumab</w:t>
      </w:r>
      <w:r w:rsidR="006D6334" w:rsidRPr="008A106B">
        <w:rPr>
          <w:lang w:val="es-ES_tradnl"/>
        </w:rPr>
        <w:t xml:space="preserve"> </w:t>
      </w:r>
      <w:r w:rsidRPr="008A106B">
        <w:rPr>
          <w:lang w:val="es-ES_tradnl"/>
        </w:rPr>
        <w:t>teniendo en cuenta el beneficio de la lactancia materna para el niño y el beneficio del tratamiento para la mujer.</w:t>
      </w:r>
    </w:p>
    <w:p w14:paraId="56EF1D47" w14:textId="77777777" w:rsidR="00801229" w:rsidRDefault="00801229" w:rsidP="006868F5">
      <w:pPr>
        <w:keepNext/>
        <w:rPr>
          <w:ins w:id="137" w:author="AUTHOR"/>
          <w:u w:val="single"/>
          <w:lang w:val="es-ES"/>
        </w:rPr>
      </w:pPr>
    </w:p>
    <w:p w14:paraId="1D8BD279" w14:textId="2F291A9F" w:rsidR="007927FC" w:rsidRDefault="007927FC" w:rsidP="006868F5">
      <w:pPr>
        <w:keepNext/>
        <w:rPr>
          <w:u w:val="single"/>
          <w:lang w:val="es-ES"/>
        </w:rPr>
      </w:pPr>
      <w:r w:rsidRPr="00D706BA">
        <w:rPr>
          <w:u w:val="single"/>
          <w:lang w:val="es-ES"/>
        </w:rPr>
        <w:t>Fertilidad</w:t>
      </w:r>
    </w:p>
    <w:p w14:paraId="18162E6C" w14:textId="77777777" w:rsidR="00BA0BB0" w:rsidRPr="00D706BA" w:rsidRDefault="00BA0BB0" w:rsidP="006868F5">
      <w:pPr>
        <w:keepNext/>
        <w:rPr>
          <w:u w:val="single"/>
          <w:lang w:val="es-ES"/>
        </w:rPr>
      </w:pPr>
    </w:p>
    <w:p w14:paraId="25FF9D22" w14:textId="7451DF91" w:rsidR="007927FC" w:rsidRPr="008A106B" w:rsidRDefault="007927FC" w:rsidP="007927FC">
      <w:pPr>
        <w:rPr>
          <w:lang w:val="es-ES"/>
        </w:rPr>
      </w:pPr>
      <w:r w:rsidRPr="008A106B">
        <w:rPr>
          <w:lang w:val="es-ES"/>
        </w:rPr>
        <w:t xml:space="preserve">Los datos </w:t>
      </w:r>
      <w:ins w:id="138" w:author="AUTHOR">
        <w:r w:rsidR="00522B20" w:rsidRPr="00522B20">
          <w:rPr>
            <w:lang w:val="es-ES"/>
          </w:rPr>
          <w:t>preclínico</w:t>
        </w:r>
        <w:r w:rsidR="00522B20">
          <w:rPr>
            <w:lang w:val="es-ES"/>
          </w:rPr>
          <w:t>s</w:t>
        </w:r>
      </w:ins>
      <w:del w:id="139" w:author="AUTHOR">
        <w:r w:rsidRPr="008A106B" w:rsidDel="00522B20">
          <w:rPr>
            <w:lang w:val="es-ES"/>
          </w:rPr>
          <w:delText>no clínicos</w:delText>
        </w:r>
      </w:del>
      <w:r w:rsidRPr="008A106B">
        <w:rPr>
          <w:lang w:val="es-ES"/>
        </w:rPr>
        <w:t xml:space="preserve"> disponibles no sugieren un efecto sobre la fertilidad bajo tratamiento con tocilizumab.</w:t>
      </w:r>
    </w:p>
    <w:p w14:paraId="5A3BE828" w14:textId="77777777" w:rsidR="007927FC" w:rsidRPr="008A106B" w:rsidRDefault="007927FC" w:rsidP="007927FC">
      <w:pPr>
        <w:rPr>
          <w:lang w:val="es-ES"/>
        </w:rPr>
      </w:pPr>
    </w:p>
    <w:p w14:paraId="47463952" w14:textId="77777777" w:rsidR="007927FC" w:rsidRPr="008A106B" w:rsidRDefault="007927FC" w:rsidP="006868F5">
      <w:pPr>
        <w:keepNext/>
        <w:keepLines/>
        <w:ind w:left="562" w:hanging="562"/>
        <w:outlineLvl w:val="0"/>
        <w:rPr>
          <w:lang w:val="es-ES"/>
        </w:rPr>
      </w:pPr>
      <w:r w:rsidRPr="008A106B">
        <w:rPr>
          <w:b/>
          <w:bCs/>
          <w:lang w:val="es-ES"/>
        </w:rPr>
        <w:t>4.7</w:t>
      </w:r>
      <w:r w:rsidRPr="008A106B">
        <w:rPr>
          <w:b/>
          <w:bCs/>
          <w:lang w:val="es-ES"/>
        </w:rPr>
        <w:tab/>
      </w:r>
      <w:r w:rsidRPr="008A106B">
        <w:rPr>
          <w:b/>
          <w:bCs/>
          <w:lang w:val="es-ES_tradnl"/>
        </w:rPr>
        <w:t>Efectos sobre la capacidad para conducir y utilizar máquinas</w:t>
      </w:r>
    </w:p>
    <w:p w14:paraId="6C11E31E" w14:textId="77777777" w:rsidR="007927FC" w:rsidRPr="008A106B" w:rsidRDefault="007927FC" w:rsidP="006868F5">
      <w:pPr>
        <w:keepNext/>
        <w:keepLines/>
        <w:rPr>
          <w:lang w:val="es-ES"/>
        </w:rPr>
      </w:pPr>
    </w:p>
    <w:p w14:paraId="0542D80F" w14:textId="5AA400A2" w:rsidR="007927FC" w:rsidRPr="008A106B" w:rsidRDefault="007927FC" w:rsidP="006868F5">
      <w:pPr>
        <w:keepNext/>
        <w:keepLines/>
        <w:outlineLvl w:val="0"/>
        <w:rPr>
          <w:b/>
          <w:lang w:val="es-ES"/>
        </w:rPr>
      </w:pPr>
      <w:r w:rsidRPr="000911DD">
        <w:rPr>
          <w:lang w:val="es-ES"/>
        </w:rPr>
        <w:t>La influencia de RoActemra sobre la capacidad para conducir y utilizar máquinas es pequeña</w:t>
      </w:r>
      <w:r w:rsidR="001364DC">
        <w:rPr>
          <w:lang w:val="es-ES"/>
        </w:rPr>
        <w:t>, p.e. mareos</w:t>
      </w:r>
      <w:r w:rsidRPr="000911DD">
        <w:rPr>
          <w:lang w:val="es-ES_tradnl"/>
        </w:rPr>
        <w:t xml:space="preserve"> (ver sección</w:t>
      </w:r>
      <w:r w:rsidR="001364DC">
        <w:rPr>
          <w:lang w:val="es-ES_tradnl"/>
        </w:rPr>
        <w:t> </w:t>
      </w:r>
      <w:r w:rsidRPr="000911DD">
        <w:rPr>
          <w:lang w:val="es-ES_tradnl"/>
        </w:rPr>
        <w:t>4.8)</w:t>
      </w:r>
      <w:r w:rsidR="00D56B02">
        <w:rPr>
          <w:lang w:val="es-ES_tradnl"/>
        </w:rPr>
        <w:t>.</w:t>
      </w:r>
    </w:p>
    <w:p w14:paraId="70676920" w14:textId="77777777" w:rsidR="007927FC" w:rsidRDefault="007927FC" w:rsidP="007927FC">
      <w:pPr>
        <w:ind w:left="567" w:hanging="567"/>
        <w:outlineLvl w:val="0"/>
        <w:rPr>
          <w:b/>
          <w:bCs/>
          <w:lang w:val="es-ES"/>
        </w:rPr>
      </w:pPr>
    </w:p>
    <w:p w14:paraId="4A38DADF" w14:textId="77777777" w:rsidR="001E0F8E" w:rsidRPr="00D20200" w:rsidRDefault="007927FC" w:rsidP="001E0F8E">
      <w:pPr>
        <w:keepNext/>
        <w:keepLines/>
        <w:ind w:left="567" w:hanging="567"/>
        <w:outlineLvl w:val="0"/>
        <w:rPr>
          <w:b/>
          <w:bCs/>
          <w:lang w:val="es-ES_tradnl"/>
        </w:rPr>
      </w:pPr>
      <w:r w:rsidRPr="000911DD">
        <w:rPr>
          <w:b/>
          <w:bCs/>
          <w:lang w:val="es-ES"/>
        </w:rPr>
        <w:t>4.8</w:t>
      </w:r>
      <w:r w:rsidRPr="000911DD">
        <w:rPr>
          <w:b/>
          <w:bCs/>
          <w:lang w:val="es-ES"/>
        </w:rPr>
        <w:tab/>
      </w:r>
      <w:r w:rsidRPr="000911DD">
        <w:rPr>
          <w:b/>
          <w:bCs/>
          <w:lang w:val="es-ES_tradnl"/>
        </w:rPr>
        <w:t>Reacciones adversas</w:t>
      </w:r>
    </w:p>
    <w:p w14:paraId="02318CBC" w14:textId="77777777" w:rsidR="001A2675" w:rsidRDefault="001A2675" w:rsidP="007927FC">
      <w:pPr>
        <w:keepNext/>
        <w:keepLines/>
        <w:ind w:left="567" w:hanging="567"/>
        <w:outlineLvl w:val="0"/>
        <w:rPr>
          <w:bCs/>
          <w:u w:val="single"/>
          <w:lang w:val="es-ES_tradnl"/>
        </w:rPr>
      </w:pPr>
    </w:p>
    <w:p w14:paraId="4A60981D" w14:textId="70DA4303" w:rsidR="001364DC" w:rsidRDefault="007927FC" w:rsidP="00D33DBC">
      <w:pPr>
        <w:keepNext/>
        <w:keepLines/>
        <w:ind w:left="567" w:hanging="567"/>
        <w:outlineLvl w:val="0"/>
        <w:rPr>
          <w:bCs/>
          <w:u w:val="single"/>
          <w:lang w:val="es-ES_tradnl"/>
        </w:rPr>
      </w:pPr>
      <w:r w:rsidRPr="00B27D08">
        <w:rPr>
          <w:bCs/>
          <w:u w:val="single"/>
          <w:lang w:val="es-ES_tradnl"/>
        </w:rPr>
        <w:t>Resumen del perfil de seguridad</w:t>
      </w:r>
    </w:p>
    <w:p w14:paraId="76B87011" w14:textId="77777777" w:rsidR="001364DC" w:rsidRPr="00F30AB8" w:rsidRDefault="001364DC" w:rsidP="007927FC">
      <w:pPr>
        <w:keepNext/>
        <w:keepLines/>
        <w:ind w:left="567" w:hanging="567"/>
        <w:outlineLvl w:val="0"/>
        <w:rPr>
          <w:bCs/>
          <w:i/>
          <w:u w:val="single"/>
          <w:lang w:val="es-ES_tradnl"/>
        </w:rPr>
      </w:pPr>
      <w:r w:rsidRPr="00F30AB8">
        <w:rPr>
          <w:i/>
          <w:lang w:val="es-ES_tradnl"/>
        </w:rPr>
        <w:t>AR, AIJs, AIJp y SLC</w:t>
      </w:r>
    </w:p>
    <w:p w14:paraId="1CB02CB8" w14:textId="2E4214CE" w:rsidR="007927FC" w:rsidRPr="00EF6C93" w:rsidRDefault="007927FC" w:rsidP="007927FC">
      <w:pPr>
        <w:keepNext/>
        <w:keepLines/>
        <w:rPr>
          <w:lang w:val="es-ES"/>
        </w:rPr>
      </w:pPr>
      <w:r w:rsidRPr="00735C34">
        <w:rPr>
          <w:lang w:val="es-ES_tradnl"/>
        </w:rPr>
        <w:t xml:space="preserve">Las </w:t>
      </w:r>
      <w:r w:rsidR="001364DC">
        <w:rPr>
          <w:lang w:val="es-ES_tradnl"/>
        </w:rPr>
        <w:t xml:space="preserve">reacciones </w:t>
      </w:r>
      <w:proofErr w:type="gramStart"/>
      <w:r w:rsidR="001364DC">
        <w:rPr>
          <w:lang w:val="es-ES_tradnl"/>
        </w:rPr>
        <w:t xml:space="preserve">adversas  </w:t>
      </w:r>
      <w:r w:rsidRPr="00735C34">
        <w:rPr>
          <w:lang w:val="es-ES_tradnl"/>
        </w:rPr>
        <w:t>notificadas</w:t>
      </w:r>
      <w:proofErr w:type="gramEnd"/>
      <w:r w:rsidRPr="00735C34">
        <w:rPr>
          <w:lang w:val="es-ES_tradnl"/>
        </w:rPr>
        <w:t xml:space="preserve"> con más frecuencia</w:t>
      </w:r>
      <w:r w:rsidRPr="00D17070">
        <w:rPr>
          <w:lang w:val="es-ES_tradnl"/>
        </w:rPr>
        <w:t xml:space="preserve"> fueron, infecciones en el tracto respiratorio superior, nasofaringitis, cefalea, hipertensión y elevación de la ALT.</w:t>
      </w:r>
    </w:p>
    <w:p w14:paraId="2DB06217" w14:textId="77777777" w:rsidR="007927FC" w:rsidRPr="00EF6C93" w:rsidRDefault="007927FC" w:rsidP="007927FC">
      <w:pPr>
        <w:ind w:left="567" w:hanging="567"/>
        <w:outlineLvl w:val="0"/>
        <w:rPr>
          <w:bCs/>
          <w:lang w:val="es-ES"/>
        </w:rPr>
      </w:pPr>
    </w:p>
    <w:p w14:paraId="62AFDEA0" w14:textId="77777777" w:rsidR="00095A09" w:rsidRDefault="007927FC" w:rsidP="00095A09">
      <w:pPr>
        <w:outlineLvl w:val="0"/>
        <w:rPr>
          <w:lang w:val="es-ES"/>
        </w:rPr>
      </w:pPr>
      <w:r w:rsidRPr="00EF6C93">
        <w:rPr>
          <w:bCs/>
          <w:lang w:val="es-ES_tradnl"/>
        </w:rPr>
        <w:t>Las reacciones adversas más graves fueron infecciones graves, complicaciones de la diverticulitis, y reacciones de hipersensibilidad</w:t>
      </w:r>
      <w:r w:rsidR="00D56B02">
        <w:rPr>
          <w:bCs/>
          <w:lang w:val="es-ES_tradnl"/>
        </w:rPr>
        <w:t>.</w:t>
      </w:r>
      <w:r w:rsidR="00095A09" w:rsidRPr="004B67DA">
        <w:rPr>
          <w:lang w:val="es-ES"/>
        </w:rPr>
        <w:t xml:space="preserve"> </w:t>
      </w:r>
    </w:p>
    <w:p w14:paraId="0FFC8AE7" w14:textId="77777777" w:rsidR="00095A09" w:rsidRDefault="00095A09" w:rsidP="00095A09">
      <w:pPr>
        <w:outlineLvl w:val="0"/>
        <w:rPr>
          <w:lang w:val="es-ES"/>
        </w:rPr>
      </w:pPr>
    </w:p>
    <w:p w14:paraId="66696D2C" w14:textId="77777777" w:rsidR="001364DC" w:rsidRPr="00F30AB8" w:rsidRDefault="001364DC" w:rsidP="001364DC">
      <w:pPr>
        <w:pStyle w:val="Heading4"/>
        <w:rPr>
          <w:b w:val="0"/>
          <w:i/>
          <w:lang w:val="es-ES"/>
        </w:rPr>
      </w:pPr>
      <w:r w:rsidRPr="00F30AB8">
        <w:rPr>
          <w:b w:val="0"/>
          <w:i/>
          <w:lang w:val="es-ES"/>
        </w:rPr>
        <w:t>COVID</w:t>
      </w:r>
      <w:r w:rsidRPr="00F30AB8">
        <w:rPr>
          <w:b w:val="0"/>
          <w:i/>
          <w:lang w:val="es-ES"/>
        </w:rPr>
        <w:noBreakHyphen/>
        <w:t>19</w:t>
      </w:r>
    </w:p>
    <w:p w14:paraId="6958633F" w14:textId="3824DD22" w:rsidR="00095A09" w:rsidRPr="00095A09" w:rsidRDefault="00095A09" w:rsidP="00095A09">
      <w:pPr>
        <w:outlineLvl w:val="0"/>
        <w:rPr>
          <w:bCs/>
          <w:lang w:val="es-ES_tradnl"/>
        </w:rPr>
      </w:pPr>
      <w:r w:rsidRPr="00095A09">
        <w:rPr>
          <w:bCs/>
          <w:lang w:val="es-ES_tradnl"/>
        </w:rPr>
        <w:t>Las reacciones adversas notificadas con más frecuencia fueron aumento de las transaminasas hepáticas, estreñimiento e infección del tracto urinario.</w:t>
      </w:r>
    </w:p>
    <w:p w14:paraId="7EE463E4" w14:textId="77777777" w:rsidR="001364DC" w:rsidRDefault="001364DC" w:rsidP="00095A09">
      <w:pPr>
        <w:outlineLvl w:val="0"/>
        <w:rPr>
          <w:bCs/>
          <w:lang w:val="es-ES_tradnl"/>
        </w:rPr>
      </w:pPr>
    </w:p>
    <w:p w14:paraId="14C51835" w14:textId="3B32D02F" w:rsidR="001364DC" w:rsidRPr="00D33DBC" w:rsidRDefault="001364DC" w:rsidP="00095A09">
      <w:pPr>
        <w:outlineLvl w:val="0"/>
        <w:rPr>
          <w:bCs/>
          <w:u w:val="single"/>
          <w:lang w:val="es-ES_tradnl"/>
        </w:rPr>
      </w:pPr>
      <w:r w:rsidRPr="00F30AB8">
        <w:rPr>
          <w:bCs/>
          <w:u w:val="single"/>
          <w:lang w:val="es-ES_tradnl"/>
        </w:rPr>
        <w:t>Tabla de reacciones adversas</w:t>
      </w:r>
    </w:p>
    <w:p w14:paraId="683E706F" w14:textId="7975E6D3" w:rsidR="007927FC" w:rsidRDefault="00095A09" w:rsidP="00095A09">
      <w:pPr>
        <w:outlineLvl w:val="0"/>
        <w:rPr>
          <w:bCs/>
          <w:lang w:val="es-ES_tradnl"/>
        </w:rPr>
      </w:pPr>
      <w:r w:rsidRPr="00095A09">
        <w:rPr>
          <w:bCs/>
          <w:lang w:val="es-ES_tradnl"/>
        </w:rPr>
        <w:t>Las reacciones ad</w:t>
      </w:r>
      <w:r>
        <w:rPr>
          <w:bCs/>
          <w:lang w:val="es-ES_tradnl"/>
        </w:rPr>
        <w:t>versas en los ensayos clínicos y</w:t>
      </w:r>
      <w:r w:rsidRPr="00095A09">
        <w:rPr>
          <w:bCs/>
          <w:lang w:val="es-ES_tradnl"/>
        </w:rPr>
        <w:t xml:space="preserve">/o la experiencia postcomercialización con </w:t>
      </w:r>
      <w:r w:rsidR="001364DC">
        <w:rPr>
          <w:bCs/>
          <w:lang w:val="es-ES_tradnl"/>
        </w:rPr>
        <w:t>tocilizumab</w:t>
      </w:r>
      <w:r w:rsidR="001364DC" w:rsidRPr="00095A09">
        <w:rPr>
          <w:bCs/>
          <w:lang w:val="es-ES_tradnl"/>
        </w:rPr>
        <w:t xml:space="preserve"> </w:t>
      </w:r>
      <w:r w:rsidRPr="00095A09">
        <w:rPr>
          <w:bCs/>
          <w:lang w:val="es-ES_tradnl"/>
        </w:rPr>
        <w:t>basadas en informes de casos espontáneos, la literatura</w:t>
      </w:r>
      <w:r w:rsidR="009429A2">
        <w:rPr>
          <w:bCs/>
          <w:lang w:val="es-ES_tradnl"/>
        </w:rPr>
        <w:t xml:space="preserve"> de casos</w:t>
      </w:r>
      <w:r w:rsidRPr="00095A09">
        <w:rPr>
          <w:bCs/>
          <w:lang w:val="es-ES_tradnl"/>
        </w:rPr>
        <w:t xml:space="preserve"> y casos de programas de </w:t>
      </w:r>
      <w:del w:id="140" w:author="AUTHOR">
        <w:r w:rsidRPr="00095A09" w:rsidDel="006C4AF1">
          <w:rPr>
            <w:bCs/>
            <w:lang w:val="es-ES_tradnl"/>
          </w:rPr>
          <w:delText xml:space="preserve">estudios </w:delText>
        </w:r>
      </w:del>
      <w:ins w:id="141" w:author="AUTHOR">
        <w:r w:rsidR="006C4AF1">
          <w:rPr>
            <w:bCs/>
            <w:lang w:val="es-ES_tradnl"/>
          </w:rPr>
          <w:t>ensayos</w:t>
        </w:r>
        <w:r w:rsidR="006C4AF1" w:rsidRPr="00095A09">
          <w:rPr>
            <w:bCs/>
            <w:lang w:val="es-ES_tradnl"/>
          </w:rPr>
          <w:t xml:space="preserve"> </w:t>
        </w:r>
      </w:ins>
      <w:r w:rsidRPr="00095A09">
        <w:rPr>
          <w:bCs/>
          <w:lang w:val="es-ES_tradnl"/>
        </w:rPr>
        <w:t>no intervencionistas se enumeran en la Tabla</w:t>
      </w:r>
      <w:r w:rsidR="001364DC">
        <w:rPr>
          <w:bCs/>
          <w:lang w:val="es-ES_tradnl"/>
        </w:rPr>
        <w:t> </w:t>
      </w:r>
      <w:r w:rsidRPr="00095A09">
        <w:rPr>
          <w:bCs/>
          <w:lang w:val="es-ES_tradnl"/>
        </w:rPr>
        <w:t>1 y en la Tabla</w:t>
      </w:r>
      <w:r w:rsidR="001364DC">
        <w:rPr>
          <w:bCs/>
          <w:lang w:val="es-ES_tradnl"/>
        </w:rPr>
        <w:t> </w:t>
      </w:r>
      <w:r w:rsidRPr="00095A09">
        <w:rPr>
          <w:bCs/>
          <w:lang w:val="es-ES_tradnl"/>
        </w:rPr>
        <w:t xml:space="preserve">2 </w:t>
      </w:r>
      <w:r w:rsidR="00335FBF">
        <w:rPr>
          <w:bCs/>
          <w:lang w:val="es-ES_tradnl"/>
        </w:rPr>
        <w:t xml:space="preserve">por la clasificación por órgano y sistemas de </w:t>
      </w:r>
      <w:r w:rsidRPr="00095A09">
        <w:rPr>
          <w:bCs/>
          <w:lang w:val="es-ES_tradnl"/>
        </w:rPr>
        <w:t>MedDRA</w:t>
      </w:r>
      <w:r w:rsidR="00335FBF">
        <w:rPr>
          <w:bCs/>
          <w:lang w:val="es-ES_tradnl"/>
        </w:rPr>
        <w:t xml:space="preserve"> (SOC, por sus siglas en inglés)</w:t>
      </w:r>
      <w:r w:rsidRPr="00095A09">
        <w:rPr>
          <w:bCs/>
          <w:lang w:val="es-ES_tradnl"/>
        </w:rPr>
        <w:t xml:space="preserve">. La categoría de frecuencia correspondiente para cada </w:t>
      </w:r>
      <w:r>
        <w:rPr>
          <w:bCs/>
          <w:lang w:val="es-ES_tradnl"/>
        </w:rPr>
        <w:t>reacción adversa</w:t>
      </w:r>
      <w:r w:rsidR="009429A2">
        <w:rPr>
          <w:bCs/>
          <w:lang w:val="es-ES_tradnl"/>
        </w:rPr>
        <w:t xml:space="preserve"> se basa en el </w:t>
      </w:r>
      <w:r w:rsidRPr="00095A09">
        <w:rPr>
          <w:bCs/>
          <w:lang w:val="es-ES_tradnl"/>
        </w:rPr>
        <w:t>siguiente conven</w:t>
      </w:r>
      <w:r w:rsidR="009429A2">
        <w:rPr>
          <w:bCs/>
          <w:lang w:val="es-ES_tradnl"/>
        </w:rPr>
        <w:t>io</w:t>
      </w:r>
      <w:r w:rsidRPr="00095A09">
        <w:rPr>
          <w:bCs/>
          <w:lang w:val="es-ES_tradnl"/>
        </w:rPr>
        <w:t xml:space="preserve">: muy </w:t>
      </w:r>
      <w:r w:rsidR="00037A04">
        <w:rPr>
          <w:bCs/>
          <w:lang w:val="es-ES_tradnl"/>
        </w:rPr>
        <w:t>frecuentes</w:t>
      </w:r>
      <w:r w:rsidRPr="00095A09">
        <w:rPr>
          <w:bCs/>
          <w:lang w:val="es-ES_tradnl"/>
        </w:rPr>
        <w:t xml:space="preserve"> (</w:t>
      </w:r>
      <w:r w:rsidR="00205482" w:rsidRPr="00F30AB8">
        <w:rPr>
          <w:lang w:val="es-ES"/>
        </w:rPr>
        <w:t>≥</w:t>
      </w:r>
      <w:r w:rsidR="00205482" w:rsidRPr="00F30AB8">
        <w:rPr>
          <w:szCs w:val="22"/>
          <w:lang w:val="es-ES"/>
        </w:rPr>
        <w:t> </w:t>
      </w:r>
      <w:r w:rsidRPr="00095A09">
        <w:rPr>
          <w:bCs/>
          <w:lang w:val="es-ES_tradnl"/>
        </w:rPr>
        <w:t>1/10); frecuentes (</w:t>
      </w:r>
      <w:r w:rsidR="00205482" w:rsidRPr="00F30AB8">
        <w:rPr>
          <w:lang w:val="es-ES"/>
        </w:rPr>
        <w:t>≥</w:t>
      </w:r>
      <w:r w:rsidR="00205482" w:rsidRPr="00F30AB8">
        <w:rPr>
          <w:szCs w:val="22"/>
          <w:lang w:val="es-ES"/>
        </w:rPr>
        <w:t> </w:t>
      </w:r>
      <w:r w:rsidRPr="00095A09">
        <w:rPr>
          <w:bCs/>
          <w:lang w:val="es-ES_tradnl"/>
        </w:rPr>
        <w:t xml:space="preserve">1/100 a </w:t>
      </w:r>
      <w:r w:rsidR="00205482" w:rsidRPr="00F30AB8">
        <w:rPr>
          <w:rFonts w:eastAsia="MS Mincho"/>
          <w:sz w:val="10"/>
          <w:szCs w:val="22"/>
          <w:lang w:val="es-ES"/>
        </w:rPr>
        <w:t> </w:t>
      </w:r>
      <w:r w:rsidR="00205482" w:rsidRPr="00B65EA9">
        <w:rPr>
          <w:rFonts w:eastAsia="MS Mincho"/>
          <w:szCs w:val="22"/>
          <w:lang w:val="en-GB"/>
        </w:rPr>
        <w:sym w:font="Symbol" w:char="F03C"/>
      </w:r>
      <w:r w:rsidR="00205482" w:rsidRPr="00F30AB8">
        <w:rPr>
          <w:rFonts w:ascii="Arial" w:eastAsia="MS Mincho" w:hAnsi="Arial" w:cs="Arial"/>
          <w:sz w:val="10"/>
          <w:szCs w:val="22"/>
          <w:lang w:val="es-ES"/>
        </w:rPr>
        <w:t> </w:t>
      </w:r>
      <w:r w:rsidRPr="00095A09">
        <w:rPr>
          <w:bCs/>
          <w:lang w:val="es-ES_tradnl"/>
        </w:rPr>
        <w:t>1/10), poco frecuentes (</w:t>
      </w:r>
      <w:r w:rsidR="00205482" w:rsidRPr="00F30AB8">
        <w:rPr>
          <w:lang w:val="es-ES"/>
        </w:rPr>
        <w:t>≥</w:t>
      </w:r>
      <w:r w:rsidR="00205482" w:rsidRPr="00F30AB8">
        <w:rPr>
          <w:szCs w:val="22"/>
          <w:lang w:val="es-ES"/>
        </w:rPr>
        <w:t> </w:t>
      </w:r>
      <w:r w:rsidRPr="00095A09">
        <w:rPr>
          <w:bCs/>
          <w:lang w:val="es-ES_tradnl"/>
        </w:rPr>
        <w:t>1 / 1.000 a</w:t>
      </w:r>
      <w:r w:rsidR="00205482" w:rsidRPr="00B65EA9">
        <w:rPr>
          <w:rFonts w:eastAsia="MS Mincho"/>
          <w:szCs w:val="22"/>
          <w:lang w:val="en-GB"/>
        </w:rPr>
        <w:sym w:font="Symbol" w:char="F03C"/>
      </w:r>
      <w:r w:rsidR="00205482" w:rsidRPr="00F30AB8">
        <w:rPr>
          <w:rFonts w:ascii="Arial" w:eastAsia="MS Mincho" w:hAnsi="Arial" w:cs="Arial"/>
          <w:sz w:val="10"/>
          <w:szCs w:val="22"/>
          <w:lang w:val="es-ES"/>
        </w:rPr>
        <w:t> </w:t>
      </w:r>
      <w:r w:rsidRPr="00095A09">
        <w:rPr>
          <w:bCs/>
          <w:lang w:val="es-ES_tradnl"/>
        </w:rPr>
        <w:t xml:space="preserve">1/100), raras </w:t>
      </w:r>
      <w:r w:rsidR="009367E3" w:rsidRPr="00F30AB8">
        <w:rPr>
          <w:szCs w:val="22"/>
          <w:lang w:val="es-ES"/>
        </w:rPr>
        <w:t>(</w:t>
      </w:r>
      <w:r w:rsidR="009367E3" w:rsidRPr="00F30AB8">
        <w:rPr>
          <w:lang w:val="es-ES"/>
        </w:rPr>
        <w:t>≥</w:t>
      </w:r>
      <w:r w:rsidR="009367E3" w:rsidRPr="00F30AB8">
        <w:rPr>
          <w:szCs w:val="22"/>
          <w:lang w:val="es-ES"/>
        </w:rPr>
        <w:t> </w:t>
      </w:r>
      <w:r w:rsidRPr="00095A09">
        <w:rPr>
          <w:bCs/>
          <w:lang w:val="es-ES_tradnl"/>
        </w:rPr>
        <w:t>1 / 10.000 a &lt;1/1.000) o muy raras (</w:t>
      </w:r>
      <w:r w:rsidR="00205482" w:rsidRPr="00F30AB8">
        <w:rPr>
          <w:rFonts w:eastAsia="MS Mincho"/>
          <w:sz w:val="10"/>
          <w:szCs w:val="22"/>
          <w:lang w:val="es-ES"/>
        </w:rPr>
        <w:t> </w:t>
      </w:r>
      <w:r w:rsidR="00205482" w:rsidRPr="00B65EA9">
        <w:rPr>
          <w:rFonts w:eastAsia="MS Mincho"/>
          <w:szCs w:val="22"/>
          <w:lang w:val="en-GB"/>
        </w:rPr>
        <w:sym w:font="Symbol" w:char="F03C"/>
      </w:r>
      <w:r w:rsidR="00205482" w:rsidRPr="00F30AB8">
        <w:rPr>
          <w:rFonts w:ascii="Arial" w:eastAsia="MS Mincho" w:hAnsi="Arial" w:cs="Arial"/>
          <w:sz w:val="10"/>
          <w:szCs w:val="22"/>
          <w:lang w:val="es-ES"/>
        </w:rPr>
        <w:t> </w:t>
      </w:r>
      <w:r w:rsidRPr="00095A09">
        <w:rPr>
          <w:bCs/>
          <w:lang w:val="es-ES_tradnl"/>
        </w:rPr>
        <w:t>1/10.000)</w:t>
      </w:r>
      <w:r w:rsidR="00413FA2">
        <w:rPr>
          <w:bCs/>
          <w:lang w:val="es-ES_tradnl"/>
        </w:rPr>
        <w:t xml:space="preserve"> y frecuencia no conocida (no pueden estimarse con los datos disponibles)</w:t>
      </w:r>
      <w:r w:rsidRPr="00095A09">
        <w:rPr>
          <w:bCs/>
          <w:lang w:val="es-ES_tradnl"/>
        </w:rPr>
        <w:t>. Dentro de cada grupo de frecuencia, las reacciones adversas se presentan en orden decreciente de gravedad.</w:t>
      </w:r>
    </w:p>
    <w:p w14:paraId="190B6CC9" w14:textId="77777777" w:rsidR="00D33DBC" w:rsidRPr="00EF6C93" w:rsidRDefault="00D33DBC" w:rsidP="00095A09">
      <w:pPr>
        <w:outlineLvl w:val="0"/>
        <w:rPr>
          <w:bCs/>
          <w:lang w:val="es-ES"/>
        </w:rPr>
      </w:pPr>
    </w:p>
    <w:p w14:paraId="5A1D33F1" w14:textId="77777777" w:rsidR="007927FC" w:rsidRPr="00F30AB8" w:rsidRDefault="007927FC" w:rsidP="007927FC">
      <w:pPr>
        <w:ind w:left="567" w:hanging="567"/>
        <w:outlineLvl w:val="0"/>
        <w:rPr>
          <w:i/>
          <w:lang w:val="es-ES"/>
        </w:rPr>
      </w:pPr>
      <w:r w:rsidRPr="00F30AB8">
        <w:rPr>
          <w:i/>
          <w:lang w:val="es-ES"/>
        </w:rPr>
        <w:t>Pacientes con AR</w:t>
      </w:r>
    </w:p>
    <w:p w14:paraId="04F3F2DD" w14:textId="77777777" w:rsidR="007927FC" w:rsidRPr="008A106B" w:rsidRDefault="007927FC" w:rsidP="007927FC">
      <w:pPr>
        <w:rPr>
          <w:lang w:val="es-ES"/>
        </w:rPr>
      </w:pPr>
    </w:p>
    <w:p w14:paraId="1DB8B505" w14:textId="6BECFC3C" w:rsidR="007927FC" w:rsidRPr="008A106B" w:rsidRDefault="00B70452" w:rsidP="003569D6">
      <w:pPr>
        <w:keepNext/>
        <w:keepLines/>
        <w:rPr>
          <w:bCs/>
          <w:i/>
          <w:lang w:val="es-ES_tradnl"/>
        </w:rPr>
      </w:pPr>
      <w:r>
        <w:rPr>
          <w:bCs/>
          <w:i/>
          <w:lang w:val="es-ES_tradnl"/>
        </w:rPr>
        <w:lastRenderedPageBreak/>
        <w:t>Tabla 1. Lista</w:t>
      </w:r>
      <w:r w:rsidR="007927FC" w:rsidRPr="008A106B">
        <w:rPr>
          <w:bCs/>
          <w:i/>
          <w:lang w:val="es-ES_tradnl"/>
        </w:rPr>
        <w:t xml:space="preserve"> de las</w:t>
      </w:r>
      <w:r w:rsidR="00413FA2">
        <w:rPr>
          <w:bCs/>
          <w:i/>
          <w:lang w:val="es-ES_tradnl"/>
        </w:rPr>
        <w:t xml:space="preserve"> reacciones adversas</w:t>
      </w:r>
      <w:r w:rsidR="007927FC" w:rsidRPr="008A106B">
        <w:rPr>
          <w:bCs/>
          <w:i/>
          <w:lang w:val="es-ES_tradnl"/>
        </w:rPr>
        <w:t xml:space="preserve"> que se producen en pacientes con artritis reumatoide que reciben tratamiento con tocilizumab como monoterapia o en combinación con MTX u otros FAMEs en el periodo controlado doble ciego</w:t>
      </w:r>
      <w:r w:rsidR="00857FE4">
        <w:rPr>
          <w:bCs/>
          <w:i/>
          <w:lang w:val="es-ES_tradnl"/>
        </w:rPr>
        <w:t xml:space="preserve"> o durante la experiencia poscomercialización</w:t>
      </w:r>
    </w:p>
    <w:p w14:paraId="52054526" w14:textId="77777777" w:rsidR="007927FC" w:rsidRPr="008A106B" w:rsidRDefault="007927FC" w:rsidP="007927FC">
      <w:pPr>
        <w:keepNext/>
        <w:keepLines/>
        <w:rPr>
          <w:i/>
          <w:lang w:val="es-ES"/>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1848"/>
        <w:gridCol w:w="1985"/>
        <w:gridCol w:w="1701"/>
        <w:gridCol w:w="1701"/>
        <w:gridCol w:w="1593"/>
      </w:tblGrid>
      <w:tr w:rsidR="00413FA2" w:rsidRPr="00541248" w14:paraId="050556B1" w14:textId="77777777" w:rsidTr="00CF1766">
        <w:trPr>
          <w:cantSplit/>
          <w:tblHeader/>
        </w:trPr>
        <w:tc>
          <w:tcPr>
            <w:tcW w:w="1804" w:type="dxa"/>
            <w:vMerge w:val="restart"/>
          </w:tcPr>
          <w:p w14:paraId="2F3AB5D2" w14:textId="67F3CC56" w:rsidR="00413FA2" w:rsidRPr="005A5612" w:rsidRDefault="00952815" w:rsidP="009307CF">
            <w:pPr>
              <w:keepNext/>
              <w:keepLines/>
              <w:jc w:val="center"/>
              <w:rPr>
                <w:b/>
                <w:bCs/>
                <w:lang w:val="es-ES_tradnl"/>
              </w:rPr>
            </w:pPr>
            <w:r>
              <w:rPr>
                <w:b/>
                <w:bCs/>
                <w:lang w:val="es-ES_tradnl"/>
              </w:rPr>
              <w:t>C</w:t>
            </w:r>
            <w:r w:rsidR="00413FA2" w:rsidRPr="005A5612">
              <w:rPr>
                <w:b/>
                <w:bCs/>
                <w:lang w:val="es-ES_tradnl"/>
              </w:rPr>
              <w:t xml:space="preserve">lasificación </w:t>
            </w:r>
            <w:r>
              <w:rPr>
                <w:b/>
                <w:bCs/>
                <w:lang w:val="es-ES_tradnl"/>
              </w:rPr>
              <w:t>por</w:t>
            </w:r>
            <w:r w:rsidRPr="005A5612">
              <w:rPr>
                <w:b/>
                <w:bCs/>
                <w:lang w:val="es-ES_tradnl"/>
              </w:rPr>
              <w:t xml:space="preserve"> </w:t>
            </w:r>
            <w:r w:rsidR="00413FA2" w:rsidRPr="005A5612">
              <w:rPr>
                <w:b/>
                <w:bCs/>
                <w:lang w:val="es-ES_tradnl"/>
              </w:rPr>
              <w:t>órganos</w:t>
            </w:r>
            <w:r>
              <w:rPr>
                <w:b/>
                <w:bCs/>
                <w:lang w:val="es-ES_tradnl"/>
              </w:rPr>
              <w:t xml:space="preserve"> y sistemas de</w:t>
            </w:r>
            <w:r w:rsidR="00413FA2" w:rsidRPr="005A5612">
              <w:rPr>
                <w:b/>
                <w:bCs/>
                <w:lang w:val="es-ES_tradnl"/>
              </w:rPr>
              <w:t xml:space="preserve"> </w:t>
            </w:r>
            <w:r w:rsidR="00413FA2">
              <w:rPr>
                <w:b/>
                <w:bCs/>
                <w:lang w:val="es-ES"/>
              </w:rPr>
              <w:t>MedDRA</w:t>
            </w:r>
            <w:r w:rsidR="00252E17">
              <w:rPr>
                <w:b/>
                <w:bCs/>
                <w:lang w:val="es-ES"/>
              </w:rPr>
              <w:t xml:space="preserve"> (SOC)</w:t>
            </w:r>
          </w:p>
        </w:tc>
        <w:tc>
          <w:tcPr>
            <w:tcW w:w="8828" w:type="dxa"/>
            <w:gridSpan w:val="5"/>
          </w:tcPr>
          <w:p w14:paraId="7A5E0C28" w14:textId="2E172558" w:rsidR="00413FA2" w:rsidRDefault="00413FA2" w:rsidP="00FC7454">
            <w:pPr>
              <w:keepNext/>
              <w:keepLines/>
              <w:jc w:val="center"/>
              <w:rPr>
                <w:b/>
                <w:bCs/>
                <w:lang w:val="es-ES_tradnl"/>
              </w:rPr>
            </w:pPr>
            <w:r>
              <w:rPr>
                <w:b/>
                <w:bCs/>
                <w:lang w:val="es-ES_tradnl"/>
              </w:rPr>
              <w:t>Categor</w:t>
            </w:r>
            <w:ins w:id="142" w:author="AUTHOR">
              <w:r w:rsidR="009E094B">
                <w:rPr>
                  <w:b/>
                  <w:bCs/>
                  <w:lang w:val="es-ES_tradnl"/>
                </w:rPr>
                <w:t>í</w:t>
              </w:r>
            </w:ins>
            <w:del w:id="143" w:author="AUTHOR">
              <w:r w:rsidDel="009E094B">
                <w:rPr>
                  <w:b/>
                  <w:bCs/>
                  <w:lang w:val="es-ES_tradnl"/>
                </w:rPr>
                <w:delText>i</w:delText>
              </w:r>
            </w:del>
            <w:r>
              <w:rPr>
                <w:b/>
                <w:bCs/>
                <w:lang w:val="es-ES_tradnl"/>
              </w:rPr>
              <w:t>a de frecuencia con términos preferidos</w:t>
            </w:r>
          </w:p>
        </w:tc>
      </w:tr>
      <w:tr w:rsidR="00413FA2" w:rsidRPr="005A5612" w14:paraId="346981E7" w14:textId="77777777" w:rsidTr="00F30AB8">
        <w:trPr>
          <w:cantSplit/>
          <w:trHeight w:val="687"/>
          <w:tblHeader/>
        </w:trPr>
        <w:tc>
          <w:tcPr>
            <w:tcW w:w="1804" w:type="dxa"/>
            <w:vMerge/>
          </w:tcPr>
          <w:p w14:paraId="38DB7707" w14:textId="77777777" w:rsidR="00413FA2" w:rsidRPr="001A2675" w:rsidRDefault="00413FA2" w:rsidP="00FC7454">
            <w:pPr>
              <w:keepNext/>
              <w:keepLines/>
              <w:jc w:val="center"/>
              <w:rPr>
                <w:b/>
                <w:bCs/>
                <w:lang w:val="es-ES"/>
              </w:rPr>
            </w:pPr>
          </w:p>
        </w:tc>
        <w:tc>
          <w:tcPr>
            <w:tcW w:w="1848" w:type="dxa"/>
          </w:tcPr>
          <w:p w14:paraId="56722042" w14:textId="77777777" w:rsidR="00413FA2" w:rsidRPr="005A5612" w:rsidRDefault="00413FA2" w:rsidP="00FC7454">
            <w:pPr>
              <w:keepNext/>
              <w:keepLines/>
              <w:jc w:val="center"/>
              <w:rPr>
                <w:b/>
                <w:bCs/>
                <w:lang w:val="en-GB"/>
              </w:rPr>
            </w:pPr>
            <w:r w:rsidRPr="005A5612">
              <w:rPr>
                <w:b/>
                <w:bCs/>
                <w:lang w:val="es-ES_tradnl"/>
              </w:rPr>
              <w:t>Muy frecuentes</w:t>
            </w:r>
          </w:p>
          <w:p w14:paraId="734C6036" w14:textId="77777777" w:rsidR="00413FA2" w:rsidRPr="005A5612" w:rsidRDefault="00413FA2" w:rsidP="00FC7454">
            <w:pPr>
              <w:keepNext/>
              <w:keepLines/>
              <w:jc w:val="center"/>
              <w:rPr>
                <w:b/>
                <w:lang w:val="en-GB"/>
              </w:rPr>
            </w:pPr>
          </w:p>
        </w:tc>
        <w:tc>
          <w:tcPr>
            <w:tcW w:w="1985" w:type="dxa"/>
          </w:tcPr>
          <w:p w14:paraId="5413E875" w14:textId="77777777" w:rsidR="00413FA2" w:rsidRPr="005A5612" w:rsidRDefault="00413FA2" w:rsidP="00FC7454">
            <w:pPr>
              <w:keepNext/>
              <w:keepLines/>
              <w:jc w:val="center"/>
              <w:rPr>
                <w:b/>
                <w:bCs/>
                <w:lang w:val="en-GB"/>
              </w:rPr>
            </w:pPr>
            <w:r w:rsidRPr="005A5612">
              <w:rPr>
                <w:b/>
                <w:bCs/>
                <w:lang w:val="es-ES_tradnl"/>
              </w:rPr>
              <w:t>Frecuentes</w:t>
            </w:r>
          </w:p>
          <w:p w14:paraId="1AC9BFA0" w14:textId="77777777" w:rsidR="00413FA2" w:rsidRPr="005A5612" w:rsidRDefault="00413FA2" w:rsidP="00FC7454">
            <w:pPr>
              <w:keepNext/>
              <w:keepLines/>
              <w:jc w:val="center"/>
            </w:pPr>
          </w:p>
        </w:tc>
        <w:tc>
          <w:tcPr>
            <w:tcW w:w="1701" w:type="dxa"/>
          </w:tcPr>
          <w:p w14:paraId="48C91EE9" w14:textId="77777777" w:rsidR="00413FA2" w:rsidRPr="005A5612" w:rsidRDefault="00413FA2" w:rsidP="00FC7454">
            <w:pPr>
              <w:keepNext/>
              <w:keepLines/>
              <w:jc w:val="center"/>
              <w:rPr>
                <w:b/>
                <w:bCs/>
                <w:lang w:val="en-GB"/>
              </w:rPr>
            </w:pPr>
            <w:r w:rsidRPr="005A5612">
              <w:rPr>
                <w:b/>
                <w:bCs/>
                <w:lang w:val="es-ES_tradnl"/>
              </w:rPr>
              <w:t>Poco frecuentes</w:t>
            </w:r>
          </w:p>
          <w:p w14:paraId="66B3BCEA" w14:textId="77777777" w:rsidR="00413FA2" w:rsidRPr="005A5612" w:rsidRDefault="00413FA2" w:rsidP="00FC7454">
            <w:pPr>
              <w:keepNext/>
              <w:keepLines/>
              <w:jc w:val="center"/>
            </w:pPr>
          </w:p>
        </w:tc>
        <w:tc>
          <w:tcPr>
            <w:tcW w:w="1701" w:type="dxa"/>
          </w:tcPr>
          <w:p w14:paraId="186348E8" w14:textId="77777777" w:rsidR="00413FA2" w:rsidRPr="005A5612" w:rsidRDefault="00413FA2" w:rsidP="00FC7454">
            <w:pPr>
              <w:keepNext/>
              <w:keepLines/>
              <w:jc w:val="center"/>
              <w:rPr>
                <w:b/>
                <w:bCs/>
                <w:lang w:val="es-ES_tradnl"/>
              </w:rPr>
            </w:pPr>
            <w:r>
              <w:rPr>
                <w:b/>
                <w:bCs/>
                <w:lang w:val="es-ES_tradnl"/>
              </w:rPr>
              <w:t>Raros</w:t>
            </w:r>
          </w:p>
        </w:tc>
        <w:tc>
          <w:tcPr>
            <w:tcW w:w="1593" w:type="dxa"/>
          </w:tcPr>
          <w:p w14:paraId="33F0B556" w14:textId="77777777" w:rsidR="00413FA2" w:rsidRDefault="00413FA2" w:rsidP="00FC7454">
            <w:pPr>
              <w:keepNext/>
              <w:keepLines/>
              <w:jc w:val="center"/>
              <w:rPr>
                <w:b/>
                <w:bCs/>
                <w:lang w:val="es-ES_tradnl"/>
              </w:rPr>
            </w:pPr>
            <w:r>
              <w:rPr>
                <w:b/>
                <w:bCs/>
                <w:lang w:val="es-ES_tradnl"/>
              </w:rPr>
              <w:t>Muy raras</w:t>
            </w:r>
          </w:p>
        </w:tc>
      </w:tr>
      <w:tr w:rsidR="00413FA2" w:rsidRPr="005A5612" w14:paraId="10225315" w14:textId="77777777" w:rsidTr="00F30AB8">
        <w:trPr>
          <w:cantSplit/>
        </w:trPr>
        <w:tc>
          <w:tcPr>
            <w:tcW w:w="1804" w:type="dxa"/>
          </w:tcPr>
          <w:p w14:paraId="4EA956B4" w14:textId="77777777" w:rsidR="00413FA2" w:rsidRPr="005A5612" w:rsidRDefault="00413FA2" w:rsidP="00FC7454">
            <w:pPr>
              <w:keepNext/>
              <w:keepLines/>
            </w:pPr>
            <w:r w:rsidRPr="005A5612">
              <w:rPr>
                <w:lang w:val="es-ES_tradnl"/>
              </w:rPr>
              <w:t>Infecciones e infestaciones</w:t>
            </w:r>
          </w:p>
        </w:tc>
        <w:tc>
          <w:tcPr>
            <w:tcW w:w="1848" w:type="dxa"/>
          </w:tcPr>
          <w:p w14:paraId="517024C9" w14:textId="77777777" w:rsidR="00413FA2" w:rsidRPr="005A5612" w:rsidRDefault="00413FA2" w:rsidP="00FC7454">
            <w:pPr>
              <w:keepNext/>
              <w:keepLines/>
              <w:rPr>
                <w:lang w:val="es-ES"/>
              </w:rPr>
            </w:pPr>
            <w:r w:rsidRPr="005A5612">
              <w:rPr>
                <w:lang w:val="es-ES_tradnl"/>
              </w:rPr>
              <w:t>Infección de las vías respiratorias superiores</w:t>
            </w:r>
          </w:p>
        </w:tc>
        <w:tc>
          <w:tcPr>
            <w:tcW w:w="1985" w:type="dxa"/>
          </w:tcPr>
          <w:p w14:paraId="5640145A" w14:textId="77777777" w:rsidR="00413FA2" w:rsidRPr="005A5612" w:rsidRDefault="00413FA2" w:rsidP="00FC7454">
            <w:pPr>
              <w:keepNext/>
              <w:keepLines/>
            </w:pPr>
            <w:r w:rsidRPr="005A5612">
              <w:rPr>
                <w:lang w:val="es-ES_tradnl"/>
              </w:rPr>
              <w:t>Celulitis, Neumonía, Herpes simple oral, Herpes zoster</w:t>
            </w:r>
          </w:p>
        </w:tc>
        <w:tc>
          <w:tcPr>
            <w:tcW w:w="1701" w:type="dxa"/>
          </w:tcPr>
          <w:p w14:paraId="735998A9" w14:textId="77777777" w:rsidR="00413FA2" w:rsidRPr="005A5612" w:rsidRDefault="00413FA2" w:rsidP="00FC7454">
            <w:pPr>
              <w:keepNext/>
              <w:keepLines/>
            </w:pPr>
            <w:r w:rsidRPr="005A5612">
              <w:rPr>
                <w:lang w:val="es-ES_tradnl"/>
              </w:rPr>
              <w:t>Diverticulitis</w:t>
            </w:r>
          </w:p>
        </w:tc>
        <w:tc>
          <w:tcPr>
            <w:tcW w:w="1701" w:type="dxa"/>
          </w:tcPr>
          <w:p w14:paraId="4F426EAD" w14:textId="77777777" w:rsidR="00413FA2" w:rsidRPr="005A5612" w:rsidRDefault="00413FA2" w:rsidP="00FC7454">
            <w:pPr>
              <w:keepNext/>
              <w:keepLines/>
              <w:rPr>
                <w:lang w:val="es-ES_tradnl"/>
              </w:rPr>
            </w:pPr>
          </w:p>
        </w:tc>
        <w:tc>
          <w:tcPr>
            <w:tcW w:w="1593" w:type="dxa"/>
          </w:tcPr>
          <w:p w14:paraId="429CB040" w14:textId="77777777" w:rsidR="00413FA2" w:rsidRPr="005A5612" w:rsidRDefault="00413FA2" w:rsidP="00FC7454">
            <w:pPr>
              <w:keepNext/>
              <w:keepLines/>
              <w:rPr>
                <w:lang w:val="es-ES_tradnl"/>
              </w:rPr>
            </w:pPr>
          </w:p>
        </w:tc>
      </w:tr>
      <w:tr w:rsidR="00413FA2" w:rsidRPr="005A5612" w14:paraId="2EC4ECD3" w14:textId="77777777" w:rsidTr="00F30AB8">
        <w:trPr>
          <w:cantSplit/>
        </w:trPr>
        <w:tc>
          <w:tcPr>
            <w:tcW w:w="1804" w:type="dxa"/>
          </w:tcPr>
          <w:p w14:paraId="0FD9F937" w14:textId="77777777" w:rsidR="00413FA2" w:rsidRPr="005A5612" w:rsidRDefault="00413FA2" w:rsidP="00FC7454">
            <w:pPr>
              <w:keepNext/>
              <w:keepLines/>
              <w:rPr>
                <w:lang w:val="es-ES"/>
              </w:rPr>
            </w:pPr>
            <w:r w:rsidRPr="005A5612">
              <w:rPr>
                <w:lang w:val="es-ES_tradnl"/>
              </w:rPr>
              <w:t>Trastornos de la sangre y el sistema linfático</w:t>
            </w:r>
          </w:p>
        </w:tc>
        <w:tc>
          <w:tcPr>
            <w:tcW w:w="1848" w:type="dxa"/>
          </w:tcPr>
          <w:p w14:paraId="383A6961" w14:textId="77777777" w:rsidR="00413FA2" w:rsidRPr="005A5612" w:rsidRDefault="00413FA2" w:rsidP="00FC7454">
            <w:pPr>
              <w:keepNext/>
              <w:keepLines/>
              <w:rPr>
                <w:lang w:val="es-ES"/>
              </w:rPr>
            </w:pPr>
          </w:p>
        </w:tc>
        <w:tc>
          <w:tcPr>
            <w:tcW w:w="1985" w:type="dxa"/>
          </w:tcPr>
          <w:p w14:paraId="33E98322" w14:textId="77777777" w:rsidR="00413FA2" w:rsidRPr="005A5612" w:rsidRDefault="00413FA2" w:rsidP="00FC7454">
            <w:pPr>
              <w:keepNext/>
              <w:keepLines/>
              <w:rPr>
                <w:lang w:val="en-GB"/>
              </w:rPr>
            </w:pPr>
            <w:r w:rsidRPr="005A5612">
              <w:rPr>
                <w:lang w:val="es-ES_tradnl"/>
              </w:rPr>
              <w:t>Leucopenia, Neutropenia</w:t>
            </w:r>
            <w:r>
              <w:rPr>
                <w:lang w:val="es-ES_tradnl"/>
              </w:rPr>
              <w:t>, H</w:t>
            </w:r>
            <w:r w:rsidRPr="00A50280">
              <w:rPr>
                <w:lang w:val="es-ES_tradnl"/>
              </w:rPr>
              <w:t>ipofibrinogenemia</w:t>
            </w:r>
          </w:p>
        </w:tc>
        <w:tc>
          <w:tcPr>
            <w:tcW w:w="1701" w:type="dxa"/>
          </w:tcPr>
          <w:p w14:paraId="2058817A" w14:textId="77777777" w:rsidR="00413FA2" w:rsidRPr="005A5612" w:rsidRDefault="00413FA2" w:rsidP="00FC7454">
            <w:pPr>
              <w:keepNext/>
              <w:keepLines/>
              <w:rPr>
                <w:lang w:val="en-GB"/>
              </w:rPr>
            </w:pPr>
          </w:p>
        </w:tc>
        <w:tc>
          <w:tcPr>
            <w:tcW w:w="1701" w:type="dxa"/>
          </w:tcPr>
          <w:p w14:paraId="7E6BDBCA" w14:textId="77777777" w:rsidR="00413FA2" w:rsidRPr="005A5612" w:rsidRDefault="00413FA2" w:rsidP="00FC7454">
            <w:pPr>
              <w:keepNext/>
              <w:keepLines/>
              <w:rPr>
                <w:lang w:val="en-GB"/>
              </w:rPr>
            </w:pPr>
          </w:p>
        </w:tc>
        <w:tc>
          <w:tcPr>
            <w:tcW w:w="1593" w:type="dxa"/>
          </w:tcPr>
          <w:p w14:paraId="0ADBD69D" w14:textId="77777777" w:rsidR="00413FA2" w:rsidRPr="005A5612" w:rsidRDefault="00413FA2" w:rsidP="00FC7454">
            <w:pPr>
              <w:keepNext/>
              <w:keepLines/>
              <w:rPr>
                <w:lang w:val="en-GB"/>
              </w:rPr>
            </w:pPr>
          </w:p>
        </w:tc>
      </w:tr>
      <w:tr w:rsidR="00413FA2" w:rsidRPr="005A5612" w14:paraId="77BB9D25" w14:textId="77777777" w:rsidTr="00F30AB8">
        <w:trPr>
          <w:cantSplit/>
        </w:trPr>
        <w:tc>
          <w:tcPr>
            <w:tcW w:w="1804" w:type="dxa"/>
          </w:tcPr>
          <w:p w14:paraId="53BE1F70" w14:textId="77777777" w:rsidR="00413FA2" w:rsidRPr="005A5612" w:rsidRDefault="00413FA2" w:rsidP="00FC7454">
            <w:pPr>
              <w:keepNext/>
              <w:keepLines/>
              <w:rPr>
                <w:lang w:val="es-ES_tradnl"/>
              </w:rPr>
            </w:pPr>
            <w:r>
              <w:rPr>
                <w:lang w:val="es-ES_tradnl"/>
              </w:rPr>
              <w:t>Trastornos del sistema inmunológico</w:t>
            </w:r>
          </w:p>
        </w:tc>
        <w:tc>
          <w:tcPr>
            <w:tcW w:w="1848" w:type="dxa"/>
          </w:tcPr>
          <w:p w14:paraId="3FC8DBC9" w14:textId="77777777" w:rsidR="00413FA2" w:rsidRPr="005A5612" w:rsidRDefault="00413FA2" w:rsidP="00FC7454">
            <w:pPr>
              <w:keepNext/>
              <w:keepLines/>
              <w:rPr>
                <w:lang w:val="es-ES"/>
              </w:rPr>
            </w:pPr>
          </w:p>
        </w:tc>
        <w:tc>
          <w:tcPr>
            <w:tcW w:w="1985" w:type="dxa"/>
          </w:tcPr>
          <w:p w14:paraId="17A48E88" w14:textId="77777777" w:rsidR="00413FA2" w:rsidRPr="005A5612" w:rsidRDefault="00413FA2" w:rsidP="00FC7454">
            <w:pPr>
              <w:keepNext/>
              <w:keepLines/>
              <w:rPr>
                <w:lang w:val="es-ES_tradnl"/>
              </w:rPr>
            </w:pPr>
          </w:p>
        </w:tc>
        <w:tc>
          <w:tcPr>
            <w:tcW w:w="1701" w:type="dxa"/>
          </w:tcPr>
          <w:p w14:paraId="1EFCA916" w14:textId="77777777" w:rsidR="00413FA2" w:rsidRPr="005A5612" w:rsidRDefault="00413FA2" w:rsidP="00FC7454">
            <w:pPr>
              <w:keepNext/>
              <w:keepLines/>
              <w:rPr>
                <w:lang w:val="en-GB"/>
              </w:rPr>
            </w:pPr>
          </w:p>
        </w:tc>
        <w:tc>
          <w:tcPr>
            <w:tcW w:w="1701" w:type="dxa"/>
          </w:tcPr>
          <w:p w14:paraId="5DEF74E0" w14:textId="77777777" w:rsidR="00413FA2" w:rsidRPr="00E576A0" w:rsidRDefault="00413FA2" w:rsidP="00FC7454">
            <w:pPr>
              <w:keepNext/>
              <w:keepLines/>
              <w:rPr>
                <w:rFonts w:ascii="PMingLiU" w:hAnsi="PMingLiU"/>
                <w:vertAlign w:val="superscript"/>
                <w:lang w:val="en-GB"/>
              </w:rPr>
            </w:pPr>
            <w:r>
              <w:rPr>
                <w:lang w:val="en-GB"/>
              </w:rPr>
              <w:t>Anafilaxia (mortal)</w:t>
            </w:r>
            <w:r>
              <w:rPr>
                <w:rFonts w:ascii="PMingLiU" w:hAnsi="PMingLiU"/>
                <w:vertAlign w:val="superscript"/>
                <w:lang w:val="en-GB"/>
              </w:rPr>
              <w:t>1,2,3</w:t>
            </w:r>
          </w:p>
        </w:tc>
        <w:tc>
          <w:tcPr>
            <w:tcW w:w="1593" w:type="dxa"/>
          </w:tcPr>
          <w:p w14:paraId="4663A4F1" w14:textId="77777777" w:rsidR="00413FA2" w:rsidRDefault="00413FA2" w:rsidP="00FC7454">
            <w:pPr>
              <w:keepNext/>
              <w:keepLines/>
              <w:rPr>
                <w:lang w:val="en-GB"/>
              </w:rPr>
            </w:pPr>
          </w:p>
        </w:tc>
      </w:tr>
      <w:tr w:rsidR="00413FA2" w:rsidRPr="005A5612" w14:paraId="0EE0A9AA" w14:textId="77777777" w:rsidTr="00F30AB8">
        <w:trPr>
          <w:cantSplit/>
        </w:trPr>
        <w:tc>
          <w:tcPr>
            <w:tcW w:w="1804" w:type="dxa"/>
          </w:tcPr>
          <w:p w14:paraId="73888E59" w14:textId="77777777" w:rsidR="00413FA2" w:rsidRDefault="00413FA2" w:rsidP="009429A2">
            <w:pPr>
              <w:keepNext/>
              <w:keepLines/>
              <w:rPr>
                <w:lang w:val="es-ES_tradnl"/>
              </w:rPr>
            </w:pPr>
            <w:r w:rsidRPr="005A5612">
              <w:rPr>
                <w:lang w:val="es-ES_tradnl"/>
              </w:rPr>
              <w:t>Trastornos endocrinos</w:t>
            </w:r>
          </w:p>
        </w:tc>
        <w:tc>
          <w:tcPr>
            <w:tcW w:w="1848" w:type="dxa"/>
          </w:tcPr>
          <w:p w14:paraId="58C9DA8D" w14:textId="77777777" w:rsidR="00413FA2" w:rsidRPr="005A5612" w:rsidRDefault="00413FA2" w:rsidP="009429A2">
            <w:pPr>
              <w:keepNext/>
              <w:keepLines/>
              <w:rPr>
                <w:lang w:val="es-ES"/>
              </w:rPr>
            </w:pPr>
          </w:p>
        </w:tc>
        <w:tc>
          <w:tcPr>
            <w:tcW w:w="1985" w:type="dxa"/>
          </w:tcPr>
          <w:p w14:paraId="52D2348E" w14:textId="77777777" w:rsidR="00413FA2" w:rsidRPr="005A5612" w:rsidRDefault="00413FA2" w:rsidP="009429A2">
            <w:pPr>
              <w:keepNext/>
              <w:keepLines/>
              <w:rPr>
                <w:lang w:val="es-ES_tradnl"/>
              </w:rPr>
            </w:pPr>
          </w:p>
        </w:tc>
        <w:tc>
          <w:tcPr>
            <w:tcW w:w="1701" w:type="dxa"/>
          </w:tcPr>
          <w:p w14:paraId="6537038D" w14:textId="77777777" w:rsidR="00413FA2" w:rsidRPr="005A5612" w:rsidRDefault="00413FA2" w:rsidP="009429A2">
            <w:pPr>
              <w:keepNext/>
              <w:keepLines/>
              <w:rPr>
                <w:lang w:val="en-GB"/>
              </w:rPr>
            </w:pPr>
            <w:r w:rsidRPr="005A5612">
              <w:rPr>
                <w:lang w:val="es-ES"/>
              </w:rPr>
              <w:t>Hipotiroidismo</w:t>
            </w:r>
          </w:p>
        </w:tc>
        <w:tc>
          <w:tcPr>
            <w:tcW w:w="1701" w:type="dxa"/>
          </w:tcPr>
          <w:p w14:paraId="0A901B82" w14:textId="77777777" w:rsidR="00413FA2" w:rsidRDefault="00413FA2" w:rsidP="009429A2">
            <w:pPr>
              <w:keepNext/>
              <w:keepLines/>
              <w:rPr>
                <w:lang w:val="en-GB"/>
              </w:rPr>
            </w:pPr>
          </w:p>
        </w:tc>
        <w:tc>
          <w:tcPr>
            <w:tcW w:w="1593" w:type="dxa"/>
          </w:tcPr>
          <w:p w14:paraId="557BF130" w14:textId="77777777" w:rsidR="00413FA2" w:rsidRDefault="00413FA2" w:rsidP="009429A2">
            <w:pPr>
              <w:keepNext/>
              <w:keepLines/>
              <w:rPr>
                <w:lang w:val="en-GB"/>
              </w:rPr>
            </w:pPr>
          </w:p>
        </w:tc>
      </w:tr>
      <w:tr w:rsidR="00413FA2" w:rsidRPr="005A5612" w14:paraId="58589426" w14:textId="77777777" w:rsidTr="00F30AB8">
        <w:trPr>
          <w:cantSplit/>
        </w:trPr>
        <w:tc>
          <w:tcPr>
            <w:tcW w:w="1804" w:type="dxa"/>
          </w:tcPr>
          <w:p w14:paraId="5BD98F76" w14:textId="77777777" w:rsidR="00413FA2" w:rsidRPr="005A5612" w:rsidRDefault="00413FA2" w:rsidP="00FC7454">
            <w:pPr>
              <w:keepNext/>
              <w:keepLines/>
              <w:rPr>
                <w:lang w:val="es-ES"/>
              </w:rPr>
            </w:pPr>
            <w:r w:rsidRPr="005A5612">
              <w:rPr>
                <w:lang w:val="es-ES_tradnl"/>
              </w:rPr>
              <w:t>Trastornos del metabolismo y la nutrición</w:t>
            </w:r>
          </w:p>
        </w:tc>
        <w:tc>
          <w:tcPr>
            <w:tcW w:w="1848" w:type="dxa"/>
          </w:tcPr>
          <w:p w14:paraId="44617E41" w14:textId="77777777" w:rsidR="00413FA2" w:rsidRPr="005A5612" w:rsidRDefault="00413FA2" w:rsidP="00FC7454">
            <w:pPr>
              <w:keepNext/>
              <w:keepLines/>
              <w:rPr>
                <w:lang w:val="es-ES"/>
              </w:rPr>
            </w:pPr>
            <w:r w:rsidRPr="005A5612">
              <w:rPr>
                <w:lang w:val="es-ES_tradnl"/>
              </w:rPr>
              <w:t>Hipercolesterolemia*</w:t>
            </w:r>
          </w:p>
        </w:tc>
        <w:tc>
          <w:tcPr>
            <w:tcW w:w="1985" w:type="dxa"/>
          </w:tcPr>
          <w:p w14:paraId="6B355C07" w14:textId="77777777" w:rsidR="00413FA2" w:rsidRPr="005A5612" w:rsidRDefault="00413FA2" w:rsidP="00FC7454">
            <w:pPr>
              <w:keepNext/>
              <w:keepLines/>
            </w:pPr>
          </w:p>
        </w:tc>
        <w:tc>
          <w:tcPr>
            <w:tcW w:w="1701" w:type="dxa"/>
          </w:tcPr>
          <w:p w14:paraId="79185F44" w14:textId="77777777" w:rsidR="00413FA2" w:rsidRPr="005A5612" w:rsidRDefault="00413FA2" w:rsidP="00FC7454">
            <w:pPr>
              <w:keepNext/>
              <w:keepLines/>
            </w:pPr>
            <w:r w:rsidRPr="005A5612">
              <w:rPr>
                <w:lang w:val="es-ES_tradnl"/>
              </w:rPr>
              <w:t>Hipertrigliceridemia</w:t>
            </w:r>
          </w:p>
        </w:tc>
        <w:tc>
          <w:tcPr>
            <w:tcW w:w="1701" w:type="dxa"/>
          </w:tcPr>
          <w:p w14:paraId="370BB51B" w14:textId="77777777" w:rsidR="00413FA2" w:rsidRPr="005A5612" w:rsidRDefault="00413FA2" w:rsidP="00FC7454">
            <w:pPr>
              <w:keepNext/>
              <w:keepLines/>
              <w:rPr>
                <w:lang w:val="es-ES_tradnl"/>
              </w:rPr>
            </w:pPr>
          </w:p>
        </w:tc>
        <w:tc>
          <w:tcPr>
            <w:tcW w:w="1593" w:type="dxa"/>
          </w:tcPr>
          <w:p w14:paraId="572F9AF5" w14:textId="77777777" w:rsidR="00413FA2" w:rsidRPr="005A5612" w:rsidRDefault="00413FA2" w:rsidP="00FC7454">
            <w:pPr>
              <w:keepNext/>
              <w:keepLines/>
              <w:rPr>
                <w:lang w:val="es-ES_tradnl"/>
              </w:rPr>
            </w:pPr>
          </w:p>
        </w:tc>
      </w:tr>
      <w:tr w:rsidR="00413FA2" w:rsidRPr="005A5612" w14:paraId="28B89A5D" w14:textId="77777777" w:rsidTr="00F30AB8">
        <w:trPr>
          <w:cantSplit/>
        </w:trPr>
        <w:tc>
          <w:tcPr>
            <w:tcW w:w="1804" w:type="dxa"/>
          </w:tcPr>
          <w:p w14:paraId="59386C44" w14:textId="77777777" w:rsidR="00413FA2" w:rsidRPr="005A5612" w:rsidRDefault="00413FA2" w:rsidP="009429A2">
            <w:pPr>
              <w:keepNext/>
              <w:keepLines/>
              <w:rPr>
                <w:lang w:val="es-ES_tradnl"/>
              </w:rPr>
            </w:pPr>
            <w:r w:rsidRPr="005A5612">
              <w:rPr>
                <w:lang w:val="es-ES_tradnl"/>
              </w:rPr>
              <w:t>Trastornos del sistema nervioso</w:t>
            </w:r>
          </w:p>
        </w:tc>
        <w:tc>
          <w:tcPr>
            <w:tcW w:w="1848" w:type="dxa"/>
          </w:tcPr>
          <w:p w14:paraId="649E4D35" w14:textId="77777777" w:rsidR="00413FA2" w:rsidRPr="005A5612" w:rsidRDefault="00413FA2" w:rsidP="009429A2">
            <w:pPr>
              <w:keepNext/>
              <w:keepLines/>
              <w:rPr>
                <w:lang w:val="es-ES_tradnl"/>
              </w:rPr>
            </w:pPr>
          </w:p>
        </w:tc>
        <w:tc>
          <w:tcPr>
            <w:tcW w:w="1985" w:type="dxa"/>
          </w:tcPr>
          <w:p w14:paraId="2804E8A9" w14:textId="77777777" w:rsidR="00413FA2" w:rsidRPr="005A5612" w:rsidRDefault="00413FA2" w:rsidP="009429A2">
            <w:pPr>
              <w:keepNext/>
              <w:keepLines/>
            </w:pPr>
            <w:r w:rsidRPr="005A5612">
              <w:rPr>
                <w:lang w:val="es-ES_tradnl"/>
              </w:rPr>
              <w:t>Cefalea, Mareos</w:t>
            </w:r>
          </w:p>
        </w:tc>
        <w:tc>
          <w:tcPr>
            <w:tcW w:w="1701" w:type="dxa"/>
          </w:tcPr>
          <w:p w14:paraId="5F5E5F47" w14:textId="77777777" w:rsidR="00413FA2" w:rsidRPr="005A5612" w:rsidRDefault="00413FA2" w:rsidP="009429A2">
            <w:pPr>
              <w:keepNext/>
              <w:keepLines/>
              <w:rPr>
                <w:lang w:val="es-ES_tradnl"/>
              </w:rPr>
            </w:pPr>
          </w:p>
        </w:tc>
        <w:tc>
          <w:tcPr>
            <w:tcW w:w="1701" w:type="dxa"/>
          </w:tcPr>
          <w:p w14:paraId="427A165D" w14:textId="77777777" w:rsidR="00413FA2" w:rsidRPr="005A5612" w:rsidRDefault="00413FA2" w:rsidP="009429A2">
            <w:pPr>
              <w:keepNext/>
              <w:keepLines/>
              <w:rPr>
                <w:lang w:val="es-ES_tradnl"/>
              </w:rPr>
            </w:pPr>
          </w:p>
        </w:tc>
        <w:tc>
          <w:tcPr>
            <w:tcW w:w="1593" w:type="dxa"/>
          </w:tcPr>
          <w:p w14:paraId="60B8B304" w14:textId="77777777" w:rsidR="00413FA2" w:rsidRPr="005A5612" w:rsidRDefault="00413FA2" w:rsidP="009429A2">
            <w:pPr>
              <w:keepNext/>
              <w:keepLines/>
              <w:rPr>
                <w:lang w:val="es-ES_tradnl"/>
              </w:rPr>
            </w:pPr>
          </w:p>
        </w:tc>
      </w:tr>
      <w:tr w:rsidR="00413FA2" w:rsidRPr="005A5612" w14:paraId="458475A5" w14:textId="77777777" w:rsidTr="00F30AB8">
        <w:trPr>
          <w:cantSplit/>
        </w:trPr>
        <w:tc>
          <w:tcPr>
            <w:tcW w:w="1804" w:type="dxa"/>
          </w:tcPr>
          <w:p w14:paraId="4D06A991" w14:textId="77777777" w:rsidR="00413FA2" w:rsidRPr="005A5612" w:rsidRDefault="00413FA2" w:rsidP="00FC7454">
            <w:r w:rsidRPr="005A5612">
              <w:rPr>
                <w:lang w:val="es-ES_tradnl"/>
              </w:rPr>
              <w:t>Trastornos oculares</w:t>
            </w:r>
          </w:p>
        </w:tc>
        <w:tc>
          <w:tcPr>
            <w:tcW w:w="1848" w:type="dxa"/>
          </w:tcPr>
          <w:p w14:paraId="13A3F9F8" w14:textId="77777777" w:rsidR="00413FA2" w:rsidRPr="005A5612" w:rsidRDefault="00413FA2" w:rsidP="00FC7454">
            <w:pPr>
              <w:rPr>
                <w:lang w:val="en-GB"/>
              </w:rPr>
            </w:pPr>
          </w:p>
        </w:tc>
        <w:tc>
          <w:tcPr>
            <w:tcW w:w="1985" w:type="dxa"/>
          </w:tcPr>
          <w:p w14:paraId="14B94DDA" w14:textId="77777777" w:rsidR="00413FA2" w:rsidRPr="005A5612" w:rsidRDefault="00413FA2" w:rsidP="00FC7454">
            <w:r w:rsidRPr="005A5612">
              <w:rPr>
                <w:lang w:val="es-ES_tradnl"/>
              </w:rPr>
              <w:t>Conjuntivitis</w:t>
            </w:r>
          </w:p>
        </w:tc>
        <w:tc>
          <w:tcPr>
            <w:tcW w:w="1701" w:type="dxa"/>
          </w:tcPr>
          <w:p w14:paraId="23EC64DC" w14:textId="77777777" w:rsidR="00413FA2" w:rsidRPr="005A5612" w:rsidRDefault="00413FA2" w:rsidP="00FC7454">
            <w:pPr>
              <w:rPr>
                <w:lang w:val="en-GB"/>
              </w:rPr>
            </w:pPr>
          </w:p>
        </w:tc>
        <w:tc>
          <w:tcPr>
            <w:tcW w:w="1701" w:type="dxa"/>
          </w:tcPr>
          <w:p w14:paraId="3EE61C65" w14:textId="77777777" w:rsidR="00413FA2" w:rsidRPr="005A5612" w:rsidRDefault="00413FA2" w:rsidP="00FC7454">
            <w:pPr>
              <w:rPr>
                <w:lang w:val="en-GB"/>
              </w:rPr>
            </w:pPr>
          </w:p>
        </w:tc>
        <w:tc>
          <w:tcPr>
            <w:tcW w:w="1593" w:type="dxa"/>
          </w:tcPr>
          <w:p w14:paraId="1CDC2BAE" w14:textId="77777777" w:rsidR="00413FA2" w:rsidRPr="005A5612" w:rsidRDefault="00413FA2" w:rsidP="00FC7454">
            <w:pPr>
              <w:rPr>
                <w:lang w:val="en-GB"/>
              </w:rPr>
            </w:pPr>
          </w:p>
        </w:tc>
      </w:tr>
      <w:tr w:rsidR="00413FA2" w:rsidRPr="005A5612" w14:paraId="6538B59D" w14:textId="77777777" w:rsidTr="00F30AB8">
        <w:trPr>
          <w:cantSplit/>
        </w:trPr>
        <w:tc>
          <w:tcPr>
            <w:tcW w:w="1804" w:type="dxa"/>
          </w:tcPr>
          <w:p w14:paraId="05A22711" w14:textId="77777777" w:rsidR="00413FA2" w:rsidRPr="005A5612" w:rsidRDefault="00413FA2" w:rsidP="009429A2">
            <w:pPr>
              <w:rPr>
                <w:lang w:val="es-ES_tradnl"/>
              </w:rPr>
            </w:pPr>
            <w:r w:rsidRPr="005A5612">
              <w:rPr>
                <w:lang w:val="es-ES_tradnl"/>
              </w:rPr>
              <w:t>Trastornos vasculares</w:t>
            </w:r>
          </w:p>
        </w:tc>
        <w:tc>
          <w:tcPr>
            <w:tcW w:w="1848" w:type="dxa"/>
          </w:tcPr>
          <w:p w14:paraId="38C16EC6" w14:textId="77777777" w:rsidR="00413FA2" w:rsidRPr="005A5612" w:rsidRDefault="00413FA2" w:rsidP="009429A2">
            <w:pPr>
              <w:rPr>
                <w:lang w:val="en-GB"/>
              </w:rPr>
            </w:pPr>
          </w:p>
        </w:tc>
        <w:tc>
          <w:tcPr>
            <w:tcW w:w="1985" w:type="dxa"/>
          </w:tcPr>
          <w:p w14:paraId="6FC37339" w14:textId="77777777" w:rsidR="00413FA2" w:rsidRPr="005A5612" w:rsidRDefault="00413FA2" w:rsidP="009429A2">
            <w:pPr>
              <w:rPr>
                <w:lang w:val="es-ES_tradnl"/>
              </w:rPr>
            </w:pPr>
            <w:r w:rsidRPr="005A5612">
              <w:rPr>
                <w:lang w:val="es-ES_tradnl"/>
              </w:rPr>
              <w:t>Hipertensión</w:t>
            </w:r>
          </w:p>
        </w:tc>
        <w:tc>
          <w:tcPr>
            <w:tcW w:w="1701" w:type="dxa"/>
          </w:tcPr>
          <w:p w14:paraId="382854FB" w14:textId="77777777" w:rsidR="00413FA2" w:rsidRPr="005A5612" w:rsidRDefault="00413FA2" w:rsidP="009429A2">
            <w:pPr>
              <w:rPr>
                <w:lang w:val="en-GB"/>
              </w:rPr>
            </w:pPr>
          </w:p>
        </w:tc>
        <w:tc>
          <w:tcPr>
            <w:tcW w:w="1701" w:type="dxa"/>
          </w:tcPr>
          <w:p w14:paraId="7E510403" w14:textId="77777777" w:rsidR="00413FA2" w:rsidRPr="005A5612" w:rsidRDefault="00413FA2" w:rsidP="009429A2">
            <w:pPr>
              <w:rPr>
                <w:lang w:val="en-GB"/>
              </w:rPr>
            </w:pPr>
          </w:p>
        </w:tc>
        <w:tc>
          <w:tcPr>
            <w:tcW w:w="1593" w:type="dxa"/>
          </w:tcPr>
          <w:p w14:paraId="0513D756" w14:textId="77777777" w:rsidR="00413FA2" w:rsidRPr="005A5612" w:rsidRDefault="00413FA2" w:rsidP="009429A2">
            <w:pPr>
              <w:rPr>
                <w:lang w:val="en-GB"/>
              </w:rPr>
            </w:pPr>
          </w:p>
        </w:tc>
      </w:tr>
      <w:tr w:rsidR="00413FA2" w:rsidRPr="005A5612" w14:paraId="399DA994" w14:textId="77777777" w:rsidTr="00F30AB8">
        <w:trPr>
          <w:cantSplit/>
        </w:trPr>
        <w:tc>
          <w:tcPr>
            <w:tcW w:w="1804" w:type="dxa"/>
          </w:tcPr>
          <w:p w14:paraId="4B9C2ACA" w14:textId="77777777" w:rsidR="00413FA2" w:rsidRPr="005A5612" w:rsidRDefault="00413FA2" w:rsidP="00FC7454">
            <w:pPr>
              <w:rPr>
                <w:lang w:val="es-ES_tradnl"/>
              </w:rPr>
            </w:pPr>
            <w:r w:rsidRPr="005A5612">
              <w:rPr>
                <w:lang w:val="es-ES_tradnl"/>
              </w:rPr>
              <w:t>Trastornos respiratorios, torácicos y mediastínicos</w:t>
            </w:r>
          </w:p>
        </w:tc>
        <w:tc>
          <w:tcPr>
            <w:tcW w:w="1848" w:type="dxa"/>
          </w:tcPr>
          <w:p w14:paraId="412270A8" w14:textId="77777777" w:rsidR="00413FA2" w:rsidRPr="005A5612" w:rsidRDefault="00413FA2" w:rsidP="00FC7454">
            <w:pPr>
              <w:rPr>
                <w:lang w:val="es-ES_tradnl"/>
              </w:rPr>
            </w:pPr>
          </w:p>
        </w:tc>
        <w:tc>
          <w:tcPr>
            <w:tcW w:w="1985" w:type="dxa"/>
          </w:tcPr>
          <w:p w14:paraId="6148BEBC" w14:textId="77777777" w:rsidR="00413FA2" w:rsidRPr="005A5612" w:rsidRDefault="00413FA2" w:rsidP="00FC7454">
            <w:pPr>
              <w:rPr>
                <w:lang w:val="es-ES_tradnl"/>
              </w:rPr>
            </w:pPr>
            <w:r w:rsidRPr="005A5612">
              <w:rPr>
                <w:lang w:val="es-ES_tradnl"/>
              </w:rPr>
              <w:t>Tos, Disnea</w:t>
            </w:r>
          </w:p>
        </w:tc>
        <w:tc>
          <w:tcPr>
            <w:tcW w:w="1701" w:type="dxa"/>
          </w:tcPr>
          <w:p w14:paraId="3ECA2D1B" w14:textId="77777777" w:rsidR="00413FA2" w:rsidRPr="005A5612" w:rsidRDefault="00413FA2" w:rsidP="00FC7454">
            <w:pPr>
              <w:rPr>
                <w:lang w:val="es-ES"/>
              </w:rPr>
            </w:pPr>
          </w:p>
        </w:tc>
        <w:tc>
          <w:tcPr>
            <w:tcW w:w="1701" w:type="dxa"/>
          </w:tcPr>
          <w:p w14:paraId="6D31337B" w14:textId="77777777" w:rsidR="00413FA2" w:rsidRPr="005A5612" w:rsidRDefault="00413FA2" w:rsidP="00FC7454">
            <w:pPr>
              <w:rPr>
                <w:lang w:val="es-ES"/>
              </w:rPr>
            </w:pPr>
          </w:p>
        </w:tc>
        <w:tc>
          <w:tcPr>
            <w:tcW w:w="1593" w:type="dxa"/>
          </w:tcPr>
          <w:p w14:paraId="1390EB40" w14:textId="77777777" w:rsidR="00413FA2" w:rsidRPr="005A5612" w:rsidRDefault="00413FA2" w:rsidP="00FC7454">
            <w:pPr>
              <w:rPr>
                <w:lang w:val="es-ES"/>
              </w:rPr>
            </w:pPr>
          </w:p>
        </w:tc>
      </w:tr>
      <w:tr w:rsidR="00413FA2" w:rsidRPr="005A5612" w14:paraId="52C0FD30" w14:textId="77777777" w:rsidTr="00F30AB8">
        <w:trPr>
          <w:cantSplit/>
        </w:trPr>
        <w:tc>
          <w:tcPr>
            <w:tcW w:w="1804" w:type="dxa"/>
          </w:tcPr>
          <w:p w14:paraId="707F5680" w14:textId="77777777" w:rsidR="00413FA2" w:rsidRPr="005A5612" w:rsidRDefault="00413FA2" w:rsidP="009429A2">
            <w:pPr>
              <w:rPr>
                <w:lang w:val="es-ES_tradnl"/>
              </w:rPr>
            </w:pPr>
            <w:r w:rsidRPr="005A5612">
              <w:rPr>
                <w:lang w:val="es-ES_tradnl"/>
              </w:rPr>
              <w:t>Trastornos digestivos</w:t>
            </w:r>
          </w:p>
        </w:tc>
        <w:tc>
          <w:tcPr>
            <w:tcW w:w="1848" w:type="dxa"/>
          </w:tcPr>
          <w:p w14:paraId="60264E21" w14:textId="77777777" w:rsidR="00413FA2" w:rsidRPr="005A5612" w:rsidRDefault="00413FA2" w:rsidP="009429A2">
            <w:pPr>
              <w:rPr>
                <w:lang w:val="es-ES_tradnl"/>
              </w:rPr>
            </w:pPr>
          </w:p>
        </w:tc>
        <w:tc>
          <w:tcPr>
            <w:tcW w:w="1985" w:type="dxa"/>
          </w:tcPr>
          <w:p w14:paraId="38903BE7" w14:textId="77777777" w:rsidR="00413FA2" w:rsidRPr="005A5612" w:rsidRDefault="00413FA2" w:rsidP="009429A2">
            <w:pPr>
              <w:rPr>
                <w:lang w:val="es-ES_tradnl"/>
              </w:rPr>
            </w:pPr>
            <w:r w:rsidRPr="005A5612">
              <w:rPr>
                <w:lang w:val="es-ES_tradnl"/>
              </w:rPr>
              <w:t>Dolor abdominal, Ulceración oral, Gastritis</w:t>
            </w:r>
          </w:p>
        </w:tc>
        <w:tc>
          <w:tcPr>
            <w:tcW w:w="1701" w:type="dxa"/>
          </w:tcPr>
          <w:p w14:paraId="1056E6AF" w14:textId="77777777" w:rsidR="00413FA2" w:rsidRPr="005A5612" w:rsidRDefault="00413FA2" w:rsidP="009429A2">
            <w:pPr>
              <w:rPr>
                <w:lang w:val="es-ES"/>
              </w:rPr>
            </w:pPr>
            <w:r w:rsidRPr="005A5612">
              <w:rPr>
                <w:lang w:val="es-ES_tradnl"/>
              </w:rPr>
              <w:t xml:space="preserve">Estomatitis, </w:t>
            </w:r>
            <w:r>
              <w:rPr>
                <w:lang w:val="es-ES_tradnl"/>
              </w:rPr>
              <w:t>Ú</w:t>
            </w:r>
            <w:r w:rsidRPr="005A5612">
              <w:rPr>
                <w:lang w:val="es-ES_tradnl"/>
              </w:rPr>
              <w:t>lcera gástrica</w:t>
            </w:r>
            <w:r>
              <w:rPr>
                <w:lang w:val="es-ES_tradnl"/>
              </w:rPr>
              <w:t xml:space="preserve"> </w:t>
            </w:r>
          </w:p>
        </w:tc>
        <w:tc>
          <w:tcPr>
            <w:tcW w:w="1701" w:type="dxa"/>
          </w:tcPr>
          <w:p w14:paraId="70DC9246" w14:textId="77777777" w:rsidR="00413FA2" w:rsidRPr="005A5612" w:rsidRDefault="00413FA2" w:rsidP="009429A2">
            <w:pPr>
              <w:rPr>
                <w:lang w:val="es-ES"/>
              </w:rPr>
            </w:pPr>
          </w:p>
        </w:tc>
        <w:tc>
          <w:tcPr>
            <w:tcW w:w="1593" w:type="dxa"/>
          </w:tcPr>
          <w:p w14:paraId="58E48B4D" w14:textId="77777777" w:rsidR="00413FA2" w:rsidRPr="005A5612" w:rsidRDefault="00413FA2" w:rsidP="009429A2">
            <w:pPr>
              <w:rPr>
                <w:lang w:val="es-ES"/>
              </w:rPr>
            </w:pPr>
          </w:p>
        </w:tc>
      </w:tr>
      <w:tr w:rsidR="00413FA2" w:rsidRPr="005A5612" w14:paraId="42C4E213" w14:textId="77777777" w:rsidTr="00F30AB8">
        <w:trPr>
          <w:cantSplit/>
        </w:trPr>
        <w:tc>
          <w:tcPr>
            <w:tcW w:w="1804" w:type="dxa"/>
          </w:tcPr>
          <w:p w14:paraId="50BDE9B6" w14:textId="77777777" w:rsidR="00413FA2" w:rsidRPr="005A5612" w:rsidRDefault="00413FA2" w:rsidP="009429A2">
            <w:pPr>
              <w:rPr>
                <w:lang w:val="es-ES_tradnl"/>
              </w:rPr>
            </w:pPr>
            <w:r>
              <w:rPr>
                <w:lang w:val="es-ES_tradnl"/>
              </w:rPr>
              <w:t>Trastornos hepatobiliares</w:t>
            </w:r>
          </w:p>
        </w:tc>
        <w:tc>
          <w:tcPr>
            <w:tcW w:w="1848" w:type="dxa"/>
          </w:tcPr>
          <w:p w14:paraId="20BBCBB4" w14:textId="77777777" w:rsidR="00413FA2" w:rsidRPr="005A5612" w:rsidRDefault="00413FA2" w:rsidP="009429A2">
            <w:pPr>
              <w:rPr>
                <w:lang w:val="es-ES_tradnl"/>
              </w:rPr>
            </w:pPr>
          </w:p>
        </w:tc>
        <w:tc>
          <w:tcPr>
            <w:tcW w:w="1985" w:type="dxa"/>
          </w:tcPr>
          <w:p w14:paraId="5F827109" w14:textId="77777777" w:rsidR="00413FA2" w:rsidRPr="005A5612" w:rsidRDefault="00413FA2" w:rsidP="009429A2">
            <w:pPr>
              <w:rPr>
                <w:lang w:val="es-ES_tradnl"/>
              </w:rPr>
            </w:pPr>
          </w:p>
        </w:tc>
        <w:tc>
          <w:tcPr>
            <w:tcW w:w="1701" w:type="dxa"/>
          </w:tcPr>
          <w:p w14:paraId="2A374C66" w14:textId="77777777" w:rsidR="00413FA2" w:rsidRPr="005A5612" w:rsidRDefault="00413FA2" w:rsidP="009429A2">
            <w:pPr>
              <w:rPr>
                <w:lang w:val="en-GB"/>
              </w:rPr>
            </w:pPr>
          </w:p>
        </w:tc>
        <w:tc>
          <w:tcPr>
            <w:tcW w:w="1701" w:type="dxa"/>
          </w:tcPr>
          <w:p w14:paraId="267AAEA3" w14:textId="77777777" w:rsidR="00413FA2" w:rsidRDefault="00413FA2" w:rsidP="009429A2">
            <w:pPr>
              <w:rPr>
                <w:lang w:val="es-ES"/>
              </w:rPr>
            </w:pPr>
            <w:r>
              <w:rPr>
                <w:lang w:val="es-ES"/>
              </w:rPr>
              <w:t>Daño hepático inducido por medicamentos, Hepatitis, Ictericia</w:t>
            </w:r>
          </w:p>
          <w:p w14:paraId="4B8A64ED" w14:textId="0EF2E479" w:rsidR="00413FA2" w:rsidRPr="00F30AB8" w:rsidRDefault="00413FA2" w:rsidP="009429A2">
            <w:pPr>
              <w:rPr>
                <w:lang w:val="es-ES"/>
              </w:rPr>
            </w:pPr>
          </w:p>
        </w:tc>
        <w:tc>
          <w:tcPr>
            <w:tcW w:w="1593" w:type="dxa"/>
          </w:tcPr>
          <w:p w14:paraId="174EBD67" w14:textId="77777777" w:rsidR="00413FA2" w:rsidRDefault="00413FA2" w:rsidP="009429A2">
            <w:pPr>
              <w:rPr>
                <w:lang w:val="es-ES"/>
              </w:rPr>
            </w:pPr>
            <w:r>
              <w:rPr>
                <w:lang w:val="es-ES"/>
              </w:rPr>
              <w:t>Fallo hepático</w:t>
            </w:r>
          </w:p>
        </w:tc>
      </w:tr>
      <w:tr w:rsidR="00413FA2" w:rsidRPr="005A5612" w14:paraId="66E6ED51" w14:textId="77777777" w:rsidTr="00F30AB8">
        <w:trPr>
          <w:cantSplit/>
        </w:trPr>
        <w:tc>
          <w:tcPr>
            <w:tcW w:w="1804" w:type="dxa"/>
          </w:tcPr>
          <w:p w14:paraId="1621BB96" w14:textId="77777777" w:rsidR="00413FA2" w:rsidRPr="005A5612" w:rsidRDefault="00413FA2" w:rsidP="009429A2">
            <w:pPr>
              <w:rPr>
                <w:lang w:val="es-ES_tradnl"/>
              </w:rPr>
            </w:pPr>
            <w:r w:rsidRPr="005A5612">
              <w:rPr>
                <w:lang w:val="es-ES_tradnl"/>
              </w:rPr>
              <w:t>Trastornos de la piel y del tejido subcutáneo</w:t>
            </w:r>
          </w:p>
        </w:tc>
        <w:tc>
          <w:tcPr>
            <w:tcW w:w="1848" w:type="dxa"/>
          </w:tcPr>
          <w:p w14:paraId="27262450" w14:textId="77777777" w:rsidR="00413FA2" w:rsidRPr="005A5612" w:rsidRDefault="00413FA2" w:rsidP="009429A2">
            <w:pPr>
              <w:rPr>
                <w:lang w:val="es-ES_tradnl"/>
              </w:rPr>
            </w:pPr>
          </w:p>
        </w:tc>
        <w:tc>
          <w:tcPr>
            <w:tcW w:w="1985" w:type="dxa"/>
          </w:tcPr>
          <w:p w14:paraId="7D4BDB17" w14:textId="77777777" w:rsidR="00413FA2" w:rsidRPr="005A5612" w:rsidRDefault="00413FA2" w:rsidP="009429A2">
            <w:pPr>
              <w:rPr>
                <w:lang w:val="es-ES_tradnl"/>
              </w:rPr>
            </w:pPr>
            <w:r w:rsidRPr="005A5612">
              <w:rPr>
                <w:lang w:val="es-ES_tradnl"/>
              </w:rPr>
              <w:t>Erupción, Prurito, Urticaria</w:t>
            </w:r>
          </w:p>
        </w:tc>
        <w:tc>
          <w:tcPr>
            <w:tcW w:w="1701" w:type="dxa"/>
          </w:tcPr>
          <w:p w14:paraId="6220ECE0" w14:textId="77777777" w:rsidR="00413FA2" w:rsidRPr="005A5612" w:rsidRDefault="00413FA2" w:rsidP="009429A2">
            <w:pPr>
              <w:rPr>
                <w:lang w:val="en-GB"/>
              </w:rPr>
            </w:pPr>
          </w:p>
        </w:tc>
        <w:tc>
          <w:tcPr>
            <w:tcW w:w="1701" w:type="dxa"/>
          </w:tcPr>
          <w:p w14:paraId="242C4064" w14:textId="68CBD43B" w:rsidR="00413FA2" w:rsidRPr="005A5612" w:rsidRDefault="00413FA2" w:rsidP="009429A2">
            <w:pPr>
              <w:rPr>
                <w:lang w:val="en-GB"/>
              </w:rPr>
            </w:pPr>
            <w:r>
              <w:t>S</w:t>
            </w:r>
            <w:ins w:id="144" w:author="AUTHOR">
              <w:r w:rsidR="009E094B">
                <w:t>í</w:t>
              </w:r>
            </w:ins>
            <w:del w:id="145" w:author="AUTHOR">
              <w:r w:rsidDel="009E094B">
                <w:delText>i</w:delText>
              </w:r>
            </w:del>
            <w:r>
              <w:t>ndrome de Stevens-Johnson</w:t>
            </w:r>
            <w:r>
              <w:rPr>
                <w:vertAlign w:val="superscript"/>
              </w:rPr>
              <w:t>3</w:t>
            </w:r>
          </w:p>
        </w:tc>
        <w:tc>
          <w:tcPr>
            <w:tcW w:w="1593" w:type="dxa"/>
          </w:tcPr>
          <w:p w14:paraId="50AF0F33" w14:textId="77777777" w:rsidR="00413FA2" w:rsidRDefault="00413FA2" w:rsidP="009429A2"/>
        </w:tc>
      </w:tr>
      <w:tr w:rsidR="00413FA2" w:rsidRPr="005A5612" w14:paraId="2C51B7AA" w14:textId="77777777" w:rsidTr="00F30AB8">
        <w:trPr>
          <w:cantSplit/>
        </w:trPr>
        <w:tc>
          <w:tcPr>
            <w:tcW w:w="1804" w:type="dxa"/>
          </w:tcPr>
          <w:p w14:paraId="442B3BCE" w14:textId="77777777" w:rsidR="00413FA2" w:rsidRPr="005A5612" w:rsidRDefault="00413FA2" w:rsidP="00FC7454">
            <w:pPr>
              <w:rPr>
                <w:lang w:val="es-ES_tradnl"/>
              </w:rPr>
            </w:pPr>
            <w:r w:rsidRPr="005A5612">
              <w:rPr>
                <w:lang w:val="es-ES_tradnl"/>
              </w:rPr>
              <w:t>Trastornos renales</w:t>
            </w:r>
            <w:r>
              <w:rPr>
                <w:lang w:val="es-ES_tradnl"/>
              </w:rPr>
              <w:t xml:space="preserve"> y del tracto urinario</w:t>
            </w:r>
          </w:p>
        </w:tc>
        <w:tc>
          <w:tcPr>
            <w:tcW w:w="1848" w:type="dxa"/>
          </w:tcPr>
          <w:p w14:paraId="49A21F95" w14:textId="77777777" w:rsidR="00413FA2" w:rsidRPr="005A5612" w:rsidRDefault="00413FA2" w:rsidP="00FC7454">
            <w:pPr>
              <w:rPr>
                <w:lang w:val="es-ES_tradnl"/>
              </w:rPr>
            </w:pPr>
          </w:p>
        </w:tc>
        <w:tc>
          <w:tcPr>
            <w:tcW w:w="1985" w:type="dxa"/>
          </w:tcPr>
          <w:p w14:paraId="6BA2777C" w14:textId="77777777" w:rsidR="00413FA2" w:rsidRPr="005A5612" w:rsidRDefault="00413FA2" w:rsidP="00FC7454">
            <w:pPr>
              <w:rPr>
                <w:lang w:val="es-ES_tradnl"/>
              </w:rPr>
            </w:pPr>
          </w:p>
        </w:tc>
        <w:tc>
          <w:tcPr>
            <w:tcW w:w="1701" w:type="dxa"/>
          </w:tcPr>
          <w:p w14:paraId="52CEC083" w14:textId="77777777" w:rsidR="00413FA2" w:rsidRPr="005A5612" w:rsidRDefault="00413FA2" w:rsidP="00FC7454">
            <w:pPr>
              <w:rPr>
                <w:lang w:val="en-GB"/>
              </w:rPr>
            </w:pPr>
            <w:r w:rsidRPr="005A5612">
              <w:rPr>
                <w:lang w:val="en-GB"/>
              </w:rPr>
              <w:t>Nefrolitiasis</w:t>
            </w:r>
          </w:p>
          <w:p w14:paraId="60BC5427" w14:textId="77777777" w:rsidR="00413FA2" w:rsidRPr="005A5612" w:rsidRDefault="00413FA2" w:rsidP="00FC7454">
            <w:pPr>
              <w:rPr>
                <w:lang w:val="es-ES"/>
              </w:rPr>
            </w:pPr>
          </w:p>
        </w:tc>
        <w:tc>
          <w:tcPr>
            <w:tcW w:w="1701" w:type="dxa"/>
          </w:tcPr>
          <w:p w14:paraId="33F551F5" w14:textId="77777777" w:rsidR="00413FA2" w:rsidRPr="005A5612" w:rsidRDefault="00413FA2" w:rsidP="00FC7454">
            <w:pPr>
              <w:rPr>
                <w:lang w:val="en-GB"/>
              </w:rPr>
            </w:pPr>
          </w:p>
        </w:tc>
        <w:tc>
          <w:tcPr>
            <w:tcW w:w="1593" w:type="dxa"/>
          </w:tcPr>
          <w:p w14:paraId="6555EC28" w14:textId="77777777" w:rsidR="00413FA2" w:rsidRPr="005A5612" w:rsidRDefault="00413FA2" w:rsidP="00FC7454">
            <w:pPr>
              <w:rPr>
                <w:lang w:val="en-GB"/>
              </w:rPr>
            </w:pPr>
          </w:p>
        </w:tc>
      </w:tr>
      <w:tr w:rsidR="00413FA2" w:rsidRPr="00541248" w14:paraId="29C4B0EE" w14:textId="77777777" w:rsidTr="00F30AB8">
        <w:trPr>
          <w:cantSplit/>
        </w:trPr>
        <w:tc>
          <w:tcPr>
            <w:tcW w:w="1804" w:type="dxa"/>
          </w:tcPr>
          <w:p w14:paraId="55FFB545" w14:textId="77777777" w:rsidR="00413FA2" w:rsidRDefault="00413FA2" w:rsidP="009429A2">
            <w:pPr>
              <w:rPr>
                <w:lang w:val="es-ES_tradnl"/>
              </w:rPr>
            </w:pPr>
            <w:r w:rsidRPr="005A5612">
              <w:rPr>
                <w:lang w:val="es-ES_tradnl"/>
              </w:rPr>
              <w:t xml:space="preserve">Trastornos Generales y en el lugar de administración </w:t>
            </w:r>
          </w:p>
        </w:tc>
        <w:tc>
          <w:tcPr>
            <w:tcW w:w="1848" w:type="dxa"/>
          </w:tcPr>
          <w:p w14:paraId="4DDA00F7" w14:textId="77777777" w:rsidR="00413FA2" w:rsidRPr="005A5612" w:rsidRDefault="00413FA2" w:rsidP="009429A2">
            <w:pPr>
              <w:rPr>
                <w:lang w:val="es-ES_tradnl"/>
              </w:rPr>
            </w:pPr>
          </w:p>
        </w:tc>
        <w:tc>
          <w:tcPr>
            <w:tcW w:w="1985" w:type="dxa"/>
          </w:tcPr>
          <w:p w14:paraId="3F63E8F5" w14:textId="77777777" w:rsidR="00413FA2" w:rsidRPr="005A5612" w:rsidRDefault="00413FA2" w:rsidP="009429A2">
            <w:pPr>
              <w:rPr>
                <w:lang w:val="es-ES_tradnl"/>
              </w:rPr>
            </w:pPr>
            <w:r w:rsidRPr="005A5612">
              <w:rPr>
                <w:lang w:val="es-ES"/>
              </w:rPr>
              <w:t>Edema periférico, Reacciones de hipersensibilidad</w:t>
            </w:r>
          </w:p>
        </w:tc>
        <w:tc>
          <w:tcPr>
            <w:tcW w:w="1701" w:type="dxa"/>
          </w:tcPr>
          <w:p w14:paraId="76ECE80D" w14:textId="77777777" w:rsidR="00413FA2" w:rsidRPr="005A5612" w:rsidRDefault="00413FA2" w:rsidP="009429A2">
            <w:pPr>
              <w:rPr>
                <w:lang w:val="es-ES"/>
              </w:rPr>
            </w:pPr>
          </w:p>
        </w:tc>
        <w:tc>
          <w:tcPr>
            <w:tcW w:w="1701" w:type="dxa"/>
          </w:tcPr>
          <w:p w14:paraId="798F2DE2" w14:textId="77777777" w:rsidR="00413FA2" w:rsidRDefault="00413FA2" w:rsidP="009429A2">
            <w:pPr>
              <w:rPr>
                <w:lang w:val="es-ES"/>
              </w:rPr>
            </w:pPr>
          </w:p>
        </w:tc>
        <w:tc>
          <w:tcPr>
            <w:tcW w:w="1593" w:type="dxa"/>
          </w:tcPr>
          <w:p w14:paraId="04E03E5A" w14:textId="77777777" w:rsidR="00413FA2" w:rsidRDefault="00413FA2" w:rsidP="009429A2">
            <w:pPr>
              <w:rPr>
                <w:lang w:val="es-ES"/>
              </w:rPr>
            </w:pPr>
          </w:p>
        </w:tc>
      </w:tr>
      <w:tr w:rsidR="00413FA2" w:rsidRPr="00541248" w14:paraId="20EE91F9" w14:textId="77777777" w:rsidTr="00F30AB8">
        <w:trPr>
          <w:cantSplit/>
        </w:trPr>
        <w:tc>
          <w:tcPr>
            <w:tcW w:w="1804" w:type="dxa"/>
          </w:tcPr>
          <w:p w14:paraId="79C450B5" w14:textId="77777777" w:rsidR="00413FA2" w:rsidRPr="005A5612" w:rsidRDefault="00413FA2" w:rsidP="009429A2">
            <w:pPr>
              <w:rPr>
                <w:lang w:val="es-ES_tradnl"/>
              </w:rPr>
            </w:pPr>
            <w:r w:rsidRPr="005A5612">
              <w:rPr>
                <w:lang w:val="es-ES_tradnl"/>
              </w:rPr>
              <w:lastRenderedPageBreak/>
              <w:t>Exploraciones complementarias</w:t>
            </w:r>
          </w:p>
        </w:tc>
        <w:tc>
          <w:tcPr>
            <w:tcW w:w="1848" w:type="dxa"/>
          </w:tcPr>
          <w:p w14:paraId="7B591D12" w14:textId="77777777" w:rsidR="00413FA2" w:rsidRPr="005A5612" w:rsidRDefault="00413FA2" w:rsidP="009429A2">
            <w:pPr>
              <w:rPr>
                <w:lang w:val="es-ES_tradnl"/>
              </w:rPr>
            </w:pPr>
          </w:p>
        </w:tc>
        <w:tc>
          <w:tcPr>
            <w:tcW w:w="1985" w:type="dxa"/>
          </w:tcPr>
          <w:p w14:paraId="24BD3C58" w14:textId="77777777" w:rsidR="00413FA2" w:rsidRPr="005A5612" w:rsidRDefault="00413FA2" w:rsidP="009429A2">
            <w:pPr>
              <w:rPr>
                <w:lang w:val="es-ES"/>
              </w:rPr>
            </w:pPr>
            <w:r w:rsidRPr="005A5612">
              <w:rPr>
                <w:lang w:val="es-ES_tradnl"/>
              </w:rPr>
              <w:t>Elevación de las transaminasas hepáticas, Aumento de peso, Elevación de la bilirrubina total*</w:t>
            </w:r>
          </w:p>
        </w:tc>
        <w:tc>
          <w:tcPr>
            <w:tcW w:w="1701" w:type="dxa"/>
          </w:tcPr>
          <w:p w14:paraId="0AC0B8BD" w14:textId="77777777" w:rsidR="00413FA2" w:rsidRPr="005A5612" w:rsidRDefault="00413FA2" w:rsidP="009429A2">
            <w:pPr>
              <w:rPr>
                <w:lang w:val="es-ES"/>
              </w:rPr>
            </w:pPr>
          </w:p>
        </w:tc>
        <w:tc>
          <w:tcPr>
            <w:tcW w:w="1701" w:type="dxa"/>
          </w:tcPr>
          <w:p w14:paraId="1E7BEA0D" w14:textId="77777777" w:rsidR="00413FA2" w:rsidRDefault="00413FA2" w:rsidP="009429A2">
            <w:pPr>
              <w:rPr>
                <w:lang w:val="es-ES"/>
              </w:rPr>
            </w:pPr>
          </w:p>
        </w:tc>
        <w:tc>
          <w:tcPr>
            <w:tcW w:w="1593" w:type="dxa"/>
          </w:tcPr>
          <w:p w14:paraId="12CEC1D4" w14:textId="77777777" w:rsidR="00413FA2" w:rsidRDefault="00413FA2" w:rsidP="009429A2">
            <w:pPr>
              <w:rPr>
                <w:lang w:val="es-ES"/>
              </w:rPr>
            </w:pPr>
          </w:p>
        </w:tc>
      </w:tr>
    </w:tbl>
    <w:p w14:paraId="7B62BA85" w14:textId="43AFE70C" w:rsidR="007927FC" w:rsidRDefault="007927FC" w:rsidP="007927FC">
      <w:pPr>
        <w:rPr>
          <w:sz w:val="18"/>
          <w:szCs w:val="18"/>
          <w:lang w:val="es-ES_tradnl"/>
        </w:rPr>
      </w:pPr>
      <w:r w:rsidRPr="00957CE0">
        <w:rPr>
          <w:sz w:val="18"/>
          <w:szCs w:val="18"/>
          <w:lang w:val="es-ES_tradnl"/>
        </w:rPr>
        <w:t>* Incluida</w:t>
      </w:r>
      <w:ins w:id="146" w:author="AUTHOR">
        <w:r w:rsidR="009E094B">
          <w:rPr>
            <w:sz w:val="18"/>
            <w:szCs w:val="18"/>
            <w:lang w:val="es-ES_tradnl"/>
          </w:rPr>
          <w:t>s</w:t>
        </w:r>
      </w:ins>
      <w:r w:rsidRPr="00957CE0">
        <w:rPr>
          <w:sz w:val="18"/>
          <w:szCs w:val="18"/>
          <w:lang w:val="es-ES_tradnl"/>
        </w:rPr>
        <w:t xml:space="preserve"> las elevaciones obtenidas como parte de la monitorización de rutina del laboratorio (ver texto más abajo)</w:t>
      </w:r>
    </w:p>
    <w:p w14:paraId="159A81F2" w14:textId="77777777" w:rsidR="00FC2177" w:rsidRPr="00123F5D" w:rsidRDefault="00FC2177" w:rsidP="007927FC">
      <w:pPr>
        <w:rPr>
          <w:sz w:val="18"/>
          <w:szCs w:val="18"/>
          <w:lang w:val="es-ES_tradnl"/>
        </w:rPr>
      </w:pPr>
      <w:r w:rsidRPr="00123F5D">
        <w:rPr>
          <w:sz w:val="18"/>
          <w:szCs w:val="18"/>
          <w:vertAlign w:val="superscript"/>
          <w:lang w:val="es-ES_tradnl"/>
        </w:rPr>
        <w:t xml:space="preserve">1 </w:t>
      </w:r>
      <w:r w:rsidRPr="00123F5D">
        <w:rPr>
          <w:sz w:val="18"/>
          <w:szCs w:val="18"/>
          <w:lang w:val="es-ES_tradnl"/>
        </w:rPr>
        <w:t>Ver sección 4.3</w:t>
      </w:r>
    </w:p>
    <w:p w14:paraId="6377DDAE" w14:textId="77777777" w:rsidR="00FC2177" w:rsidRPr="00123F5D" w:rsidRDefault="00FC2177" w:rsidP="007927FC">
      <w:pPr>
        <w:rPr>
          <w:sz w:val="18"/>
          <w:szCs w:val="18"/>
          <w:lang w:val="es-ES_tradnl"/>
        </w:rPr>
      </w:pPr>
      <w:r w:rsidRPr="00123F5D">
        <w:rPr>
          <w:sz w:val="18"/>
          <w:szCs w:val="18"/>
          <w:vertAlign w:val="superscript"/>
          <w:lang w:val="es-ES_tradnl"/>
        </w:rPr>
        <w:t xml:space="preserve">2 </w:t>
      </w:r>
      <w:r w:rsidRPr="00123F5D">
        <w:rPr>
          <w:sz w:val="18"/>
          <w:szCs w:val="18"/>
          <w:lang w:val="es-ES_tradnl"/>
        </w:rPr>
        <w:t>Ver sección 4.4</w:t>
      </w:r>
    </w:p>
    <w:p w14:paraId="088041F8" w14:textId="77777777" w:rsidR="00FC2177" w:rsidRPr="00123F5D" w:rsidRDefault="00FC2177" w:rsidP="007927FC">
      <w:pPr>
        <w:rPr>
          <w:sz w:val="18"/>
          <w:szCs w:val="18"/>
          <w:lang w:val="es-ES_tradnl"/>
        </w:rPr>
      </w:pPr>
      <w:r w:rsidRPr="00123F5D">
        <w:rPr>
          <w:sz w:val="18"/>
          <w:szCs w:val="18"/>
          <w:vertAlign w:val="superscript"/>
          <w:lang w:val="es-ES_tradnl"/>
        </w:rPr>
        <w:t>3</w:t>
      </w:r>
      <w:r w:rsidRPr="00123F5D">
        <w:rPr>
          <w:sz w:val="18"/>
          <w:szCs w:val="18"/>
          <w:lang w:val="es-ES_tradnl"/>
        </w:rPr>
        <w:t xml:space="preserve"> Esta re</w:t>
      </w:r>
      <w:r w:rsidR="00D52B51">
        <w:rPr>
          <w:sz w:val="18"/>
          <w:szCs w:val="18"/>
          <w:lang w:val="es-ES_tradnl"/>
        </w:rPr>
        <w:t xml:space="preserve">acción adversa se identificó </w:t>
      </w:r>
      <w:r w:rsidRPr="00123F5D">
        <w:rPr>
          <w:sz w:val="18"/>
          <w:szCs w:val="18"/>
          <w:lang w:val="es-ES_tradnl"/>
        </w:rPr>
        <w:t xml:space="preserve">por vigilancia </w:t>
      </w:r>
      <w:r w:rsidR="00C72A99" w:rsidRPr="00123F5D">
        <w:rPr>
          <w:sz w:val="18"/>
          <w:szCs w:val="18"/>
          <w:lang w:val="es-ES_tradnl"/>
        </w:rPr>
        <w:t>post-comercia</w:t>
      </w:r>
      <w:r w:rsidR="00D52B51">
        <w:rPr>
          <w:sz w:val="18"/>
          <w:szCs w:val="18"/>
          <w:lang w:val="es-ES_tradnl"/>
        </w:rPr>
        <w:t xml:space="preserve">lización, pero no se observó </w:t>
      </w:r>
      <w:r w:rsidR="00C72A99" w:rsidRPr="00123F5D">
        <w:rPr>
          <w:sz w:val="18"/>
          <w:szCs w:val="18"/>
          <w:lang w:val="es-ES_tradnl"/>
        </w:rPr>
        <w:t xml:space="preserve">en ensayos clínicos controlados. </w:t>
      </w:r>
    </w:p>
    <w:p w14:paraId="3B6F6DD5" w14:textId="1733B8A5" w:rsidR="00C72A99" w:rsidRPr="00123F5D" w:rsidRDefault="00D52B51" w:rsidP="007927FC">
      <w:pPr>
        <w:rPr>
          <w:sz w:val="18"/>
          <w:szCs w:val="18"/>
          <w:lang w:val="es-ES_tradnl"/>
        </w:rPr>
      </w:pPr>
      <w:r>
        <w:rPr>
          <w:sz w:val="18"/>
          <w:szCs w:val="18"/>
          <w:lang w:val="es-ES_tradnl"/>
        </w:rPr>
        <w:t xml:space="preserve">La categoría de frecuencia se estimó </w:t>
      </w:r>
      <w:r w:rsidR="00C72A99" w:rsidRPr="00123F5D">
        <w:rPr>
          <w:sz w:val="18"/>
          <w:szCs w:val="18"/>
          <w:lang w:val="es-ES_tradnl"/>
        </w:rPr>
        <w:t xml:space="preserve">utilizando el límite superior del intervalo de confianza del 95% calculado a partir del número total de pacientes expuestos a </w:t>
      </w:r>
      <w:r w:rsidR="00205482">
        <w:rPr>
          <w:sz w:val="18"/>
          <w:szCs w:val="18"/>
          <w:lang w:val="es-ES_tradnl"/>
        </w:rPr>
        <w:t>tocilizumab</w:t>
      </w:r>
      <w:r w:rsidR="00205482" w:rsidRPr="00123F5D">
        <w:rPr>
          <w:sz w:val="18"/>
          <w:szCs w:val="18"/>
          <w:lang w:val="es-ES_tradnl"/>
        </w:rPr>
        <w:t xml:space="preserve"> </w:t>
      </w:r>
      <w:r w:rsidR="00C72A99" w:rsidRPr="00123F5D">
        <w:rPr>
          <w:sz w:val="18"/>
          <w:szCs w:val="18"/>
          <w:lang w:val="es-ES_tradnl"/>
        </w:rPr>
        <w:t>en ensayos clínicos.</w:t>
      </w:r>
    </w:p>
    <w:p w14:paraId="3CD55AB2" w14:textId="77777777" w:rsidR="00205482" w:rsidRDefault="00205482" w:rsidP="00ED1E1D">
      <w:pPr>
        <w:keepNext/>
        <w:keepLines/>
        <w:autoSpaceDE w:val="0"/>
        <w:autoSpaceDN w:val="0"/>
        <w:adjustRightInd w:val="0"/>
        <w:rPr>
          <w:rFonts w:eastAsia="SimSun"/>
          <w:i/>
          <w:szCs w:val="22"/>
          <w:lang w:val="es-ES" w:eastAsia="zh-CN"/>
        </w:rPr>
      </w:pPr>
    </w:p>
    <w:p w14:paraId="60054218" w14:textId="77777777" w:rsidR="00ED1E1D" w:rsidRPr="00F30AB8" w:rsidRDefault="00ED1E1D" w:rsidP="00ED1E1D">
      <w:pPr>
        <w:keepNext/>
        <w:keepLines/>
        <w:autoSpaceDE w:val="0"/>
        <w:autoSpaceDN w:val="0"/>
        <w:adjustRightInd w:val="0"/>
        <w:rPr>
          <w:rFonts w:eastAsia="SimSun"/>
          <w:i/>
          <w:szCs w:val="22"/>
          <w:lang w:val="es-ES" w:eastAsia="zh-CN"/>
        </w:rPr>
      </w:pPr>
      <w:r w:rsidRPr="00F30AB8">
        <w:rPr>
          <w:rFonts w:eastAsia="SimSun"/>
          <w:i/>
          <w:szCs w:val="22"/>
          <w:lang w:val="es-ES" w:eastAsia="zh-CN"/>
        </w:rPr>
        <w:t>Pacientes con COVID-19</w:t>
      </w:r>
    </w:p>
    <w:p w14:paraId="44C56DFB" w14:textId="7AD0C34D" w:rsidR="00ED1E1D" w:rsidRDefault="00ED1E1D" w:rsidP="00ED1E1D">
      <w:pPr>
        <w:keepNext/>
        <w:keepLines/>
        <w:autoSpaceDE w:val="0"/>
        <w:autoSpaceDN w:val="0"/>
        <w:adjustRightInd w:val="0"/>
        <w:rPr>
          <w:rFonts w:eastAsia="SimSun"/>
          <w:szCs w:val="22"/>
          <w:lang w:val="es-ES" w:eastAsia="zh-CN"/>
        </w:rPr>
      </w:pPr>
      <w:r w:rsidRPr="005C4B32">
        <w:rPr>
          <w:rFonts w:eastAsia="SimSun"/>
          <w:szCs w:val="22"/>
          <w:lang w:val="es-ES" w:eastAsia="zh-CN"/>
        </w:rPr>
        <w:t xml:space="preserve">La evaluación de seguridad de </w:t>
      </w:r>
      <w:r>
        <w:rPr>
          <w:rFonts w:eastAsia="SimSun"/>
          <w:szCs w:val="22"/>
          <w:lang w:val="es-ES" w:eastAsia="zh-CN"/>
        </w:rPr>
        <w:t>este medicamento</w:t>
      </w:r>
      <w:r w:rsidRPr="005C4B32">
        <w:rPr>
          <w:rFonts w:eastAsia="SimSun"/>
          <w:szCs w:val="22"/>
          <w:lang w:val="es-ES" w:eastAsia="zh-CN"/>
        </w:rPr>
        <w:t xml:space="preserve"> en COVID-19 se basó en 3 ensayos aleatorizados, doble ciego, controlados con placebo (estudios ML42528, WA42380 y WA42511). </w:t>
      </w:r>
      <w:r>
        <w:rPr>
          <w:rFonts w:eastAsia="SimSun"/>
          <w:szCs w:val="22"/>
          <w:lang w:val="es-ES" w:eastAsia="zh-CN"/>
        </w:rPr>
        <w:t xml:space="preserve">En estos </w:t>
      </w:r>
      <w:del w:id="147" w:author="AUTHOR">
        <w:r w:rsidDel="00994C36">
          <w:rPr>
            <w:rFonts w:eastAsia="SimSun"/>
            <w:szCs w:val="22"/>
            <w:lang w:val="es-ES" w:eastAsia="zh-CN"/>
          </w:rPr>
          <w:delText xml:space="preserve">estudios </w:delText>
        </w:r>
      </w:del>
      <w:ins w:id="148" w:author="AUTHOR">
        <w:r w:rsidR="00994C36">
          <w:rPr>
            <w:rFonts w:eastAsia="SimSun"/>
            <w:szCs w:val="22"/>
            <w:lang w:val="es-ES" w:eastAsia="zh-CN"/>
          </w:rPr>
          <w:t xml:space="preserve">ensayos </w:t>
        </w:r>
      </w:ins>
      <w:r>
        <w:rPr>
          <w:rFonts w:eastAsia="SimSun"/>
          <w:szCs w:val="22"/>
          <w:lang w:val="es-ES" w:eastAsia="zh-CN"/>
        </w:rPr>
        <w:t>u</w:t>
      </w:r>
      <w:r w:rsidRPr="005C4B32">
        <w:rPr>
          <w:rFonts w:eastAsia="SimSun"/>
          <w:szCs w:val="22"/>
          <w:lang w:val="es-ES" w:eastAsia="zh-CN"/>
        </w:rPr>
        <w:t>n total de 974</w:t>
      </w:r>
      <w:r w:rsidR="00205482" w:rsidRPr="00F30AB8">
        <w:rPr>
          <w:rFonts w:eastAsia="Aptos" w:cs="Aptos"/>
          <w:szCs w:val="22"/>
          <w:lang w:val="es-ES"/>
        </w:rPr>
        <w:t> </w:t>
      </w:r>
      <w:r w:rsidRPr="005C4B32">
        <w:rPr>
          <w:rFonts w:eastAsia="SimSun"/>
          <w:szCs w:val="22"/>
          <w:lang w:val="es-ES" w:eastAsia="zh-CN"/>
        </w:rPr>
        <w:t xml:space="preserve">pacientes </w:t>
      </w:r>
      <w:r>
        <w:rPr>
          <w:rFonts w:eastAsia="SimSun"/>
          <w:szCs w:val="22"/>
          <w:lang w:val="es-ES" w:eastAsia="zh-CN"/>
        </w:rPr>
        <w:t>recibieron tratamiento con tocilizumab</w:t>
      </w:r>
      <w:r w:rsidRPr="005C4B32">
        <w:rPr>
          <w:rFonts w:eastAsia="SimSun"/>
          <w:szCs w:val="22"/>
          <w:lang w:val="es-ES" w:eastAsia="zh-CN"/>
        </w:rPr>
        <w:t xml:space="preserve">. </w:t>
      </w:r>
      <w:r>
        <w:rPr>
          <w:rFonts w:eastAsia="SimSun"/>
          <w:szCs w:val="22"/>
          <w:lang w:val="es-ES" w:eastAsia="zh-CN"/>
        </w:rPr>
        <w:t>No se incluyen datos de seguridad de RECOVERY, ya que l</w:t>
      </w:r>
      <w:r w:rsidRPr="005C4B32">
        <w:rPr>
          <w:rFonts w:eastAsia="SimSun"/>
          <w:szCs w:val="22"/>
          <w:lang w:val="es-ES" w:eastAsia="zh-CN"/>
        </w:rPr>
        <w:t>a recopilación fue</w:t>
      </w:r>
      <w:r>
        <w:rPr>
          <w:rFonts w:eastAsia="SimSun"/>
          <w:szCs w:val="22"/>
          <w:lang w:val="es-ES" w:eastAsia="zh-CN"/>
        </w:rPr>
        <w:t xml:space="preserve"> limitada.</w:t>
      </w:r>
    </w:p>
    <w:p w14:paraId="65191929" w14:textId="77777777" w:rsidR="00ED1E1D" w:rsidRPr="005C4B32" w:rsidRDefault="00ED1E1D" w:rsidP="00ED1E1D">
      <w:pPr>
        <w:autoSpaceDE w:val="0"/>
        <w:autoSpaceDN w:val="0"/>
        <w:adjustRightInd w:val="0"/>
        <w:rPr>
          <w:rFonts w:eastAsia="SimSun"/>
          <w:szCs w:val="22"/>
          <w:lang w:val="es-ES" w:eastAsia="zh-CN"/>
        </w:rPr>
      </w:pPr>
    </w:p>
    <w:p w14:paraId="0EE73814" w14:textId="1E8EDBEF" w:rsidR="007927FC" w:rsidRDefault="00ED1E1D" w:rsidP="00ED1E1D">
      <w:pPr>
        <w:rPr>
          <w:rFonts w:eastAsia="SimSun"/>
          <w:szCs w:val="22"/>
          <w:lang w:val="es-ES" w:eastAsia="zh-CN"/>
        </w:rPr>
      </w:pPr>
      <w:r w:rsidRPr="005C4B32">
        <w:rPr>
          <w:rFonts w:eastAsia="SimSun"/>
          <w:szCs w:val="22"/>
          <w:lang w:val="es-ES" w:eastAsia="zh-CN"/>
        </w:rPr>
        <w:t xml:space="preserve">Las siguientes reacciones adversas, enumeradas por </w:t>
      </w:r>
      <w:r w:rsidR="00CB7369">
        <w:rPr>
          <w:rFonts w:eastAsia="SimSun"/>
          <w:szCs w:val="22"/>
          <w:lang w:val="es-ES" w:eastAsia="zh-CN"/>
        </w:rPr>
        <w:t xml:space="preserve">la </w:t>
      </w:r>
      <w:r w:rsidRPr="005C4B32">
        <w:rPr>
          <w:rFonts w:eastAsia="SimSun"/>
          <w:szCs w:val="22"/>
          <w:lang w:val="es-ES" w:eastAsia="zh-CN"/>
        </w:rPr>
        <w:t>clasificació</w:t>
      </w:r>
      <w:r>
        <w:rPr>
          <w:rFonts w:eastAsia="SimSun"/>
          <w:szCs w:val="22"/>
          <w:lang w:val="es-ES" w:eastAsia="zh-CN"/>
        </w:rPr>
        <w:t xml:space="preserve">n </w:t>
      </w:r>
      <w:proofErr w:type="gramStart"/>
      <w:r w:rsidR="00CB7369">
        <w:rPr>
          <w:rFonts w:eastAsia="SimSun"/>
          <w:szCs w:val="22"/>
          <w:lang w:val="es-ES" w:eastAsia="zh-CN"/>
        </w:rPr>
        <w:t xml:space="preserve">por </w:t>
      </w:r>
      <w:r>
        <w:rPr>
          <w:rFonts w:eastAsia="SimSun"/>
          <w:szCs w:val="22"/>
          <w:lang w:val="es-ES" w:eastAsia="zh-CN"/>
        </w:rPr>
        <w:t xml:space="preserve"> órganos</w:t>
      </w:r>
      <w:proofErr w:type="gramEnd"/>
      <w:r>
        <w:rPr>
          <w:rFonts w:eastAsia="SimSun"/>
          <w:szCs w:val="22"/>
          <w:lang w:val="es-ES" w:eastAsia="zh-CN"/>
        </w:rPr>
        <w:t xml:space="preserve"> </w:t>
      </w:r>
      <w:r w:rsidR="00CB7369">
        <w:rPr>
          <w:rFonts w:eastAsia="SimSun"/>
          <w:szCs w:val="22"/>
          <w:lang w:val="es-ES" w:eastAsia="zh-CN"/>
        </w:rPr>
        <w:t xml:space="preserve">y sistemas </w:t>
      </w:r>
      <w:r w:rsidR="00CB7369" w:rsidRPr="004A3215">
        <w:rPr>
          <w:rFonts w:eastAsia="SimSun"/>
          <w:szCs w:val="22"/>
          <w:lang w:val="es-ES" w:eastAsia="zh-CN"/>
        </w:rPr>
        <w:t xml:space="preserve">de </w:t>
      </w:r>
      <w:r w:rsidRPr="004A3215">
        <w:rPr>
          <w:rFonts w:eastAsia="SimSun"/>
          <w:szCs w:val="22"/>
          <w:lang w:val="es-ES" w:eastAsia="zh-CN"/>
        </w:rPr>
        <w:t xml:space="preserve">MedDRA </w:t>
      </w:r>
      <w:r w:rsidR="00252E17" w:rsidRPr="004A3215">
        <w:rPr>
          <w:rFonts w:eastAsia="SimSun"/>
          <w:szCs w:val="22"/>
          <w:lang w:val="es-ES" w:eastAsia="zh-CN"/>
        </w:rPr>
        <w:t xml:space="preserve">(SOC, por sus siglas en inglés) </w:t>
      </w:r>
      <w:r w:rsidRPr="004A3215">
        <w:rPr>
          <w:rFonts w:eastAsia="SimSun"/>
          <w:szCs w:val="22"/>
          <w:lang w:val="es-ES" w:eastAsia="zh-CN"/>
        </w:rPr>
        <w:t>en la</w:t>
      </w:r>
      <w:r>
        <w:rPr>
          <w:rFonts w:eastAsia="SimSun"/>
          <w:szCs w:val="22"/>
          <w:lang w:val="es-ES" w:eastAsia="zh-CN"/>
        </w:rPr>
        <w:t xml:space="preserve"> Tabla </w:t>
      </w:r>
      <w:r w:rsidRPr="005C4B32">
        <w:rPr>
          <w:rFonts w:eastAsia="SimSun"/>
          <w:szCs w:val="22"/>
          <w:lang w:val="es-ES" w:eastAsia="zh-CN"/>
        </w:rPr>
        <w:t xml:space="preserve">2, se han </w:t>
      </w:r>
      <w:r>
        <w:rPr>
          <w:rFonts w:eastAsia="SimSun"/>
          <w:szCs w:val="22"/>
          <w:lang w:val="es-ES" w:eastAsia="zh-CN"/>
        </w:rPr>
        <w:t>relacionado</w:t>
      </w:r>
      <w:r w:rsidRPr="005C4B32">
        <w:rPr>
          <w:rFonts w:eastAsia="SimSun"/>
          <w:szCs w:val="22"/>
          <w:lang w:val="es-ES" w:eastAsia="zh-CN"/>
        </w:rPr>
        <w:t xml:space="preserve"> a partir de eventos que ocurrieron en al menos el 3</w:t>
      </w:r>
      <w:r>
        <w:rPr>
          <w:rFonts w:eastAsia="SimSun"/>
          <w:szCs w:val="22"/>
          <w:lang w:val="es-ES" w:eastAsia="zh-CN"/>
        </w:rPr>
        <w:t> </w:t>
      </w:r>
      <w:r w:rsidRPr="005C4B32">
        <w:rPr>
          <w:rFonts w:eastAsia="SimSun"/>
          <w:szCs w:val="22"/>
          <w:lang w:val="es-ES" w:eastAsia="zh-CN"/>
        </w:rPr>
        <w:t xml:space="preserve">% de los pacientes tratados con </w:t>
      </w:r>
      <w:r>
        <w:rPr>
          <w:rFonts w:eastAsia="SimSun"/>
          <w:szCs w:val="22"/>
          <w:lang w:val="es-ES" w:eastAsia="zh-CN"/>
        </w:rPr>
        <w:t>tocilizumab</w:t>
      </w:r>
      <w:r w:rsidRPr="005C4B32">
        <w:rPr>
          <w:rFonts w:eastAsia="SimSun"/>
          <w:szCs w:val="22"/>
          <w:lang w:val="es-ES" w:eastAsia="zh-CN"/>
        </w:rPr>
        <w:t xml:space="preserve"> y con más frecuencia que en los pacientes que recibieron placebo en la población </w:t>
      </w:r>
      <w:r>
        <w:rPr>
          <w:rFonts w:eastAsia="SimSun"/>
          <w:szCs w:val="22"/>
          <w:lang w:val="es-ES" w:eastAsia="zh-CN"/>
        </w:rPr>
        <w:t xml:space="preserve">agrupada </w:t>
      </w:r>
      <w:r w:rsidRPr="005C4B32">
        <w:rPr>
          <w:rFonts w:eastAsia="SimSun"/>
          <w:szCs w:val="22"/>
          <w:lang w:val="es-ES" w:eastAsia="zh-CN"/>
        </w:rPr>
        <w:t>evaluable</w:t>
      </w:r>
      <w:r>
        <w:rPr>
          <w:rFonts w:eastAsia="SimSun"/>
          <w:szCs w:val="22"/>
          <w:lang w:val="es-ES" w:eastAsia="zh-CN"/>
        </w:rPr>
        <w:t xml:space="preserve"> de seguridad</w:t>
      </w:r>
      <w:r w:rsidRPr="005C4B32">
        <w:rPr>
          <w:rFonts w:eastAsia="SimSun"/>
          <w:szCs w:val="22"/>
          <w:lang w:val="es-ES" w:eastAsia="zh-CN"/>
        </w:rPr>
        <w:t xml:space="preserve"> de los estudios clínicos ML42528, WA42380 y WA42511</w:t>
      </w:r>
      <w:r>
        <w:rPr>
          <w:rFonts w:eastAsia="SimSun"/>
          <w:szCs w:val="22"/>
          <w:lang w:val="es-ES" w:eastAsia="zh-CN"/>
        </w:rPr>
        <w:t>.</w:t>
      </w:r>
    </w:p>
    <w:p w14:paraId="575F063F" w14:textId="77777777" w:rsidR="00ED1E1D" w:rsidRDefault="00ED1E1D" w:rsidP="00ED1E1D">
      <w:pPr>
        <w:rPr>
          <w:lang w:val="es-ES"/>
        </w:rPr>
      </w:pPr>
    </w:p>
    <w:p w14:paraId="737F7474" w14:textId="059514AE" w:rsidR="000969B2" w:rsidRDefault="000969B2" w:rsidP="00F30AB8">
      <w:pPr>
        <w:keepNext/>
        <w:keepLines/>
        <w:autoSpaceDE w:val="0"/>
        <w:autoSpaceDN w:val="0"/>
        <w:adjustRightInd w:val="0"/>
        <w:rPr>
          <w:rFonts w:eastAsia="SimSun"/>
          <w:i/>
          <w:szCs w:val="22"/>
          <w:vertAlign w:val="superscript"/>
          <w:lang w:val="es-ES" w:eastAsia="zh-CN"/>
        </w:rPr>
      </w:pPr>
      <w:r w:rsidRPr="00376697">
        <w:rPr>
          <w:rFonts w:eastAsia="SimSun"/>
          <w:i/>
          <w:szCs w:val="22"/>
          <w:lang w:val="es-ES" w:eastAsia="zh-CN"/>
        </w:rPr>
        <w:t>Tabla</w:t>
      </w:r>
      <w:r>
        <w:rPr>
          <w:rFonts w:eastAsia="SimSun"/>
          <w:i/>
          <w:szCs w:val="22"/>
          <w:lang w:val="es-ES" w:eastAsia="zh-CN"/>
        </w:rPr>
        <w:t> </w:t>
      </w:r>
      <w:r w:rsidRPr="00F30AB8">
        <w:rPr>
          <w:rFonts w:eastAsia="SimSun"/>
          <w:i/>
          <w:szCs w:val="22"/>
          <w:lang w:val="es-ES" w:eastAsia="zh-CN"/>
        </w:rPr>
        <w:t>2</w:t>
      </w:r>
      <w:ins w:id="149" w:author="AUTHOR">
        <w:r w:rsidR="009E094B">
          <w:rPr>
            <w:rFonts w:eastAsia="SimSun"/>
            <w:i/>
            <w:szCs w:val="22"/>
            <w:lang w:val="es-ES" w:eastAsia="zh-CN"/>
          </w:rPr>
          <w:t>.</w:t>
        </w:r>
      </w:ins>
      <w:del w:id="150" w:author="AUTHOR">
        <w:r w:rsidRPr="00F30AB8" w:rsidDel="009E094B">
          <w:rPr>
            <w:rFonts w:eastAsia="SimSun"/>
            <w:i/>
            <w:szCs w:val="22"/>
            <w:lang w:val="es-ES" w:eastAsia="zh-CN"/>
          </w:rPr>
          <w:delText>:</w:delText>
        </w:r>
      </w:del>
      <w:r w:rsidRPr="00F30AB8">
        <w:rPr>
          <w:rFonts w:eastAsia="SimSun"/>
          <w:i/>
          <w:szCs w:val="22"/>
          <w:lang w:val="es-ES" w:eastAsia="zh-CN"/>
        </w:rPr>
        <w:t xml:space="preserve"> Lista de reacciones adversas</w:t>
      </w:r>
      <w:r w:rsidRPr="00F30AB8">
        <w:rPr>
          <w:rFonts w:eastAsia="SimSun"/>
          <w:i/>
          <w:szCs w:val="22"/>
          <w:vertAlign w:val="superscript"/>
          <w:lang w:val="es-ES" w:eastAsia="zh-CN"/>
        </w:rPr>
        <w:t>1</w:t>
      </w:r>
      <w:r w:rsidRPr="00F30AB8">
        <w:rPr>
          <w:rFonts w:eastAsia="SimSun"/>
          <w:i/>
          <w:szCs w:val="22"/>
          <w:lang w:val="es-ES" w:eastAsia="zh-CN"/>
        </w:rPr>
        <w:t xml:space="preserve"> identificadas a partir de la población combinada con evaluación de seguridad de los estudios clínicos de </w:t>
      </w:r>
      <w:del w:id="151" w:author="AUTHOR">
        <w:r w:rsidRPr="00F30AB8" w:rsidDel="009E094B">
          <w:rPr>
            <w:rFonts w:eastAsia="SimSun"/>
            <w:i/>
            <w:szCs w:val="22"/>
            <w:lang w:val="es-ES" w:eastAsia="zh-CN"/>
          </w:rPr>
          <w:delText xml:space="preserve">RoActemra </w:delText>
        </w:r>
      </w:del>
      <w:ins w:id="152" w:author="AUTHOR">
        <w:r w:rsidR="009E094B">
          <w:rPr>
            <w:rFonts w:eastAsia="SimSun"/>
            <w:i/>
            <w:szCs w:val="22"/>
            <w:lang w:val="es-ES" w:eastAsia="zh-CN"/>
          </w:rPr>
          <w:t>tocilizumab</w:t>
        </w:r>
        <w:r w:rsidR="009E094B" w:rsidRPr="00F30AB8">
          <w:rPr>
            <w:rFonts w:eastAsia="SimSun"/>
            <w:i/>
            <w:szCs w:val="22"/>
            <w:lang w:val="es-ES" w:eastAsia="zh-CN"/>
          </w:rPr>
          <w:t xml:space="preserve"> </w:t>
        </w:r>
      </w:ins>
      <w:r w:rsidRPr="00F30AB8">
        <w:rPr>
          <w:rFonts w:eastAsia="SimSun"/>
          <w:i/>
          <w:szCs w:val="22"/>
          <w:lang w:val="es-ES" w:eastAsia="zh-CN"/>
        </w:rPr>
        <w:t>en pacientes con COVID-19</w:t>
      </w:r>
      <w:r w:rsidRPr="00F30AB8">
        <w:rPr>
          <w:rFonts w:eastAsia="SimSun"/>
          <w:i/>
          <w:szCs w:val="22"/>
          <w:vertAlign w:val="superscript"/>
          <w:lang w:val="es-ES" w:eastAsia="zh-CN"/>
        </w:rPr>
        <w:t>2</w:t>
      </w:r>
    </w:p>
    <w:p w14:paraId="7BA3709C" w14:textId="77777777" w:rsidR="000969B2" w:rsidRPr="00F30AB8" w:rsidRDefault="000969B2" w:rsidP="00F30AB8">
      <w:pPr>
        <w:keepNext/>
        <w:keepLines/>
        <w:autoSpaceDE w:val="0"/>
        <w:autoSpaceDN w:val="0"/>
        <w:adjustRightInd w:val="0"/>
        <w:rPr>
          <w:rFonts w:eastAsia="SimSun"/>
          <w:i/>
          <w:szCs w:val="22"/>
          <w:lang w:val="es-ES" w:eastAsia="zh-CN"/>
        </w:rPr>
      </w:pPr>
    </w:p>
    <w:tbl>
      <w:tblPr>
        <w:tblW w:w="73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0"/>
        <w:gridCol w:w="4253"/>
      </w:tblGrid>
      <w:tr w:rsidR="000969B2" w:rsidRPr="00541248" w14:paraId="0DB20A48" w14:textId="77777777" w:rsidTr="00F30AB8">
        <w:tc>
          <w:tcPr>
            <w:tcW w:w="3090" w:type="dxa"/>
          </w:tcPr>
          <w:p w14:paraId="48241538" w14:textId="0A2662C7" w:rsidR="000969B2" w:rsidRPr="004B67DA" w:rsidRDefault="00CB7369" w:rsidP="00F30AB8">
            <w:pPr>
              <w:keepNext/>
              <w:keepLines/>
              <w:rPr>
                <w:rFonts w:eastAsia="SimSun"/>
                <w:color w:val="000000"/>
                <w:szCs w:val="22"/>
                <w:lang w:val="es-ES"/>
              </w:rPr>
            </w:pPr>
            <w:r>
              <w:rPr>
                <w:rFonts w:eastAsia="SimSun"/>
                <w:b/>
                <w:color w:val="000000"/>
                <w:szCs w:val="22"/>
                <w:lang w:val="es-ES"/>
              </w:rPr>
              <w:t>C</w:t>
            </w:r>
            <w:r w:rsidR="000969B2" w:rsidRPr="004B67DA">
              <w:rPr>
                <w:rFonts w:eastAsia="SimSun"/>
                <w:b/>
                <w:color w:val="000000"/>
                <w:szCs w:val="22"/>
                <w:lang w:val="es-ES"/>
              </w:rPr>
              <w:t xml:space="preserve">lasificación </w:t>
            </w:r>
            <w:r>
              <w:rPr>
                <w:rFonts w:eastAsia="SimSun"/>
                <w:b/>
                <w:color w:val="000000"/>
                <w:szCs w:val="22"/>
                <w:lang w:val="es-ES"/>
              </w:rPr>
              <w:t>por</w:t>
            </w:r>
            <w:r w:rsidR="000969B2" w:rsidRPr="004B67DA">
              <w:rPr>
                <w:rFonts w:eastAsia="SimSun"/>
                <w:b/>
                <w:color w:val="000000"/>
                <w:szCs w:val="22"/>
                <w:lang w:val="es-ES"/>
              </w:rPr>
              <w:t xml:space="preserve"> órganos </w:t>
            </w:r>
            <w:r>
              <w:rPr>
                <w:rFonts w:eastAsia="SimSun"/>
                <w:b/>
                <w:color w:val="000000"/>
                <w:szCs w:val="22"/>
                <w:lang w:val="es-ES"/>
              </w:rPr>
              <w:t xml:space="preserve">y sistemas de </w:t>
            </w:r>
            <w:r w:rsidR="000969B2" w:rsidRPr="004B67DA">
              <w:rPr>
                <w:rFonts w:eastAsia="SimSun"/>
                <w:b/>
                <w:color w:val="000000"/>
                <w:szCs w:val="22"/>
                <w:lang w:val="es-ES"/>
              </w:rPr>
              <w:t>MedDRA</w:t>
            </w:r>
            <w:r w:rsidR="00315352">
              <w:rPr>
                <w:rFonts w:eastAsia="SimSun"/>
                <w:b/>
                <w:color w:val="000000"/>
                <w:szCs w:val="22"/>
                <w:lang w:val="es-ES"/>
              </w:rPr>
              <w:t xml:space="preserve"> (SOC)</w:t>
            </w:r>
          </w:p>
        </w:tc>
        <w:tc>
          <w:tcPr>
            <w:tcW w:w="4253" w:type="dxa"/>
          </w:tcPr>
          <w:p w14:paraId="35C60BC0" w14:textId="13ED7FC2" w:rsidR="00315352" w:rsidRPr="00F30AB8" w:rsidRDefault="00315352" w:rsidP="00F30AB8">
            <w:pPr>
              <w:keepNext/>
              <w:keepLines/>
              <w:jc w:val="center"/>
              <w:rPr>
                <w:rFonts w:eastAsia="SimSun"/>
                <w:b/>
                <w:color w:val="000000"/>
                <w:szCs w:val="22"/>
                <w:lang w:val="es-ES"/>
              </w:rPr>
            </w:pPr>
            <w:del w:id="153" w:author="AUTHOR">
              <w:r w:rsidRPr="00F30AB8" w:rsidDel="009E094B">
                <w:rPr>
                  <w:rFonts w:eastAsia="SimSun"/>
                  <w:b/>
                  <w:color w:val="000000"/>
                  <w:szCs w:val="22"/>
                  <w:lang w:val="es-ES"/>
                </w:rPr>
                <w:delText xml:space="preserve">Tèrmino </w:delText>
              </w:r>
            </w:del>
            <w:ins w:id="154" w:author="AUTHOR">
              <w:r w:rsidR="009E094B" w:rsidRPr="00F30AB8">
                <w:rPr>
                  <w:rFonts w:eastAsia="SimSun"/>
                  <w:b/>
                  <w:color w:val="000000"/>
                  <w:szCs w:val="22"/>
                  <w:lang w:val="es-ES"/>
                </w:rPr>
                <w:t>T</w:t>
              </w:r>
              <w:r w:rsidR="009E094B">
                <w:rPr>
                  <w:rFonts w:eastAsia="SimSun"/>
                  <w:b/>
                  <w:color w:val="000000"/>
                  <w:szCs w:val="22"/>
                  <w:lang w:val="es-ES"/>
                </w:rPr>
                <w:t>é</w:t>
              </w:r>
              <w:r w:rsidR="009E094B" w:rsidRPr="00F30AB8">
                <w:rPr>
                  <w:rFonts w:eastAsia="SimSun"/>
                  <w:b/>
                  <w:color w:val="000000"/>
                  <w:szCs w:val="22"/>
                  <w:lang w:val="es-ES"/>
                </w:rPr>
                <w:t xml:space="preserve">rmino </w:t>
              </w:r>
            </w:ins>
            <w:r w:rsidRPr="00F30AB8">
              <w:rPr>
                <w:rFonts w:eastAsia="SimSun"/>
                <w:b/>
                <w:color w:val="000000"/>
                <w:szCs w:val="22"/>
                <w:lang w:val="es-ES"/>
              </w:rPr>
              <w:t>Preferente y frecuencia</w:t>
            </w:r>
          </w:p>
          <w:p w14:paraId="2B4EEB9F" w14:textId="37C5AE8C" w:rsidR="000969B2" w:rsidRPr="00F30AB8" w:rsidRDefault="000969B2" w:rsidP="00F30AB8">
            <w:pPr>
              <w:keepNext/>
              <w:keepLines/>
              <w:jc w:val="center"/>
              <w:rPr>
                <w:rFonts w:eastAsia="SimSun"/>
                <w:b/>
                <w:color w:val="000000"/>
                <w:szCs w:val="22"/>
                <w:lang w:val="es-ES"/>
              </w:rPr>
            </w:pPr>
            <w:r w:rsidRPr="00F30AB8">
              <w:rPr>
                <w:rFonts w:eastAsia="SimSun"/>
                <w:b/>
                <w:color w:val="000000"/>
                <w:szCs w:val="22"/>
                <w:lang w:val="es-ES"/>
              </w:rPr>
              <w:t>Frecuentes</w:t>
            </w:r>
          </w:p>
        </w:tc>
      </w:tr>
      <w:tr w:rsidR="000969B2" w14:paraId="748890FC" w14:textId="77777777" w:rsidTr="00F30AB8">
        <w:tc>
          <w:tcPr>
            <w:tcW w:w="3090" w:type="dxa"/>
          </w:tcPr>
          <w:p w14:paraId="024125A1" w14:textId="77777777" w:rsidR="000969B2" w:rsidRDefault="000969B2" w:rsidP="00CF1766">
            <w:pPr>
              <w:keepNext/>
              <w:keepLines/>
              <w:widowControl w:val="0"/>
              <w:rPr>
                <w:szCs w:val="22"/>
              </w:rPr>
            </w:pPr>
            <w:r w:rsidRPr="00037A04">
              <w:rPr>
                <w:szCs w:val="22"/>
              </w:rPr>
              <w:t>Infecciones e infestaciones</w:t>
            </w:r>
          </w:p>
          <w:p w14:paraId="184D512E" w14:textId="77777777" w:rsidR="000969B2" w:rsidRPr="004B67DA" w:rsidRDefault="000969B2" w:rsidP="00CF1766">
            <w:pPr>
              <w:keepNext/>
              <w:keepLines/>
              <w:widowControl w:val="0"/>
              <w:rPr>
                <w:szCs w:val="22"/>
              </w:rPr>
            </w:pPr>
          </w:p>
        </w:tc>
        <w:tc>
          <w:tcPr>
            <w:tcW w:w="4253" w:type="dxa"/>
          </w:tcPr>
          <w:p w14:paraId="69301453" w14:textId="77777777" w:rsidR="000969B2" w:rsidRPr="00037A04" w:rsidRDefault="000969B2" w:rsidP="00CF1766">
            <w:pPr>
              <w:keepNext/>
              <w:keepLines/>
              <w:widowControl w:val="0"/>
              <w:rPr>
                <w:rFonts w:ascii="Arial" w:eastAsia="SimSun" w:hAnsi="Arial"/>
                <w:color w:val="000000"/>
                <w:szCs w:val="22"/>
                <w:lang w:val="en-GB"/>
              </w:rPr>
            </w:pPr>
            <w:r>
              <w:rPr>
                <w:szCs w:val="22"/>
              </w:rPr>
              <w:t>Infecciones del tracto urinario</w:t>
            </w:r>
          </w:p>
        </w:tc>
      </w:tr>
      <w:tr w:rsidR="000969B2" w14:paraId="295FE79C" w14:textId="77777777" w:rsidTr="00F30AB8">
        <w:tc>
          <w:tcPr>
            <w:tcW w:w="3090" w:type="dxa"/>
          </w:tcPr>
          <w:p w14:paraId="362F15C6" w14:textId="77777777" w:rsidR="000969B2" w:rsidRDefault="000969B2" w:rsidP="00CF1766">
            <w:pPr>
              <w:keepNext/>
              <w:keepLines/>
              <w:widowControl w:val="0"/>
              <w:rPr>
                <w:szCs w:val="22"/>
                <w:lang w:val="es-ES"/>
              </w:rPr>
            </w:pPr>
            <w:r w:rsidRPr="0081232F">
              <w:rPr>
                <w:szCs w:val="22"/>
                <w:lang w:val="es-ES"/>
              </w:rPr>
              <w:t>Trastornos del metabolismo y la nutrición</w:t>
            </w:r>
          </w:p>
          <w:p w14:paraId="47631B14" w14:textId="77777777" w:rsidR="000969B2" w:rsidRPr="004B67DA" w:rsidRDefault="000969B2" w:rsidP="00CF1766">
            <w:pPr>
              <w:keepNext/>
              <w:keepLines/>
              <w:widowControl w:val="0"/>
              <w:rPr>
                <w:rFonts w:ascii="Arial" w:eastAsia="SimSun" w:hAnsi="Arial"/>
                <w:b/>
                <w:color w:val="000000"/>
                <w:szCs w:val="22"/>
                <w:lang w:val="es-ES"/>
              </w:rPr>
            </w:pPr>
          </w:p>
        </w:tc>
        <w:tc>
          <w:tcPr>
            <w:tcW w:w="4253" w:type="dxa"/>
          </w:tcPr>
          <w:p w14:paraId="4012B96A" w14:textId="77777777" w:rsidR="000969B2" w:rsidRPr="00037A04" w:rsidRDefault="000969B2" w:rsidP="00CF1766">
            <w:pPr>
              <w:keepNext/>
              <w:keepLines/>
              <w:widowControl w:val="0"/>
              <w:rPr>
                <w:rFonts w:ascii="Arial" w:eastAsia="SimSun" w:hAnsi="Arial"/>
                <w:color w:val="000000"/>
                <w:szCs w:val="22"/>
                <w:lang w:val="en-GB"/>
              </w:rPr>
            </w:pPr>
            <w:r w:rsidRPr="00037A04">
              <w:rPr>
                <w:szCs w:val="22"/>
              </w:rPr>
              <w:t>Hipopotasemia</w:t>
            </w:r>
          </w:p>
        </w:tc>
      </w:tr>
      <w:tr w:rsidR="000969B2" w14:paraId="53B5C98A" w14:textId="77777777" w:rsidTr="00F30AB8">
        <w:tc>
          <w:tcPr>
            <w:tcW w:w="3090" w:type="dxa"/>
          </w:tcPr>
          <w:p w14:paraId="5F4505D1" w14:textId="77777777" w:rsidR="000969B2" w:rsidRDefault="000969B2" w:rsidP="00CF1766">
            <w:pPr>
              <w:keepNext/>
              <w:keepLines/>
              <w:widowControl w:val="0"/>
              <w:rPr>
                <w:szCs w:val="22"/>
              </w:rPr>
            </w:pPr>
            <w:r w:rsidRPr="00037A04">
              <w:rPr>
                <w:szCs w:val="22"/>
              </w:rPr>
              <w:t>Trastornos</w:t>
            </w:r>
            <w:r>
              <w:rPr>
                <w:szCs w:val="22"/>
              </w:rPr>
              <w:t xml:space="preserve"> psiquiátricos</w:t>
            </w:r>
          </w:p>
          <w:p w14:paraId="75FCFAF7" w14:textId="77777777" w:rsidR="000969B2" w:rsidRPr="00037A04" w:rsidRDefault="000969B2" w:rsidP="00CF1766">
            <w:pPr>
              <w:keepNext/>
              <w:keepLines/>
              <w:widowControl w:val="0"/>
              <w:rPr>
                <w:rFonts w:ascii="Arial" w:eastAsia="SimSun" w:hAnsi="Arial"/>
                <w:b/>
                <w:color w:val="000000"/>
                <w:szCs w:val="22"/>
                <w:lang w:val="en-GB"/>
              </w:rPr>
            </w:pPr>
          </w:p>
        </w:tc>
        <w:tc>
          <w:tcPr>
            <w:tcW w:w="4253" w:type="dxa"/>
          </w:tcPr>
          <w:p w14:paraId="0534BFFC" w14:textId="77777777" w:rsidR="000969B2" w:rsidRPr="00037A04" w:rsidRDefault="000969B2" w:rsidP="00CF1766">
            <w:pPr>
              <w:keepNext/>
              <w:keepLines/>
              <w:widowControl w:val="0"/>
              <w:rPr>
                <w:rFonts w:ascii="Arial" w:eastAsia="SimSun" w:hAnsi="Arial"/>
                <w:color w:val="000000"/>
                <w:szCs w:val="22"/>
                <w:lang w:val="en-GB"/>
              </w:rPr>
            </w:pPr>
            <w:r>
              <w:rPr>
                <w:szCs w:val="22"/>
              </w:rPr>
              <w:t>Ansiedad, Insomnio</w:t>
            </w:r>
          </w:p>
        </w:tc>
      </w:tr>
      <w:tr w:rsidR="000969B2" w14:paraId="306C411D" w14:textId="77777777" w:rsidTr="00F30AB8">
        <w:trPr>
          <w:trHeight w:val="501"/>
        </w:trPr>
        <w:tc>
          <w:tcPr>
            <w:tcW w:w="3090" w:type="dxa"/>
          </w:tcPr>
          <w:p w14:paraId="0001864F" w14:textId="77777777" w:rsidR="000969B2" w:rsidRPr="00037A04" w:rsidRDefault="000969B2" w:rsidP="00CF1766">
            <w:pPr>
              <w:keepNext/>
              <w:keepLines/>
              <w:widowControl w:val="0"/>
              <w:rPr>
                <w:rFonts w:ascii="Arial" w:eastAsia="SimSun" w:hAnsi="Arial"/>
                <w:b/>
                <w:color w:val="000000"/>
                <w:szCs w:val="22"/>
                <w:lang w:val="en-GB"/>
              </w:rPr>
            </w:pPr>
            <w:r w:rsidRPr="00037A04">
              <w:rPr>
                <w:szCs w:val="22"/>
              </w:rPr>
              <w:t>Trastornos vasculares</w:t>
            </w:r>
          </w:p>
        </w:tc>
        <w:tc>
          <w:tcPr>
            <w:tcW w:w="4253" w:type="dxa"/>
          </w:tcPr>
          <w:p w14:paraId="558A29A3" w14:textId="77777777" w:rsidR="000969B2" w:rsidRPr="000C4151" w:rsidRDefault="000969B2" w:rsidP="00CF1766">
            <w:pPr>
              <w:keepNext/>
              <w:keepLines/>
              <w:widowControl w:val="0"/>
              <w:rPr>
                <w:szCs w:val="22"/>
              </w:rPr>
            </w:pPr>
            <w:r w:rsidRPr="000C4151">
              <w:rPr>
                <w:szCs w:val="22"/>
              </w:rPr>
              <w:t>H</w:t>
            </w:r>
            <w:r>
              <w:rPr>
                <w:szCs w:val="22"/>
              </w:rPr>
              <w:t>ipertensió</w:t>
            </w:r>
            <w:r w:rsidRPr="000C4151">
              <w:rPr>
                <w:szCs w:val="22"/>
              </w:rPr>
              <w:t>n</w:t>
            </w:r>
          </w:p>
        </w:tc>
      </w:tr>
      <w:tr w:rsidR="000969B2" w:rsidRPr="004B67DA" w14:paraId="11E596A0" w14:textId="77777777" w:rsidTr="00F30AB8">
        <w:trPr>
          <w:trHeight w:val="501"/>
        </w:trPr>
        <w:tc>
          <w:tcPr>
            <w:tcW w:w="3090" w:type="dxa"/>
          </w:tcPr>
          <w:p w14:paraId="440AB047" w14:textId="77777777" w:rsidR="000969B2" w:rsidRPr="000C4151" w:rsidRDefault="000969B2" w:rsidP="00CF1766">
            <w:pPr>
              <w:keepNext/>
              <w:keepLines/>
              <w:widowControl w:val="0"/>
              <w:rPr>
                <w:szCs w:val="22"/>
              </w:rPr>
            </w:pPr>
            <w:r w:rsidRPr="00037A04">
              <w:rPr>
                <w:szCs w:val="22"/>
              </w:rPr>
              <w:t>Trastornos</w:t>
            </w:r>
            <w:r w:rsidRPr="000C4151">
              <w:rPr>
                <w:szCs w:val="22"/>
              </w:rPr>
              <w:t xml:space="preserve"> </w:t>
            </w:r>
            <w:r>
              <w:rPr>
                <w:szCs w:val="22"/>
              </w:rPr>
              <w:t xml:space="preserve"> gastrointestinales</w:t>
            </w:r>
          </w:p>
        </w:tc>
        <w:tc>
          <w:tcPr>
            <w:tcW w:w="4253" w:type="dxa"/>
          </w:tcPr>
          <w:p w14:paraId="69197D37" w14:textId="77777777" w:rsidR="000969B2" w:rsidRPr="004B67DA" w:rsidRDefault="000969B2" w:rsidP="00CF1766">
            <w:pPr>
              <w:keepNext/>
              <w:keepLines/>
              <w:widowControl w:val="0"/>
              <w:rPr>
                <w:szCs w:val="22"/>
                <w:lang w:val="es-ES"/>
              </w:rPr>
            </w:pPr>
            <w:r w:rsidRPr="004B67DA">
              <w:rPr>
                <w:szCs w:val="22"/>
                <w:lang w:val="es-ES"/>
              </w:rPr>
              <w:t>Estreñimiento, diarrea, náuseas</w:t>
            </w:r>
          </w:p>
        </w:tc>
      </w:tr>
      <w:tr w:rsidR="000969B2" w:rsidRPr="00541248" w14:paraId="4121FAB5" w14:textId="77777777" w:rsidTr="00F30AB8">
        <w:trPr>
          <w:trHeight w:val="501"/>
        </w:trPr>
        <w:tc>
          <w:tcPr>
            <w:tcW w:w="3090" w:type="dxa"/>
          </w:tcPr>
          <w:p w14:paraId="2FD04454" w14:textId="77777777" w:rsidR="000969B2" w:rsidRPr="000C4151" w:rsidRDefault="000969B2" w:rsidP="00CF1766">
            <w:pPr>
              <w:keepLines/>
              <w:widowControl w:val="0"/>
              <w:rPr>
                <w:szCs w:val="22"/>
              </w:rPr>
            </w:pPr>
            <w:r w:rsidRPr="00037A04">
              <w:rPr>
                <w:szCs w:val="22"/>
              </w:rPr>
              <w:t>Trastornos</w:t>
            </w:r>
            <w:r w:rsidRPr="000C4151">
              <w:rPr>
                <w:szCs w:val="22"/>
              </w:rPr>
              <w:t xml:space="preserve"> </w:t>
            </w:r>
            <w:r>
              <w:rPr>
                <w:szCs w:val="22"/>
              </w:rPr>
              <w:t>h</w:t>
            </w:r>
            <w:r w:rsidRPr="000C4151">
              <w:rPr>
                <w:szCs w:val="22"/>
              </w:rPr>
              <w:t>epatobiliar</w:t>
            </w:r>
            <w:r>
              <w:rPr>
                <w:szCs w:val="22"/>
              </w:rPr>
              <w:t>es</w:t>
            </w:r>
          </w:p>
        </w:tc>
        <w:tc>
          <w:tcPr>
            <w:tcW w:w="4253" w:type="dxa"/>
          </w:tcPr>
          <w:p w14:paraId="63DA19F0" w14:textId="77777777" w:rsidR="000969B2" w:rsidRPr="004B67DA" w:rsidRDefault="000969B2" w:rsidP="00CF1766">
            <w:pPr>
              <w:keepNext/>
              <w:keepLines/>
              <w:widowControl w:val="0"/>
              <w:rPr>
                <w:szCs w:val="22"/>
                <w:lang w:val="es-ES"/>
              </w:rPr>
            </w:pPr>
            <w:r w:rsidRPr="0081232F">
              <w:rPr>
                <w:szCs w:val="22"/>
                <w:lang w:val="es-ES"/>
              </w:rPr>
              <w:t>Aumento de las transaminasas hepáticas</w:t>
            </w:r>
          </w:p>
        </w:tc>
      </w:tr>
    </w:tbl>
    <w:p w14:paraId="4F9BC885" w14:textId="77777777" w:rsidR="000969B2" w:rsidRPr="00F30AB8" w:rsidRDefault="000969B2" w:rsidP="00F30AB8">
      <w:pPr>
        <w:rPr>
          <w:rFonts w:cs="Arial"/>
          <w:sz w:val="18"/>
          <w:szCs w:val="18"/>
          <w:lang w:val="es-ES"/>
        </w:rPr>
      </w:pPr>
      <w:r w:rsidRPr="00F30AB8">
        <w:rPr>
          <w:rFonts w:cs="Arial"/>
          <w:sz w:val="18"/>
          <w:szCs w:val="18"/>
          <w:vertAlign w:val="superscript"/>
          <w:lang w:val="es-ES"/>
        </w:rPr>
        <w:t>1</w:t>
      </w:r>
      <w:r w:rsidRPr="00F30AB8">
        <w:rPr>
          <w:rFonts w:cs="Arial"/>
          <w:sz w:val="18"/>
          <w:szCs w:val="18"/>
          <w:lang w:val="es-ES"/>
        </w:rPr>
        <w:t xml:space="preserve"> Los pacientes se cuentan una vez para cada categoría independientemente del número de reacciones</w:t>
      </w:r>
    </w:p>
    <w:p w14:paraId="26687D32" w14:textId="7DF745B1" w:rsidR="000969B2" w:rsidRPr="00F30AB8" w:rsidDel="00D6477D" w:rsidRDefault="000969B2" w:rsidP="00F30AB8">
      <w:pPr>
        <w:rPr>
          <w:del w:id="155" w:author="tcs" w:date="2026-02-26T10:59:00Z"/>
          <w:rFonts w:cs="Arial"/>
          <w:sz w:val="18"/>
          <w:szCs w:val="18"/>
          <w:lang w:val="es-ES"/>
        </w:rPr>
      </w:pPr>
      <w:r w:rsidRPr="00F30AB8">
        <w:rPr>
          <w:rFonts w:cs="Arial"/>
          <w:sz w:val="18"/>
          <w:szCs w:val="18"/>
          <w:vertAlign w:val="superscript"/>
          <w:lang w:val="es-ES"/>
        </w:rPr>
        <w:t>2</w:t>
      </w:r>
      <w:r w:rsidRPr="00F30AB8">
        <w:rPr>
          <w:rFonts w:cs="Arial"/>
          <w:sz w:val="18"/>
          <w:szCs w:val="18"/>
          <w:lang w:val="es-ES"/>
        </w:rPr>
        <w:t xml:space="preserve"> Incluye reacciones notificadas en los </w:t>
      </w:r>
      <w:del w:id="156" w:author="AUTHOR">
        <w:r w:rsidRPr="00F30AB8" w:rsidDel="006C4AF1">
          <w:rPr>
            <w:rFonts w:cs="Arial"/>
            <w:sz w:val="18"/>
            <w:szCs w:val="18"/>
            <w:lang w:val="es-ES"/>
          </w:rPr>
          <w:delText xml:space="preserve">estudios </w:delText>
        </w:r>
      </w:del>
      <w:ins w:id="157" w:author="AUTHOR">
        <w:r w:rsidR="006C4AF1">
          <w:rPr>
            <w:rFonts w:cs="Arial"/>
            <w:sz w:val="18"/>
            <w:szCs w:val="18"/>
            <w:lang w:val="es-ES"/>
          </w:rPr>
          <w:t>ensayos</w:t>
        </w:r>
        <w:r w:rsidR="006C4AF1" w:rsidRPr="00F30AB8">
          <w:rPr>
            <w:rFonts w:cs="Arial"/>
            <w:sz w:val="18"/>
            <w:szCs w:val="18"/>
            <w:lang w:val="es-ES"/>
          </w:rPr>
          <w:t xml:space="preserve"> </w:t>
        </w:r>
      </w:ins>
      <w:r w:rsidRPr="00F30AB8">
        <w:rPr>
          <w:rFonts w:cs="Arial"/>
          <w:sz w:val="18"/>
          <w:szCs w:val="18"/>
          <w:lang w:val="es-ES"/>
        </w:rPr>
        <w:t>WA42511, WA42380 y ML42528</w:t>
      </w:r>
    </w:p>
    <w:p w14:paraId="1197A9B4" w14:textId="77777777" w:rsidR="000969B2" w:rsidRDefault="000969B2" w:rsidP="00ED1E1D">
      <w:pPr>
        <w:rPr>
          <w:lang w:val="es-ES"/>
        </w:rPr>
      </w:pPr>
    </w:p>
    <w:p w14:paraId="191512E9" w14:textId="687F3C9C" w:rsidR="00D33DBC" w:rsidDel="00D33DBC" w:rsidRDefault="00AD5268" w:rsidP="000969B2">
      <w:pPr>
        <w:keepNext/>
        <w:keepLines/>
        <w:autoSpaceDE w:val="0"/>
        <w:autoSpaceDN w:val="0"/>
        <w:adjustRightInd w:val="0"/>
        <w:rPr>
          <w:del w:id="158" w:author="AUTHOR"/>
          <w:lang w:val="es-ES"/>
        </w:rPr>
      </w:pPr>
      <w:del w:id="159" w:author="AUTHOR">
        <w:r w:rsidRPr="00F30AB8" w:rsidDel="00D33DBC">
          <w:rPr>
            <w:lang w:val="es-ES"/>
          </w:rPr>
          <w:delText>Las reacciones adversas están enumeradas abajo por la clasificación por órganos y sistemas de MeDRA (SOC, por sus siglas en inglés) y categorías de frecuencia.</w:delText>
        </w:r>
      </w:del>
    </w:p>
    <w:p w14:paraId="64294B11" w14:textId="77777777" w:rsidR="00D33DBC" w:rsidRDefault="00D33DBC" w:rsidP="000969B2">
      <w:pPr>
        <w:keepNext/>
        <w:keepLines/>
        <w:autoSpaceDE w:val="0"/>
        <w:autoSpaceDN w:val="0"/>
        <w:adjustRightInd w:val="0"/>
        <w:rPr>
          <w:lang w:val="es-ES"/>
        </w:rPr>
      </w:pPr>
    </w:p>
    <w:p w14:paraId="371ABAC3" w14:textId="0609D494" w:rsidR="000969B2" w:rsidRPr="00D33DBC" w:rsidRDefault="000969B2" w:rsidP="00D33DBC">
      <w:pPr>
        <w:keepNext/>
        <w:keepLines/>
        <w:autoSpaceDE w:val="0"/>
        <w:autoSpaceDN w:val="0"/>
        <w:adjustRightInd w:val="0"/>
        <w:rPr>
          <w:rFonts w:eastAsia="SimSun"/>
          <w:i/>
          <w:szCs w:val="22"/>
          <w:lang w:val="es-ES" w:eastAsia="zh-CN"/>
        </w:rPr>
      </w:pPr>
      <w:r w:rsidRPr="00F30AB8">
        <w:rPr>
          <w:rFonts w:eastAsia="SimSun"/>
          <w:i/>
          <w:szCs w:val="22"/>
          <w:lang w:val="es-ES" w:eastAsia="zh-CN"/>
        </w:rPr>
        <w:t>Pacientes con AIJs o AIJp</w:t>
      </w:r>
    </w:p>
    <w:p w14:paraId="177B8F54" w14:textId="46BF3444" w:rsidR="000969B2" w:rsidRPr="008A106B" w:rsidRDefault="000969B2" w:rsidP="000969B2">
      <w:pPr>
        <w:rPr>
          <w:lang w:val="es-ES"/>
        </w:rPr>
      </w:pPr>
      <w:r w:rsidRPr="008A106B">
        <w:rPr>
          <w:lang w:val="es-ES_tradnl"/>
        </w:rPr>
        <w:t>L</w:t>
      </w:r>
      <w:r>
        <w:rPr>
          <w:lang w:val="es-ES_tradnl"/>
        </w:rPr>
        <w:t>as reacciones adversas</w:t>
      </w:r>
      <w:r w:rsidRPr="008A106B">
        <w:rPr>
          <w:lang w:val="es-ES_tradnl"/>
        </w:rPr>
        <w:t xml:space="preserve"> en pacientes con AIJs y AIJp tratados con tocilizumab se </w:t>
      </w:r>
      <w:r>
        <w:rPr>
          <w:lang w:val="es-ES_tradnl"/>
        </w:rPr>
        <w:t xml:space="preserve">presentan </w:t>
      </w:r>
      <w:r w:rsidRPr="008A106B">
        <w:rPr>
          <w:lang w:val="es-ES_tradnl"/>
        </w:rPr>
        <w:t>en la Tabla </w:t>
      </w:r>
      <w:r>
        <w:rPr>
          <w:lang w:val="es-ES_tradnl"/>
        </w:rPr>
        <w:t xml:space="preserve">3 </w:t>
      </w:r>
      <w:r w:rsidR="00AD5268" w:rsidRPr="004A3215">
        <w:rPr>
          <w:lang w:val="es-ES_tradnl"/>
        </w:rPr>
        <w:t>por órgano y sistemas MeDRA (SOC, por sus siglas en inglés) y categoría de frecuencia</w:t>
      </w:r>
      <w:r w:rsidRPr="004A3215">
        <w:rPr>
          <w:lang w:val="es-ES_tradnl"/>
        </w:rPr>
        <w:t xml:space="preserve">. </w:t>
      </w:r>
      <w:r w:rsidRPr="004A3215">
        <w:rPr>
          <w:lang w:val="es-ES"/>
        </w:rPr>
        <w:t xml:space="preserve">La </w:t>
      </w:r>
      <w:r w:rsidRPr="004A3215">
        <w:rPr>
          <w:lang w:val="es-ES"/>
        </w:rPr>
        <w:lastRenderedPageBreak/>
        <w:t>correspondiente categoría de frecuencia para cada reacción</w:t>
      </w:r>
      <w:r>
        <w:rPr>
          <w:lang w:val="es-ES"/>
        </w:rPr>
        <w:t xml:space="preserve"> adversa está basada </w:t>
      </w:r>
      <w:r w:rsidRPr="008A106B">
        <w:rPr>
          <w:lang w:val="es-ES"/>
        </w:rPr>
        <w:t xml:space="preserve">de la siguiente manera: </w:t>
      </w:r>
      <w:r w:rsidRPr="008A106B">
        <w:rPr>
          <w:lang w:val="es-ES_tradnl"/>
        </w:rPr>
        <w:t>muy frecuentes (≥1/10); frecuentes (≥1/100 a &lt;1/10) o poco frecuentes (≥1/1</w:t>
      </w:r>
      <w:r>
        <w:rPr>
          <w:lang w:val="es-ES_tradnl"/>
        </w:rPr>
        <w:t>.</w:t>
      </w:r>
      <w:r w:rsidRPr="008A106B">
        <w:rPr>
          <w:lang w:val="es-ES_tradnl"/>
        </w:rPr>
        <w:t>000 a &lt;1/100).</w:t>
      </w:r>
      <w:r w:rsidRPr="008A106B">
        <w:rPr>
          <w:lang w:val="es-ES"/>
        </w:rPr>
        <w:t xml:space="preserve"> </w:t>
      </w:r>
    </w:p>
    <w:p w14:paraId="7A363DBD" w14:textId="77777777" w:rsidR="000969B2" w:rsidRDefault="000969B2" w:rsidP="00ED1E1D">
      <w:pPr>
        <w:rPr>
          <w:lang w:val="es-ES"/>
        </w:rPr>
      </w:pPr>
    </w:p>
    <w:p w14:paraId="0DEB6CA8" w14:textId="29AECD2C" w:rsidR="00CF1766" w:rsidRDefault="00CF1766" w:rsidP="00CF1766">
      <w:pPr>
        <w:keepNext/>
        <w:keepLines/>
        <w:rPr>
          <w:b/>
          <w:szCs w:val="22"/>
          <w:lang w:val="es-ES"/>
        </w:rPr>
      </w:pPr>
      <w:r w:rsidRPr="000911DD">
        <w:rPr>
          <w:bCs/>
          <w:i/>
          <w:lang w:val="es-ES_tradnl"/>
        </w:rPr>
        <w:t>Tabla </w:t>
      </w:r>
      <w:r>
        <w:rPr>
          <w:bCs/>
          <w:i/>
          <w:lang w:val="es-ES_tradnl"/>
        </w:rPr>
        <w:t>3</w:t>
      </w:r>
      <w:del w:id="160" w:author="AUTHOR">
        <w:r w:rsidDel="009E094B">
          <w:rPr>
            <w:bCs/>
            <w:i/>
            <w:lang w:val="es-ES_tradnl"/>
          </w:rPr>
          <w:delText xml:space="preserve">: </w:delText>
        </w:r>
      </w:del>
      <w:ins w:id="161" w:author="AUTHOR">
        <w:r w:rsidR="009E094B">
          <w:rPr>
            <w:bCs/>
            <w:i/>
            <w:lang w:val="es-ES_tradnl"/>
          </w:rPr>
          <w:t xml:space="preserve">. </w:t>
        </w:r>
      </w:ins>
      <w:r>
        <w:rPr>
          <w:bCs/>
          <w:i/>
          <w:lang w:val="es-ES_tradnl"/>
        </w:rPr>
        <w:t xml:space="preserve">Lista </w:t>
      </w:r>
      <w:r w:rsidRPr="000911DD">
        <w:rPr>
          <w:bCs/>
          <w:i/>
          <w:lang w:val="es-ES_tradnl"/>
        </w:rPr>
        <w:t xml:space="preserve">de las </w:t>
      </w:r>
      <w:r>
        <w:rPr>
          <w:bCs/>
          <w:i/>
          <w:lang w:val="es-ES_tradnl"/>
        </w:rPr>
        <w:t>reacciones adversas</w:t>
      </w:r>
      <w:r w:rsidRPr="000911DD">
        <w:rPr>
          <w:bCs/>
          <w:i/>
          <w:lang w:val="es-ES_tradnl"/>
        </w:rPr>
        <w:t xml:space="preserve"> que se producen en pacientes</w:t>
      </w:r>
      <w:r>
        <w:rPr>
          <w:bCs/>
          <w:i/>
          <w:lang w:val="es-ES_tradnl"/>
        </w:rPr>
        <w:t xml:space="preserve"> de ensayos clínicos con AIJs o</w:t>
      </w:r>
      <w:r w:rsidRPr="000911DD">
        <w:rPr>
          <w:bCs/>
          <w:i/>
          <w:lang w:val="es-ES_tradnl"/>
        </w:rPr>
        <w:t xml:space="preserve"> AIJp que reciben tratamiento con tocilizumab como monoterapia o en combinación con MTX</w:t>
      </w:r>
      <w:r w:rsidRPr="00D20200">
        <w:rPr>
          <w:b/>
          <w:szCs w:val="22"/>
          <w:lang w:val="es-ES"/>
        </w:rPr>
        <w:t>.</w:t>
      </w:r>
    </w:p>
    <w:p w14:paraId="1BB41936" w14:textId="77777777" w:rsidR="00CF1766" w:rsidRPr="008A106B" w:rsidRDefault="00CF1766" w:rsidP="00CF1766">
      <w:pPr>
        <w:keepNext/>
        <w:keepLines/>
        <w:rPr>
          <w:b/>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4"/>
        <w:gridCol w:w="1938"/>
        <w:gridCol w:w="1832"/>
        <w:gridCol w:w="1333"/>
        <w:gridCol w:w="1910"/>
      </w:tblGrid>
      <w:tr w:rsidR="00CF1766" w:rsidRPr="005A5612" w14:paraId="1372DE99" w14:textId="77777777" w:rsidTr="00F30AB8">
        <w:tc>
          <w:tcPr>
            <w:tcW w:w="1884" w:type="dxa"/>
          </w:tcPr>
          <w:p w14:paraId="6737FE96" w14:textId="567C49A0" w:rsidR="00CF1766" w:rsidRPr="00F30AB8" w:rsidRDefault="00952815" w:rsidP="00CF1766">
            <w:pPr>
              <w:keepNext/>
              <w:keepLines/>
              <w:autoSpaceDE w:val="0"/>
              <w:autoSpaceDN w:val="0"/>
              <w:adjustRightInd w:val="0"/>
              <w:rPr>
                <w:b/>
                <w:bCs/>
                <w:sz w:val="20"/>
                <w:szCs w:val="22"/>
                <w:lang w:val="es-ES"/>
              </w:rPr>
            </w:pPr>
            <w:r>
              <w:rPr>
                <w:b/>
                <w:bCs/>
                <w:sz w:val="20"/>
                <w:szCs w:val="22"/>
                <w:lang w:val="es-ES"/>
              </w:rPr>
              <w:t>C</w:t>
            </w:r>
            <w:r w:rsidR="00CF1766" w:rsidRPr="00F30AB8">
              <w:rPr>
                <w:b/>
                <w:bCs/>
                <w:sz w:val="20"/>
                <w:szCs w:val="22"/>
                <w:lang w:val="es-ES"/>
              </w:rPr>
              <w:t xml:space="preserve">lasificación </w:t>
            </w:r>
            <w:r>
              <w:rPr>
                <w:b/>
                <w:bCs/>
                <w:sz w:val="20"/>
                <w:szCs w:val="22"/>
                <w:lang w:val="es-ES"/>
              </w:rPr>
              <w:t>por</w:t>
            </w:r>
            <w:r w:rsidR="00CF1766" w:rsidRPr="00F30AB8">
              <w:rPr>
                <w:b/>
                <w:bCs/>
                <w:sz w:val="20"/>
                <w:szCs w:val="22"/>
                <w:lang w:val="es-ES"/>
              </w:rPr>
              <w:t xml:space="preserve"> órganos </w:t>
            </w:r>
            <w:r>
              <w:rPr>
                <w:b/>
                <w:bCs/>
                <w:sz w:val="20"/>
                <w:szCs w:val="22"/>
                <w:lang w:val="es-ES"/>
              </w:rPr>
              <w:t xml:space="preserve">y sistemas de </w:t>
            </w:r>
            <w:r w:rsidR="00CF1766" w:rsidRPr="00F30AB8">
              <w:rPr>
                <w:b/>
                <w:bCs/>
                <w:sz w:val="20"/>
                <w:szCs w:val="22"/>
                <w:lang w:val="es-ES"/>
              </w:rPr>
              <w:t>MedDRA</w:t>
            </w:r>
            <w:r w:rsidR="00AD5268">
              <w:rPr>
                <w:b/>
                <w:bCs/>
                <w:sz w:val="20"/>
                <w:szCs w:val="22"/>
                <w:lang w:val="es-ES"/>
              </w:rPr>
              <w:t xml:space="preserve"> (SOC)</w:t>
            </w:r>
          </w:p>
        </w:tc>
        <w:tc>
          <w:tcPr>
            <w:tcW w:w="1938" w:type="dxa"/>
          </w:tcPr>
          <w:p w14:paraId="6A2EB5C1" w14:textId="3044FC41" w:rsidR="00CF1766" w:rsidRPr="00F30AB8" w:rsidRDefault="00CF1766" w:rsidP="00CF1766">
            <w:pPr>
              <w:keepNext/>
              <w:keepLines/>
              <w:autoSpaceDE w:val="0"/>
              <w:autoSpaceDN w:val="0"/>
              <w:adjustRightInd w:val="0"/>
              <w:rPr>
                <w:b/>
                <w:bCs/>
                <w:sz w:val="20"/>
                <w:szCs w:val="22"/>
              </w:rPr>
            </w:pPr>
            <w:r w:rsidRPr="00F30AB8">
              <w:rPr>
                <w:b/>
                <w:bCs/>
                <w:sz w:val="20"/>
                <w:szCs w:val="22"/>
              </w:rPr>
              <w:t xml:space="preserve">Términos </w:t>
            </w:r>
            <w:r w:rsidR="00AD5268" w:rsidRPr="00F30AB8">
              <w:rPr>
                <w:b/>
                <w:bCs/>
                <w:sz w:val="20"/>
                <w:szCs w:val="22"/>
              </w:rPr>
              <w:t xml:space="preserve">Preferentes </w:t>
            </w:r>
            <w:r w:rsidR="00AD5268" w:rsidRPr="004A3215">
              <w:rPr>
                <w:b/>
                <w:bCs/>
                <w:sz w:val="20"/>
                <w:szCs w:val="22"/>
              </w:rPr>
              <w:t>(TP)</w:t>
            </w:r>
          </w:p>
        </w:tc>
        <w:tc>
          <w:tcPr>
            <w:tcW w:w="5075" w:type="dxa"/>
            <w:gridSpan w:val="3"/>
          </w:tcPr>
          <w:p w14:paraId="1CFF9138" w14:textId="77777777" w:rsidR="00CF1766" w:rsidRPr="00F30AB8" w:rsidRDefault="00CF1766" w:rsidP="00CF1766">
            <w:pPr>
              <w:keepNext/>
              <w:keepLines/>
              <w:autoSpaceDE w:val="0"/>
              <w:autoSpaceDN w:val="0"/>
              <w:adjustRightInd w:val="0"/>
              <w:jc w:val="center"/>
              <w:rPr>
                <w:b/>
                <w:bCs/>
                <w:sz w:val="20"/>
                <w:szCs w:val="22"/>
              </w:rPr>
            </w:pPr>
            <w:r w:rsidRPr="00F30AB8">
              <w:rPr>
                <w:b/>
                <w:bCs/>
                <w:sz w:val="20"/>
                <w:szCs w:val="22"/>
              </w:rPr>
              <w:t>Frecuencia</w:t>
            </w:r>
          </w:p>
        </w:tc>
      </w:tr>
      <w:tr w:rsidR="00CF1766" w:rsidRPr="005A5612" w14:paraId="172086F3" w14:textId="77777777" w:rsidTr="00F30AB8">
        <w:trPr>
          <w:trHeight w:val="457"/>
        </w:trPr>
        <w:tc>
          <w:tcPr>
            <w:tcW w:w="3822" w:type="dxa"/>
            <w:gridSpan w:val="2"/>
          </w:tcPr>
          <w:p w14:paraId="38D25179" w14:textId="77777777" w:rsidR="00CF1766" w:rsidRPr="005A5612" w:rsidRDefault="00CF1766" w:rsidP="00CF1766">
            <w:pPr>
              <w:keepNext/>
              <w:keepLines/>
              <w:autoSpaceDE w:val="0"/>
              <w:autoSpaceDN w:val="0"/>
              <w:adjustRightInd w:val="0"/>
              <w:rPr>
                <w:sz w:val="20"/>
                <w:szCs w:val="22"/>
              </w:rPr>
            </w:pPr>
            <w:r w:rsidRPr="005A5612">
              <w:rPr>
                <w:sz w:val="20"/>
                <w:szCs w:val="22"/>
              </w:rPr>
              <w:t xml:space="preserve">Infecciones e infestaciones </w:t>
            </w:r>
          </w:p>
        </w:tc>
        <w:tc>
          <w:tcPr>
            <w:tcW w:w="1832" w:type="dxa"/>
          </w:tcPr>
          <w:p w14:paraId="778C6A24" w14:textId="77777777" w:rsidR="00CF1766" w:rsidRPr="005A5612" w:rsidRDefault="00CF1766" w:rsidP="00CF1766">
            <w:pPr>
              <w:keepNext/>
              <w:keepLines/>
              <w:jc w:val="center"/>
              <w:rPr>
                <w:sz w:val="20"/>
                <w:szCs w:val="22"/>
              </w:rPr>
            </w:pPr>
            <w:r w:rsidRPr="005A5612">
              <w:rPr>
                <w:sz w:val="20"/>
                <w:szCs w:val="22"/>
              </w:rPr>
              <w:t>Muy frecuentes</w:t>
            </w:r>
          </w:p>
          <w:p w14:paraId="60D0E974" w14:textId="77777777" w:rsidR="00CF1766" w:rsidRPr="005A5612" w:rsidRDefault="00CF1766" w:rsidP="00CF1766">
            <w:pPr>
              <w:keepNext/>
              <w:keepLines/>
              <w:autoSpaceDE w:val="0"/>
              <w:autoSpaceDN w:val="0"/>
              <w:adjustRightInd w:val="0"/>
              <w:rPr>
                <w:sz w:val="20"/>
                <w:szCs w:val="22"/>
              </w:rPr>
            </w:pPr>
          </w:p>
        </w:tc>
        <w:tc>
          <w:tcPr>
            <w:tcW w:w="1333" w:type="dxa"/>
          </w:tcPr>
          <w:p w14:paraId="4998E314" w14:textId="77777777" w:rsidR="00CF1766" w:rsidRPr="005A5612" w:rsidRDefault="00CF1766" w:rsidP="00CF1766">
            <w:pPr>
              <w:keepNext/>
              <w:keepLines/>
              <w:jc w:val="center"/>
              <w:rPr>
                <w:sz w:val="20"/>
                <w:szCs w:val="22"/>
              </w:rPr>
            </w:pPr>
            <w:r w:rsidRPr="005A5612">
              <w:rPr>
                <w:sz w:val="20"/>
                <w:szCs w:val="22"/>
              </w:rPr>
              <w:t>Frecuentes</w:t>
            </w:r>
          </w:p>
          <w:p w14:paraId="094C4B3D" w14:textId="77777777" w:rsidR="00CF1766" w:rsidRPr="005A5612" w:rsidRDefault="00CF1766" w:rsidP="00CF1766">
            <w:pPr>
              <w:keepNext/>
              <w:keepLines/>
              <w:autoSpaceDE w:val="0"/>
              <w:autoSpaceDN w:val="0"/>
              <w:adjustRightInd w:val="0"/>
              <w:rPr>
                <w:sz w:val="20"/>
                <w:szCs w:val="22"/>
              </w:rPr>
            </w:pPr>
          </w:p>
        </w:tc>
        <w:tc>
          <w:tcPr>
            <w:tcW w:w="1910" w:type="dxa"/>
          </w:tcPr>
          <w:p w14:paraId="4EEF15E3" w14:textId="77777777" w:rsidR="00CF1766" w:rsidRPr="005A5612" w:rsidRDefault="00CF1766" w:rsidP="00CF1766">
            <w:pPr>
              <w:keepNext/>
              <w:keepLines/>
              <w:jc w:val="center"/>
              <w:rPr>
                <w:sz w:val="20"/>
                <w:szCs w:val="22"/>
              </w:rPr>
            </w:pPr>
            <w:r w:rsidRPr="005A5612">
              <w:rPr>
                <w:sz w:val="20"/>
                <w:szCs w:val="22"/>
              </w:rPr>
              <w:t>Poco frecuentes</w:t>
            </w:r>
          </w:p>
          <w:p w14:paraId="45277E2E" w14:textId="77777777" w:rsidR="00CF1766" w:rsidRPr="005A5612" w:rsidRDefault="00CF1766" w:rsidP="00CF1766">
            <w:pPr>
              <w:keepNext/>
              <w:keepLines/>
              <w:autoSpaceDE w:val="0"/>
              <w:autoSpaceDN w:val="0"/>
              <w:adjustRightInd w:val="0"/>
              <w:rPr>
                <w:sz w:val="20"/>
                <w:szCs w:val="22"/>
              </w:rPr>
            </w:pPr>
          </w:p>
        </w:tc>
      </w:tr>
      <w:tr w:rsidR="00CF1766" w:rsidRPr="005A5612" w14:paraId="758E6EE6" w14:textId="77777777" w:rsidTr="00F30AB8">
        <w:tc>
          <w:tcPr>
            <w:tcW w:w="1884" w:type="dxa"/>
          </w:tcPr>
          <w:p w14:paraId="55E5E2C1" w14:textId="77777777" w:rsidR="00CF1766" w:rsidRPr="005A5612" w:rsidRDefault="00CF1766" w:rsidP="00CF1766">
            <w:pPr>
              <w:keepNext/>
              <w:keepLines/>
              <w:autoSpaceDE w:val="0"/>
              <w:autoSpaceDN w:val="0"/>
              <w:adjustRightInd w:val="0"/>
              <w:rPr>
                <w:sz w:val="20"/>
                <w:szCs w:val="22"/>
              </w:rPr>
            </w:pPr>
          </w:p>
        </w:tc>
        <w:tc>
          <w:tcPr>
            <w:tcW w:w="1938" w:type="dxa"/>
          </w:tcPr>
          <w:p w14:paraId="6F38F514" w14:textId="77777777" w:rsidR="00CF1766" w:rsidRPr="005A5612" w:rsidRDefault="00CF1766" w:rsidP="00CF1766">
            <w:pPr>
              <w:keepNext/>
              <w:keepLines/>
              <w:autoSpaceDE w:val="0"/>
              <w:autoSpaceDN w:val="0"/>
              <w:adjustRightInd w:val="0"/>
              <w:rPr>
                <w:sz w:val="20"/>
                <w:szCs w:val="22"/>
                <w:lang w:val="es-ES"/>
              </w:rPr>
            </w:pPr>
            <w:r w:rsidRPr="005A5612">
              <w:rPr>
                <w:sz w:val="20"/>
                <w:szCs w:val="22"/>
                <w:lang w:val="es-ES"/>
              </w:rPr>
              <w:t>Infección de las vías respiratorias superiores</w:t>
            </w:r>
          </w:p>
        </w:tc>
        <w:tc>
          <w:tcPr>
            <w:tcW w:w="1832" w:type="dxa"/>
          </w:tcPr>
          <w:p w14:paraId="771F00D7" w14:textId="77777777" w:rsidR="00CF1766" w:rsidRPr="005A5612" w:rsidRDefault="00CF1766" w:rsidP="00CF1766">
            <w:pPr>
              <w:keepNext/>
              <w:keepLines/>
              <w:autoSpaceDE w:val="0"/>
              <w:autoSpaceDN w:val="0"/>
              <w:adjustRightInd w:val="0"/>
              <w:rPr>
                <w:sz w:val="20"/>
                <w:szCs w:val="22"/>
              </w:rPr>
            </w:pPr>
            <w:r w:rsidRPr="005A5612">
              <w:rPr>
                <w:sz w:val="20"/>
                <w:szCs w:val="22"/>
              </w:rPr>
              <w:t>AIJp, AIJs</w:t>
            </w:r>
          </w:p>
        </w:tc>
        <w:tc>
          <w:tcPr>
            <w:tcW w:w="1333" w:type="dxa"/>
          </w:tcPr>
          <w:p w14:paraId="7B702C9E" w14:textId="77777777" w:rsidR="00CF1766" w:rsidRPr="005A5612" w:rsidRDefault="00CF1766" w:rsidP="00CF1766">
            <w:pPr>
              <w:keepNext/>
              <w:keepLines/>
              <w:autoSpaceDE w:val="0"/>
              <w:autoSpaceDN w:val="0"/>
              <w:adjustRightInd w:val="0"/>
              <w:rPr>
                <w:sz w:val="20"/>
                <w:szCs w:val="22"/>
              </w:rPr>
            </w:pPr>
          </w:p>
        </w:tc>
        <w:tc>
          <w:tcPr>
            <w:tcW w:w="1910" w:type="dxa"/>
          </w:tcPr>
          <w:p w14:paraId="196C94A0" w14:textId="77777777" w:rsidR="00CF1766" w:rsidRPr="005A5612" w:rsidRDefault="00CF1766" w:rsidP="00CF1766">
            <w:pPr>
              <w:keepNext/>
              <w:keepLines/>
              <w:autoSpaceDE w:val="0"/>
              <w:autoSpaceDN w:val="0"/>
              <w:adjustRightInd w:val="0"/>
              <w:rPr>
                <w:sz w:val="20"/>
                <w:szCs w:val="22"/>
              </w:rPr>
            </w:pPr>
          </w:p>
        </w:tc>
      </w:tr>
      <w:tr w:rsidR="00CF1766" w:rsidRPr="005A5612" w14:paraId="61AE39AA" w14:textId="77777777" w:rsidTr="00F30AB8">
        <w:tc>
          <w:tcPr>
            <w:tcW w:w="1884" w:type="dxa"/>
          </w:tcPr>
          <w:p w14:paraId="74417745" w14:textId="77777777" w:rsidR="00CF1766" w:rsidRPr="005A5612" w:rsidRDefault="00CF1766" w:rsidP="00CF1766">
            <w:pPr>
              <w:keepNext/>
              <w:keepLines/>
              <w:autoSpaceDE w:val="0"/>
              <w:autoSpaceDN w:val="0"/>
              <w:adjustRightInd w:val="0"/>
              <w:rPr>
                <w:sz w:val="20"/>
                <w:szCs w:val="22"/>
              </w:rPr>
            </w:pPr>
          </w:p>
        </w:tc>
        <w:tc>
          <w:tcPr>
            <w:tcW w:w="1938" w:type="dxa"/>
          </w:tcPr>
          <w:p w14:paraId="0E898CE1" w14:textId="77777777" w:rsidR="00CF1766" w:rsidRPr="005A5612" w:rsidRDefault="00CF1766" w:rsidP="00CF1766">
            <w:pPr>
              <w:keepNext/>
              <w:keepLines/>
              <w:autoSpaceDE w:val="0"/>
              <w:autoSpaceDN w:val="0"/>
              <w:adjustRightInd w:val="0"/>
              <w:rPr>
                <w:sz w:val="20"/>
                <w:szCs w:val="22"/>
              </w:rPr>
            </w:pPr>
            <w:r w:rsidRPr="005A5612">
              <w:rPr>
                <w:sz w:val="20"/>
                <w:szCs w:val="22"/>
              </w:rPr>
              <w:t>Nasofaringitis</w:t>
            </w:r>
          </w:p>
        </w:tc>
        <w:tc>
          <w:tcPr>
            <w:tcW w:w="1832" w:type="dxa"/>
          </w:tcPr>
          <w:p w14:paraId="4DEE3C20" w14:textId="77777777" w:rsidR="00CF1766" w:rsidRPr="005A5612" w:rsidRDefault="00CF1766" w:rsidP="00CF1766">
            <w:pPr>
              <w:keepNext/>
              <w:keepLines/>
              <w:autoSpaceDE w:val="0"/>
              <w:autoSpaceDN w:val="0"/>
              <w:adjustRightInd w:val="0"/>
              <w:rPr>
                <w:sz w:val="20"/>
                <w:szCs w:val="22"/>
              </w:rPr>
            </w:pPr>
            <w:r w:rsidRPr="005A5612">
              <w:rPr>
                <w:sz w:val="20"/>
                <w:szCs w:val="22"/>
              </w:rPr>
              <w:t>AIJp, AIJs</w:t>
            </w:r>
          </w:p>
        </w:tc>
        <w:tc>
          <w:tcPr>
            <w:tcW w:w="1333" w:type="dxa"/>
          </w:tcPr>
          <w:p w14:paraId="47856DCB" w14:textId="77777777" w:rsidR="00CF1766" w:rsidRPr="005A5612" w:rsidRDefault="00CF1766" w:rsidP="00CF1766">
            <w:pPr>
              <w:keepNext/>
              <w:keepLines/>
              <w:autoSpaceDE w:val="0"/>
              <w:autoSpaceDN w:val="0"/>
              <w:adjustRightInd w:val="0"/>
              <w:rPr>
                <w:sz w:val="20"/>
                <w:szCs w:val="22"/>
              </w:rPr>
            </w:pPr>
          </w:p>
        </w:tc>
        <w:tc>
          <w:tcPr>
            <w:tcW w:w="1910" w:type="dxa"/>
          </w:tcPr>
          <w:p w14:paraId="64D1DA3D" w14:textId="77777777" w:rsidR="00CF1766" w:rsidRPr="005A5612" w:rsidRDefault="00CF1766" w:rsidP="00CF1766">
            <w:pPr>
              <w:keepNext/>
              <w:keepLines/>
              <w:autoSpaceDE w:val="0"/>
              <w:autoSpaceDN w:val="0"/>
              <w:adjustRightInd w:val="0"/>
              <w:rPr>
                <w:sz w:val="20"/>
                <w:szCs w:val="22"/>
              </w:rPr>
            </w:pPr>
          </w:p>
        </w:tc>
      </w:tr>
      <w:tr w:rsidR="00CF1766" w:rsidRPr="005A5612" w14:paraId="028398C6" w14:textId="77777777" w:rsidTr="00F30AB8">
        <w:tc>
          <w:tcPr>
            <w:tcW w:w="8897" w:type="dxa"/>
            <w:gridSpan w:val="5"/>
          </w:tcPr>
          <w:p w14:paraId="73E710FC" w14:textId="77777777" w:rsidR="00CF1766" w:rsidRPr="005A5612" w:rsidRDefault="00CF1766" w:rsidP="00CF1766">
            <w:pPr>
              <w:keepNext/>
              <w:keepLines/>
              <w:autoSpaceDE w:val="0"/>
              <w:autoSpaceDN w:val="0"/>
              <w:adjustRightInd w:val="0"/>
              <w:rPr>
                <w:sz w:val="20"/>
                <w:szCs w:val="22"/>
              </w:rPr>
            </w:pPr>
            <w:r w:rsidRPr="005A5612">
              <w:rPr>
                <w:sz w:val="20"/>
                <w:szCs w:val="22"/>
              </w:rPr>
              <w:t>Trastornos del sistema nervioso</w:t>
            </w:r>
          </w:p>
        </w:tc>
      </w:tr>
      <w:tr w:rsidR="00CF1766" w:rsidRPr="005A5612" w14:paraId="51377468" w14:textId="77777777" w:rsidTr="00F30AB8">
        <w:tc>
          <w:tcPr>
            <w:tcW w:w="1884" w:type="dxa"/>
          </w:tcPr>
          <w:p w14:paraId="0D8895E9" w14:textId="77777777" w:rsidR="00CF1766" w:rsidRPr="005A5612" w:rsidRDefault="00CF1766" w:rsidP="00CF1766">
            <w:pPr>
              <w:keepNext/>
              <w:keepLines/>
              <w:autoSpaceDE w:val="0"/>
              <w:autoSpaceDN w:val="0"/>
              <w:adjustRightInd w:val="0"/>
              <w:rPr>
                <w:sz w:val="20"/>
                <w:szCs w:val="22"/>
              </w:rPr>
            </w:pPr>
          </w:p>
        </w:tc>
        <w:tc>
          <w:tcPr>
            <w:tcW w:w="1938" w:type="dxa"/>
          </w:tcPr>
          <w:p w14:paraId="4BEBC50B" w14:textId="77777777" w:rsidR="00CF1766" w:rsidRPr="005A5612" w:rsidRDefault="00CF1766" w:rsidP="00CF1766">
            <w:pPr>
              <w:keepNext/>
              <w:keepLines/>
              <w:autoSpaceDE w:val="0"/>
              <w:autoSpaceDN w:val="0"/>
              <w:adjustRightInd w:val="0"/>
              <w:rPr>
                <w:sz w:val="20"/>
                <w:szCs w:val="22"/>
              </w:rPr>
            </w:pPr>
            <w:r w:rsidRPr="005A5612">
              <w:rPr>
                <w:sz w:val="20"/>
                <w:szCs w:val="22"/>
              </w:rPr>
              <w:t>Dolor de cabeza</w:t>
            </w:r>
          </w:p>
        </w:tc>
        <w:tc>
          <w:tcPr>
            <w:tcW w:w="1832" w:type="dxa"/>
          </w:tcPr>
          <w:p w14:paraId="2EF306B9"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p>
        </w:tc>
        <w:tc>
          <w:tcPr>
            <w:tcW w:w="1333" w:type="dxa"/>
          </w:tcPr>
          <w:p w14:paraId="3C55A4E0" w14:textId="77777777" w:rsidR="00CF1766" w:rsidRPr="005A5612" w:rsidRDefault="00CF1766" w:rsidP="00CF1766">
            <w:pPr>
              <w:keepNext/>
              <w:keepLines/>
              <w:autoSpaceDE w:val="0"/>
              <w:autoSpaceDN w:val="0"/>
              <w:adjustRightInd w:val="0"/>
              <w:rPr>
                <w:sz w:val="20"/>
                <w:szCs w:val="22"/>
              </w:rPr>
            </w:pPr>
            <w:r w:rsidRPr="005A5612">
              <w:rPr>
                <w:sz w:val="20"/>
                <w:szCs w:val="22"/>
              </w:rPr>
              <w:t>AIJs</w:t>
            </w:r>
          </w:p>
        </w:tc>
        <w:tc>
          <w:tcPr>
            <w:tcW w:w="1910" w:type="dxa"/>
          </w:tcPr>
          <w:p w14:paraId="3CA2EBA9" w14:textId="77777777" w:rsidR="00CF1766" w:rsidRPr="005A5612" w:rsidRDefault="00CF1766" w:rsidP="00CF1766">
            <w:pPr>
              <w:keepNext/>
              <w:keepLines/>
              <w:autoSpaceDE w:val="0"/>
              <w:autoSpaceDN w:val="0"/>
              <w:adjustRightInd w:val="0"/>
              <w:rPr>
                <w:sz w:val="20"/>
                <w:szCs w:val="22"/>
              </w:rPr>
            </w:pPr>
          </w:p>
        </w:tc>
      </w:tr>
      <w:tr w:rsidR="00CF1766" w:rsidRPr="005A5612" w14:paraId="768B7C0B" w14:textId="77777777" w:rsidTr="00F30AB8">
        <w:tc>
          <w:tcPr>
            <w:tcW w:w="3822" w:type="dxa"/>
            <w:gridSpan w:val="2"/>
          </w:tcPr>
          <w:p w14:paraId="57799498" w14:textId="77777777" w:rsidR="00CF1766" w:rsidRPr="005A5612" w:rsidRDefault="00CF1766" w:rsidP="00CF1766">
            <w:pPr>
              <w:keepNext/>
              <w:keepLines/>
              <w:autoSpaceDE w:val="0"/>
              <w:autoSpaceDN w:val="0"/>
              <w:adjustRightInd w:val="0"/>
              <w:rPr>
                <w:sz w:val="20"/>
                <w:szCs w:val="22"/>
              </w:rPr>
            </w:pPr>
            <w:r w:rsidRPr="005A5612">
              <w:rPr>
                <w:sz w:val="20"/>
                <w:szCs w:val="22"/>
              </w:rPr>
              <w:t>Trastornos gastrointestinales</w:t>
            </w:r>
          </w:p>
        </w:tc>
        <w:tc>
          <w:tcPr>
            <w:tcW w:w="1832" w:type="dxa"/>
          </w:tcPr>
          <w:p w14:paraId="6E466AC0" w14:textId="77777777" w:rsidR="00CF1766" w:rsidRPr="005A5612" w:rsidRDefault="00CF1766" w:rsidP="00CF1766">
            <w:pPr>
              <w:keepNext/>
              <w:keepLines/>
              <w:autoSpaceDE w:val="0"/>
              <w:autoSpaceDN w:val="0"/>
              <w:adjustRightInd w:val="0"/>
              <w:rPr>
                <w:sz w:val="20"/>
                <w:szCs w:val="22"/>
              </w:rPr>
            </w:pPr>
          </w:p>
        </w:tc>
        <w:tc>
          <w:tcPr>
            <w:tcW w:w="1333" w:type="dxa"/>
          </w:tcPr>
          <w:p w14:paraId="1E7A384B" w14:textId="77777777" w:rsidR="00CF1766" w:rsidRPr="005A5612" w:rsidRDefault="00CF1766" w:rsidP="00CF1766">
            <w:pPr>
              <w:keepNext/>
              <w:keepLines/>
              <w:autoSpaceDE w:val="0"/>
              <w:autoSpaceDN w:val="0"/>
              <w:adjustRightInd w:val="0"/>
              <w:rPr>
                <w:sz w:val="20"/>
                <w:szCs w:val="22"/>
              </w:rPr>
            </w:pPr>
          </w:p>
        </w:tc>
        <w:tc>
          <w:tcPr>
            <w:tcW w:w="1910" w:type="dxa"/>
          </w:tcPr>
          <w:p w14:paraId="51CE687E" w14:textId="77777777" w:rsidR="00CF1766" w:rsidRPr="005A5612" w:rsidRDefault="00CF1766" w:rsidP="00CF1766">
            <w:pPr>
              <w:keepNext/>
              <w:keepLines/>
              <w:autoSpaceDE w:val="0"/>
              <w:autoSpaceDN w:val="0"/>
              <w:adjustRightInd w:val="0"/>
              <w:rPr>
                <w:sz w:val="20"/>
                <w:szCs w:val="22"/>
              </w:rPr>
            </w:pPr>
          </w:p>
        </w:tc>
      </w:tr>
      <w:tr w:rsidR="00CF1766" w:rsidRPr="005A5612" w14:paraId="0E647A5A" w14:textId="77777777" w:rsidTr="00F30AB8">
        <w:tc>
          <w:tcPr>
            <w:tcW w:w="1884" w:type="dxa"/>
          </w:tcPr>
          <w:p w14:paraId="60229CC4" w14:textId="77777777" w:rsidR="00CF1766" w:rsidRPr="005A5612" w:rsidRDefault="00CF1766" w:rsidP="00CF1766">
            <w:pPr>
              <w:keepNext/>
              <w:keepLines/>
              <w:autoSpaceDE w:val="0"/>
              <w:autoSpaceDN w:val="0"/>
              <w:adjustRightInd w:val="0"/>
              <w:rPr>
                <w:sz w:val="20"/>
                <w:szCs w:val="22"/>
              </w:rPr>
            </w:pPr>
          </w:p>
        </w:tc>
        <w:tc>
          <w:tcPr>
            <w:tcW w:w="1938" w:type="dxa"/>
          </w:tcPr>
          <w:p w14:paraId="2AE50543" w14:textId="77777777" w:rsidR="00CF1766" w:rsidRPr="005A5612" w:rsidRDefault="00CF1766" w:rsidP="00CF1766">
            <w:pPr>
              <w:keepNext/>
              <w:keepLines/>
              <w:autoSpaceDE w:val="0"/>
              <w:autoSpaceDN w:val="0"/>
              <w:adjustRightInd w:val="0"/>
              <w:rPr>
                <w:sz w:val="20"/>
                <w:szCs w:val="22"/>
              </w:rPr>
            </w:pPr>
            <w:r w:rsidRPr="005A5612">
              <w:rPr>
                <w:sz w:val="20"/>
                <w:szCs w:val="22"/>
              </w:rPr>
              <w:t>N</w:t>
            </w:r>
            <w:r>
              <w:rPr>
                <w:sz w:val="20"/>
                <w:szCs w:val="22"/>
              </w:rPr>
              <w:t>á</w:t>
            </w:r>
            <w:r w:rsidRPr="005A5612">
              <w:rPr>
                <w:sz w:val="20"/>
                <w:szCs w:val="22"/>
              </w:rPr>
              <w:t>useas</w:t>
            </w:r>
          </w:p>
        </w:tc>
        <w:tc>
          <w:tcPr>
            <w:tcW w:w="1832" w:type="dxa"/>
          </w:tcPr>
          <w:p w14:paraId="2F07B10F" w14:textId="77777777" w:rsidR="00CF1766" w:rsidRPr="005A5612" w:rsidRDefault="00CF1766" w:rsidP="00CF1766">
            <w:pPr>
              <w:keepNext/>
              <w:keepLines/>
              <w:autoSpaceDE w:val="0"/>
              <w:autoSpaceDN w:val="0"/>
              <w:adjustRightInd w:val="0"/>
              <w:rPr>
                <w:sz w:val="20"/>
                <w:szCs w:val="22"/>
              </w:rPr>
            </w:pPr>
          </w:p>
        </w:tc>
        <w:tc>
          <w:tcPr>
            <w:tcW w:w="1333" w:type="dxa"/>
          </w:tcPr>
          <w:p w14:paraId="55205E7F"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p>
        </w:tc>
        <w:tc>
          <w:tcPr>
            <w:tcW w:w="1910" w:type="dxa"/>
          </w:tcPr>
          <w:p w14:paraId="55D60401" w14:textId="77777777" w:rsidR="00CF1766" w:rsidRPr="005A5612" w:rsidRDefault="00CF1766" w:rsidP="00CF1766">
            <w:pPr>
              <w:keepNext/>
              <w:keepLines/>
              <w:autoSpaceDE w:val="0"/>
              <w:autoSpaceDN w:val="0"/>
              <w:adjustRightInd w:val="0"/>
              <w:rPr>
                <w:sz w:val="20"/>
                <w:szCs w:val="22"/>
              </w:rPr>
            </w:pPr>
          </w:p>
        </w:tc>
      </w:tr>
      <w:tr w:rsidR="00CF1766" w:rsidRPr="005A5612" w14:paraId="6DB62DFD" w14:textId="77777777" w:rsidTr="00F30AB8">
        <w:tc>
          <w:tcPr>
            <w:tcW w:w="1884" w:type="dxa"/>
          </w:tcPr>
          <w:p w14:paraId="3FB675F5" w14:textId="77777777" w:rsidR="00CF1766" w:rsidRPr="005A5612" w:rsidRDefault="00CF1766" w:rsidP="00CF1766">
            <w:pPr>
              <w:keepNext/>
              <w:keepLines/>
              <w:autoSpaceDE w:val="0"/>
              <w:autoSpaceDN w:val="0"/>
              <w:adjustRightInd w:val="0"/>
              <w:rPr>
                <w:sz w:val="20"/>
                <w:szCs w:val="22"/>
              </w:rPr>
            </w:pPr>
          </w:p>
        </w:tc>
        <w:tc>
          <w:tcPr>
            <w:tcW w:w="1938" w:type="dxa"/>
          </w:tcPr>
          <w:p w14:paraId="55D818BC" w14:textId="77777777" w:rsidR="00CF1766" w:rsidRPr="005A5612" w:rsidRDefault="00CF1766" w:rsidP="00CF1766">
            <w:pPr>
              <w:keepNext/>
              <w:keepLines/>
              <w:autoSpaceDE w:val="0"/>
              <w:autoSpaceDN w:val="0"/>
              <w:adjustRightInd w:val="0"/>
              <w:rPr>
                <w:sz w:val="20"/>
                <w:szCs w:val="22"/>
              </w:rPr>
            </w:pPr>
            <w:r w:rsidRPr="005A5612">
              <w:rPr>
                <w:sz w:val="20"/>
                <w:szCs w:val="22"/>
              </w:rPr>
              <w:t>Diarrea</w:t>
            </w:r>
          </w:p>
        </w:tc>
        <w:tc>
          <w:tcPr>
            <w:tcW w:w="1832" w:type="dxa"/>
          </w:tcPr>
          <w:p w14:paraId="5E39D13E" w14:textId="77777777" w:rsidR="00CF1766" w:rsidRPr="005A5612" w:rsidRDefault="00CF1766" w:rsidP="00CF1766">
            <w:pPr>
              <w:keepNext/>
              <w:keepLines/>
              <w:autoSpaceDE w:val="0"/>
              <w:autoSpaceDN w:val="0"/>
              <w:adjustRightInd w:val="0"/>
              <w:rPr>
                <w:sz w:val="20"/>
                <w:szCs w:val="22"/>
              </w:rPr>
            </w:pPr>
          </w:p>
        </w:tc>
        <w:tc>
          <w:tcPr>
            <w:tcW w:w="1333" w:type="dxa"/>
          </w:tcPr>
          <w:p w14:paraId="6B1D1568" w14:textId="77777777" w:rsidR="00CF1766" w:rsidRPr="005A5612" w:rsidRDefault="00CF1766" w:rsidP="00CF1766">
            <w:pPr>
              <w:keepNext/>
              <w:keepLines/>
              <w:autoSpaceDE w:val="0"/>
              <w:autoSpaceDN w:val="0"/>
              <w:adjustRightInd w:val="0"/>
              <w:rPr>
                <w:sz w:val="20"/>
                <w:szCs w:val="22"/>
              </w:rPr>
            </w:pPr>
            <w:r w:rsidRPr="005A5612">
              <w:rPr>
                <w:sz w:val="20"/>
                <w:szCs w:val="22"/>
              </w:rPr>
              <w:t>AIJp, AIJs</w:t>
            </w:r>
          </w:p>
        </w:tc>
        <w:tc>
          <w:tcPr>
            <w:tcW w:w="1910" w:type="dxa"/>
          </w:tcPr>
          <w:p w14:paraId="55CB2779" w14:textId="77777777" w:rsidR="00CF1766" w:rsidRPr="005A5612" w:rsidRDefault="00CF1766" w:rsidP="00CF1766">
            <w:pPr>
              <w:keepNext/>
              <w:keepLines/>
              <w:autoSpaceDE w:val="0"/>
              <w:autoSpaceDN w:val="0"/>
              <w:adjustRightInd w:val="0"/>
              <w:rPr>
                <w:sz w:val="20"/>
                <w:szCs w:val="22"/>
              </w:rPr>
            </w:pPr>
          </w:p>
        </w:tc>
      </w:tr>
      <w:tr w:rsidR="00CF1766" w:rsidRPr="00541248" w14:paraId="0CCD3381" w14:textId="77777777" w:rsidTr="00F30AB8">
        <w:tc>
          <w:tcPr>
            <w:tcW w:w="3822" w:type="dxa"/>
            <w:gridSpan w:val="2"/>
          </w:tcPr>
          <w:p w14:paraId="010F255F" w14:textId="77777777" w:rsidR="00CF1766" w:rsidRPr="005A5612" w:rsidRDefault="00CF1766" w:rsidP="00CF1766">
            <w:pPr>
              <w:keepNext/>
              <w:keepLines/>
              <w:autoSpaceDE w:val="0"/>
              <w:autoSpaceDN w:val="0"/>
              <w:adjustRightInd w:val="0"/>
              <w:rPr>
                <w:sz w:val="20"/>
                <w:szCs w:val="22"/>
                <w:lang w:val="es-ES"/>
              </w:rPr>
            </w:pPr>
            <w:r w:rsidRPr="005A5612">
              <w:rPr>
                <w:sz w:val="20"/>
                <w:szCs w:val="22"/>
                <w:lang w:val="es-ES"/>
              </w:rPr>
              <w:t>Trastornos Generales y alteraciones en el lugar de administración</w:t>
            </w:r>
          </w:p>
        </w:tc>
        <w:tc>
          <w:tcPr>
            <w:tcW w:w="1832" w:type="dxa"/>
          </w:tcPr>
          <w:p w14:paraId="3D1954B3" w14:textId="77777777" w:rsidR="00CF1766" w:rsidRPr="005A5612" w:rsidRDefault="00CF1766" w:rsidP="00CF1766">
            <w:pPr>
              <w:keepNext/>
              <w:keepLines/>
              <w:autoSpaceDE w:val="0"/>
              <w:autoSpaceDN w:val="0"/>
              <w:adjustRightInd w:val="0"/>
              <w:rPr>
                <w:sz w:val="20"/>
                <w:szCs w:val="22"/>
                <w:lang w:val="es-ES"/>
              </w:rPr>
            </w:pPr>
          </w:p>
        </w:tc>
        <w:tc>
          <w:tcPr>
            <w:tcW w:w="1333" w:type="dxa"/>
          </w:tcPr>
          <w:p w14:paraId="0FD330CC" w14:textId="77777777" w:rsidR="00CF1766" w:rsidRPr="005A5612" w:rsidRDefault="00CF1766" w:rsidP="00CF1766">
            <w:pPr>
              <w:keepNext/>
              <w:keepLines/>
              <w:autoSpaceDE w:val="0"/>
              <w:autoSpaceDN w:val="0"/>
              <w:adjustRightInd w:val="0"/>
              <w:rPr>
                <w:sz w:val="20"/>
                <w:szCs w:val="22"/>
                <w:lang w:val="es-ES"/>
              </w:rPr>
            </w:pPr>
          </w:p>
        </w:tc>
        <w:tc>
          <w:tcPr>
            <w:tcW w:w="1910" w:type="dxa"/>
          </w:tcPr>
          <w:p w14:paraId="3403B1EA" w14:textId="77777777" w:rsidR="00CF1766" w:rsidRPr="005A5612" w:rsidRDefault="00CF1766" w:rsidP="00CF1766">
            <w:pPr>
              <w:keepNext/>
              <w:keepLines/>
              <w:autoSpaceDE w:val="0"/>
              <w:autoSpaceDN w:val="0"/>
              <w:adjustRightInd w:val="0"/>
              <w:rPr>
                <w:sz w:val="20"/>
                <w:szCs w:val="22"/>
                <w:lang w:val="es-ES"/>
              </w:rPr>
            </w:pPr>
          </w:p>
        </w:tc>
      </w:tr>
      <w:tr w:rsidR="00CF1766" w:rsidRPr="005A5612" w14:paraId="3647437B" w14:textId="77777777" w:rsidTr="00F30AB8">
        <w:tc>
          <w:tcPr>
            <w:tcW w:w="1884" w:type="dxa"/>
          </w:tcPr>
          <w:p w14:paraId="373D9901" w14:textId="77777777" w:rsidR="00CF1766" w:rsidRPr="005A5612" w:rsidRDefault="00CF1766" w:rsidP="00CF1766">
            <w:pPr>
              <w:keepNext/>
              <w:keepLines/>
              <w:autoSpaceDE w:val="0"/>
              <w:autoSpaceDN w:val="0"/>
              <w:adjustRightInd w:val="0"/>
              <w:rPr>
                <w:sz w:val="20"/>
                <w:szCs w:val="22"/>
                <w:lang w:val="es-ES"/>
              </w:rPr>
            </w:pPr>
          </w:p>
        </w:tc>
        <w:tc>
          <w:tcPr>
            <w:tcW w:w="1938" w:type="dxa"/>
          </w:tcPr>
          <w:p w14:paraId="51239D98" w14:textId="77777777" w:rsidR="00CF1766" w:rsidRPr="005A5612" w:rsidRDefault="00CF1766" w:rsidP="00CF1766">
            <w:pPr>
              <w:keepNext/>
              <w:keepLines/>
              <w:autoSpaceDE w:val="0"/>
              <w:autoSpaceDN w:val="0"/>
              <w:adjustRightInd w:val="0"/>
              <w:rPr>
                <w:sz w:val="20"/>
                <w:szCs w:val="22"/>
                <w:lang w:val="es-ES"/>
              </w:rPr>
            </w:pPr>
            <w:r w:rsidRPr="005A5612">
              <w:rPr>
                <w:sz w:val="20"/>
                <w:szCs w:val="22"/>
                <w:lang w:val="es-ES"/>
              </w:rPr>
              <w:t xml:space="preserve">Reacciones relacionadas con la perfusión </w:t>
            </w:r>
          </w:p>
        </w:tc>
        <w:tc>
          <w:tcPr>
            <w:tcW w:w="1832" w:type="dxa"/>
          </w:tcPr>
          <w:p w14:paraId="5E61AF14" w14:textId="77777777" w:rsidR="00CF1766" w:rsidRPr="005A5612" w:rsidRDefault="00CF1766" w:rsidP="00CF1766">
            <w:pPr>
              <w:keepNext/>
              <w:keepLines/>
              <w:autoSpaceDE w:val="0"/>
              <w:autoSpaceDN w:val="0"/>
              <w:adjustRightInd w:val="0"/>
              <w:rPr>
                <w:sz w:val="20"/>
                <w:szCs w:val="22"/>
                <w:lang w:val="es-ES"/>
              </w:rPr>
            </w:pPr>
          </w:p>
        </w:tc>
        <w:tc>
          <w:tcPr>
            <w:tcW w:w="1333" w:type="dxa"/>
          </w:tcPr>
          <w:p w14:paraId="64866A74"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r w:rsidRPr="005A5612">
              <w:rPr>
                <w:sz w:val="20"/>
                <w:szCs w:val="22"/>
                <w:vertAlign w:val="superscript"/>
              </w:rPr>
              <w:t>1</w:t>
            </w:r>
            <w:r w:rsidRPr="005A5612">
              <w:rPr>
                <w:sz w:val="20"/>
                <w:szCs w:val="22"/>
              </w:rPr>
              <w:t>, AIJs</w:t>
            </w:r>
            <w:r w:rsidRPr="005A5612">
              <w:rPr>
                <w:sz w:val="20"/>
                <w:szCs w:val="22"/>
                <w:vertAlign w:val="superscript"/>
              </w:rPr>
              <w:t>2</w:t>
            </w:r>
          </w:p>
        </w:tc>
        <w:tc>
          <w:tcPr>
            <w:tcW w:w="1910" w:type="dxa"/>
          </w:tcPr>
          <w:p w14:paraId="13AEDC54" w14:textId="77777777" w:rsidR="00CF1766" w:rsidRPr="005A5612" w:rsidRDefault="00CF1766" w:rsidP="00CF1766">
            <w:pPr>
              <w:keepNext/>
              <w:keepLines/>
              <w:autoSpaceDE w:val="0"/>
              <w:autoSpaceDN w:val="0"/>
              <w:adjustRightInd w:val="0"/>
              <w:rPr>
                <w:sz w:val="20"/>
                <w:szCs w:val="22"/>
              </w:rPr>
            </w:pPr>
          </w:p>
        </w:tc>
      </w:tr>
      <w:tr w:rsidR="00CF1766" w:rsidRPr="005A5612" w14:paraId="017A8451" w14:textId="77777777" w:rsidTr="00F30AB8">
        <w:tc>
          <w:tcPr>
            <w:tcW w:w="3822" w:type="dxa"/>
            <w:gridSpan w:val="2"/>
          </w:tcPr>
          <w:p w14:paraId="66F48BAA" w14:textId="77777777" w:rsidR="00CF1766" w:rsidRPr="005A5612" w:rsidRDefault="00CF1766" w:rsidP="00CF1766">
            <w:pPr>
              <w:keepNext/>
              <w:keepLines/>
              <w:autoSpaceDE w:val="0"/>
              <w:autoSpaceDN w:val="0"/>
              <w:adjustRightInd w:val="0"/>
              <w:rPr>
                <w:sz w:val="20"/>
                <w:szCs w:val="22"/>
              </w:rPr>
            </w:pPr>
            <w:r w:rsidRPr="005A5612">
              <w:rPr>
                <w:sz w:val="20"/>
                <w:szCs w:val="22"/>
              </w:rPr>
              <w:t>Exploraciones complementarias</w:t>
            </w:r>
          </w:p>
        </w:tc>
        <w:tc>
          <w:tcPr>
            <w:tcW w:w="1832" w:type="dxa"/>
          </w:tcPr>
          <w:p w14:paraId="4E9EEB9F" w14:textId="77777777" w:rsidR="00CF1766" w:rsidRPr="005A5612" w:rsidRDefault="00CF1766" w:rsidP="00CF1766">
            <w:pPr>
              <w:keepNext/>
              <w:keepLines/>
              <w:autoSpaceDE w:val="0"/>
              <w:autoSpaceDN w:val="0"/>
              <w:adjustRightInd w:val="0"/>
              <w:rPr>
                <w:sz w:val="20"/>
                <w:szCs w:val="22"/>
              </w:rPr>
            </w:pPr>
          </w:p>
        </w:tc>
        <w:tc>
          <w:tcPr>
            <w:tcW w:w="1333" w:type="dxa"/>
          </w:tcPr>
          <w:p w14:paraId="41C21E0F" w14:textId="77777777" w:rsidR="00CF1766" w:rsidRPr="005A5612" w:rsidRDefault="00CF1766" w:rsidP="00CF1766">
            <w:pPr>
              <w:keepNext/>
              <w:keepLines/>
              <w:autoSpaceDE w:val="0"/>
              <w:autoSpaceDN w:val="0"/>
              <w:adjustRightInd w:val="0"/>
              <w:rPr>
                <w:sz w:val="20"/>
                <w:szCs w:val="22"/>
              </w:rPr>
            </w:pPr>
          </w:p>
        </w:tc>
        <w:tc>
          <w:tcPr>
            <w:tcW w:w="1910" w:type="dxa"/>
          </w:tcPr>
          <w:p w14:paraId="4F08037C" w14:textId="77777777" w:rsidR="00CF1766" w:rsidRPr="005A5612" w:rsidRDefault="00CF1766" w:rsidP="00CF1766">
            <w:pPr>
              <w:keepNext/>
              <w:keepLines/>
              <w:autoSpaceDE w:val="0"/>
              <w:autoSpaceDN w:val="0"/>
              <w:adjustRightInd w:val="0"/>
              <w:rPr>
                <w:sz w:val="20"/>
                <w:szCs w:val="22"/>
              </w:rPr>
            </w:pPr>
          </w:p>
        </w:tc>
      </w:tr>
      <w:tr w:rsidR="00CF1766" w:rsidRPr="005A5612" w14:paraId="3069B732" w14:textId="77777777" w:rsidTr="00F30AB8">
        <w:tc>
          <w:tcPr>
            <w:tcW w:w="1884" w:type="dxa"/>
          </w:tcPr>
          <w:p w14:paraId="5432C9DA" w14:textId="77777777" w:rsidR="00CF1766" w:rsidRPr="005A5612" w:rsidRDefault="00CF1766" w:rsidP="00CF1766">
            <w:pPr>
              <w:keepNext/>
              <w:keepLines/>
              <w:autoSpaceDE w:val="0"/>
              <w:autoSpaceDN w:val="0"/>
              <w:adjustRightInd w:val="0"/>
              <w:rPr>
                <w:sz w:val="20"/>
                <w:szCs w:val="22"/>
              </w:rPr>
            </w:pPr>
          </w:p>
        </w:tc>
        <w:tc>
          <w:tcPr>
            <w:tcW w:w="1938" w:type="dxa"/>
          </w:tcPr>
          <w:p w14:paraId="3B769367" w14:textId="77777777" w:rsidR="00CF1766" w:rsidRPr="005A5612" w:rsidRDefault="00CF1766" w:rsidP="00CF1766">
            <w:pPr>
              <w:keepNext/>
              <w:keepLines/>
              <w:autoSpaceDE w:val="0"/>
              <w:autoSpaceDN w:val="0"/>
              <w:adjustRightInd w:val="0"/>
              <w:rPr>
                <w:sz w:val="20"/>
                <w:szCs w:val="22"/>
                <w:lang w:val="es-ES"/>
              </w:rPr>
            </w:pPr>
            <w:r w:rsidRPr="005A5612">
              <w:rPr>
                <w:sz w:val="20"/>
                <w:szCs w:val="22"/>
                <w:lang w:val="es-ES"/>
              </w:rPr>
              <w:t>Elevación de las transaminasas hepáticas</w:t>
            </w:r>
          </w:p>
        </w:tc>
        <w:tc>
          <w:tcPr>
            <w:tcW w:w="1832" w:type="dxa"/>
          </w:tcPr>
          <w:p w14:paraId="4F01A83D" w14:textId="77777777" w:rsidR="00CF1766" w:rsidRPr="005A5612" w:rsidRDefault="00CF1766" w:rsidP="00CF1766">
            <w:pPr>
              <w:keepNext/>
              <w:keepLines/>
              <w:autoSpaceDE w:val="0"/>
              <w:autoSpaceDN w:val="0"/>
              <w:adjustRightInd w:val="0"/>
              <w:rPr>
                <w:sz w:val="20"/>
                <w:szCs w:val="22"/>
                <w:lang w:val="es-ES"/>
              </w:rPr>
            </w:pPr>
          </w:p>
        </w:tc>
        <w:tc>
          <w:tcPr>
            <w:tcW w:w="1333" w:type="dxa"/>
          </w:tcPr>
          <w:p w14:paraId="0DA0137D"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p>
        </w:tc>
        <w:tc>
          <w:tcPr>
            <w:tcW w:w="1910" w:type="dxa"/>
          </w:tcPr>
          <w:p w14:paraId="51186864" w14:textId="77777777" w:rsidR="00CF1766" w:rsidRPr="005A5612" w:rsidRDefault="00CF1766" w:rsidP="00CF1766">
            <w:pPr>
              <w:keepNext/>
              <w:keepLines/>
              <w:autoSpaceDE w:val="0"/>
              <w:autoSpaceDN w:val="0"/>
              <w:adjustRightInd w:val="0"/>
              <w:rPr>
                <w:sz w:val="20"/>
                <w:szCs w:val="22"/>
              </w:rPr>
            </w:pPr>
          </w:p>
        </w:tc>
      </w:tr>
      <w:tr w:rsidR="00CF1766" w:rsidRPr="005A5612" w14:paraId="3C12FDE8" w14:textId="77777777" w:rsidTr="00F30AB8">
        <w:tc>
          <w:tcPr>
            <w:tcW w:w="1884" w:type="dxa"/>
          </w:tcPr>
          <w:p w14:paraId="62A5BE19" w14:textId="77777777" w:rsidR="00CF1766" w:rsidRPr="005A5612" w:rsidRDefault="00CF1766" w:rsidP="00CF1766">
            <w:pPr>
              <w:keepNext/>
              <w:keepLines/>
              <w:autoSpaceDE w:val="0"/>
              <w:autoSpaceDN w:val="0"/>
              <w:adjustRightInd w:val="0"/>
              <w:rPr>
                <w:sz w:val="20"/>
                <w:szCs w:val="22"/>
              </w:rPr>
            </w:pPr>
          </w:p>
        </w:tc>
        <w:tc>
          <w:tcPr>
            <w:tcW w:w="1938" w:type="dxa"/>
          </w:tcPr>
          <w:p w14:paraId="0B7AA31F" w14:textId="77777777" w:rsidR="00CF1766" w:rsidRPr="005A5612" w:rsidRDefault="00CF1766" w:rsidP="00CF1766">
            <w:pPr>
              <w:keepNext/>
              <w:keepLines/>
              <w:autoSpaceDE w:val="0"/>
              <w:autoSpaceDN w:val="0"/>
              <w:adjustRightInd w:val="0"/>
              <w:rPr>
                <w:sz w:val="20"/>
                <w:szCs w:val="22"/>
                <w:lang w:val="es-ES"/>
              </w:rPr>
            </w:pPr>
            <w:r w:rsidRPr="005A5612">
              <w:rPr>
                <w:sz w:val="20"/>
                <w:szCs w:val="22"/>
                <w:lang w:val="es-ES"/>
              </w:rPr>
              <w:t>Descenso en el recuento de neutrófilos</w:t>
            </w:r>
          </w:p>
        </w:tc>
        <w:tc>
          <w:tcPr>
            <w:tcW w:w="1832" w:type="dxa"/>
          </w:tcPr>
          <w:p w14:paraId="7AD08E29" w14:textId="77777777" w:rsidR="00CF1766" w:rsidRPr="005A5612" w:rsidRDefault="00CF1766" w:rsidP="00CF1766">
            <w:pPr>
              <w:keepNext/>
              <w:keepLines/>
              <w:autoSpaceDE w:val="0"/>
              <w:autoSpaceDN w:val="0"/>
              <w:adjustRightInd w:val="0"/>
              <w:rPr>
                <w:sz w:val="20"/>
                <w:szCs w:val="22"/>
              </w:rPr>
            </w:pPr>
            <w:r w:rsidRPr="005A5612">
              <w:rPr>
                <w:sz w:val="20"/>
                <w:szCs w:val="22"/>
              </w:rPr>
              <w:t>AIJs</w:t>
            </w:r>
          </w:p>
        </w:tc>
        <w:tc>
          <w:tcPr>
            <w:tcW w:w="1333" w:type="dxa"/>
          </w:tcPr>
          <w:p w14:paraId="2DEABA0D"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p>
        </w:tc>
        <w:tc>
          <w:tcPr>
            <w:tcW w:w="1910" w:type="dxa"/>
          </w:tcPr>
          <w:p w14:paraId="20F041A4" w14:textId="77777777" w:rsidR="00CF1766" w:rsidRPr="005A5612" w:rsidRDefault="00CF1766" w:rsidP="00CF1766">
            <w:pPr>
              <w:keepNext/>
              <w:keepLines/>
              <w:autoSpaceDE w:val="0"/>
              <w:autoSpaceDN w:val="0"/>
              <w:adjustRightInd w:val="0"/>
              <w:rPr>
                <w:sz w:val="20"/>
                <w:szCs w:val="22"/>
              </w:rPr>
            </w:pPr>
          </w:p>
        </w:tc>
      </w:tr>
      <w:tr w:rsidR="00CF1766" w:rsidRPr="005A5612" w14:paraId="537A0CCA" w14:textId="77777777" w:rsidTr="00F30AB8">
        <w:tc>
          <w:tcPr>
            <w:tcW w:w="1884" w:type="dxa"/>
          </w:tcPr>
          <w:p w14:paraId="3FA37224" w14:textId="77777777" w:rsidR="00CF1766" w:rsidRPr="005A5612" w:rsidRDefault="00CF1766" w:rsidP="00CF1766">
            <w:pPr>
              <w:keepNext/>
              <w:keepLines/>
              <w:autoSpaceDE w:val="0"/>
              <w:autoSpaceDN w:val="0"/>
              <w:adjustRightInd w:val="0"/>
              <w:rPr>
                <w:sz w:val="20"/>
                <w:szCs w:val="22"/>
              </w:rPr>
            </w:pPr>
          </w:p>
        </w:tc>
        <w:tc>
          <w:tcPr>
            <w:tcW w:w="1938" w:type="dxa"/>
          </w:tcPr>
          <w:p w14:paraId="7C5EA624" w14:textId="77777777" w:rsidR="00CF1766" w:rsidRPr="005A5612" w:rsidRDefault="00CF1766" w:rsidP="00CF1766">
            <w:pPr>
              <w:keepNext/>
              <w:keepLines/>
              <w:autoSpaceDE w:val="0"/>
              <w:autoSpaceDN w:val="0"/>
              <w:adjustRightInd w:val="0"/>
              <w:rPr>
                <w:sz w:val="20"/>
                <w:szCs w:val="22"/>
                <w:lang w:val="es-ES"/>
              </w:rPr>
            </w:pPr>
            <w:r w:rsidRPr="005A5612">
              <w:rPr>
                <w:sz w:val="20"/>
                <w:szCs w:val="22"/>
                <w:lang w:val="es-ES"/>
              </w:rPr>
              <w:t>Descenso en el recuento de plaquetas</w:t>
            </w:r>
          </w:p>
        </w:tc>
        <w:tc>
          <w:tcPr>
            <w:tcW w:w="1832" w:type="dxa"/>
          </w:tcPr>
          <w:p w14:paraId="5618B5D4" w14:textId="77777777" w:rsidR="00CF1766" w:rsidRPr="005A5612" w:rsidRDefault="00CF1766" w:rsidP="00CF1766">
            <w:pPr>
              <w:keepNext/>
              <w:keepLines/>
              <w:autoSpaceDE w:val="0"/>
              <w:autoSpaceDN w:val="0"/>
              <w:adjustRightInd w:val="0"/>
              <w:rPr>
                <w:sz w:val="20"/>
                <w:szCs w:val="22"/>
                <w:lang w:val="es-ES"/>
              </w:rPr>
            </w:pPr>
          </w:p>
        </w:tc>
        <w:tc>
          <w:tcPr>
            <w:tcW w:w="1333" w:type="dxa"/>
          </w:tcPr>
          <w:p w14:paraId="0D045E82" w14:textId="77777777" w:rsidR="00CF1766" w:rsidRPr="005A5612" w:rsidRDefault="00CF1766" w:rsidP="00CF1766">
            <w:pPr>
              <w:keepNext/>
              <w:keepLines/>
              <w:autoSpaceDE w:val="0"/>
              <w:autoSpaceDN w:val="0"/>
              <w:adjustRightInd w:val="0"/>
              <w:rPr>
                <w:sz w:val="20"/>
                <w:szCs w:val="22"/>
              </w:rPr>
            </w:pPr>
            <w:r w:rsidRPr="005A5612">
              <w:rPr>
                <w:sz w:val="20"/>
                <w:szCs w:val="22"/>
              </w:rPr>
              <w:t>AIJs</w:t>
            </w:r>
          </w:p>
        </w:tc>
        <w:tc>
          <w:tcPr>
            <w:tcW w:w="1910" w:type="dxa"/>
          </w:tcPr>
          <w:p w14:paraId="7BAA688E"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p>
        </w:tc>
      </w:tr>
      <w:tr w:rsidR="00CF1766" w:rsidRPr="005A5612" w14:paraId="26F35998" w14:textId="77777777" w:rsidTr="00F30AB8">
        <w:tc>
          <w:tcPr>
            <w:tcW w:w="1884" w:type="dxa"/>
          </w:tcPr>
          <w:p w14:paraId="0C498F4E" w14:textId="77777777" w:rsidR="00CF1766" w:rsidRPr="005A5612" w:rsidRDefault="00CF1766" w:rsidP="00CF1766">
            <w:pPr>
              <w:keepNext/>
              <w:keepLines/>
              <w:autoSpaceDE w:val="0"/>
              <w:autoSpaceDN w:val="0"/>
              <w:adjustRightInd w:val="0"/>
              <w:rPr>
                <w:sz w:val="20"/>
                <w:szCs w:val="22"/>
              </w:rPr>
            </w:pPr>
          </w:p>
        </w:tc>
        <w:tc>
          <w:tcPr>
            <w:tcW w:w="1938" w:type="dxa"/>
          </w:tcPr>
          <w:p w14:paraId="7D0B68B7" w14:textId="77777777" w:rsidR="00CF1766" w:rsidRPr="005A5612" w:rsidRDefault="00CF1766" w:rsidP="00CF1766">
            <w:pPr>
              <w:keepNext/>
              <w:keepLines/>
              <w:autoSpaceDE w:val="0"/>
              <w:autoSpaceDN w:val="0"/>
              <w:adjustRightInd w:val="0"/>
              <w:rPr>
                <w:sz w:val="20"/>
                <w:szCs w:val="22"/>
              </w:rPr>
            </w:pPr>
            <w:r w:rsidRPr="005A5612">
              <w:rPr>
                <w:sz w:val="20"/>
                <w:szCs w:val="22"/>
              </w:rPr>
              <w:t>Aumento del colesterol</w:t>
            </w:r>
          </w:p>
        </w:tc>
        <w:tc>
          <w:tcPr>
            <w:tcW w:w="1832" w:type="dxa"/>
          </w:tcPr>
          <w:p w14:paraId="39BD3C54" w14:textId="77777777" w:rsidR="00CF1766" w:rsidRPr="005A5612" w:rsidRDefault="00CF1766" w:rsidP="00CF1766">
            <w:pPr>
              <w:keepNext/>
              <w:keepLines/>
              <w:autoSpaceDE w:val="0"/>
              <w:autoSpaceDN w:val="0"/>
              <w:adjustRightInd w:val="0"/>
              <w:rPr>
                <w:sz w:val="20"/>
                <w:szCs w:val="22"/>
              </w:rPr>
            </w:pPr>
          </w:p>
        </w:tc>
        <w:tc>
          <w:tcPr>
            <w:tcW w:w="1333" w:type="dxa"/>
          </w:tcPr>
          <w:p w14:paraId="2BC02222" w14:textId="77777777" w:rsidR="00CF1766" w:rsidRPr="005A5612" w:rsidRDefault="00CF1766" w:rsidP="00CF1766">
            <w:pPr>
              <w:keepNext/>
              <w:keepLines/>
              <w:autoSpaceDE w:val="0"/>
              <w:autoSpaceDN w:val="0"/>
              <w:adjustRightInd w:val="0"/>
              <w:rPr>
                <w:sz w:val="20"/>
                <w:szCs w:val="22"/>
              </w:rPr>
            </w:pPr>
            <w:r w:rsidRPr="005A5612">
              <w:rPr>
                <w:sz w:val="20"/>
                <w:szCs w:val="22"/>
              </w:rPr>
              <w:t>AIJs</w:t>
            </w:r>
          </w:p>
        </w:tc>
        <w:tc>
          <w:tcPr>
            <w:tcW w:w="1910" w:type="dxa"/>
          </w:tcPr>
          <w:p w14:paraId="04EA2E00" w14:textId="77777777" w:rsidR="00CF1766" w:rsidRPr="005A5612" w:rsidRDefault="00CF1766" w:rsidP="00CF1766">
            <w:pPr>
              <w:keepNext/>
              <w:keepLines/>
              <w:autoSpaceDE w:val="0"/>
              <w:autoSpaceDN w:val="0"/>
              <w:adjustRightInd w:val="0"/>
              <w:rPr>
                <w:sz w:val="20"/>
                <w:szCs w:val="22"/>
              </w:rPr>
            </w:pPr>
            <w:r w:rsidRPr="005A5612">
              <w:rPr>
                <w:sz w:val="20"/>
                <w:szCs w:val="22"/>
              </w:rPr>
              <w:t>AIJp</w:t>
            </w:r>
          </w:p>
        </w:tc>
      </w:tr>
    </w:tbl>
    <w:p w14:paraId="60C0DA68" w14:textId="77777777" w:rsidR="00CF1766" w:rsidRPr="00957CE0" w:rsidRDefault="00CF1766" w:rsidP="00CF1766">
      <w:pPr>
        <w:keepNext/>
        <w:keepLines/>
        <w:autoSpaceDE w:val="0"/>
        <w:autoSpaceDN w:val="0"/>
        <w:adjustRightInd w:val="0"/>
        <w:rPr>
          <w:rFonts w:cs="Arial"/>
          <w:sz w:val="18"/>
          <w:szCs w:val="18"/>
          <w:lang w:val="es-ES" w:eastAsia="de-DE"/>
        </w:rPr>
      </w:pPr>
      <w:r w:rsidRPr="00957CE0">
        <w:rPr>
          <w:rFonts w:cs="Arial"/>
          <w:sz w:val="18"/>
          <w:szCs w:val="18"/>
          <w:lang w:val="es-ES" w:eastAsia="de-DE"/>
        </w:rPr>
        <w:t>1. Eventos relacionados con las reacciones a la  perfusión  en los pacientes AIJp incluido pero no limitado a dolor de cabeza, náuseas e hipotensión</w:t>
      </w:r>
      <w:r w:rsidRPr="00957CE0">
        <w:rPr>
          <w:rFonts w:cs="Arial"/>
          <w:sz w:val="18"/>
          <w:szCs w:val="18"/>
          <w:lang w:val="es-ES" w:eastAsia="de-DE"/>
        </w:rPr>
        <w:br/>
        <w:t>2. Eventos relacionados con las reacciones a la perfusión en los pacientes AIJs incluido</w:t>
      </w:r>
      <w:r>
        <w:rPr>
          <w:rFonts w:cs="Arial"/>
          <w:sz w:val="18"/>
          <w:szCs w:val="18"/>
          <w:lang w:val="es-ES" w:eastAsia="de-DE"/>
        </w:rPr>
        <w:t>,</w:t>
      </w:r>
      <w:r w:rsidRPr="00957CE0">
        <w:rPr>
          <w:rFonts w:cs="Arial"/>
          <w:sz w:val="18"/>
          <w:szCs w:val="18"/>
          <w:lang w:val="es-ES" w:eastAsia="de-DE"/>
        </w:rPr>
        <w:t xml:space="preserve"> pero no limitado a rash, urticaria, diarrea, malestar epigástrico, artralgias y dolor de cabeza</w:t>
      </w:r>
    </w:p>
    <w:p w14:paraId="6187BED7" w14:textId="77777777" w:rsidR="00CF1766" w:rsidRDefault="00CF1766" w:rsidP="00ED1E1D">
      <w:pPr>
        <w:rPr>
          <w:lang w:val="es-ES"/>
        </w:rPr>
      </w:pPr>
    </w:p>
    <w:p w14:paraId="2FB12FFF" w14:textId="2DD934B9" w:rsidR="00CF1766" w:rsidRDefault="00CF1766" w:rsidP="00ED1E1D">
      <w:pPr>
        <w:rPr>
          <w:u w:val="single"/>
          <w:lang w:val="es-ES"/>
        </w:rPr>
      </w:pPr>
      <w:r w:rsidRPr="00F30AB8">
        <w:rPr>
          <w:u w:val="single"/>
          <w:lang w:val="es-ES"/>
        </w:rPr>
        <w:t>Descripción de reacciones adversas</w:t>
      </w:r>
      <w:ins w:id="162" w:author="AUTHOR">
        <w:r w:rsidR="009E094B">
          <w:rPr>
            <w:u w:val="single"/>
            <w:lang w:val="es-ES"/>
          </w:rPr>
          <w:t xml:space="preserve"> seleccionadas</w:t>
        </w:r>
      </w:ins>
    </w:p>
    <w:p w14:paraId="3B8B2713" w14:textId="77777777" w:rsidR="00CF1766" w:rsidRDefault="00CF1766" w:rsidP="00ED1E1D">
      <w:pPr>
        <w:rPr>
          <w:u w:val="single"/>
          <w:lang w:val="es-ES"/>
        </w:rPr>
      </w:pPr>
    </w:p>
    <w:p w14:paraId="6466CAC8" w14:textId="618E2480" w:rsidR="00CF1766" w:rsidDel="00D33DBC" w:rsidRDefault="00CF1766" w:rsidP="00ED1E1D">
      <w:pPr>
        <w:rPr>
          <w:del w:id="163" w:author="AUTHOR"/>
          <w:i/>
          <w:lang w:val="es-ES"/>
        </w:rPr>
      </w:pPr>
      <w:r w:rsidRPr="00F30AB8">
        <w:rPr>
          <w:i/>
          <w:lang w:val="es-ES"/>
        </w:rPr>
        <w:t>Pacientes</w:t>
      </w:r>
      <w:r w:rsidR="00205482">
        <w:rPr>
          <w:i/>
          <w:lang w:val="es-ES"/>
        </w:rPr>
        <w:t xml:space="preserve"> con </w:t>
      </w:r>
      <w:r w:rsidRPr="00F30AB8">
        <w:rPr>
          <w:i/>
          <w:lang w:val="es-ES"/>
        </w:rPr>
        <w:t>AR</w:t>
      </w:r>
    </w:p>
    <w:p w14:paraId="567E546A" w14:textId="77777777" w:rsidR="00CF1766" w:rsidRPr="00F30AB8" w:rsidRDefault="00CF1766" w:rsidP="00ED1E1D">
      <w:pPr>
        <w:rPr>
          <w:i/>
          <w:lang w:val="es-ES"/>
        </w:rPr>
      </w:pPr>
    </w:p>
    <w:p w14:paraId="477946B7" w14:textId="77777777" w:rsidR="007927FC" w:rsidRPr="00F30AB8" w:rsidRDefault="007927FC" w:rsidP="007927FC">
      <w:pPr>
        <w:ind w:left="567" w:hanging="567"/>
        <w:outlineLvl w:val="0"/>
        <w:rPr>
          <w:u w:val="single"/>
          <w:lang w:val="es-ES"/>
        </w:rPr>
      </w:pPr>
      <w:r w:rsidRPr="00F30AB8">
        <w:rPr>
          <w:i/>
          <w:iCs/>
          <w:u w:val="single"/>
          <w:lang w:val="es-ES_tradnl"/>
        </w:rPr>
        <w:t>Infecciones</w:t>
      </w:r>
      <w:r w:rsidRPr="00F30AB8">
        <w:rPr>
          <w:i/>
          <w:iCs/>
          <w:u w:val="single"/>
          <w:lang w:val="es-ES"/>
        </w:rPr>
        <w:t xml:space="preserve"> </w:t>
      </w:r>
    </w:p>
    <w:p w14:paraId="129ABD04" w14:textId="68368AE8" w:rsidR="007927FC" w:rsidRPr="008A106B" w:rsidRDefault="007927FC" w:rsidP="007927FC">
      <w:pPr>
        <w:rPr>
          <w:lang w:val="es-ES"/>
        </w:rPr>
      </w:pPr>
      <w:r w:rsidRPr="008A106B">
        <w:rPr>
          <w:lang w:val="es-ES_tradnl"/>
        </w:rPr>
        <w:t xml:space="preserve">En los </w:t>
      </w:r>
      <w:del w:id="164" w:author="AUTHOR">
        <w:r w:rsidRPr="008A106B" w:rsidDel="00994C36">
          <w:rPr>
            <w:lang w:val="es-ES_tradnl"/>
          </w:rPr>
          <w:delText xml:space="preserve">estudios </w:delText>
        </w:r>
      </w:del>
      <w:ins w:id="165" w:author="AUTHOR">
        <w:r w:rsidR="00994C36">
          <w:rPr>
            <w:lang w:val="es-ES_tradnl"/>
          </w:rPr>
          <w:t>ensayos</w:t>
        </w:r>
        <w:r w:rsidR="00994C36" w:rsidRPr="008A106B">
          <w:rPr>
            <w:lang w:val="es-ES_tradnl"/>
          </w:rPr>
          <w:t xml:space="preserve"> </w:t>
        </w:r>
      </w:ins>
      <w:r w:rsidRPr="008A106B">
        <w:rPr>
          <w:lang w:val="es-ES_tradnl"/>
        </w:rPr>
        <w:t>controlados de 6 meses, la tasa de todas las infecciones notificadas con el tratamiento de tocilizumab 8 mg/kg más FAMEs fue de 127</w:t>
      </w:r>
      <w:r w:rsidR="00CF1766">
        <w:rPr>
          <w:lang w:val="es-ES_tradnl"/>
        </w:rPr>
        <w:t> </w:t>
      </w:r>
      <w:r w:rsidRPr="008A106B">
        <w:rPr>
          <w:lang w:val="es-ES_tradnl"/>
        </w:rPr>
        <w:t>acontecimientos por 100</w:t>
      </w:r>
      <w:r w:rsidR="00CF1766">
        <w:rPr>
          <w:lang w:val="es-ES_tradnl"/>
        </w:rPr>
        <w:t> </w:t>
      </w:r>
      <w:r w:rsidRPr="008A106B">
        <w:rPr>
          <w:lang w:val="es-ES_tradnl"/>
        </w:rPr>
        <w:t>pacientes-años comparada con 112</w:t>
      </w:r>
      <w:r w:rsidR="00CF1766">
        <w:rPr>
          <w:lang w:val="es-ES_tradnl"/>
        </w:rPr>
        <w:t> </w:t>
      </w:r>
      <w:r w:rsidRPr="008A106B">
        <w:rPr>
          <w:lang w:val="es-ES_tradnl"/>
        </w:rPr>
        <w:t>acontecimientos por 100</w:t>
      </w:r>
      <w:r w:rsidR="00CF1766">
        <w:rPr>
          <w:lang w:val="es-ES_tradnl"/>
        </w:rPr>
        <w:t> </w:t>
      </w:r>
      <w:r w:rsidRPr="008A106B">
        <w:rPr>
          <w:lang w:val="es-ES_tradnl"/>
        </w:rPr>
        <w:t>pacientes</w:t>
      </w:r>
      <w:r w:rsidR="00645FEF">
        <w:rPr>
          <w:lang w:val="es-ES_tradnl"/>
        </w:rPr>
        <w:t>-</w:t>
      </w:r>
      <w:r w:rsidRPr="008A106B">
        <w:rPr>
          <w:lang w:val="es-ES_tradnl"/>
        </w:rPr>
        <w:t>años en el grupo de placebo más FAMEs.</w:t>
      </w:r>
      <w:r w:rsidRPr="008A106B">
        <w:rPr>
          <w:lang w:val="es-ES"/>
        </w:rPr>
        <w:t xml:space="preserve"> </w:t>
      </w:r>
      <w:r w:rsidRPr="008A106B">
        <w:rPr>
          <w:lang w:val="es-ES_tradnl"/>
        </w:rPr>
        <w:t xml:space="preserve">En la población expuesta a largo plazo, la tasa global de infecciones con </w:t>
      </w:r>
      <w:r w:rsidR="00CF1766">
        <w:rPr>
          <w:lang w:val="es-ES_tradnl"/>
        </w:rPr>
        <w:t>tocilizumab</w:t>
      </w:r>
      <w:r w:rsidR="00CF1766" w:rsidRPr="008A106B">
        <w:rPr>
          <w:lang w:val="es-ES_tradnl"/>
        </w:rPr>
        <w:t xml:space="preserve"> </w:t>
      </w:r>
      <w:r w:rsidRPr="008A106B">
        <w:rPr>
          <w:lang w:val="es-ES_tradnl"/>
        </w:rPr>
        <w:t>fue de 108</w:t>
      </w:r>
      <w:r w:rsidR="00CF1766">
        <w:rPr>
          <w:lang w:val="es-ES_tradnl"/>
        </w:rPr>
        <w:t> </w:t>
      </w:r>
      <w:r w:rsidRPr="008A106B">
        <w:rPr>
          <w:lang w:val="es-ES_tradnl"/>
        </w:rPr>
        <w:t>acontecimientos por 100</w:t>
      </w:r>
      <w:r w:rsidR="00CF1766">
        <w:rPr>
          <w:lang w:val="es-ES_tradnl"/>
        </w:rPr>
        <w:t> </w:t>
      </w:r>
      <w:r w:rsidRPr="008A106B">
        <w:rPr>
          <w:lang w:val="es-ES_tradnl"/>
        </w:rPr>
        <w:t>pacientes-años de exposición.</w:t>
      </w:r>
    </w:p>
    <w:p w14:paraId="5551F075" w14:textId="77777777" w:rsidR="007927FC" w:rsidRPr="008A106B" w:rsidRDefault="007927FC" w:rsidP="007927FC">
      <w:pPr>
        <w:rPr>
          <w:lang w:val="es-ES"/>
        </w:rPr>
      </w:pPr>
    </w:p>
    <w:p w14:paraId="4382A693" w14:textId="272CB4DC" w:rsidR="007927FC" w:rsidRPr="008A106B" w:rsidRDefault="007927FC" w:rsidP="007927FC">
      <w:pPr>
        <w:rPr>
          <w:lang w:val="es-ES"/>
        </w:rPr>
      </w:pPr>
      <w:r w:rsidRPr="008A106B">
        <w:rPr>
          <w:lang w:val="es-ES_tradnl"/>
        </w:rPr>
        <w:t>En los ensayos clínicos controlados de 6</w:t>
      </w:r>
      <w:r w:rsidR="00CF1766">
        <w:rPr>
          <w:lang w:val="es-ES_tradnl"/>
        </w:rPr>
        <w:t> </w:t>
      </w:r>
      <w:r w:rsidRPr="008A106B">
        <w:rPr>
          <w:lang w:val="es-ES_tradnl"/>
        </w:rPr>
        <w:t>meses, la tasa de todas las infecciones graves comunicadas con tocilizumab 8 mg/kg más FAMEs fue de 5,</w:t>
      </w:r>
      <w:r w:rsidR="00CF1766">
        <w:rPr>
          <w:lang w:val="es-ES_tradnl"/>
        </w:rPr>
        <w:t> </w:t>
      </w:r>
      <w:del w:id="166" w:author="AUTHOR">
        <w:r w:rsidRPr="008A106B" w:rsidDel="009E094B">
          <w:rPr>
            <w:lang w:val="es-ES_tradnl"/>
          </w:rPr>
          <w:delText xml:space="preserve"> </w:delText>
        </w:r>
      </w:del>
      <w:r w:rsidRPr="008A106B">
        <w:rPr>
          <w:lang w:val="es-ES_tradnl"/>
        </w:rPr>
        <w:t>acontecimientos por 100</w:t>
      </w:r>
      <w:r w:rsidR="00CF1766">
        <w:rPr>
          <w:lang w:val="es-ES_tradnl"/>
        </w:rPr>
        <w:t> </w:t>
      </w:r>
      <w:r w:rsidRPr="008A106B">
        <w:rPr>
          <w:lang w:val="es-ES_tradnl"/>
        </w:rPr>
        <w:t>pacientes-años de exposición comparada con 3,9</w:t>
      </w:r>
      <w:r w:rsidR="00CF1766">
        <w:rPr>
          <w:lang w:val="es-ES_tradnl"/>
        </w:rPr>
        <w:t> </w:t>
      </w:r>
      <w:r w:rsidRPr="008A106B">
        <w:rPr>
          <w:lang w:val="es-ES_tradnl"/>
        </w:rPr>
        <w:t>acontecimientos por 100</w:t>
      </w:r>
      <w:r w:rsidR="00CF1766">
        <w:rPr>
          <w:lang w:val="es-ES_tradnl"/>
        </w:rPr>
        <w:t> </w:t>
      </w:r>
      <w:r w:rsidRPr="008A106B">
        <w:rPr>
          <w:lang w:val="es-ES_tradnl"/>
        </w:rPr>
        <w:t>pacientes</w:t>
      </w:r>
      <w:r w:rsidR="00645FEF">
        <w:rPr>
          <w:lang w:val="es-ES_tradnl"/>
        </w:rPr>
        <w:t>-</w:t>
      </w:r>
      <w:r w:rsidRPr="008A106B">
        <w:rPr>
          <w:lang w:val="es-ES_tradnl"/>
        </w:rPr>
        <w:t>años de exposición en el grupo de placebo más FAMEs.</w:t>
      </w:r>
      <w:r w:rsidRPr="008A106B">
        <w:rPr>
          <w:lang w:val="es-ES"/>
        </w:rPr>
        <w:t xml:space="preserve"> </w:t>
      </w:r>
      <w:r w:rsidRPr="008A106B">
        <w:rPr>
          <w:lang w:val="es-ES_tradnl"/>
        </w:rPr>
        <w:t xml:space="preserve">En el </w:t>
      </w:r>
      <w:del w:id="167" w:author="AUTHOR">
        <w:r w:rsidRPr="008A106B" w:rsidDel="00994C36">
          <w:rPr>
            <w:lang w:val="es-ES_tradnl"/>
          </w:rPr>
          <w:delText xml:space="preserve">estudio </w:delText>
        </w:r>
      </w:del>
      <w:ins w:id="168" w:author="AUTHOR">
        <w:r w:rsidR="00994C36">
          <w:rPr>
            <w:lang w:val="es-ES_tradnl"/>
          </w:rPr>
          <w:t>ensayo</w:t>
        </w:r>
        <w:r w:rsidR="00994C36" w:rsidRPr="008A106B">
          <w:rPr>
            <w:lang w:val="es-ES_tradnl"/>
          </w:rPr>
          <w:t xml:space="preserve"> </w:t>
        </w:r>
      </w:ins>
      <w:r w:rsidRPr="008A106B">
        <w:rPr>
          <w:lang w:val="es-ES_tradnl"/>
        </w:rPr>
        <w:t>de monoterapia, la tasa de infecciones graves fue de 3,6</w:t>
      </w:r>
      <w:r w:rsidR="00CF1766">
        <w:rPr>
          <w:lang w:val="es-ES_tradnl"/>
        </w:rPr>
        <w:t> </w:t>
      </w:r>
      <w:r w:rsidRPr="008A106B">
        <w:rPr>
          <w:lang w:val="es-ES_tradnl"/>
        </w:rPr>
        <w:t>acontecimientos por 100</w:t>
      </w:r>
      <w:r w:rsidR="00CF1766">
        <w:rPr>
          <w:lang w:val="es-ES_tradnl"/>
        </w:rPr>
        <w:t> </w:t>
      </w:r>
      <w:r w:rsidRPr="008A106B">
        <w:rPr>
          <w:lang w:val="es-ES_tradnl"/>
        </w:rPr>
        <w:t>pacientes</w:t>
      </w:r>
      <w:r w:rsidR="00645FEF">
        <w:rPr>
          <w:lang w:val="es-ES_tradnl"/>
        </w:rPr>
        <w:t>-</w:t>
      </w:r>
      <w:r w:rsidRPr="008A106B">
        <w:rPr>
          <w:lang w:val="es-ES_tradnl"/>
        </w:rPr>
        <w:t>años de exposición en el grupo de tocilizumab y 1,5</w:t>
      </w:r>
      <w:r w:rsidR="00CF1766">
        <w:rPr>
          <w:lang w:val="es-ES_tradnl"/>
        </w:rPr>
        <w:t> </w:t>
      </w:r>
      <w:r w:rsidRPr="008A106B">
        <w:rPr>
          <w:lang w:val="es-ES_tradnl"/>
        </w:rPr>
        <w:t>acontecimientos por 100</w:t>
      </w:r>
      <w:r w:rsidR="00CF1766">
        <w:rPr>
          <w:lang w:val="es-ES_tradnl"/>
        </w:rPr>
        <w:t> </w:t>
      </w:r>
      <w:r w:rsidRPr="008A106B">
        <w:rPr>
          <w:lang w:val="es-ES_tradnl"/>
        </w:rPr>
        <w:t>pacientes</w:t>
      </w:r>
      <w:r w:rsidR="00645FEF">
        <w:rPr>
          <w:lang w:val="es-ES_tradnl"/>
        </w:rPr>
        <w:t>-</w:t>
      </w:r>
      <w:r w:rsidRPr="008A106B">
        <w:rPr>
          <w:lang w:val="es-ES_tradnl"/>
        </w:rPr>
        <w:t>años de exposición en el grupo de MTX.</w:t>
      </w:r>
      <w:r w:rsidRPr="008A106B">
        <w:rPr>
          <w:lang w:val="es-ES"/>
        </w:rPr>
        <w:t xml:space="preserve"> </w:t>
      </w:r>
    </w:p>
    <w:p w14:paraId="063D28BA" w14:textId="77777777" w:rsidR="007927FC" w:rsidRPr="008A106B" w:rsidRDefault="007927FC" w:rsidP="007927FC">
      <w:pPr>
        <w:rPr>
          <w:lang w:val="es-ES_tradnl"/>
        </w:rPr>
      </w:pPr>
    </w:p>
    <w:p w14:paraId="73501A72" w14:textId="74FF8DC7" w:rsidR="007927FC" w:rsidRPr="008A106B" w:rsidRDefault="007927FC" w:rsidP="007927FC">
      <w:pPr>
        <w:rPr>
          <w:lang w:val="es-ES"/>
        </w:rPr>
      </w:pPr>
      <w:r w:rsidRPr="008A106B">
        <w:rPr>
          <w:lang w:val="es-ES_tradnl"/>
        </w:rPr>
        <w:lastRenderedPageBreak/>
        <w:t xml:space="preserve">En la población expuesta a largo plazo, la tasa global de infecciones </w:t>
      </w:r>
      <w:ins w:id="169" w:author="AUTHOR">
        <w:r w:rsidR="009E094B">
          <w:rPr>
            <w:lang w:val="es-ES_tradnl"/>
          </w:rPr>
          <w:t xml:space="preserve">graves </w:t>
        </w:r>
      </w:ins>
      <w:r w:rsidRPr="008A106B">
        <w:rPr>
          <w:lang w:val="es-ES_tradnl"/>
        </w:rPr>
        <w:t>(bacterianas, víricas y fúngicas) fue de 4,7</w:t>
      </w:r>
      <w:r w:rsidR="00CF1766">
        <w:rPr>
          <w:lang w:val="es-ES_tradnl"/>
        </w:rPr>
        <w:t> </w:t>
      </w:r>
      <w:r w:rsidRPr="008A106B">
        <w:rPr>
          <w:lang w:val="es-ES_tradnl"/>
        </w:rPr>
        <w:t>acontecimientos por 100</w:t>
      </w:r>
      <w:r w:rsidR="00CF1766">
        <w:rPr>
          <w:lang w:val="es-ES_tradnl"/>
        </w:rPr>
        <w:t> </w:t>
      </w:r>
      <w:r w:rsidRPr="008A106B">
        <w:rPr>
          <w:lang w:val="es-ES_tradnl"/>
        </w:rPr>
        <w:t>pacientes-años.</w:t>
      </w:r>
      <w:r w:rsidRPr="008A106B">
        <w:rPr>
          <w:lang w:val="es-ES"/>
        </w:rPr>
        <w:t xml:space="preserve"> </w:t>
      </w:r>
      <w:r w:rsidRPr="008A106B">
        <w:rPr>
          <w:lang w:val="es-ES_tradnl"/>
        </w:rPr>
        <w:t>Entre las infecciones graves notificadas algunas mortales se incluyeron tuberculosis activa, que se puede presentar con enfermedad intrapulmonar o extrapulmonar, infecciones pulmonares invasivas, incluidas candidiasis, aspergilosis, co</w:t>
      </w:r>
      <w:r w:rsidR="00282939">
        <w:rPr>
          <w:lang w:val="es-ES_tradnl"/>
        </w:rPr>
        <w:t>c</w:t>
      </w:r>
      <w:r w:rsidRPr="008A106B">
        <w:rPr>
          <w:lang w:val="es-ES_tradnl"/>
        </w:rPr>
        <w:t>cidiodomicosis y neumocistis jirovecii</w:t>
      </w:r>
      <w:del w:id="170" w:author="AUTHOR">
        <w:r w:rsidRPr="008A106B" w:rsidDel="009E094B">
          <w:rPr>
            <w:lang w:val="es-ES_tradnl"/>
          </w:rPr>
          <w:delText>i</w:delText>
        </w:r>
      </w:del>
      <w:r w:rsidRPr="008A106B">
        <w:rPr>
          <w:lang w:val="es-ES_tradnl"/>
        </w:rPr>
        <w:t>, neumonía, celulitis, herpes zoster, gastroenteritis, diverticulitis, sepsis y artritis bacteriana. Se han notificado casos de infecciones oportunistas.</w:t>
      </w:r>
      <w:r w:rsidRPr="008A106B">
        <w:rPr>
          <w:lang w:val="es-ES"/>
        </w:rPr>
        <w:t xml:space="preserve"> </w:t>
      </w:r>
    </w:p>
    <w:p w14:paraId="63136E10" w14:textId="77777777" w:rsidR="007927FC" w:rsidRPr="008A106B" w:rsidRDefault="007927FC" w:rsidP="007927FC">
      <w:pPr>
        <w:rPr>
          <w:lang w:val="es-ES"/>
        </w:rPr>
      </w:pPr>
    </w:p>
    <w:p w14:paraId="7B725651" w14:textId="77777777" w:rsidR="007927FC" w:rsidRPr="00F30AB8" w:rsidRDefault="007927FC" w:rsidP="007927FC">
      <w:pPr>
        <w:rPr>
          <w:i/>
          <w:u w:val="single"/>
          <w:lang w:val="es-ES"/>
        </w:rPr>
      </w:pPr>
      <w:r w:rsidRPr="00F30AB8">
        <w:rPr>
          <w:i/>
          <w:u w:val="single"/>
          <w:lang w:val="es-ES"/>
        </w:rPr>
        <w:t xml:space="preserve">Enfermedad </w:t>
      </w:r>
      <w:r w:rsidR="00CF1766" w:rsidRPr="00376697">
        <w:rPr>
          <w:i/>
          <w:u w:val="single"/>
          <w:lang w:val="es-ES"/>
        </w:rPr>
        <w:t>pulmonar intersticial</w:t>
      </w:r>
    </w:p>
    <w:p w14:paraId="6C6660F4" w14:textId="77777777" w:rsidR="007927FC" w:rsidRPr="008A106B" w:rsidRDefault="007927FC" w:rsidP="007927FC">
      <w:pPr>
        <w:rPr>
          <w:lang w:val="es-ES"/>
        </w:rPr>
      </w:pPr>
      <w:r w:rsidRPr="008A106B">
        <w:rPr>
          <w:lang w:val="es-ES"/>
        </w:rPr>
        <w:t>El deterioro de la función pulmonar puede aumentar el riesgo de desarrollo de infecciones. Durante la comercialización se han notificado casos de enfermedad pulmonar intersticial (incluyendo neumonía, y fibrosis pulmonar) alguno de los cuales fue mortal.</w:t>
      </w:r>
    </w:p>
    <w:p w14:paraId="2EA2507A" w14:textId="77777777" w:rsidR="007927FC" w:rsidRPr="008A106B" w:rsidRDefault="007927FC" w:rsidP="007927FC">
      <w:pPr>
        <w:rPr>
          <w:lang w:val="es-ES"/>
        </w:rPr>
      </w:pPr>
    </w:p>
    <w:p w14:paraId="23F61816" w14:textId="77777777" w:rsidR="007927FC" w:rsidRPr="00F30AB8" w:rsidRDefault="007927FC" w:rsidP="007927FC">
      <w:pPr>
        <w:rPr>
          <w:i/>
          <w:u w:val="single"/>
          <w:lang w:val="es-ES"/>
        </w:rPr>
      </w:pPr>
      <w:r w:rsidRPr="00F30AB8">
        <w:rPr>
          <w:i/>
          <w:iCs/>
          <w:u w:val="single"/>
          <w:lang w:val="es-ES"/>
        </w:rPr>
        <w:t xml:space="preserve">Perforación </w:t>
      </w:r>
      <w:r w:rsidR="00CF1766" w:rsidRPr="00376697">
        <w:rPr>
          <w:i/>
          <w:iCs/>
          <w:u w:val="single"/>
          <w:lang w:val="es-ES"/>
        </w:rPr>
        <w:t>gastrointestinal</w:t>
      </w:r>
    </w:p>
    <w:p w14:paraId="3306CD93" w14:textId="5312D962" w:rsidR="007927FC" w:rsidRPr="008A106B" w:rsidRDefault="007927FC" w:rsidP="007927FC">
      <w:pPr>
        <w:rPr>
          <w:lang w:val="es-ES"/>
        </w:rPr>
      </w:pPr>
      <w:r w:rsidRPr="008A106B">
        <w:rPr>
          <w:lang w:val="es-ES_tradnl"/>
        </w:rPr>
        <w:t>Durante 6</w:t>
      </w:r>
      <w:r w:rsidR="00CF1766">
        <w:rPr>
          <w:lang w:val="es-ES_tradnl"/>
        </w:rPr>
        <w:t> </w:t>
      </w:r>
      <w:r w:rsidRPr="008A106B">
        <w:rPr>
          <w:lang w:val="es-ES_tradnl"/>
        </w:rPr>
        <w:t>meses de ensayos clínicos controlados, la tasa global de perforaciones gastrointestinales fue de 0,26</w:t>
      </w:r>
      <w:r w:rsidR="00CF1766">
        <w:rPr>
          <w:lang w:val="es-ES_tradnl"/>
        </w:rPr>
        <w:t> </w:t>
      </w:r>
      <w:r w:rsidRPr="008A106B">
        <w:rPr>
          <w:lang w:val="es-ES_tradnl"/>
        </w:rPr>
        <w:t>acontecimientos por 100</w:t>
      </w:r>
      <w:r w:rsidR="00CF1766">
        <w:rPr>
          <w:lang w:val="es-ES_tradnl"/>
        </w:rPr>
        <w:t> </w:t>
      </w:r>
      <w:ins w:id="171" w:author="AUTHOR">
        <w:r w:rsidR="00487D16" w:rsidRPr="008A106B">
          <w:rPr>
            <w:rFonts w:eastAsia="SimSun"/>
            <w:szCs w:val="22"/>
            <w:lang w:val="es-ES" w:eastAsia="zh-CN"/>
          </w:rPr>
          <w:t>pacientes</w:t>
        </w:r>
        <w:r w:rsidR="00487D16">
          <w:rPr>
            <w:rFonts w:eastAsia="SimSun"/>
            <w:szCs w:val="22"/>
            <w:lang w:val="es-ES" w:eastAsia="zh-CN"/>
          </w:rPr>
          <w:t>-</w:t>
        </w:r>
        <w:r w:rsidR="00487D16" w:rsidRPr="008A106B">
          <w:rPr>
            <w:rFonts w:eastAsia="SimSun"/>
            <w:szCs w:val="22"/>
            <w:lang w:val="es-ES" w:eastAsia="zh-CN"/>
          </w:rPr>
          <w:t>año</w:t>
        </w:r>
      </w:ins>
      <w:del w:id="172" w:author="AUTHOR">
        <w:r w:rsidRPr="008A106B" w:rsidDel="00487D16">
          <w:rPr>
            <w:lang w:val="es-ES_tradnl"/>
          </w:rPr>
          <w:delText>pacientes años</w:delText>
        </w:r>
      </w:del>
      <w:r w:rsidRPr="008A106B">
        <w:rPr>
          <w:lang w:val="es-ES_tradnl"/>
        </w:rPr>
        <w:t xml:space="preserve"> en tratamiento con tocilizumab. En la población expuesta a largo plazo la tasa global de perforaciones gastrointestinales fue 0,28</w:t>
      </w:r>
      <w:r w:rsidR="00CF1766">
        <w:rPr>
          <w:lang w:val="es-ES_tradnl"/>
        </w:rPr>
        <w:t> </w:t>
      </w:r>
      <w:r w:rsidRPr="008A106B">
        <w:rPr>
          <w:lang w:val="es-ES_tradnl"/>
        </w:rPr>
        <w:t>acontecimientos por 100</w:t>
      </w:r>
      <w:r w:rsidR="00CF1766">
        <w:rPr>
          <w:lang w:val="es-ES_tradnl"/>
        </w:rPr>
        <w:t> </w:t>
      </w:r>
      <w:ins w:id="173" w:author="AUTHOR">
        <w:r w:rsidR="00487D16" w:rsidRPr="008A106B">
          <w:rPr>
            <w:rFonts w:eastAsia="SimSun"/>
            <w:szCs w:val="22"/>
            <w:lang w:val="es-ES" w:eastAsia="zh-CN"/>
          </w:rPr>
          <w:t>pacientes</w:t>
        </w:r>
        <w:r w:rsidR="00487D16">
          <w:rPr>
            <w:rFonts w:eastAsia="SimSun"/>
            <w:szCs w:val="22"/>
            <w:lang w:val="es-ES" w:eastAsia="zh-CN"/>
          </w:rPr>
          <w:t>-</w:t>
        </w:r>
        <w:r w:rsidR="00487D16" w:rsidRPr="008A106B">
          <w:rPr>
            <w:rFonts w:eastAsia="SimSun"/>
            <w:szCs w:val="22"/>
            <w:lang w:val="es-ES" w:eastAsia="zh-CN"/>
          </w:rPr>
          <w:t>año</w:t>
        </w:r>
      </w:ins>
      <w:del w:id="174" w:author="AUTHOR">
        <w:r w:rsidRPr="008A106B" w:rsidDel="00487D16">
          <w:rPr>
            <w:lang w:val="es-ES_tradnl"/>
          </w:rPr>
          <w:delText>pacientes años</w:delText>
        </w:r>
      </w:del>
      <w:r w:rsidRPr="008A106B">
        <w:rPr>
          <w:lang w:val="es-ES_tradnl"/>
        </w:rPr>
        <w:t xml:space="preserve">. Las notificaciones de perforación grastrointestinal </w:t>
      </w:r>
      <w:r w:rsidR="00205482">
        <w:rPr>
          <w:lang w:val="es-ES_tradnl"/>
        </w:rPr>
        <w:t>durante el tratamiento</w:t>
      </w:r>
      <w:r w:rsidRPr="008A106B">
        <w:rPr>
          <w:lang w:val="es-ES_tradnl"/>
        </w:rPr>
        <w:t xml:space="preserve"> fueron comunicadas inicialmente como complicaciones de la diverticulitis tales como peritonitis purulenta generalizada, perforación gastrointestinal inferior, fístulas y abscesos. </w:t>
      </w:r>
    </w:p>
    <w:p w14:paraId="2709421E" w14:textId="77777777" w:rsidR="007927FC" w:rsidRPr="008A106B" w:rsidRDefault="007927FC" w:rsidP="007927FC">
      <w:pPr>
        <w:rPr>
          <w:lang w:val="es-ES"/>
        </w:rPr>
      </w:pPr>
    </w:p>
    <w:p w14:paraId="293A37D7" w14:textId="77777777" w:rsidR="007927FC" w:rsidRPr="00F30AB8" w:rsidRDefault="007927FC" w:rsidP="007927FC">
      <w:pPr>
        <w:ind w:left="567" w:hanging="567"/>
        <w:outlineLvl w:val="0"/>
        <w:rPr>
          <w:u w:val="single"/>
          <w:lang w:val="es-ES"/>
        </w:rPr>
      </w:pPr>
      <w:r w:rsidRPr="00F30AB8">
        <w:rPr>
          <w:i/>
          <w:iCs/>
          <w:u w:val="single"/>
          <w:lang w:val="es-ES_tradnl"/>
        </w:rPr>
        <w:t xml:space="preserve">Reacciones </w:t>
      </w:r>
      <w:r w:rsidR="005C4B32" w:rsidRPr="00F30AB8">
        <w:rPr>
          <w:i/>
          <w:iCs/>
          <w:u w:val="single"/>
          <w:lang w:val="es-ES_tradnl"/>
        </w:rPr>
        <w:t>relacionadas con</w:t>
      </w:r>
      <w:r w:rsidRPr="00F30AB8">
        <w:rPr>
          <w:i/>
          <w:iCs/>
          <w:u w:val="single"/>
          <w:lang w:val="es-ES_tradnl"/>
        </w:rPr>
        <w:t xml:space="preserve"> la perfusión</w:t>
      </w:r>
    </w:p>
    <w:p w14:paraId="397CFCC3" w14:textId="2436D642" w:rsidR="007927FC" w:rsidRPr="008A106B" w:rsidRDefault="007927FC" w:rsidP="007927FC">
      <w:pPr>
        <w:rPr>
          <w:lang w:val="es-ES"/>
        </w:rPr>
      </w:pPr>
      <w:r w:rsidRPr="008A106B">
        <w:rPr>
          <w:lang w:val="es-ES_tradnl"/>
        </w:rPr>
        <w:t>En los estudios controlados de 6</w:t>
      </w:r>
      <w:r w:rsidR="00CF1766">
        <w:rPr>
          <w:lang w:val="es-ES_tradnl"/>
        </w:rPr>
        <w:t> </w:t>
      </w:r>
      <w:r w:rsidRPr="008A106B">
        <w:rPr>
          <w:lang w:val="es-ES_tradnl"/>
        </w:rPr>
        <w:t>meses se notificaron acontecimientos adversos asociados a perfusión (acontecimientos seleccionados que se producen durante o dentro de las 24</w:t>
      </w:r>
      <w:r w:rsidR="00CF1766">
        <w:rPr>
          <w:lang w:val="es-ES_tradnl"/>
        </w:rPr>
        <w:t> </w:t>
      </w:r>
      <w:r w:rsidRPr="008A106B">
        <w:rPr>
          <w:lang w:val="es-ES_tradnl"/>
        </w:rPr>
        <w:t>horas después de la perfusión) el 6,9 % de los pacientes en el grupo de tocilizumab 8 mg/kg más FAMEs y el 5,1 % de los pacientes del grupo placebo más FAMEs.</w:t>
      </w:r>
      <w:r w:rsidRPr="008A106B">
        <w:rPr>
          <w:lang w:val="es-ES"/>
        </w:rPr>
        <w:t xml:space="preserve"> </w:t>
      </w:r>
      <w:r w:rsidRPr="008A106B">
        <w:rPr>
          <w:lang w:val="es-ES_tradnl"/>
        </w:rPr>
        <w:t>Los acontecimientos notificados durante la perfusión fueron fundamentalmente episodios de hipertensión; los acontecimientos notificados en el plazo de 24</w:t>
      </w:r>
      <w:r w:rsidR="00CF1766">
        <w:rPr>
          <w:lang w:val="es-ES_tradnl"/>
        </w:rPr>
        <w:t> </w:t>
      </w:r>
      <w:r w:rsidRPr="008A106B">
        <w:rPr>
          <w:lang w:val="es-ES_tradnl"/>
        </w:rPr>
        <w:t>horas desde la terminación de una perfusión fueron cefalea y reacciones cutáneas (erupción, urticaria).</w:t>
      </w:r>
      <w:r w:rsidRPr="008A106B">
        <w:rPr>
          <w:lang w:val="es-ES"/>
        </w:rPr>
        <w:t xml:space="preserve"> </w:t>
      </w:r>
      <w:r w:rsidRPr="008A106B">
        <w:rPr>
          <w:lang w:val="es-ES_tradnl"/>
        </w:rPr>
        <w:t>Estos acontecimientos no fueron limitantes para el tratamiento.</w:t>
      </w:r>
    </w:p>
    <w:p w14:paraId="0AF98D86" w14:textId="77777777" w:rsidR="007927FC" w:rsidRPr="008A106B" w:rsidRDefault="007927FC" w:rsidP="007927FC">
      <w:pPr>
        <w:rPr>
          <w:lang w:val="es-ES"/>
        </w:rPr>
      </w:pPr>
    </w:p>
    <w:p w14:paraId="22B70880" w14:textId="553E092A" w:rsidR="007927FC" w:rsidRPr="008A106B" w:rsidRDefault="007927FC" w:rsidP="007927FC">
      <w:pPr>
        <w:rPr>
          <w:lang w:val="es-ES"/>
        </w:rPr>
      </w:pPr>
      <w:r w:rsidRPr="0051183C">
        <w:rPr>
          <w:lang w:val="es-ES_tradnl"/>
        </w:rPr>
        <w:t xml:space="preserve">La tasa de reacciones anafilácticas (que se produjeron en un total de </w:t>
      </w:r>
      <w:r w:rsidR="00A02365" w:rsidRPr="0051183C">
        <w:rPr>
          <w:lang w:val="es-ES_tradnl"/>
        </w:rPr>
        <w:t>8</w:t>
      </w:r>
      <w:r w:rsidRPr="002640D8">
        <w:rPr>
          <w:lang w:val="es-ES_tradnl"/>
        </w:rPr>
        <w:t>/</w:t>
      </w:r>
      <w:r w:rsidR="00A02365" w:rsidRPr="002640D8">
        <w:rPr>
          <w:lang w:val="es-ES_tradnl"/>
        </w:rPr>
        <w:t>4.00</w:t>
      </w:r>
      <w:r w:rsidR="00A02365" w:rsidRPr="00F31128">
        <w:rPr>
          <w:lang w:val="es-ES_tradnl"/>
        </w:rPr>
        <w:t>9</w:t>
      </w:r>
      <w:r w:rsidR="00CF1766">
        <w:rPr>
          <w:lang w:val="es-ES_tradnl"/>
        </w:rPr>
        <w:t> </w:t>
      </w:r>
      <w:r w:rsidRPr="00F31128">
        <w:rPr>
          <w:lang w:val="es-ES_tradnl"/>
        </w:rPr>
        <w:t>pacientes, 0,2 %) fue varias veces más elevada con la dosis de 4 mg/kg que con la de 8 mg/kg.</w:t>
      </w:r>
      <w:r w:rsidRPr="00F31128">
        <w:rPr>
          <w:lang w:val="es-ES"/>
        </w:rPr>
        <w:t xml:space="preserve"> </w:t>
      </w:r>
      <w:r w:rsidRPr="00F31128">
        <w:rPr>
          <w:lang w:val="es-ES_tradnl"/>
        </w:rPr>
        <w:t xml:space="preserve">Se notificaron reacciones de hipersensibilidad clínicamente significativas asociadas a tocilizumab y que precisaron suspensión del tratamiento en un total de </w:t>
      </w:r>
      <w:r w:rsidR="00A02365" w:rsidRPr="00F31128">
        <w:rPr>
          <w:lang w:val="es-ES_tradnl"/>
        </w:rPr>
        <w:t>56</w:t>
      </w:r>
      <w:r w:rsidRPr="00F31128">
        <w:rPr>
          <w:lang w:val="es-ES_tradnl"/>
        </w:rPr>
        <w:t xml:space="preserve"> de </w:t>
      </w:r>
      <w:r w:rsidR="00A02365" w:rsidRPr="00F31128">
        <w:rPr>
          <w:lang w:val="es-ES_tradnl"/>
        </w:rPr>
        <w:t>4.009</w:t>
      </w:r>
      <w:r w:rsidR="00CF1766">
        <w:rPr>
          <w:lang w:val="es-ES_tradnl"/>
        </w:rPr>
        <w:t> </w:t>
      </w:r>
      <w:r w:rsidRPr="00F31128">
        <w:rPr>
          <w:lang w:val="es-ES_tradnl"/>
        </w:rPr>
        <w:t>pacientes (</w:t>
      </w:r>
      <w:r w:rsidR="00A02365" w:rsidRPr="00F31128">
        <w:rPr>
          <w:lang w:val="es-ES_tradnl"/>
        </w:rPr>
        <w:t>1,4</w:t>
      </w:r>
      <w:r w:rsidR="00CF1766">
        <w:rPr>
          <w:lang w:val="es-ES_tradnl"/>
        </w:rPr>
        <w:t> </w:t>
      </w:r>
      <w:r w:rsidRPr="00F31128">
        <w:rPr>
          <w:lang w:val="es-ES_tradnl"/>
        </w:rPr>
        <w:t>%) tratados durante los estudios clínicos controlados y abiertos.</w:t>
      </w:r>
      <w:r w:rsidRPr="00F31128">
        <w:rPr>
          <w:lang w:val="es-ES"/>
        </w:rPr>
        <w:t xml:space="preserve"> </w:t>
      </w:r>
      <w:r w:rsidRPr="00F31128">
        <w:rPr>
          <w:lang w:val="es-ES_tradnl"/>
        </w:rPr>
        <w:t>Estas reacciones se observaron generalmente de la segunda a la quinta perfusión de tocilizumab (ver sección</w:t>
      </w:r>
      <w:r w:rsidR="00CF1766">
        <w:rPr>
          <w:lang w:val="es-ES_tradnl"/>
        </w:rPr>
        <w:t> </w:t>
      </w:r>
      <w:r w:rsidRPr="00F31128">
        <w:rPr>
          <w:lang w:val="es-ES_tradnl"/>
        </w:rPr>
        <w:t xml:space="preserve">4.4). </w:t>
      </w:r>
      <w:r w:rsidRPr="00F31128">
        <w:rPr>
          <w:szCs w:val="22"/>
          <w:lang w:val="es-ES"/>
        </w:rPr>
        <w:t xml:space="preserve">Se ha notificado una reacción de anafilaxia mortal durante el tratamiento con tocilizumab después de la autorización de comercialización </w:t>
      </w:r>
      <w:r w:rsidRPr="00F31128">
        <w:rPr>
          <w:lang w:val="es-ES_tradnl"/>
        </w:rPr>
        <w:t>(ver sección</w:t>
      </w:r>
      <w:r w:rsidR="00CF1766">
        <w:rPr>
          <w:lang w:val="es-ES_tradnl"/>
        </w:rPr>
        <w:t> </w:t>
      </w:r>
      <w:r w:rsidRPr="00F31128">
        <w:rPr>
          <w:lang w:val="es-ES_tradnl"/>
        </w:rPr>
        <w:t>4.4).</w:t>
      </w:r>
    </w:p>
    <w:p w14:paraId="62CDE087" w14:textId="77777777" w:rsidR="007927FC" w:rsidRPr="008A106B" w:rsidRDefault="007927FC" w:rsidP="007927FC">
      <w:pPr>
        <w:rPr>
          <w:lang w:val="es-ES"/>
        </w:rPr>
      </w:pPr>
    </w:p>
    <w:p w14:paraId="0F2B8692" w14:textId="77777777" w:rsidR="007927FC" w:rsidRPr="00F30AB8" w:rsidRDefault="007927FC" w:rsidP="007927FC">
      <w:pPr>
        <w:ind w:left="567" w:hanging="567"/>
        <w:outlineLvl w:val="0"/>
        <w:rPr>
          <w:u w:val="single"/>
          <w:lang w:val="es-ES"/>
        </w:rPr>
      </w:pPr>
      <w:r w:rsidRPr="00F30AB8">
        <w:rPr>
          <w:i/>
          <w:iCs/>
          <w:u w:val="single"/>
          <w:lang w:val="es-ES_tradnl"/>
        </w:rPr>
        <w:t>Inmunogeni</w:t>
      </w:r>
      <w:r w:rsidR="00765056" w:rsidRPr="00F30AB8">
        <w:rPr>
          <w:i/>
          <w:iCs/>
          <w:u w:val="single"/>
          <w:lang w:val="es-ES_tradnl"/>
        </w:rPr>
        <w:t>cidad</w:t>
      </w:r>
      <w:r w:rsidRPr="00F30AB8">
        <w:rPr>
          <w:i/>
          <w:iCs/>
          <w:u w:val="single"/>
          <w:lang w:val="es-ES"/>
        </w:rPr>
        <w:t xml:space="preserve"> </w:t>
      </w:r>
    </w:p>
    <w:p w14:paraId="13D63541" w14:textId="284B5720" w:rsidR="007927FC" w:rsidRPr="008A106B" w:rsidRDefault="007927FC" w:rsidP="007927FC">
      <w:pPr>
        <w:outlineLvl w:val="0"/>
        <w:rPr>
          <w:lang w:val="es-ES"/>
        </w:rPr>
      </w:pPr>
      <w:r w:rsidRPr="008A106B">
        <w:rPr>
          <w:lang w:val="es-ES_tradnl"/>
        </w:rPr>
        <w:t>En ensayos clínicos controlados de 6</w:t>
      </w:r>
      <w:r w:rsidR="00CF1766">
        <w:rPr>
          <w:lang w:val="es-ES_tradnl"/>
        </w:rPr>
        <w:t> </w:t>
      </w:r>
      <w:r w:rsidRPr="008A106B">
        <w:rPr>
          <w:lang w:val="es-ES_tradnl"/>
        </w:rPr>
        <w:t>meses se ha estudiado un total de 2</w:t>
      </w:r>
      <w:r w:rsidR="00CF1766">
        <w:rPr>
          <w:lang w:val="es-ES_tradnl"/>
        </w:rPr>
        <w:t> </w:t>
      </w:r>
      <w:r w:rsidRPr="008A106B">
        <w:rPr>
          <w:lang w:val="es-ES_tradnl"/>
        </w:rPr>
        <w:t>876</w:t>
      </w:r>
      <w:r w:rsidR="00CF1766">
        <w:rPr>
          <w:lang w:val="es-ES_tradnl"/>
        </w:rPr>
        <w:t> </w:t>
      </w:r>
      <w:r w:rsidRPr="008A106B">
        <w:rPr>
          <w:lang w:val="es-ES_tradnl"/>
        </w:rPr>
        <w:t>pacientes en cuanto a anticuerpos anti-tocilizumab.</w:t>
      </w:r>
      <w:r w:rsidRPr="008A106B">
        <w:rPr>
          <w:lang w:val="es-ES"/>
        </w:rPr>
        <w:t xml:space="preserve"> </w:t>
      </w:r>
      <w:r w:rsidR="00CF1766">
        <w:rPr>
          <w:lang w:val="es-ES_tradnl"/>
        </w:rPr>
        <w:t>46 pacientes</w:t>
      </w:r>
      <w:r w:rsidRPr="008A106B">
        <w:rPr>
          <w:lang w:val="es-ES_tradnl"/>
        </w:rPr>
        <w:t xml:space="preserve"> (1,6 %) desarrollaron anticuerpos anti-tocilizumab de los cuales 6 tuvieron una reacción de hipersensibilidad asociada y médicamente significativa, que en cinco de los casos condujo a la </w:t>
      </w:r>
      <w:ins w:id="175" w:author="AUTHOR">
        <w:r w:rsidR="00487D16" w:rsidRPr="00487D16">
          <w:rPr>
            <w:lang w:val="es-ES_tradnl"/>
          </w:rPr>
          <w:t>interrupción permanente del tratamiento</w:t>
        </w:r>
      </w:ins>
      <w:del w:id="176" w:author="AUTHOR">
        <w:r w:rsidRPr="008A106B" w:rsidDel="00487D16">
          <w:rPr>
            <w:lang w:val="es-ES_tradnl"/>
          </w:rPr>
          <w:delText>retirada</w:delText>
        </w:r>
      </w:del>
      <w:r w:rsidRPr="008A106B">
        <w:rPr>
          <w:lang w:val="es-ES_tradnl"/>
        </w:rPr>
        <w:t>.</w:t>
      </w:r>
      <w:r w:rsidRPr="008A106B">
        <w:rPr>
          <w:lang w:val="es-ES"/>
        </w:rPr>
        <w:t xml:space="preserve"> </w:t>
      </w:r>
      <w:r w:rsidRPr="008A106B">
        <w:rPr>
          <w:lang w:val="es-ES_tradnl"/>
        </w:rPr>
        <w:t xml:space="preserve">Treinta pacientes (1,1 %) desarrollaron anticuerpos </w:t>
      </w:r>
      <w:del w:id="177" w:author="AUTHOR">
        <w:r w:rsidRPr="008A106B" w:rsidDel="00487D16">
          <w:rPr>
            <w:lang w:val="es-ES_tradnl"/>
          </w:rPr>
          <w:delText>neutralizadores</w:delText>
        </w:r>
      </w:del>
      <w:ins w:id="178" w:author="AUTHOR">
        <w:r w:rsidR="00487D16" w:rsidRPr="008A106B">
          <w:rPr>
            <w:lang w:val="es-ES_tradnl"/>
          </w:rPr>
          <w:t>neutraliza</w:t>
        </w:r>
        <w:r w:rsidR="00487D16">
          <w:rPr>
            <w:lang w:val="es-ES_tradnl"/>
          </w:rPr>
          <w:t>zantes</w:t>
        </w:r>
      </w:ins>
      <w:r w:rsidRPr="008A106B">
        <w:rPr>
          <w:lang w:val="es-ES_tradnl"/>
        </w:rPr>
        <w:t xml:space="preserve">. </w:t>
      </w:r>
    </w:p>
    <w:p w14:paraId="585C344A" w14:textId="77777777" w:rsidR="007927FC" w:rsidRPr="008A106B" w:rsidRDefault="007927FC" w:rsidP="007927FC">
      <w:pPr>
        <w:rPr>
          <w:lang w:val="es-ES_tradnl"/>
        </w:rPr>
      </w:pPr>
    </w:p>
    <w:p w14:paraId="644ED026" w14:textId="77777777" w:rsidR="007927FC" w:rsidRPr="00F30AB8" w:rsidRDefault="007927FC" w:rsidP="007927FC">
      <w:pPr>
        <w:ind w:left="567" w:hanging="567"/>
        <w:outlineLvl w:val="0"/>
        <w:rPr>
          <w:i/>
          <w:iCs/>
          <w:u w:val="single"/>
          <w:lang w:val="es-ES"/>
        </w:rPr>
      </w:pPr>
      <w:r w:rsidRPr="00F30AB8">
        <w:rPr>
          <w:i/>
          <w:iCs/>
          <w:u w:val="single"/>
          <w:lang w:val="es-ES_tradnl"/>
        </w:rPr>
        <w:t>Neutrófilos</w:t>
      </w:r>
    </w:p>
    <w:p w14:paraId="3E9436C5" w14:textId="72A6BCBE" w:rsidR="007927FC" w:rsidRPr="008A106B" w:rsidRDefault="007927FC" w:rsidP="007927FC">
      <w:pPr>
        <w:rPr>
          <w:lang w:val="es-ES"/>
        </w:rPr>
      </w:pPr>
      <w:r w:rsidRPr="008A106B">
        <w:rPr>
          <w:lang w:val="es-ES_tradnl"/>
        </w:rPr>
        <w:t>En los ensayos clínicos controlados de 6</w:t>
      </w:r>
      <w:r w:rsidR="00CF1766">
        <w:rPr>
          <w:lang w:val="es-ES_tradnl"/>
        </w:rPr>
        <w:t> </w:t>
      </w:r>
      <w:r w:rsidRPr="008A106B">
        <w:rPr>
          <w:lang w:val="es-ES_tradnl"/>
        </w:rPr>
        <w:t>meses se produjeron descensos de los recuentos de neutrófilos por debajo de 1</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RPr="008A106B" w:rsidDel="00205482">
        <w:rPr>
          <w:lang w:val="es-ES_tradnl"/>
        </w:rPr>
        <w:t xml:space="preserve"> </w:t>
      </w:r>
      <w:r w:rsidRPr="008A106B">
        <w:rPr>
          <w:lang w:val="es-ES_tradnl"/>
        </w:rPr>
        <w:t>10</w:t>
      </w:r>
      <w:r w:rsidRPr="008A106B">
        <w:rPr>
          <w:vertAlign w:val="superscript"/>
          <w:lang w:val="es-ES_tradnl"/>
        </w:rPr>
        <w:t>9</w:t>
      </w:r>
      <w:r w:rsidRPr="008A106B">
        <w:rPr>
          <w:lang w:val="es-ES_tradnl"/>
        </w:rPr>
        <w:t>/</w:t>
      </w:r>
      <w:r w:rsidR="00205482" w:rsidRPr="008A106B">
        <w:rPr>
          <w:vertAlign w:val="superscript"/>
          <w:lang w:val="es-ES_tradnl"/>
        </w:rPr>
        <w:t>9</w:t>
      </w:r>
      <w:r w:rsidRPr="008A106B">
        <w:rPr>
          <w:lang w:val="es-ES_tradnl"/>
        </w:rPr>
        <w:t>l en el 3,4 % de los pacientes tratados con tocilizumab 8 mg/kg más FAMEs en comparación con</w:t>
      </w:r>
      <w:r w:rsidR="00205482" w:rsidRPr="00B65EA9">
        <w:rPr>
          <w:rFonts w:ascii="Arial" w:eastAsia="MS Mincho" w:hAnsi="Arial" w:cs="Arial"/>
          <w:szCs w:val="22"/>
          <w:lang w:val="en-GB"/>
        </w:rPr>
        <w:sym w:font="Symbol" w:char="F03C"/>
      </w:r>
      <w:r w:rsidR="00205482" w:rsidRPr="00F30AB8">
        <w:rPr>
          <w:rFonts w:ascii="Arial" w:eastAsia="MS Mincho" w:hAnsi="Arial" w:cs="Arial"/>
          <w:sz w:val="10"/>
          <w:szCs w:val="22"/>
          <w:lang w:val="es-ES"/>
        </w:rPr>
        <w:t> </w:t>
      </w:r>
      <w:r w:rsidRPr="008A106B">
        <w:rPr>
          <w:lang w:val="es-ES_tradnl"/>
        </w:rPr>
        <w:t>0,1 % de los pacientes con placebo más FAMEs.</w:t>
      </w:r>
      <w:r w:rsidRPr="008A106B">
        <w:rPr>
          <w:lang w:val="es-ES"/>
        </w:rPr>
        <w:t xml:space="preserve"> </w:t>
      </w:r>
      <w:r w:rsidRPr="008A106B">
        <w:rPr>
          <w:lang w:val="es-ES_tradnl"/>
        </w:rPr>
        <w:t>Aproximadamente la mitad de los pacientes que desarrollaron RAN</w:t>
      </w:r>
      <w:r w:rsidR="00205482" w:rsidRPr="00B65EA9">
        <w:rPr>
          <w:rFonts w:ascii="Arial" w:eastAsia="MS Mincho" w:hAnsi="Arial" w:cs="Arial"/>
          <w:szCs w:val="22"/>
          <w:lang w:val="en-GB"/>
        </w:rPr>
        <w:sym w:font="Symbol" w:char="F03C"/>
      </w:r>
      <w:r w:rsidR="00205482" w:rsidRPr="00F30AB8">
        <w:rPr>
          <w:rFonts w:ascii="Arial" w:eastAsia="MS Mincho" w:hAnsi="Arial" w:cs="Arial"/>
          <w:sz w:val="10"/>
          <w:szCs w:val="22"/>
          <w:lang w:val="es-ES"/>
        </w:rPr>
        <w:t> </w:t>
      </w:r>
      <w:r w:rsidRPr="008A106B">
        <w:rPr>
          <w:lang w:val="es-ES_tradnl"/>
        </w:rPr>
        <w:t>1</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RPr="008A106B" w:rsidDel="00205482">
        <w:rPr>
          <w:lang w:val="es-ES_tradnl"/>
        </w:rPr>
        <w:t xml:space="preserve"> </w:t>
      </w:r>
      <w:r w:rsidRPr="008A106B">
        <w:rPr>
          <w:lang w:val="es-ES_tradnl"/>
        </w:rPr>
        <w:t>10</w:t>
      </w:r>
      <w:r w:rsidRPr="008A106B">
        <w:rPr>
          <w:vertAlign w:val="superscript"/>
          <w:lang w:val="es-ES_tradnl"/>
        </w:rPr>
        <w:t>9</w:t>
      </w:r>
      <w:r w:rsidRPr="008A106B">
        <w:rPr>
          <w:lang w:val="es-ES_tradnl"/>
        </w:rPr>
        <w:t>/</w:t>
      </w:r>
      <w:r w:rsidR="00205482" w:rsidRPr="008A106B">
        <w:rPr>
          <w:vertAlign w:val="superscript"/>
          <w:lang w:val="es-ES_tradnl"/>
        </w:rPr>
        <w:t>9</w:t>
      </w:r>
      <w:r w:rsidRPr="008A106B">
        <w:rPr>
          <w:lang w:val="es-ES_tradnl"/>
        </w:rPr>
        <w:t>l lo hicieron en el plazo de 8</w:t>
      </w:r>
      <w:r w:rsidR="00CF1766">
        <w:rPr>
          <w:lang w:val="es-ES_tradnl"/>
        </w:rPr>
        <w:t> </w:t>
      </w:r>
      <w:r w:rsidRPr="008A106B">
        <w:rPr>
          <w:lang w:val="es-ES_tradnl"/>
        </w:rPr>
        <w:t>semanas después de comenzar el tratamiento.</w:t>
      </w:r>
      <w:r w:rsidRPr="008A106B">
        <w:rPr>
          <w:lang w:val="es-ES"/>
        </w:rPr>
        <w:t xml:space="preserve"> </w:t>
      </w:r>
      <w:r w:rsidRPr="008A106B">
        <w:rPr>
          <w:lang w:val="es-ES_tradnl"/>
        </w:rPr>
        <w:t>Se notificaron descensos por debajo de 0,5</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RPr="008A106B" w:rsidDel="00205482">
        <w:rPr>
          <w:lang w:val="es-ES_tradnl"/>
        </w:rPr>
        <w:t xml:space="preserve"> </w:t>
      </w:r>
      <w:r w:rsidRPr="008A106B">
        <w:rPr>
          <w:lang w:val="es-ES_tradnl"/>
        </w:rPr>
        <w:t>10</w:t>
      </w:r>
      <w:r w:rsidRPr="008A106B">
        <w:rPr>
          <w:vertAlign w:val="superscript"/>
          <w:lang w:val="es-ES_tradnl"/>
        </w:rPr>
        <w:t>9</w:t>
      </w:r>
      <w:r w:rsidRPr="008A106B">
        <w:rPr>
          <w:lang w:val="es-ES_tradnl"/>
        </w:rPr>
        <w:t>/</w:t>
      </w:r>
      <w:r w:rsidR="00205482" w:rsidRPr="008A106B">
        <w:rPr>
          <w:vertAlign w:val="superscript"/>
          <w:lang w:val="es-ES_tradnl"/>
        </w:rPr>
        <w:t>9</w:t>
      </w:r>
      <w:r w:rsidRPr="008A106B">
        <w:rPr>
          <w:lang w:val="es-ES_tradnl"/>
        </w:rPr>
        <w:t>l en el 0,3 % de los pacientes que recibieron tocilizumab 8 mg/kg más FAMEs.</w:t>
      </w:r>
      <w:r w:rsidRPr="008A106B">
        <w:rPr>
          <w:lang w:val="es-ES"/>
        </w:rPr>
        <w:t xml:space="preserve"> </w:t>
      </w:r>
      <w:r w:rsidRPr="008A106B">
        <w:rPr>
          <w:lang w:val="es-ES_tradnl"/>
        </w:rPr>
        <w:t>Se han notificado casos de infecciones con neutropenia</w:t>
      </w:r>
      <w:r w:rsidRPr="008A106B">
        <w:rPr>
          <w:lang w:val="es-ES"/>
        </w:rPr>
        <w:t xml:space="preserve">. </w:t>
      </w:r>
    </w:p>
    <w:p w14:paraId="5705EBCC" w14:textId="77777777" w:rsidR="007927FC" w:rsidRPr="008A106B" w:rsidRDefault="007927FC" w:rsidP="007927FC">
      <w:pPr>
        <w:rPr>
          <w:lang w:val="es-ES"/>
        </w:rPr>
      </w:pPr>
    </w:p>
    <w:p w14:paraId="1933CED9" w14:textId="77777777" w:rsidR="007927FC" w:rsidRPr="008A106B" w:rsidRDefault="007927FC" w:rsidP="007927FC">
      <w:pPr>
        <w:autoSpaceDE w:val="0"/>
        <w:autoSpaceDN w:val="0"/>
        <w:adjustRightInd w:val="0"/>
        <w:rPr>
          <w:lang w:val="es-ES"/>
        </w:rPr>
      </w:pPr>
      <w:r w:rsidRPr="008A106B">
        <w:rPr>
          <w:lang w:val="es-ES"/>
        </w:rPr>
        <w:t>Durante el periodo controlado doble ciego y en el periodo de exposición a largo plazo, el patrón y la incidencia de descensos en los recuentos de neutrófilos continuaron en línea con lo observado en los 6 meses de ensayos clínicos controlados.</w:t>
      </w:r>
    </w:p>
    <w:p w14:paraId="73931739" w14:textId="77777777" w:rsidR="007927FC" w:rsidRPr="008A106B" w:rsidRDefault="007927FC" w:rsidP="007927FC">
      <w:pPr>
        <w:autoSpaceDE w:val="0"/>
        <w:autoSpaceDN w:val="0"/>
        <w:adjustRightInd w:val="0"/>
        <w:rPr>
          <w:lang w:val="es-ES"/>
        </w:rPr>
      </w:pPr>
    </w:p>
    <w:p w14:paraId="6CEECEFB" w14:textId="77777777" w:rsidR="007927FC" w:rsidRPr="00F30AB8" w:rsidRDefault="007927FC" w:rsidP="007927FC">
      <w:pPr>
        <w:autoSpaceDE w:val="0"/>
        <w:autoSpaceDN w:val="0"/>
        <w:adjustRightInd w:val="0"/>
        <w:rPr>
          <w:i/>
          <w:u w:val="single"/>
          <w:lang w:val="es-ES"/>
        </w:rPr>
      </w:pPr>
      <w:r w:rsidRPr="00F30AB8">
        <w:rPr>
          <w:i/>
          <w:u w:val="single"/>
          <w:lang w:val="es-ES"/>
        </w:rPr>
        <w:t xml:space="preserve">Plaquetas </w:t>
      </w:r>
    </w:p>
    <w:p w14:paraId="208754F8" w14:textId="270A8C45" w:rsidR="007927FC" w:rsidRPr="008A106B" w:rsidRDefault="007927FC" w:rsidP="007927FC">
      <w:pPr>
        <w:autoSpaceDE w:val="0"/>
        <w:autoSpaceDN w:val="0"/>
        <w:adjustRightInd w:val="0"/>
        <w:rPr>
          <w:sz w:val="20"/>
          <w:lang w:val="es-ES"/>
        </w:rPr>
      </w:pPr>
      <w:r w:rsidRPr="008A106B">
        <w:rPr>
          <w:lang w:val="es-ES_tradnl"/>
        </w:rPr>
        <w:t>En los ensayos clínicos controlados de 6</w:t>
      </w:r>
      <w:r w:rsidR="00CF1766">
        <w:rPr>
          <w:lang w:val="es-ES_tradnl"/>
        </w:rPr>
        <w:t> </w:t>
      </w:r>
      <w:r w:rsidRPr="008A106B">
        <w:rPr>
          <w:lang w:val="es-ES_tradnl"/>
        </w:rPr>
        <w:t>meses se produjeron descensos de los recuentos de plaquetas por debajo de 100</w:t>
      </w:r>
      <w:r w:rsidR="00205482" w:rsidRPr="00B65EA9">
        <w:rPr>
          <w:rFonts w:eastAsia="MS Mincho"/>
          <w:szCs w:val="22"/>
          <w:lang w:val="en-GB"/>
        </w:rPr>
        <w:sym w:font="Symbol" w:char="F0B4"/>
      </w:r>
      <w:r w:rsidR="00205482" w:rsidRPr="00F30AB8">
        <w:rPr>
          <w:rFonts w:ascii="Arial" w:eastAsia="MS Mincho" w:hAnsi="Arial" w:cs="Arial"/>
          <w:sz w:val="10"/>
          <w:szCs w:val="22"/>
          <w:lang w:val="es-ES"/>
        </w:rPr>
        <w:t> </w:t>
      </w:r>
      <w:r w:rsidR="00205482" w:rsidRPr="008A106B" w:rsidDel="00205482">
        <w:rPr>
          <w:lang w:val="es-ES_tradnl"/>
        </w:rPr>
        <w:t xml:space="preserve"> </w:t>
      </w:r>
      <w:r w:rsidRPr="008A106B">
        <w:rPr>
          <w:lang w:val="es-ES_tradnl"/>
        </w:rPr>
        <w:t>10</w:t>
      </w:r>
      <w:r w:rsidRPr="008A106B">
        <w:rPr>
          <w:vertAlign w:val="superscript"/>
          <w:lang w:val="es-ES_tradnl"/>
        </w:rPr>
        <w:t>3</w:t>
      </w:r>
      <w:r w:rsidRPr="008A106B">
        <w:rPr>
          <w:lang w:val="es-ES_tradnl"/>
        </w:rPr>
        <w:t xml:space="preserve">/μl en el 1,7 % de los pacientes tratados con tocilizumab 8 mg/kg más FAMEs en comparación </w:t>
      </w:r>
      <w:r w:rsidRPr="00BD7005">
        <w:rPr>
          <w:lang w:val="es-ES_tradnl"/>
          <w:rPrChange w:id="179" w:author="TCS" w:date="2026-03-19T15:01:00Z">
            <w:rPr>
              <w:lang w:val="es-ES_tradnl"/>
            </w:rPr>
          </w:rPrChange>
        </w:rPr>
        <w:t>con</w:t>
      </w:r>
      <w:ins w:id="180" w:author="AUTHOR">
        <w:r w:rsidR="00487D16" w:rsidRPr="00BD7005">
          <w:rPr>
            <w:lang w:val="es-ES_tradnl"/>
            <w:rPrChange w:id="181" w:author="TCS" w:date="2026-03-19T15:01:00Z">
              <w:rPr>
                <w:lang w:val="es-ES_tradnl"/>
              </w:rPr>
            </w:rPrChange>
          </w:rPr>
          <w:t xml:space="preserve"> </w:t>
        </w:r>
      </w:ins>
      <w:r w:rsidR="00205482" w:rsidRPr="00BD7005">
        <w:rPr>
          <w:rFonts w:eastAsia="MS Mincho"/>
          <w:szCs w:val="22"/>
          <w:lang w:val="en-GB"/>
          <w:rPrChange w:id="182" w:author="TCS" w:date="2026-03-19T15:01:00Z">
            <w:rPr>
              <w:rFonts w:ascii="Arial" w:eastAsia="MS Mincho" w:hAnsi="Arial" w:cs="Arial"/>
              <w:szCs w:val="22"/>
              <w:lang w:val="en-GB"/>
            </w:rPr>
          </w:rPrChange>
        </w:rPr>
        <w:sym w:font="Symbol" w:char="F03C"/>
      </w:r>
      <w:r w:rsidR="00205482" w:rsidRPr="00F30AB8">
        <w:rPr>
          <w:rFonts w:ascii="Arial" w:eastAsia="MS Mincho" w:hAnsi="Arial" w:cs="Arial"/>
          <w:sz w:val="10"/>
          <w:szCs w:val="22"/>
          <w:lang w:val="es-ES"/>
        </w:rPr>
        <w:t> </w:t>
      </w:r>
      <w:r w:rsidRPr="008A106B">
        <w:rPr>
          <w:lang w:val="es-ES_tradnl"/>
        </w:rPr>
        <w:t>1 % de los pacientes con placebo más FAMEs.</w:t>
      </w:r>
      <w:r w:rsidRPr="008A106B">
        <w:rPr>
          <w:lang w:val="es-ES"/>
        </w:rPr>
        <w:t xml:space="preserve"> </w:t>
      </w:r>
      <w:r w:rsidRPr="008A106B">
        <w:rPr>
          <w:lang w:val="es-ES_tradnl"/>
        </w:rPr>
        <w:t>Estos descensos se produjeron sin episodios hemorrágicos asociados.</w:t>
      </w:r>
    </w:p>
    <w:p w14:paraId="02D36339" w14:textId="77777777" w:rsidR="007927FC" w:rsidRPr="008A106B" w:rsidRDefault="007927FC" w:rsidP="007927FC">
      <w:pPr>
        <w:autoSpaceDE w:val="0"/>
        <w:autoSpaceDN w:val="0"/>
        <w:adjustRightInd w:val="0"/>
        <w:rPr>
          <w:lang w:val="es-ES"/>
        </w:rPr>
      </w:pPr>
    </w:p>
    <w:p w14:paraId="02922CDF" w14:textId="57844644" w:rsidR="007927FC" w:rsidRPr="008A106B" w:rsidRDefault="007927FC" w:rsidP="007927FC">
      <w:pPr>
        <w:rPr>
          <w:lang w:val="es-ES"/>
        </w:rPr>
      </w:pPr>
      <w:r w:rsidRPr="008A106B">
        <w:rPr>
          <w:lang w:val="es-ES"/>
        </w:rPr>
        <w:t>Durante el periodo controlado doble ciego y en el periodo de exposición a largo plazo, el patrón y la incidencia de descensos en los recuentos de plaquetas continuaron en línea con lo observado en los 6</w:t>
      </w:r>
      <w:r w:rsidR="00CF1766">
        <w:rPr>
          <w:lang w:val="es-ES"/>
        </w:rPr>
        <w:t> </w:t>
      </w:r>
      <w:r w:rsidRPr="008A106B">
        <w:rPr>
          <w:lang w:val="es-ES"/>
        </w:rPr>
        <w:t>meses de ensayos clínicos controlados.</w:t>
      </w:r>
    </w:p>
    <w:p w14:paraId="3CD00C1B" w14:textId="77777777" w:rsidR="007927FC" w:rsidRPr="008A106B" w:rsidRDefault="007927FC" w:rsidP="007927FC">
      <w:pPr>
        <w:rPr>
          <w:lang w:val="es-ES"/>
        </w:rPr>
      </w:pPr>
    </w:p>
    <w:p w14:paraId="146D2EEA" w14:textId="77777777" w:rsidR="007927FC" w:rsidRPr="008A106B" w:rsidRDefault="007927FC" w:rsidP="007927FC">
      <w:pPr>
        <w:rPr>
          <w:lang w:val="es-ES"/>
        </w:rPr>
      </w:pPr>
      <w:r w:rsidRPr="008A106B">
        <w:rPr>
          <w:lang w:val="es-ES"/>
        </w:rPr>
        <w:t>Se han notificado casos muy poco frecuentes de pancitopenia durante la comercialización</w:t>
      </w:r>
      <w:r w:rsidR="00DF576C">
        <w:rPr>
          <w:lang w:val="es-ES"/>
        </w:rPr>
        <w:t>.</w:t>
      </w:r>
    </w:p>
    <w:p w14:paraId="3BAD814D" w14:textId="77777777" w:rsidR="007927FC" w:rsidRPr="008A106B" w:rsidRDefault="007927FC" w:rsidP="007927FC">
      <w:pPr>
        <w:rPr>
          <w:lang w:val="es-ES"/>
        </w:rPr>
      </w:pPr>
    </w:p>
    <w:p w14:paraId="0A464CF4" w14:textId="77777777" w:rsidR="007927FC" w:rsidRPr="00F30AB8" w:rsidRDefault="007927FC" w:rsidP="007927FC">
      <w:pPr>
        <w:ind w:left="567" w:hanging="567"/>
        <w:outlineLvl w:val="0"/>
        <w:rPr>
          <w:i/>
          <w:iCs/>
          <w:u w:val="single"/>
          <w:lang w:val="es-ES"/>
        </w:rPr>
      </w:pPr>
      <w:r w:rsidRPr="00F30AB8">
        <w:rPr>
          <w:i/>
          <w:iCs/>
          <w:u w:val="single"/>
          <w:lang w:val="es-ES_tradnl"/>
        </w:rPr>
        <w:t>Elevaciones de las transaminasas hepáticas</w:t>
      </w:r>
    </w:p>
    <w:p w14:paraId="4602E849" w14:textId="1A788FA5" w:rsidR="007927FC" w:rsidRPr="008A106B" w:rsidRDefault="007927FC" w:rsidP="007927FC">
      <w:pPr>
        <w:rPr>
          <w:lang w:val="es-ES"/>
        </w:rPr>
      </w:pPr>
      <w:r w:rsidRPr="008A106B">
        <w:rPr>
          <w:lang w:val="es-ES_tradnl"/>
        </w:rPr>
        <w:t>Durante los ensayos clínicos controlados de 6 meses se observaron elevaciones transitorias de ALT/AST</w:t>
      </w:r>
      <w:r w:rsidR="00205482" w:rsidRPr="00F30AB8">
        <w:rPr>
          <w:rFonts w:eastAsia="MS Mincho"/>
          <w:sz w:val="10"/>
          <w:szCs w:val="22"/>
          <w:lang w:val="es-ES"/>
        </w:rPr>
        <w:t> </w:t>
      </w:r>
      <w:r w:rsidR="00205482" w:rsidRPr="00B65EA9">
        <w:rPr>
          <w:rFonts w:eastAsia="MS Mincho"/>
          <w:szCs w:val="22"/>
          <w:lang w:val="en-GB"/>
        </w:rPr>
        <w:sym w:font="Symbol" w:char="F03E"/>
      </w:r>
      <w:r w:rsidR="00205482" w:rsidRPr="00F30AB8">
        <w:rPr>
          <w:rFonts w:eastAsia="MS Mincho"/>
          <w:sz w:val="10"/>
          <w:szCs w:val="22"/>
          <w:lang w:val="es-ES"/>
        </w:rPr>
        <w:t> </w:t>
      </w:r>
      <w:r w:rsidRPr="008A106B">
        <w:rPr>
          <w:lang w:val="es-ES_tradnl"/>
        </w:rPr>
        <w:t>3</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eastAsia="MS Mincho"/>
          <w:sz w:val="10"/>
          <w:szCs w:val="22"/>
          <w:lang w:val="es-ES"/>
        </w:rPr>
        <w:t> </w:t>
      </w:r>
      <w:r w:rsidR="00205482" w:rsidRPr="008A106B" w:rsidDel="00205482">
        <w:rPr>
          <w:lang w:val="es-ES_tradnl"/>
        </w:rPr>
        <w:t xml:space="preserve"> </w:t>
      </w:r>
      <w:r w:rsidRPr="008A106B">
        <w:rPr>
          <w:lang w:val="es-ES_tradnl"/>
        </w:rPr>
        <w:t>LSN en el 2,1 % de los pacientes con tocilizumab 8 mg/kg en comparación con el 4,9 % de los pacientes con MTX y en el 6,5 % de los pacientes que recibieron 8 mg/kg de tocilizumab más FAMEs en comparación con el 1,5 % de los pacientes con placebo más FAMEs.</w:t>
      </w:r>
    </w:p>
    <w:p w14:paraId="78960278" w14:textId="77777777" w:rsidR="007927FC" w:rsidRPr="008A106B" w:rsidRDefault="007927FC" w:rsidP="007927FC">
      <w:pPr>
        <w:rPr>
          <w:lang w:val="es-ES"/>
        </w:rPr>
      </w:pPr>
    </w:p>
    <w:p w14:paraId="2DE9C083" w14:textId="0008DF14" w:rsidR="007927FC" w:rsidRPr="008A106B" w:rsidRDefault="007927FC" w:rsidP="007927FC">
      <w:pPr>
        <w:rPr>
          <w:lang w:val="es-ES"/>
        </w:rPr>
      </w:pPr>
      <w:r w:rsidRPr="008A106B">
        <w:rPr>
          <w:lang w:val="es-ES_tradnl"/>
        </w:rPr>
        <w:t xml:space="preserve">La adición de </w:t>
      </w:r>
      <w:r w:rsidR="00CF1766">
        <w:rPr>
          <w:lang w:val="es-ES_tradnl"/>
        </w:rPr>
        <w:t>medicamentos</w:t>
      </w:r>
      <w:r w:rsidR="00CF1766" w:rsidRPr="008A106B">
        <w:rPr>
          <w:lang w:val="es-ES_tradnl"/>
        </w:rPr>
        <w:t xml:space="preserve"> </w:t>
      </w:r>
      <w:r w:rsidRPr="008A106B">
        <w:rPr>
          <w:lang w:val="es-ES_tradnl"/>
        </w:rPr>
        <w:t>potencialmente hepatotóxicos (p. ej., MTX) a la monoterapia con tocilizumab produjo aumento de la frecuencia de estas elevaciones.</w:t>
      </w:r>
      <w:r w:rsidRPr="008A106B">
        <w:rPr>
          <w:lang w:val="es-ES"/>
        </w:rPr>
        <w:t xml:space="preserve"> </w:t>
      </w:r>
      <w:r w:rsidRPr="008A106B">
        <w:rPr>
          <w:lang w:val="es-ES_tradnl"/>
        </w:rPr>
        <w:t>Se observaron elevaciones de ALT/AST</w:t>
      </w:r>
      <w:r w:rsidR="00205482" w:rsidRPr="00F30AB8">
        <w:rPr>
          <w:rFonts w:eastAsia="MS Mincho"/>
          <w:sz w:val="10"/>
          <w:szCs w:val="22"/>
          <w:lang w:val="es-ES"/>
        </w:rPr>
        <w:t> </w:t>
      </w:r>
      <w:r w:rsidR="00205482" w:rsidRPr="00B65EA9">
        <w:rPr>
          <w:rFonts w:eastAsia="MS Mincho"/>
          <w:szCs w:val="22"/>
          <w:lang w:val="en-GB"/>
        </w:rPr>
        <w:sym w:font="Symbol" w:char="F03E"/>
      </w:r>
      <w:r w:rsidR="00205482" w:rsidRPr="00F30AB8">
        <w:rPr>
          <w:rFonts w:eastAsia="MS Mincho"/>
          <w:sz w:val="10"/>
          <w:szCs w:val="22"/>
          <w:lang w:val="es-ES"/>
        </w:rPr>
        <w:t> </w:t>
      </w:r>
      <w:r w:rsidRPr="008A106B">
        <w:rPr>
          <w:lang w:val="es-ES_tradnl"/>
        </w:rPr>
        <w:t>5</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eastAsia="MS Mincho"/>
          <w:sz w:val="10"/>
          <w:szCs w:val="22"/>
          <w:lang w:val="es-ES"/>
        </w:rPr>
        <w:t> </w:t>
      </w:r>
      <w:r w:rsidR="00205482" w:rsidRPr="008A106B" w:rsidDel="00205482">
        <w:rPr>
          <w:lang w:val="es-ES_tradnl"/>
        </w:rPr>
        <w:t xml:space="preserve"> </w:t>
      </w:r>
      <w:r w:rsidRPr="008A106B">
        <w:rPr>
          <w:lang w:val="es-ES_tradnl"/>
        </w:rPr>
        <w:t>LSN en el 0,7 % de los pacientes en monoterapia con tocilizumab y en el 1,4 % de los pacientes con tocilizumab más FAME, la mayoría de los cuales abandonaron de forma permanente el tratamiento con tocilizumab. Durante un periodo controlado doble ciego la incidencia de niveles de bilirrubina indirecta por encima del límite superior normal, obtenidos como un parámetro de rutina de laboratorio, es de 6,2% en pacientes tratados con 8 mg/kg de tocilizumab + FAMEs. Un total de 5</w:t>
      </w:r>
      <w:r w:rsidR="00422B6E">
        <w:rPr>
          <w:lang w:val="es-ES_tradnl"/>
        </w:rPr>
        <w:t>,</w:t>
      </w:r>
      <w:r w:rsidRPr="008A106B">
        <w:rPr>
          <w:lang w:val="es-ES_tradnl"/>
        </w:rPr>
        <w:t>8% de pacientes sufrieron una elevación de los niveles de bilirrubina indirecta de</w:t>
      </w:r>
      <w:r w:rsidR="00117CFA" w:rsidRPr="00F30AB8">
        <w:rPr>
          <w:rFonts w:eastAsia="MS Mincho"/>
          <w:szCs w:val="22"/>
          <w:lang w:val="es-ES"/>
        </w:rPr>
        <w:t> </w:t>
      </w:r>
      <w:r w:rsidR="00117CFA" w:rsidRPr="00B65EA9">
        <w:rPr>
          <w:rFonts w:eastAsia="MS Mincho"/>
          <w:szCs w:val="22"/>
          <w:lang w:val="en-GB"/>
        </w:rPr>
        <w:sym w:font="Symbol" w:char="F03E"/>
      </w:r>
      <w:r w:rsidR="00117CFA" w:rsidRPr="00F30AB8">
        <w:rPr>
          <w:rFonts w:eastAsia="MS Mincho"/>
          <w:sz w:val="10"/>
          <w:szCs w:val="22"/>
          <w:lang w:val="es-ES"/>
        </w:rPr>
        <w:t> </w:t>
      </w:r>
      <w:r w:rsidR="00117CFA" w:rsidRPr="006B756F">
        <w:rPr>
          <w:rFonts w:eastAsia="MS Mincho"/>
          <w:szCs w:val="22"/>
          <w:lang w:val="es-ES"/>
        </w:rPr>
        <w:t> </w:t>
      </w:r>
      <w:r w:rsidRPr="008A106B">
        <w:rPr>
          <w:lang w:val="es-ES_tradnl"/>
        </w:rPr>
        <w:t>1 a 2</w:t>
      </w:r>
      <w:r w:rsidR="00117CFA" w:rsidRPr="00F30AB8">
        <w:rPr>
          <w:rFonts w:eastAsia="MS Mincho"/>
          <w:szCs w:val="22"/>
          <w:lang w:val="es-ES"/>
        </w:rPr>
        <w:t> </w:t>
      </w:r>
      <w:r w:rsidR="00117CFA" w:rsidRPr="00B65EA9">
        <w:rPr>
          <w:rFonts w:eastAsia="MS Mincho"/>
          <w:szCs w:val="22"/>
          <w:lang w:val="en-GB"/>
        </w:rPr>
        <w:sym w:font="Symbol" w:char="F0B4"/>
      </w:r>
      <w:r w:rsidR="00117CFA" w:rsidRPr="00F30AB8">
        <w:rPr>
          <w:rFonts w:eastAsia="MS Mincho"/>
          <w:szCs w:val="22"/>
          <w:lang w:val="es-ES"/>
        </w:rPr>
        <w:t> </w:t>
      </w:r>
      <w:r w:rsidRPr="008A106B">
        <w:rPr>
          <w:lang w:val="es-ES_tradnl"/>
        </w:rPr>
        <w:t>LSN y 0</w:t>
      </w:r>
      <w:r w:rsidR="00422B6E">
        <w:rPr>
          <w:lang w:val="es-ES_tradnl"/>
        </w:rPr>
        <w:t>,</w:t>
      </w:r>
      <w:r w:rsidRPr="008A106B">
        <w:rPr>
          <w:lang w:val="es-ES_tradnl"/>
        </w:rPr>
        <w:t>4% tuvieron una elevación de</w:t>
      </w:r>
      <w:r w:rsidR="00117CFA" w:rsidRPr="006B756F">
        <w:rPr>
          <w:rFonts w:eastAsia="MS Mincho"/>
          <w:szCs w:val="22"/>
          <w:lang w:val="es-ES"/>
        </w:rPr>
        <w:t> </w:t>
      </w:r>
      <w:r w:rsidR="00205482" w:rsidRPr="00F30AB8">
        <w:rPr>
          <w:rFonts w:eastAsia="MS Mincho"/>
          <w:sz w:val="10"/>
          <w:szCs w:val="22"/>
          <w:lang w:val="es-ES"/>
        </w:rPr>
        <w:t> </w:t>
      </w:r>
      <w:r w:rsidR="00205482" w:rsidRPr="00B65EA9">
        <w:rPr>
          <w:rFonts w:eastAsia="MS Mincho"/>
          <w:szCs w:val="22"/>
          <w:lang w:val="en-GB"/>
        </w:rPr>
        <w:sym w:font="Symbol" w:char="F03E"/>
      </w:r>
      <w:r w:rsidR="00205482" w:rsidRPr="00F30AB8">
        <w:rPr>
          <w:rFonts w:eastAsia="MS Mincho"/>
          <w:sz w:val="10"/>
          <w:szCs w:val="22"/>
          <w:lang w:val="es-ES"/>
        </w:rPr>
        <w:t> </w:t>
      </w:r>
      <w:r w:rsidR="00117CFA" w:rsidRPr="006B756F">
        <w:rPr>
          <w:rFonts w:eastAsia="MS Mincho"/>
          <w:szCs w:val="22"/>
          <w:lang w:val="es-ES"/>
        </w:rPr>
        <w:t> </w:t>
      </w:r>
      <w:r w:rsidRPr="008A106B">
        <w:rPr>
          <w:lang w:val="es-ES_tradnl"/>
        </w:rPr>
        <w:t>2</w:t>
      </w:r>
      <w:r w:rsidR="00205482" w:rsidRPr="00F30AB8">
        <w:rPr>
          <w:rFonts w:eastAsia="MS Mincho"/>
          <w:szCs w:val="22"/>
          <w:lang w:val="es-ES"/>
        </w:rPr>
        <w:t> </w:t>
      </w:r>
      <w:r w:rsidR="00205482" w:rsidRPr="00B65EA9">
        <w:rPr>
          <w:rFonts w:eastAsia="MS Mincho"/>
          <w:szCs w:val="22"/>
          <w:lang w:val="en-GB"/>
        </w:rPr>
        <w:sym w:font="Symbol" w:char="F0B4"/>
      </w:r>
      <w:r w:rsidR="00205482" w:rsidRPr="00F30AB8">
        <w:rPr>
          <w:rFonts w:eastAsia="MS Mincho"/>
          <w:szCs w:val="22"/>
          <w:lang w:val="es-ES"/>
        </w:rPr>
        <w:t> </w:t>
      </w:r>
      <w:r w:rsidR="00205482" w:rsidRPr="008A106B" w:rsidDel="00205482">
        <w:rPr>
          <w:lang w:val="es-ES_tradnl"/>
        </w:rPr>
        <w:t xml:space="preserve"> </w:t>
      </w:r>
      <w:r w:rsidRPr="008A106B">
        <w:rPr>
          <w:lang w:val="es-ES_tradnl"/>
        </w:rPr>
        <w:t>LSN.</w:t>
      </w:r>
    </w:p>
    <w:p w14:paraId="7B8B326F" w14:textId="77777777" w:rsidR="007927FC" w:rsidRPr="008A106B" w:rsidRDefault="007927FC" w:rsidP="007927FC">
      <w:pPr>
        <w:rPr>
          <w:lang w:val="es-ES"/>
        </w:rPr>
      </w:pPr>
    </w:p>
    <w:p w14:paraId="261ACC27" w14:textId="77777777" w:rsidR="007927FC" w:rsidRPr="008A106B" w:rsidRDefault="007927FC" w:rsidP="007927FC">
      <w:pPr>
        <w:rPr>
          <w:lang w:val="es-ES"/>
        </w:rPr>
      </w:pPr>
      <w:r w:rsidRPr="008A106B">
        <w:rPr>
          <w:lang w:val="es-ES"/>
        </w:rPr>
        <w:t>Durante el periodo controlado doble ciego y en el periodo de exposición a largo plazo, el patrón y la incidencia de aumento en ALT/AST continuaron en línea con lo observado en los 6 meses de ensayos clínicos controlados.</w:t>
      </w:r>
    </w:p>
    <w:p w14:paraId="6D16C982" w14:textId="77777777" w:rsidR="007927FC" w:rsidRPr="008A106B" w:rsidRDefault="007927FC" w:rsidP="007927FC">
      <w:pPr>
        <w:rPr>
          <w:lang w:val="es-ES"/>
        </w:rPr>
      </w:pPr>
    </w:p>
    <w:p w14:paraId="1E3D7C29" w14:textId="77777777" w:rsidR="007927FC" w:rsidRPr="00F30AB8" w:rsidRDefault="007927FC" w:rsidP="007927FC">
      <w:pPr>
        <w:ind w:left="567" w:hanging="567"/>
        <w:outlineLvl w:val="0"/>
        <w:rPr>
          <w:i/>
          <w:iCs/>
          <w:u w:val="single"/>
          <w:lang w:val="es-ES"/>
        </w:rPr>
      </w:pPr>
      <w:r w:rsidRPr="00F30AB8">
        <w:rPr>
          <w:i/>
          <w:iCs/>
          <w:u w:val="single"/>
          <w:lang w:val="es-ES_tradnl"/>
        </w:rPr>
        <w:t>Parámetros lipídicos</w:t>
      </w:r>
    </w:p>
    <w:p w14:paraId="37D0F528" w14:textId="6F62A5DB" w:rsidR="007927FC" w:rsidRPr="008A106B" w:rsidRDefault="007927FC" w:rsidP="007927FC">
      <w:pPr>
        <w:rPr>
          <w:lang w:val="es-ES"/>
        </w:rPr>
      </w:pPr>
      <w:r w:rsidRPr="008A106B">
        <w:rPr>
          <w:lang w:val="es-ES_tradnl"/>
        </w:rPr>
        <w:t>Durante 6 meses de ensayos clínicos controlados se han notificado de forma frecuente incrementos en los parámetros lipídicos, tales como:</w:t>
      </w:r>
      <w:r w:rsidRPr="008A106B">
        <w:rPr>
          <w:lang w:val="es-ES"/>
        </w:rPr>
        <w:t xml:space="preserve"> </w:t>
      </w:r>
      <w:r w:rsidRPr="008A106B">
        <w:rPr>
          <w:lang w:val="es-ES_tradnl"/>
        </w:rPr>
        <w:t xml:space="preserve">colesterol total, triglicéridos, colesterol LDL, y/o colesterol HDL. Se observó, con monitorización de rutina, en el laboratorio, que aproximadamente el 24 % de los pacientes que recibieron </w:t>
      </w:r>
      <w:r w:rsidR="00A04F07">
        <w:rPr>
          <w:lang w:val="es-ES_tradnl"/>
        </w:rPr>
        <w:t>tocilizumab</w:t>
      </w:r>
      <w:r w:rsidR="00A04F07" w:rsidRPr="008A106B">
        <w:rPr>
          <w:lang w:val="es-ES_tradnl"/>
        </w:rPr>
        <w:t xml:space="preserve"> </w:t>
      </w:r>
      <w:r w:rsidRPr="008A106B">
        <w:rPr>
          <w:lang w:val="es-ES_tradnl"/>
        </w:rPr>
        <w:t xml:space="preserve">en los ensayos clínicos experimentaron una elevación sostenida del colesterol total </w:t>
      </w:r>
      <w:r w:rsidRPr="008A106B">
        <w:rPr>
          <w:lang w:val="es-ES_tradnl"/>
        </w:rPr>
        <w:sym w:font="Symbol" w:char="F0B3"/>
      </w:r>
      <w:r w:rsidRPr="008A106B">
        <w:rPr>
          <w:lang w:val="es-ES_tradnl"/>
        </w:rPr>
        <w:t xml:space="preserve"> 6,2 mmol/l y un 15 % experimentaron un aumento sostenido de los valores de LDL </w:t>
      </w:r>
      <w:r w:rsidRPr="008A106B">
        <w:rPr>
          <w:u w:val="single"/>
          <w:lang w:val="es-ES_tradnl"/>
        </w:rPr>
        <w:t>&gt;</w:t>
      </w:r>
      <w:r w:rsidRPr="008A106B">
        <w:rPr>
          <w:lang w:val="es-ES_tradnl"/>
        </w:rPr>
        <w:t xml:space="preserve"> 4,1 mmol/</w:t>
      </w:r>
      <w:r w:rsidR="00205482" w:rsidRPr="008A106B">
        <w:rPr>
          <w:lang w:val="es-ES_tradnl"/>
        </w:rPr>
        <w:t> </w:t>
      </w:r>
      <w:r w:rsidRPr="008A106B">
        <w:rPr>
          <w:lang w:val="es-ES_tradnl"/>
        </w:rPr>
        <w:t>l. Las elevaciones en los parámetros lipídicos respondieron al tratamiento con agentes hipolipidemiantes.</w:t>
      </w:r>
    </w:p>
    <w:p w14:paraId="6659C536" w14:textId="77777777" w:rsidR="007927FC" w:rsidRPr="008A106B" w:rsidRDefault="007927FC" w:rsidP="007927FC">
      <w:pPr>
        <w:autoSpaceDE w:val="0"/>
        <w:autoSpaceDN w:val="0"/>
        <w:adjustRightInd w:val="0"/>
        <w:rPr>
          <w:lang w:val="es-ES"/>
        </w:rPr>
      </w:pPr>
    </w:p>
    <w:p w14:paraId="1CEFA5FA" w14:textId="77777777" w:rsidR="007927FC" w:rsidRPr="008A106B" w:rsidRDefault="007927FC" w:rsidP="007927FC">
      <w:pPr>
        <w:autoSpaceDE w:val="0"/>
        <w:autoSpaceDN w:val="0"/>
        <w:adjustRightInd w:val="0"/>
        <w:rPr>
          <w:lang w:val="es-ES"/>
        </w:rPr>
      </w:pPr>
      <w:r w:rsidRPr="008A106B">
        <w:rPr>
          <w:lang w:val="es-ES"/>
        </w:rPr>
        <w:t>Durante el periodo controlado doble ciego y en el periodo de exposición a largo plazo, el patrón y la incidencia de aumento en los parámetros lipídicos continuaron en línea con lo observado en los 6 meses de ensayos clínicos controlados.</w:t>
      </w:r>
    </w:p>
    <w:p w14:paraId="6449A81F" w14:textId="77777777" w:rsidR="005D1C98" w:rsidRDefault="005D1C98" w:rsidP="007927FC">
      <w:pPr>
        <w:autoSpaceDE w:val="0"/>
        <w:autoSpaceDN w:val="0"/>
        <w:adjustRightInd w:val="0"/>
        <w:rPr>
          <w:lang w:val="es-ES_tradnl"/>
        </w:rPr>
      </w:pPr>
    </w:p>
    <w:p w14:paraId="78C388F9" w14:textId="77777777" w:rsidR="005D1C98" w:rsidRPr="00F30AB8" w:rsidRDefault="005D1C98" w:rsidP="005D1C98">
      <w:pPr>
        <w:autoSpaceDE w:val="0"/>
        <w:autoSpaceDN w:val="0"/>
        <w:adjustRightInd w:val="0"/>
        <w:rPr>
          <w:rFonts w:eastAsia="SimSun"/>
          <w:i/>
          <w:szCs w:val="22"/>
          <w:u w:val="single"/>
          <w:lang w:val="es-ES" w:eastAsia="zh-CN"/>
        </w:rPr>
      </w:pPr>
      <w:r w:rsidRPr="00F30AB8">
        <w:rPr>
          <w:rFonts w:eastAsia="SimSun"/>
          <w:i/>
          <w:szCs w:val="22"/>
          <w:u w:val="single"/>
          <w:lang w:val="es-ES" w:eastAsia="zh-CN"/>
        </w:rPr>
        <w:t xml:space="preserve">Reacciones </w:t>
      </w:r>
      <w:r w:rsidR="00A04F07" w:rsidRPr="00376697">
        <w:rPr>
          <w:rFonts w:eastAsia="SimSun"/>
          <w:i/>
          <w:szCs w:val="22"/>
          <w:u w:val="single"/>
          <w:lang w:val="es-ES" w:eastAsia="zh-CN"/>
        </w:rPr>
        <w:t>cutáneas</w:t>
      </w:r>
    </w:p>
    <w:p w14:paraId="006A9EE3" w14:textId="77777777" w:rsidR="005D1C98" w:rsidRPr="005D1C98" w:rsidRDefault="005D1C98" w:rsidP="007927FC">
      <w:pPr>
        <w:autoSpaceDE w:val="0"/>
        <w:autoSpaceDN w:val="0"/>
        <w:adjustRightInd w:val="0"/>
        <w:rPr>
          <w:rFonts w:eastAsia="SimSun"/>
          <w:szCs w:val="22"/>
          <w:lang w:val="es-ES" w:eastAsia="zh-CN"/>
        </w:rPr>
      </w:pPr>
      <w:r w:rsidRPr="001B78FC">
        <w:rPr>
          <w:rFonts w:eastAsia="SimSun"/>
          <w:szCs w:val="22"/>
          <w:lang w:val="es-ES" w:eastAsia="zh-CN"/>
        </w:rPr>
        <w:t xml:space="preserve">Se han </w:t>
      </w:r>
      <w:r w:rsidR="00B04965" w:rsidRPr="001B78FC">
        <w:rPr>
          <w:rFonts w:eastAsia="SimSun"/>
          <w:szCs w:val="22"/>
          <w:lang w:val="es-ES" w:eastAsia="zh-CN"/>
        </w:rPr>
        <w:t>notificado</w:t>
      </w:r>
      <w:r w:rsidR="00B04965">
        <w:rPr>
          <w:rFonts w:eastAsia="SimSun"/>
          <w:szCs w:val="22"/>
          <w:lang w:val="es-ES" w:eastAsia="zh-CN"/>
        </w:rPr>
        <w:t xml:space="preserve"> </w:t>
      </w:r>
      <w:r w:rsidRPr="001B78FC">
        <w:rPr>
          <w:rFonts w:eastAsia="SimSun"/>
          <w:szCs w:val="22"/>
          <w:lang w:val="es-ES" w:eastAsia="zh-CN"/>
        </w:rPr>
        <w:t>raramente casos de Síndrome de Stevens-</w:t>
      </w:r>
      <w:r>
        <w:rPr>
          <w:rFonts w:eastAsia="SimSun"/>
          <w:szCs w:val="22"/>
          <w:lang w:val="es-ES" w:eastAsia="zh-CN"/>
        </w:rPr>
        <w:t>J</w:t>
      </w:r>
      <w:r w:rsidRPr="001B78FC">
        <w:rPr>
          <w:rFonts w:eastAsia="SimSun"/>
          <w:szCs w:val="22"/>
          <w:lang w:val="es-ES" w:eastAsia="zh-CN"/>
        </w:rPr>
        <w:t>ohnson ocurridos tras la comercialización.</w:t>
      </w:r>
    </w:p>
    <w:p w14:paraId="4362C579" w14:textId="77777777" w:rsidR="00054A77" w:rsidRDefault="00054A77" w:rsidP="00037A04">
      <w:pPr>
        <w:autoSpaceDE w:val="0"/>
        <w:autoSpaceDN w:val="0"/>
        <w:adjustRightInd w:val="0"/>
        <w:rPr>
          <w:rFonts w:eastAsia="SimSun"/>
          <w:szCs w:val="22"/>
          <w:lang w:val="es-ES" w:eastAsia="zh-CN"/>
        </w:rPr>
      </w:pPr>
    </w:p>
    <w:p w14:paraId="3F3E8EE5" w14:textId="77777777" w:rsidR="00A04F07" w:rsidRPr="00F30AB8" w:rsidRDefault="00A04F07" w:rsidP="00037A04">
      <w:pPr>
        <w:autoSpaceDE w:val="0"/>
        <w:autoSpaceDN w:val="0"/>
        <w:adjustRightInd w:val="0"/>
        <w:rPr>
          <w:i/>
          <w:lang w:val="es-ES"/>
        </w:rPr>
      </w:pPr>
      <w:r w:rsidRPr="00F30AB8">
        <w:rPr>
          <w:i/>
          <w:lang w:val="es-ES"/>
        </w:rPr>
        <w:t>Pacientes COVID</w:t>
      </w:r>
      <w:r w:rsidRPr="00F30AB8">
        <w:rPr>
          <w:i/>
          <w:lang w:val="es-ES"/>
        </w:rPr>
        <w:noBreakHyphen/>
        <w:t>19</w:t>
      </w:r>
    </w:p>
    <w:p w14:paraId="5DFCBC29" w14:textId="77777777" w:rsidR="00A04F07" w:rsidRPr="00F30AB8" w:rsidRDefault="00A04F07" w:rsidP="00037A04">
      <w:pPr>
        <w:autoSpaceDE w:val="0"/>
        <w:autoSpaceDN w:val="0"/>
        <w:adjustRightInd w:val="0"/>
        <w:rPr>
          <w:rFonts w:eastAsia="SimSun"/>
          <w:i/>
          <w:szCs w:val="22"/>
          <w:lang w:val="es-ES" w:eastAsia="zh-CN"/>
        </w:rPr>
      </w:pPr>
    </w:p>
    <w:p w14:paraId="43CB49FC" w14:textId="77777777" w:rsidR="00037A04" w:rsidRPr="00F30AB8" w:rsidRDefault="00037A04" w:rsidP="00037A04">
      <w:pPr>
        <w:autoSpaceDE w:val="0"/>
        <w:autoSpaceDN w:val="0"/>
        <w:adjustRightInd w:val="0"/>
        <w:rPr>
          <w:rFonts w:eastAsia="SimSun"/>
          <w:i/>
          <w:szCs w:val="22"/>
          <w:u w:val="single"/>
          <w:lang w:val="es-ES" w:eastAsia="zh-CN"/>
        </w:rPr>
      </w:pPr>
      <w:r w:rsidRPr="00F30AB8">
        <w:rPr>
          <w:rFonts w:eastAsia="SimSun"/>
          <w:i/>
          <w:szCs w:val="22"/>
          <w:u w:val="single"/>
          <w:lang w:val="es-ES" w:eastAsia="zh-CN"/>
        </w:rPr>
        <w:t>Infecciones</w:t>
      </w:r>
    </w:p>
    <w:p w14:paraId="68E22143" w14:textId="1C25DF37" w:rsidR="00037A04" w:rsidRPr="00037A04" w:rsidRDefault="00037A04" w:rsidP="00037A04">
      <w:pPr>
        <w:autoSpaceDE w:val="0"/>
        <w:autoSpaceDN w:val="0"/>
        <w:adjustRightInd w:val="0"/>
        <w:rPr>
          <w:rFonts w:eastAsia="SimSun"/>
          <w:szCs w:val="22"/>
          <w:lang w:val="es-ES" w:eastAsia="zh-CN"/>
        </w:rPr>
      </w:pPr>
      <w:r w:rsidRPr="00037A04">
        <w:rPr>
          <w:rFonts w:eastAsia="SimSun"/>
          <w:szCs w:val="22"/>
          <w:lang w:val="es-ES" w:eastAsia="zh-CN"/>
        </w:rPr>
        <w:t xml:space="preserve">En la población </w:t>
      </w:r>
      <w:r>
        <w:rPr>
          <w:rFonts w:eastAsia="SimSun"/>
          <w:szCs w:val="22"/>
          <w:lang w:val="es-ES" w:eastAsia="zh-CN"/>
        </w:rPr>
        <w:t xml:space="preserve">agrupada </w:t>
      </w:r>
      <w:r w:rsidRPr="00037A04">
        <w:rPr>
          <w:rFonts w:eastAsia="SimSun"/>
          <w:szCs w:val="22"/>
          <w:lang w:val="es-ES" w:eastAsia="zh-CN"/>
        </w:rPr>
        <w:t xml:space="preserve">evaluable de seguridad </w:t>
      </w:r>
      <w:r>
        <w:rPr>
          <w:rFonts w:eastAsia="SimSun"/>
          <w:szCs w:val="22"/>
          <w:lang w:val="es-ES" w:eastAsia="zh-CN"/>
        </w:rPr>
        <w:t xml:space="preserve">de </w:t>
      </w:r>
      <w:r w:rsidRPr="00037A04">
        <w:rPr>
          <w:rFonts w:eastAsia="SimSun"/>
          <w:szCs w:val="22"/>
          <w:lang w:val="es-ES" w:eastAsia="zh-CN"/>
        </w:rPr>
        <w:t xml:space="preserve">los </w:t>
      </w:r>
      <w:del w:id="183" w:author="AUTHOR">
        <w:r w:rsidRPr="00037A04" w:rsidDel="006C4AF1">
          <w:rPr>
            <w:rFonts w:eastAsia="SimSun"/>
            <w:szCs w:val="22"/>
            <w:lang w:val="es-ES" w:eastAsia="zh-CN"/>
          </w:rPr>
          <w:delText xml:space="preserve">estudios </w:delText>
        </w:r>
      </w:del>
      <w:ins w:id="184" w:author="AUTHOR">
        <w:r w:rsidR="006C4AF1">
          <w:rPr>
            <w:rFonts w:eastAsia="SimSun"/>
            <w:szCs w:val="22"/>
            <w:lang w:val="es-ES" w:eastAsia="zh-CN"/>
          </w:rPr>
          <w:t>ensayos</w:t>
        </w:r>
        <w:r w:rsidR="006C4AF1" w:rsidRPr="00037A04">
          <w:rPr>
            <w:rFonts w:eastAsia="SimSun"/>
            <w:szCs w:val="22"/>
            <w:lang w:val="es-ES" w:eastAsia="zh-CN"/>
          </w:rPr>
          <w:t xml:space="preserve"> </w:t>
        </w:r>
      </w:ins>
      <w:r w:rsidRPr="00037A04">
        <w:rPr>
          <w:rFonts w:eastAsia="SimSun"/>
          <w:szCs w:val="22"/>
          <w:lang w:val="es-ES" w:eastAsia="zh-CN"/>
        </w:rPr>
        <w:t>ML42528, WA42380 y WA42511, la</w:t>
      </w:r>
      <w:r>
        <w:rPr>
          <w:rFonts w:eastAsia="SimSun"/>
          <w:szCs w:val="22"/>
          <w:lang w:val="es-ES" w:eastAsia="zh-CN"/>
        </w:rPr>
        <w:t>s tasas de eventos de infección/</w:t>
      </w:r>
      <w:r w:rsidRPr="00037A04">
        <w:rPr>
          <w:rFonts w:eastAsia="SimSun"/>
          <w:szCs w:val="22"/>
          <w:lang w:val="es-ES" w:eastAsia="zh-CN"/>
        </w:rPr>
        <w:t xml:space="preserve">infecciones graves </w:t>
      </w:r>
      <w:r w:rsidR="00054A77">
        <w:rPr>
          <w:rFonts w:eastAsia="SimSun"/>
          <w:szCs w:val="22"/>
          <w:lang w:val="es-ES" w:eastAsia="zh-CN"/>
        </w:rPr>
        <w:t>fue</w:t>
      </w:r>
      <w:r w:rsidR="00D87738">
        <w:rPr>
          <w:rFonts w:eastAsia="SimSun"/>
          <w:szCs w:val="22"/>
          <w:lang w:val="es-ES" w:eastAsia="zh-CN"/>
        </w:rPr>
        <w:t>ron</w:t>
      </w:r>
      <w:r w:rsidR="00054A77">
        <w:rPr>
          <w:rFonts w:eastAsia="SimSun"/>
          <w:szCs w:val="22"/>
          <w:lang w:val="es-ES" w:eastAsia="zh-CN"/>
        </w:rPr>
        <w:t xml:space="preserve"> equilibrada</w:t>
      </w:r>
      <w:r w:rsidR="00D87738">
        <w:rPr>
          <w:rFonts w:eastAsia="SimSun"/>
          <w:szCs w:val="22"/>
          <w:lang w:val="es-ES" w:eastAsia="zh-CN"/>
        </w:rPr>
        <w:t>s</w:t>
      </w:r>
      <w:r w:rsidRPr="00037A04">
        <w:rPr>
          <w:rFonts w:eastAsia="SimSun"/>
          <w:szCs w:val="22"/>
          <w:lang w:val="es-ES" w:eastAsia="zh-CN"/>
        </w:rPr>
        <w:t xml:space="preserve"> entre los pacientes con COVID-19 que recibieron tocilizumab (30,3% / 18,6%, n = 974) versus placebo (32,1% / 22,8%, n = 483).</w:t>
      </w:r>
    </w:p>
    <w:p w14:paraId="4622E394" w14:textId="77777777" w:rsidR="00037A04" w:rsidRPr="00037A04" w:rsidRDefault="00037A04" w:rsidP="00037A04">
      <w:pPr>
        <w:autoSpaceDE w:val="0"/>
        <w:autoSpaceDN w:val="0"/>
        <w:adjustRightInd w:val="0"/>
        <w:rPr>
          <w:rFonts w:eastAsia="SimSun"/>
          <w:szCs w:val="22"/>
          <w:lang w:val="es-ES" w:eastAsia="zh-CN"/>
        </w:rPr>
      </w:pPr>
    </w:p>
    <w:p w14:paraId="43816F3F" w14:textId="68C933CF" w:rsidR="00037A04" w:rsidRDefault="00037A04" w:rsidP="00037A04">
      <w:pPr>
        <w:autoSpaceDE w:val="0"/>
        <w:autoSpaceDN w:val="0"/>
        <w:adjustRightInd w:val="0"/>
        <w:rPr>
          <w:rFonts w:eastAsia="SimSun"/>
          <w:szCs w:val="22"/>
          <w:lang w:val="es-ES" w:eastAsia="zh-CN"/>
        </w:rPr>
      </w:pPr>
      <w:r w:rsidRPr="00037A04">
        <w:rPr>
          <w:rFonts w:eastAsia="SimSun"/>
          <w:szCs w:val="22"/>
          <w:lang w:val="es-ES" w:eastAsia="zh-CN"/>
        </w:rPr>
        <w:lastRenderedPageBreak/>
        <w:t xml:space="preserve">El perfil de seguridad observado en el grupo de tratamiento con corticosteroides sistémicos basales fue </w:t>
      </w:r>
      <w:r w:rsidR="00054A77">
        <w:rPr>
          <w:rFonts w:eastAsia="SimSun"/>
          <w:szCs w:val="22"/>
          <w:lang w:val="es-ES" w:eastAsia="zh-CN"/>
        </w:rPr>
        <w:t>consistente</w:t>
      </w:r>
      <w:r w:rsidRPr="00037A04">
        <w:rPr>
          <w:rFonts w:eastAsia="SimSun"/>
          <w:szCs w:val="22"/>
          <w:lang w:val="es-ES" w:eastAsia="zh-CN"/>
        </w:rPr>
        <w:t xml:space="preserve"> con el perfil de seguridad de tocilizumab de la población general presentado en la Tabla</w:t>
      </w:r>
      <w:r w:rsidR="00A04F07">
        <w:rPr>
          <w:rFonts w:eastAsia="SimSun"/>
          <w:szCs w:val="22"/>
          <w:lang w:val="es-ES" w:eastAsia="zh-CN"/>
        </w:rPr>
        <w:t> </w:t>
      </w:r>
      <w:r w:rsidRPr="00037A04">
        <w:rPr>
          <w:rFonts w:eastAsia="SimSun"/>
          <w:szCs w:val="22"/>
          <w:lang w:val="es-ES" w:eastAsia="zh-CN"/>
        </w:rPr>
        <w:t xml:space="preserve">2. En este subgrupo, se produjeron infecciones e infecciones graves en el 27,8% y el 18,1% de los pacientes tratados con tocilizumab </w:t>
      </w:r>
      <w:r w:rsidR="00A04F07">
        <w:rPr>
          <w:rFonts w:eastAsia="SimSun"/>
          <w:szCs w:val="22"/>
          <w:lang w:val="es-ES" w:eastAsia="zh-CN"/>
        </w:rPr>
        <w:t>intravenoso</w:t>
      </w:r>
      <w:r w:rsidRPr="00037A04">
        <w:rPr>
          <w:rFonts w:eastAsia="SimSun"/>
          <w:szCs w:val="22"/>
          <w:lang w:val="es-ES" w:eastAsia="zh-CN"/>
        </w:rPr>
        <w:t xml:space="preserve"> y en el 30,5% y el 22,9% de los pacientes tratados con placebo, respectivamente.</w:t>
      </w:r>
    </w:p>
    <w:p w14:paraId="57958C7E" w14:textId="77777777" w:rsidR="00037A04" w:rsidRDefault="00037A04" w:rsidP="00037A04">
      <w:pPr>
        <w:autoSpaceDE w:val="0"/>
        <w:autoSpaceDN w:val="0"/>
        <w:adjustRightInd w:val="0"/>
        <w:rPr>
          <w:rFonts w:eastAsia="SimSun"/>
          <w:szCs w:val="22"/>
          <w:lang w:val="es-ES" w:eastAsia="zh-CN"/>
        </w:rPr>
      </w:pPr>
    </w:p>
    <w:p w14:paraId="1F3B97FD" w14:textId="77777777" w:rsidR="00037A04" w:rsidRPr="00F30AB8" w:rsidRDefault="00037A04" w:rsidP="00037A04">
      <w:pPr>
        <w:autoSpaceDE w:val="0"/>
        <w:autoSpaceDN w:val="0"/>
        <w:adjustRightInd w:val="0"/>
        <w:rPr>
          <w:rFonts w:eastAsia="SimSun"/>
          <w:i/>
          <w:szCs w:val="22"/>
          <w:u w:val="single"/>
          <w:lang w:val="es-ES" w:eastAsia="zh-CN"/>
        </w:rPr>
      </w:pPr>
      <w:r w:rsidRPr="00F30AB8">
        <w:rPr>
          <w:rFonts w:eastAsia="SimSun"/>
          <w:i/>
          <w:szCs w:val="22"/>
          <w:u w:val="single"/>
          <w:lang w:val="es-ES" w:eastAsia="zh-CN"/>
        </w:rPr>
        <w:t>Ano</w:t>
      </w:r>
      <w:r w:rsidR="00B653FC" w:rsidRPr="00F30AB8">
        <w:rPr>
          <w:rFonts w:eastAsia="SimSun"/>
          <w:i/>
          <w:szCs w:val="22"/>
          <w:u w:val="single"/>
          <w:lang w:val="es-ES" w:eastAsia="zh-CN"/>
        </w:rPr>
        <w:t>malías</w:t>
      </w:r>
      <w:r w:rsidRPr="00F30AB8">
        <w:rPr>
          <w:rFonts w:eastAsia="SimSun"/>
          <w:i/>
          <w:szCs w:val="22"/>
          <w:u w:val="single"/>
          <w:lang w:val="es-ES" w:eastAsia="zh-CN"/>
        </w:rPr>
        <w:t xml:space="preserve"> de laboratorio</w:t>
      </w:r>
    </w:p>
    <w:p w14:paraId="4C42930F" w14:textId="6ED1A2F4" w:rsidR="00037A04" w:rsidRDefault="00037A04" w:rsidP="00037A04">
      <w:pPr>
        <w:autoSpaceDE w:val="0"/>
        <w:autoSpaceDN w:val="0"/>
        <w:adjustRightInd w:val="0"/>
        <w:rPr>
          <w:rFonts w:eastAsia="SimSun"/>
          <w:szCs w:val="22"/>
          <w:lang w:val="es-ES" w:eastAsia="zh-CN"/>
        </w:rPr>
      </w:pPr>
      <w:r w:rsidRPr="00037A04">
        <w:rPr>
          <w:rFonts w:eastAsia="SimSun"/>
          <w:szCs w:val="22"/>
          <w:lang w:val="es-ES" w:eastAsia="zh-CN"/>
        </w:rPr>
        <w:t xml:space="preserve">La incidencia de anomalías de laboratorio fue generalmente similar entre los pacientes con COVID-19 que recibieron una o dos dosis de </w:t>
      </w:r>
      <w:r w:rsidR="00A04F07">
        <w:rPr>
          <w:rFonts w:eastAsia="SimSun"/>
          <w:szCs w:val="22"/>
          <w:lang w:val="es-ES" w:eastAsia="zh-CN"/>
        </w:rPr>
        <w:t>tocilizumab intravenoso</w:t>
      </w:r>
      <w:r w:rsidRPr="00037A04">
        <w:rPr>
          <w:rFonts w:eastAsia="SimSun"/>
          <w:szCs w:val="22"/>
          <w:lang w:val="es-ES" w:eastAsia="zh-CN"/>
        </w:rPr>
        <w:t xml:space="preserve"> en comparación con los que recibieron placebo en los ensayos aleatorizados, doble ciego y controlados con placebo, con pocas excepciones. Las disminuciones de plaquetas y neutrófilos y las elevaciones de ALT y AST fueron más frecuentes entre los pacientes que recibieron </w:t>
      </w:r>
      <w:r w:rsidR="00A04F07">
        <w:rPr>
          <w:rFonts w:eastAsia="SimSun"/>
          <w:szCs w:val="22"/>
          <w:lang w:val="es-ES" w:eastAsia="zh-CN"/>
        </w:rPr>
        <w:t>tocilizumab intravenoso</w:t>
      </w:r>
      <w:r w:rsidRPr="00037A04">
        <w:rPr>
          <w:rFonts w:eastAsia="SimSun"/>
          <w:szCs w:val="22"/>
          <w:lang w:val="es-ES" w:eastAsia="zh-CN"/>
        </w:rPr>
        <w:t xml:space="preserve"> que con placebo (ver secciones</w:t>
      </w:r>
      <w:r w:rsidR="00A04F07">
        <w:rPr>
          <w:rFonts w:eastAsia="SimSun"/>
          <w:szCs w:val="22"/>
          <w:lang w:val="es-ES" w:eastAsia="zh-CN"/>
        </w:rPr>
        <w:t> </w:t>
      </w:r>
      <w:r w:rsidRPr="00037A04">
        <w:rPr>
          <w:rFonts w:eastAsia="SimSun"/>
          <w:szCs w:val="22"/>
          <w:lang w:val="es-ES" w:eastAsia="zh-CN"/>
        </w:rPr>
        <w:t>4.2 y 4.4).</w:t>
      </w:r>
    </w:p>
    <w:p w14:paraId="31109199" w14:textId="77777777" w:rsidR="00037A04" w:rsidRPr="008A106B" w:rsidRDefault="00037A04" w:rsidP="00037A04">
      <w:pPr>
        <w:autoSpaceDE w:val="0"/>
        <w:autoSpaceDN w:val="0"/>
        <w:adjustRightInd w:val="0"/>
        <w:rPr>
          <w:rFonts w:eastAsia="SimSun"/>
          <w:szCs w:val="22"/>
          <w:lang w:val="es-ES" w:eastAsia="zh-CN"/>
        </w:rPr>
      </w:pPr>
    </w:p>
    <w:p w14:paraId="63AE6AAE" w14:textId="7CBDD26B" w:rsidR="007927FC" w:rsidRPr="008A106B" w:rsidRDefault="00A04F07" w:rsidP="007927FC">
      <w:pPr>
        <w:keepNext/>
        <w:keepLines/>
        <w:autoSpaceDE w:val="0"/>
        <w:autoSpaceDN w:val="0"/>
        <w:adjustRightInd w:val="0"/>
        <w:rPr>
          <w:rFonts w:eastAsia="SimSun"/>
          <w:b/>
          <w:szCs w:val="22"/>
          <w:u w:val="single"/>
          <w:lang w:val="es-ES" w:eastAsia="zh-CN"/>
        </w:rPr>
      </w:pPr>
      <w:r w:rsidRPr="00F30AB8">
        <w:rPr>
          <w:rFonts w:eastAsia="SimSun"/>
          <w:szCs w:val="22"/>
          <w:u w:val="single"/>
          <w:lang w:val="es-ES" w:eastAsia="zh-CN"/>
        </w:rPr>
        <w:t>Población pediátrica</w:t>
      </w:r>
    </w:p>
    <w:p w14:paraId="353F75B8" w14:textId="77777777" w:rsidR="007927FC" w:rsidRPr="008A106B" w:rsidRDefault="007927FC" w:rsidP="007927FC">
      <w:pPr>
        <w:keepNext/>
        <w:keepLines/>
        <w:autoSpaceDE w:val="0"/>
        <w:autoSpaceDN w:val="0"/>
        <w:adjustRightInd w:val="0"/>
        <w:rPr>
          <w:rFonts w:eastAsia="SimSun"/>
          <w:szCs w:val="22"/>
          <w:lang w:val="es-ES" w:eastAsia="zh-CN"/>
        </w:rPr>
      </w:pPr>
    </w:p>
    <w:p w14:paraId="5E93EBE2" w14:textId="0D559F8B"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 xml:space="preserve">En general en los pacientes con AIJs y AIJp, las </w:t>
      </w:r>
      <w:r w:rsidR="00A04F07">
        <w:rPr>
          <w:rFonts w:eastAsia="SimSun"/>
          <w:szCs w:val="22"/>
          <w:lang w:val="es-ES" w:eastAsia="zh-CN"/>
        </w:rPr>
        <w:t xml:space="preserve">reacciones adversas </w:t>
      </w:r>
      <w:r w:rsidRPr="008A106B">
        <w:rPr>
          <w:rFonts w:eastAsia="SimSun"/>
          <w:szCs w:val="22"/>
          <w:lang w:val="es-ES" w:eastAsia="zh-CN"/>
        </w:rPr>
        <w:t>fueron de una clase similar a las observadas en los pacientes con AR, ver sección</w:t>
      </w:r>
      <w:r w:rsidR="00A04F07">
        <w:rPr>
          <w:rFonts w:eastAsia="SimSun"/>
          <w:szCs w:val="22"/>
          <w:lang w:val="es-ES" w:eastAsia="zh-CN"/>
        </w:rPr>
        <w:t> </w:t>
      </w:r>
      <w:r w:rsidRPr="008A106B">
        <w:rPr>
          <w:rFonts w:eastAsia="SimSun"/>
          <w:szCs w:val="22"/>
          <w:lang w:val="es-ES" w:eastAsia="zh-CN"/>
        </w:rPr>
        <w:t xml:space="preserve">4.8. </w:t>
      </w:r>
    </w:p>
    <w:p w14:paraId="4A47E1DE" w14:textId="77777777" w:rsidR="007927FC" w:rsidRPr="008A106B" w:rsidRDefault="007927FC" w:rsidP="007927FC">
      <w:pPr>
        <w:keepNext/>
        <w:keepLines/>
        <w:autoSpaceDE w:val="0"/>
        <w:autoSpaceDN w:val="0"/>
        <w:adjustRightInd w:val="0"/>
        <w:rPr>
          <w:rFonts w:eastAsia="SimSun"/>
          <w:szCs w:val="22"/>
          <w:lang w:val="es-ES" w:eastAsia="zh-CN"/>
        </w:rPr>
      </w:pPr>
    </w:p>
    <w:p w14:paraId="42B0E60D" w14:textId="73787A6B" w:rsidR="007927FC" w:rsidRPr="006868F5" w:rsidRDefault="00A04F07" w:rsidP="00A50280">
      <w:pPr>
        <w:keepNext/>
        <w:keepLines/>
        <w:autoSpaceDE w:val="0"/>
        <w:autoSpaceDN w:val="0"/>
        <w:adjustRightInd w:val="0"/>
        <w:rPr>
          <w:rFonts w:eastAsia="SimSun"/>
          <w:i/>
          <w:szCs w:val="22"/>
          <w:lang w:val="es-ES" w:eastAsia="zh-CN"/>
        </w:rPr>
      </w:pPr>
      <w:r>
        <w:rPr>
          <w:rFonts w:eastAsia="SimSun"/>
          <w:i/>
          <w:szCs w:val="22"/>
          <w:lang w:val="es-ES" w:eastAsia="zh-CN"/>
        </w:rPr>
        <w:t xml:space="preserve">Descripción de reacciones adversas </w:t>
      </w:r>
      <w:ins w:id="185" w:author="AUTHOR">
        <w:r w:rsidR="00487D16">
          <w:rPr>
            <w:rFonts w:eastAsia="SimSun"/>
            <w:i/>
            <w:szCs w:val="22"/>
            <w:lang w:val="es-ES" w:eastAsia="zh-CN"/>
          </w:rPr>
          <w:t xml:space="preserve">selecionadas </w:t>
        </w:r>
      </w:ins>
      <w:r>
        <w:rPr>
          <w:rFonts w:eastAsia="SimSun"/>
          <w:i/>
          <w:szCs w:val="22"/>
          <w:lang w:val="es-ES" w:eastAsia="zh-CN"/>
        </w:rPr>
        <w:t>en p</w:t>
      </w:r>
      <w:r w:rsidR="007927FC" w:rsidRPr="006868F5">
        <w:rPr>
          <w:rFonts w:eastAsia="SimSun"/>
          <w:i/>
          <w:szCs w:val="22"/>
          <w:lang w:val="es-ES" w:eastAsia="zh-CN"/>
        </w:rPr>
        <w:t>acientes con AIJp</w:t>
      </w:r>
    </w:p>
    <w:p w14:paraId="177669DA" w14:textId="41B9463A" w:rsidR="007927FC" w:rsidRPr="008A106B" w:rsidRDefault="00B70452" w:rsidP="007927FC">
      <w:pPr>
        <w:autoSpaceDE w:val="0"/>
        <w:autoSpaceDN w:val="0"/>
        <w:adjustRightInd w:val="0"/>
        <w:rPr>
          <w:rFonts w:eastAsia="SimSun"/>
          <w:szCs w:val="22"/>
          <w:lang w:val="es-ES" w:eastAsia="zh-CN"/>
        </w:rPr>
      </w:pPr>
      <w:r>
        <w:rPr>
          <w:rFonts w:eastAsia="SimSun"/>
          <w:szCs w:val="22"/>
          <w:lang w:val="es-ES" w:eastAsia="zh-CN"/>
        </w:rPr>
        <w:t xml:space="preserve">El perfil de seguridad de </w:t>
      </w:r>
      <w:proofErr w:type="gramStart"/>
      <w:r w:rsidR="00A04F07">
        <w:rPr>
          <w:rFonts w:eastAsia="SimSun"/>
          <w:szCs w:val="22"/>
          <w:lang w:val="es-ES" w:eastAsia="zh-CN"/>
        </w:rPr>
        <w:t xml:space="preserve">tocilizumab </w:t>
      </w:r>
      <w:r w:rsidR="007927FC" w:rsidRPr="008A106B">
        <w:rPr>
          <w:rFonts w:eastAsia="SimSun"/>
          <w:szCs w:val="22"/>
          <w:lang w:val="es-ES" w:eastAsia="zh-CN"/>
        </w:rPr>
        <w:t xml:space="preserve"> en</w:t>
      </w:r>
      <w:proofErr w:type="gramEnd"/>
      <w:r w:rsidR="007927FC" w:rsidRPr="008A106B">
        <w:rPr>
          <w:rFonts w:eastAsia="SimSun"/>
          <w:szCs w:val="22"/>
          <w:lang w:val="es-ES" w:eastAsia="zh-CN"/>
        </w:rPr>
        <w:t xml:space="preserve"> pacientes con AIJp se ha estudiado en 188 pacientes de 2 a 17</w:t>
      </w:r>
      <w:r w:rsidR="00A04F07">
        <w:rPr>
          <w:rFonts w:eastAsia="SimSun"/>
          <w:szCs w:val="22"/>
          <w:lang w:val="es-ES" w:eastAsia="zh-CN"/>
        </w:rPr>
        <w:t> </w:t>
      </w:r>
      <w:r w:rsidR="007927FC" w:rsidRPr="008A106B">
        <w:rPr>
          <w:rFonts w:eastAsia="SimSun"/>
          <w:szCs w:val="22"/>
          <w:lang w:val="es-ES" w:eastAsia="zh-CN"/>
        </w:rPr>
        <w:t>años</w:t>
      </w:r>
      <w:r w:rsidR="007927FC">
        <w:rPr>
          <w:rFonts w:eastAsia="SimSun"/>
          <w:szCs w:val="22"/>
          <w:lang w:val="es-ES" w:eastAsia="zh-CN"/>
        </w:rPr>
        <w:t xml:space="preserve"> de edad</w:t>
      </w:r>
      <w:r w:rsidR="007927FC" w:rsidRPr="008A106B">
        <w:rPr>
          <w:rFonts w:eastAsia="SimSun"/>
          <w:szCs w:val="22"/>
          <w:lang w:val="es-ES" w:eastAsia="zh-CN"/>
        </w:rPr>
        <w:t>. El total de pacientes que recibieron tocilizumab fue de 184,4</w:t>
      </w:r>
      <w:r w:rsidR="00205482">
        <w:rPr>
          <w:rFonts w:eastAsia="SimSun"/>
          <w:szCs w:val="22"/>
          <w:lang w:val="es-ES" w:eastAsia="zh-CN"/>
        </w:rPr>
        <w:t> </w:t>
      </w:r>
      <w:r w:rsidR="007927FC" w:rsidRPr="008A106B">
        <w:rPr>
          <w:rFonts w:eastAsia="SimSun"/>
          <w:szCs w:val="22"/>
          <w:lang w:val="es-ES" w:eastAsia="zh-CN"/>
        </w:rPr>
        <w:t>pacientes</w:t>
      </w:r>
      <w:r w:rsidR="007927FC">
        <w:rPr>
          <w:rFonts w:eastAsia="SimSun"/>
          <w:szCs w:val="22"/>
          <w:lang w:val="es-ES" w:eastAsia="zh-CN"/>
        </w:rPr>
        <w:t>-</w:t>
      </w:r>
      <w:r w:rsidR="007927FC" w:rsidRPr="008A106B">
        <w:rPr>
          <w:rFonts w:eastAsia="SimSun"/>
          <w:szCs w:val="22"/>
          <w:lang w:val="es-ES" w:eastAsia="zh-CN"/>
        </w:rPr>
        <w:t xml:space="preserve">año. La frecuencia de </w:t>
      </w:r>
      <w:r w:rsidR="00A04F07">
        <w:rPr>
          <w:rFonts w:eastAsia="SimSun"/>
          <w:szCs w:val="22"/>
          <w:lang w:val="es-ES" w:eastAsia="zh-CN"/>
        </w:rPr>
        <w:t>reacciones adver</w:t>
      </w:r>
      <w:r w:rsidR="00205482">
        <w:rPr>
          <w:rFonts w:eastAsia="SimSun"/>
          <w:szCs w:val="22"/>
          <w:lang w:val="es-ES" w:eastAsia="zh-CN"/>
        </w:rPr>
        <w:t>s</w:t>
      </w:r>
      <w:r w:rsidR="00A04F07">
        <w:rPr>
          <w:rFonts w:eastAsia="SimSun"/>
          <w:szCs w:val="22"/>
          <w:lang w:val="es-ES" w:eastAsia="zh-CN"/>
        </w:rPr>
        <w:t>a</w:t>
      </w:r>
      <w:r w:rsidR="00205482">
        <w:rPr>
          <w:rFonts w:eastAsia="SimSun"/>
          <w:szCs w:val="22"/>
          <w:lang w:val="es-ES" w:eastAsia="zh-CN"/>
        </w:rPr>
        <w:t>s</w:t>
      </w:r>
      <w:r w:rsidR="007927FC" w:rsidRPr="008A106B">
        <w:rPr>
          <w:rFonts w:eastAsia="SimSun"/>
          <w:szCs w:val="22"/>
          <w:lang w:val="es-ES" w:eastAsia="zh-CN"/>
        </w:rPr>
        <w:t xml:space="preserve"> en pacientes con AIJp puede verse en la tabla</w:t>
      </w:r>
      <w:r w:rsidR="00A04F07">
        <w:rPr>
          <w:rFonts w:eastAsia="SimSun"/>
          <w:szCs w:val="22"/>
          <w:lang w:val="es-ES" w:eastAsia="zh-CN"/>
        </w:rPr>
        <w:t> </w:t>
      </w:r>
      <w:r w:rsidR="00037A04">
        <w:rPr>
          <w:rFonts w:eastAsia="SimSun"/>
          <w:szCs w:val="22"/>
          <w:lang w:val="es-ES" w:eastAsia="zh-CN"/>
        </w:rPr>
        <w:t>3</w:t>
      </w:r>
      <w:r w:rsidR="007927FC" w:rsidRPr="008A106B">
        <w:rPr>
          <w:rFonts w:eastAsia="SimSun"/>
          <w:szCs w:val="22"/>
          <w:lang w:val="es-ES" w:eastAsia="zh-CN"/>
        </w:rPr>
        <w:t xml:space="preserve">. Los tipos de </w:t>
      </w:r>
      <w:r w:rsidR="00A04F07">
        <w:rPr>
          <w:rFonts w:eastAsia="SimSun"/>
          <w:szCs w:val="22"/>
          <w:lang w:val="es-ES" w:eastAsia="zh-CN"/>
        </w:rPr>
        <w:t>reacciones adversas</w:t>
      </w:r>
      <w:r w:rsidR="007927FC" w:rsidRPr="008A106B">
        <w:rPr>
          <w:rFonts w:eastAsia="SimSun"/>
          <w:szCs w:val="22"/>
          <w:lang w:val="es-ES" w:eastAsia="zh-CN"/>
        </w:rPr>
        <w:t xml:space="preserve"> en pacientes con AIJp fueron similares a las observadas en pacientes con AR y AIJs. Comparado con la población adulta con artritis reumatoide, se notificaron con más frecuencia en AIJp, los eventos de nasofaringitis, dolor de cabeza, náuseas, y disminución en el recuento de neutrófilos. </w:t>
      </w:r>
      <w:del w:id="186" w:author="AUTHOR">
        <w:r w:rsidR="007927FC" w:rsidRPr="008A106B" w:rsidDel="00487D16">
          <w:rPr>
            <w:rFonts w:eastAsia="SimSun"/>
            <w:szCs w:val="22"/>
            <w:lang w:val="es-ES" w:eastAsia="zh-CN"/>
          </w:rPr>
          <w:delText>Sin embargo</w:delText>
        </w:r>
        <w:r w:rsidR="00DF576C" w:rsidDel="00487D16">
          <w:rPr>
            <w:rFonts w:eastAsia="SimSun"/>
            <w:szCs w:val="22"/>
            <w:lang w:val="es-ES" w:eastAsia="zh-CN"/>
          </w:rPr>
          <w:delText>,</w:delText>
        </w:r>
        <w:r w:rsidR="007927FC" w:rsidRPr="008A106B" w:rsidDel="00487D16">
          <w:rPr>
            <w:rFonts w:eastAsia="SimSun"/>
            <w:szCs w:val="22"/>
            <w:lang w:val="es-ES" w:eastAsia="zh-CN"/>
          </w:rPr>
          <w:delText xml:space="preserve"> e</w:delText>
        </w:r>
      </w:del>
      <w:ins w:id="187" w:author="AUTHOR">
        <w:r w:rsidR="00487D16">
          <w:rPr>
            <w:rFonts w:eastAsia="SimSun"/>
            <w:szCs w:val="22"/>
            <w:lang w:val="es-ES" w:eastAsia="zh-CN"/>
          </w:rPr>
          <w:t>E</w:t>
        </w:r>
      </w:ins>
      <w:r w:rsidR="007927FC" w:rsidRPr="008A106B">
        <w:rPr>
          <w:rFonts w:eastAsia="SimSun"/>
          <w:szCs w:val="22"/>
          <w:lang w:val="es-ES" w:eastAsia="zh-CN"/>
        </w:rPr>
        <w:t>ventos como aumento del colesterol, fueron notificados menos frecuentemente en población con AIJp que en población adulta con artritis reumatoide.</w:t>
      </w:r>
    </w:p>
    <w:p w14:paraId="34C77D9A" w14:textId="77777777" w:rsidR="007927FC" w:rsidRPr="008A106B" w:rsidRDefault="007927FC" w:rsidP="007927FC">
      <w:pPr>
        <w:rPr>
          <w:lang w:val="es-ES"/>
        </w:rPr>
      </w:pPr>
    </w:p>
    <w:p w14:paraId="642A59A1" w14:textId="77777777" w:rsidR="007927FC" w:rsidRPr="00F30AB8" w:rsidRDefault="007927FC" w:rsidP="007927FC">
      <w:pPr>
        <w:keepNext/>
        <w:keepLines/>
        <w:rPr>
          <w:i/>
          <w:u w:val="single"/>
          <w:lang w:val="es-ES"/>
        </w:rPr>
      </w:pPr>
      <w:r w:rsidRPr="00F30AB8">
        <w:rPr>
          <w:i/>
          <w:u w:val="single"/>
          <w:lang w:val="es-ES"/>
        </w:rPr>
        <w:t>Infecciones</w:t>
      </w:r>
    </w:p>
    <w:p w14:paraId="47BD69C7" w14:textId="0F39C3AC" w:rsidR="007927FC" w:rsidRPr="008A106B" w:rsidRDefault="007927FC" w:rsidP="007927FC">
      <w:pPr>
        <w:rPr>
          <w:lang w:val="es-ES"/>
        </w:rPr>
      </w:pPr>
      <w:r w:rsidRPr="008A106B">
        <w:rPr>
          <w:lang w:val="es-ES"/>
        </w:rPr>
        <w:t>La tasa de infecciones en la población total expuesta a tocilizumab fue de 163,7 por 100</w:t>
      </w:r>
      <w:r w:rsidR="00A04F07">
        <w:rPr>
          <w:lang w:val="es-ES"/>
        </w:rPr>
        <w:t> </w:t>
      </w:r>
      <w:r w:rsidRPr="008A106B">
        <w:rPr>
          <w:lang w:val="es-ES"/>
        </w:rPr>
        <w:t>pacientes</w:t>
      </w:r>
      <w:ins w:id="188" w:author="AUTHOR">
        <w:r w:rsidR="00487D16">
          <w:rPr>
            <w:lang w:val="es-ES"/>
          </w:rPr>
          <w:t>-</w:t>
        </w:r>
      </w:ins>
      <w:del w:id="189" w:author="AUTHOR">
        <w:r w:rsidDel="00487D16">
          <w:rPr>
            <w:lang w:val="es-ES"/>
          </w:rPr>
          <w:delText xml:space="preserve"> </w:delText>
        </w:r>
      </w:del>
      <w:r w:rsidRPr="008A106B">
        <w:rPr>
          <w:lang w:val="es-ES"/>
        </w:rPr>
        <w:t>año</w:t>
      </w:r>
      <w:del w:id="190" w:author="AUTHOR">
        <w:r w:rsidRPr="008A106B" w:rsidDel="00487D16">
          <w:rPr>
            <w:lang w:val="es-ES"/>
          </w:rPr>
          <w:delText>s</w:delText>
        </w:r>
      </w:del>
      <w:r w:rsidRPr="008A106B">
        <w:rPr>
          <w:lang w:val="es-ES"/>
        </w:rPr>
        <w:t>. Los acontecimientos más comunes observados fueron nasofaringitis e infecciones del tracto respiratorio superior. La tasa de infecciones graves fue numéricamente más alta en pacientes con peso &lt;30 kg tratados con 10 mg/kg de tocilizumab (12,2 por 100</w:t>
      </w:r>
      <w:r w:rsidR="00A04F07">
        <w:rPr>
          <w:lang w:val="es-ES"/>
        </w:rPr>
        <w:t> </w:t>
      </w:r>
      <w:r w:rsidRPr="008A106B">
        <w:rPr>
          <w:lang w:val="es-ES"/>
        </w:rPr>
        <w:t xml:space="preserve">pacientes-años) comparada con pacientes con </w:t>
      </w:r>
      <w:r w:rsidRPr="00BD7005">
        <w:rPr>
          <w:lang w:val="es-ES"/>
          <w:rPrChange w:id="191" w:author="TCS" w:date="2026-03-19T15:00:00Z">
            <w:rPr>
              <w:lang w:val="es-ES"/>
            </w:rPr>
          </w:rPrChange>
        </w:rPr>
        <w:t xml:space="preserve">peso </w:t>
      </w:r>
      <w:r w:rsidRPr="00BD7005">
        <w:rPr>
          <w:szCs w:val="22"/>
          <w:lang w:val="es-ES"/>
          <w:rPrChange w:id="192" w:author="TCS" w:date="2026-03-19T15:00:00Z">
            <w:rPr>
              <w:rFonts w:ascii="Minion" w:hAnsi="Minion"/>
              <w:szCs w:val="22"/>
              <w:lang w:val="es-ES"/>
            </w:rPr>
          </w:rPrChange>
        </w:rPr>
        <w:t>≥30 kg</w:t>
      </w:r>
      <w:r w:rsidRPr="00BD7005">
        <w:rPr>
          <w:lang w:val="es-ES"/>
          <w:rPrChange w:id="193" w:author="TCS" w:date="2026-03-19T15:00:00Z">
            <w:rPr>
              <w:lang w:val="es-ES"/>
            </w:rPr>
          </w:rPrChange>
        </w:rPr>
        <w:t>,</w:t>
      </w:r>
      <w:r w:rsidRPr="008A106B">
        <w:rPr>
          <w:lang w:val="es-ES"/>
        </w:rPr>
        <w:t xml:space="preserve"> tratados con 8 mg/kg de tocilizumab (4,0 por 100</w:t>
      </w:r>
      <w:r w:rsidR="00A04F07">
        <w:rPr>
          <w:lang w:val="es-ES"/>
        </w:rPr>
        <w:t> </w:t>
      </w:r>
      <w:r w:rsidRPr="008A106B">
        <w:rPr>
          <w:lang w:val="es-ES"/>
        </w:rPr>
        <w:t>pacientes-años). La incidencia de infecciones que conducen a interrupciones de la dosis fue también numéricamente superior en pacientes con peso &lt; 30 kg tratados con 10 mg/kg de tocilizumab (21,4</w:t>
      </w:r>
      <w:r w:rsidR="00A04F07">
        <w:rPr>
          <w:lang w:val="es-ES"/>
        </w:rPr>
        <w:t> </w:t>
      </w:r>
      <w:r w:rsidRPr="008A106B">
        <w:rPr>
          <w:lang w:val="es-ES"/>
        </w:rPr>
        <w:t xml:space="preserve">%) comparado con pacientes con peso </w:t>
      </w:r>
      <w:r w:rsidRPr="00BD7005">
        <w:rPr>
          <w:szCs w:val="22"/>
          <w:lang w:val="es-ES"/>
          <w:rPrChange w:id="194" w:author="TCS" w:date="2026-03-19T14:59:00Z">
            <w:rPr>
              <w:rFonts w:ascii="Minion" w:hAnsi="Minion"/>
              <w:szCs w:val="22"/>
              <w:lang w:val="es-ES"/>
            </w:rPr>
          </w:rPrChange>
        </w:rPr>
        <w:t>≥30 kg</w:t>
      </w:r>
      <w:r w:rsidRPr="008A106B">
        <w:rPr>
          <w:lang w:val="es-ES"/>
        </w:rPr>
        <w:t>, tratados con 8 mg/kg de tocilizumab (7,6</w:t>
      </w:r>
      <w:r w:rsidR="00A04F07">
        <w:rPr>
          <w:lang w:val="es-ES"/>
        </w:rPr>
        <w:t> </w:t>
      </w:r>
      <w:r w:rsidRPr="008A106B">
        <w:rPr>
          <w:lang w:val="es-ES"/>
        </w:rPr>
        <w:t>%).</w:t>
      </w:r>
    </w:p>
    <w:p w14:paraId="488FCD89" w14:textId="77777777" w:rsidR="007927FC" w:rsidRPr="008A106B" w:rsidRDefault="007927FC" w:rsidP="007927FC">
      <w:pPr>
        <w:rPr>
          <w:lang w:val="es-ES"/>
        </w:rPr>
      </w:pPr>
    </w:p>
    <w:p w14:paraId="4FCCDD3B" w14:textId="3B474299" w:rsidR="007927FC" w:rsidRPr="00F30AB8" w:rsidRDefault="007927FC" w:rsidP="007927FC">
      <w:pPr>
        <w:rPr>
          <w:i/>
          <w:u w:val="single"/>
          <w:lang w:val="es-ES"/>
        </w:rPr>
      </w:pPr>
      <w:r w:rsidRPr="00F30AB8">
        <w:rPr>
          <w:i/>
          <w:u w:val="single"/>
          <w:lang w:val="es-ES"/>
        </w:rPr>
        <w:t xml:space="preserve">Reacciones </w:t>
      </w:r>
      <w:r w:rsidR="00205482">
        <w:rPr>
          <w:i/>
          <w:u w:val="single"/>
          <w:lang w:val="es-ES"/>
        </w:rPr>
        <w:t>R</w:t>
      </w:r>
      <w:r w:rsidR="00205482" w:rsidRPr="00F30AB8">
        <w:rPr>
          <w:i/>
          <w:u w:val="single"/>
          <w:lang w:val="es-ES"/>
        </w:rPr>
        <w:t xml:space="preserve">elacionadas </w:t>
      </w:r>
      <w:r w:rsidR="00037A04" w:rsidRPr="00F30AB8">
        <w:rPr>
          <w:i/>
          <w:u w:val="single"/>
          <w:lang w:val="es-ES"/>
        </w:rPr>
        <w:t>con</w:t>
      </w:r>
      <w:r w:rsidRPr="00F30AB8">
        <w:rPr>
          <w:i/>
          <w:u w:val="single"/>
          <w:lang w:val="es-ES"/>
        </w:rPr>
        <w:t xml:space="preserve"> la </w:t>
      </w:r>
      <w:r w:rsidR="00205482">
        <w:rPr>
          <w:i/>
          <w:u w:val="single"/>
          <w:lang w:val="es-ES"/>
        </w:rPr>
        <w:t>P</w:t>
      </w:r>
      <w:r w:rsidR="00205482" w:rsidRPr="00F30AB8">
        <w:rPr>
          <w:i/>
          <w:u w:val="single"/>
          <w:lang w:val="es-ES"/>
        </w:rPr>
        <w:t>erfusión</w:t>
      </w:r>
    </w:p>
    <w:p w14:paraId="014FFFD2" w14:textId="77C8533B" w:rsidR="007927FC" w:rsidRPr="008A106B" w:rsidRDefault="007927FC" w:rsidP="007927FC">
      <w:pPr>
        <w:rPr>
          <w:lang w:val="es-ES"/>
        </w:rPr>
      </w:pPr>
      <w:r w:rsidRPr="008A106B">
        <w:rPr>
          <w:lang w:val="es-ES"/>
        </w:rPr>
        <w:t>En pacientes con AIJp, las reacciones relacionadas con la perfusión se definen como todos los eventos ocurridos durante o en las 24</w:t>
      </w:r>
      <w:r w:rsidR="00A04F07">
        <w:rPr>
          <w:lang w:val="es-ES"/>
        </w:rPr>
        <w:t> </w:t>
      </w:r>
      <w:r w:rsidRPr="008A106B">
        <w:rPr>
          <w:lang w:val="es-ES"/>
        </w:rPr>
        <w:t>horas siguientes a la perfusión. En la población total expuesta a tocilizumab, 11</w:t>
      </w:r>
      <w:r w:rsidR="00A04F07">
        <w:rPr>
          <w:lang w:val="es-ES"/>
        </w:rPr>
        <w:t> </w:t>
      </w:r>
      <w:r w:rsidRPr="008A106B">
        <w:rPr>
          <w:lang w:val="es-ES"/>
        </w:rPr>
        <w:t>pacientes (5,9</w:t>
      </w:r>
      <w:r w:rsidR="00A04F07">
        <w:rPr>
          <w:lang w:val="es-ES"/>
        </w:rPr>
        <w:t> </w:t>
      </w:r>
      <w:r w:rsidRPr="008A106B">
        <w:rPr>
          <w:lang w:val="es-ES"/>
        </w:rPr>
        <w:t xml:space="preserve">%) experimentaron reacciones </w:t>
      </w:r>
      <w:r w:rsidR="00037A04">
        <w:rPr>
          <w:lang w:val="es-ES"/>
        </w:rPr>
        <w:t>relacionadas con</w:t>
      </w:r>
      <w:r w:rsidRPr="008A106B">
        <w:rPr>
          <w:lang w:val="es-ES"/>
        </w:rPr>
        <w:t xml:space="preserve"> la perfusión durante la perfusión y 38</w:t>
      </w:r>
      <w:r w:rsidR="00A04F07">
        <w:rPr>
          <w:lang w:val="es-ES"/>
        </w:rPr>
        <w:t> </w:t>
      </w:r>
      <w:r w:rsidRPr="008A106B">
        <w:rPr>
          <w:lang w:val="es-ES"/>
        </w:rPr>
        <w:t>pacientes (20,2</w:t>
      </w:r>
      <w:r w:rsidR="00A04F07">
        <w:rPr>
          <w:lang w:val="es-ES"/>
        </w:rPr>
        <w:t> </w:t>
      </w:r>
      <w:r w:rsidRPr="008A106B">
        <w:rPr>
          <w:lang w:val="es-ES"/>
        </w:rPr>
        <w:t>%) experimentaron un evento dentro de las 24</w:t>
      </w:r>
      <w:r w:rsidR="00A04F07">
        <w:rPr>
          <w:lang w:val="es-ES"/>
        </w:rPr>
        <w:t> </w:t>
      </w:r>
      <w:r w:rsidRPr="008A106B">
        <w:rPr>
          <w:lang w:val="es-ES"/>
        </w:rPr>
        <w:t>horas siguientes a la perfusión. Los eventos más comunes ocurridos durante la perfusión fueron dolor de cabeza, náuseas e hipotensión y dentro de las 24</w:t>
      </w:r>
      <w:r w:rsidR="00A04F07">
        <w:rPr>
          <w:lang w:val="es-ES"/>
        </w:rPr>
        <w:t> </w:t>
      </w:r>
      <w:r w:rsidRPr="008A106B">
        <w:rPr>
          <w:lang w:val="es-ES"/>
        </w:rPr>
        <w:t>horas siguientes a la perfusión fueron mareos e hipotensión. En general, las reacciones adversas al medicamento observadas durante o en las 24</w:t>
      </w:r>
      <w:r w:rsidR="00A04F07">
        <w:rPr>
          <w:lang w:val="es-ES"/>
        </w:rPr>
        <w:t> </w:t>
      </w:r>
      <w:r w:rsidRPr="008A106B">
        <w:rPr>
          <w:lang w:val="es-ES"/>
        </w:rPr>
        <w:t>horas siguientes a la perfusión fueron similares en naturaleza a aquellas observadas en pacientes con AR y con AIJs, ver sección</w:t>
      </w:r>
      <w:r w:rsidR="00A04F07">
        <w:rPr>
          <w:lang w:val="es-ES"/>
        </w:rPr>
        <w:t> </w:t>
      </w:r>
      <w:r w:rsidRPr="008A106B">
        <w:rPr>
          <w:lang w:val="es-ES"/>
        </w:rPr>
        <w:t>4.8.</w:t>
      </w:r>
    </w:p>
    <w:p w14:paraId="7515D787" w14:textId="77777777" w:rsidR="007927FC" w:rsidRPr="008A106B" w:rsidRDefault="007927FC" w:rsidP="007927FC">
      <w:pPr>
        <w:rPr>
          <w:lang w:val="es-ES"/>
        </w:rPr>
      </w:pPr>
    </w:p>
    <w:p w14:paraId="61FA57BE" w14:textId="77777777" w:rsidR="007927FC" w:rsidRPr="008A106B" w:rsidRDefault="007927FC" w:rsidP="007927FC">
      <w:pPr>
        <w:rPr>
          <w:lang w:val="es-ES"/>
        </w:rPr>
      </w:pPr>
      <w:r w:rsidRPr="008A106B">
        <w:rPr>
          <w:lang w:val="es-ES"/>
        </w:rPr>
        <w:t>No se han notificado reacciones de hipersensibilidad clínicamente significativas asociadas con tocilizumab que requiriesen interrupción del tratamiento.</w:t>
      </w:r>
    </w:p>
    <w:p w14:paraId="5C050996" w14:textId="77777777" w:rsidR="007927FC" w:rsidRPr="008A106B" w:rsidRDefault="007927FC" w:rsidP="007927FC">
      <w:pPr>
        <w:rPr>
          <w:lang w:val="es-ES"/>
        </w:rPr>
      </w:pPr>
    </w:p>
    <w:p w14:paraId="484D991B" w14:textId="77777777" w:rsidR="007927FC" w:rsidRPr="00F30AB8" w:rsidRDefault="007927FC" w:rsidP="007927FC">
      <w:pPr>
        <w:rPr>
          <w:i/>
          <w:u w:val="single"/>
          <w:lang w:val="es-ES"/>
        </w:rPr>
      </w:pPr>
      <w:r w:rsidRPr="00F30AB8">
        <w:rPr>
          <w:i/>
          <w:u w:val="single"/>
          <w:lang w:val="es-ES"/>
        </w:rPr>
        <w:t>Inmunogenicidad</w:t>
      </w:r>
    </w:p>
    <w:p w14:paraId="63F783F0" w14:textId="5B2DF87E" w:rsidR="007927FC" w:rsidRPr="008A106B" w:rsidRDefault="007927FC" w:rsidP="007927FC">
      <w:pPr>
        <w:rPr>
          <w:lang w:val="es-ES"/>
        </w:rPr>
      </w:pPr>
      <w:r w:rsidRPr="008A106B">
        <w:rPr>
          <w:lang w:val="es-ES"/>
        </w:rPr>
        <w:t>Un paciente del grupo de peso</w:t>
      </w:r>
      <w:r w:rsidR="00205482" w:rsidRPr="00B65EA9">
        <w:rPr>
          <w:rFonts w:eastAsia="MS Mincho"/>
          <w:szCs w:val="22"/>
          <w:lang w:val="en-GB"/>
        </w:rPr>
        <w:sym w:font="Symbol" w:char="F03C"/>
      </w:r>
      <w:r w:rsidR="00205482" w:rsidRPr="00F30AB8">
        <w:rPr>
          <w:rFonts w:eastAsia="MS Mincho"/>
          <w:sz w:val="10"/>
          <w:szCs w:val="22"/>
          <w:lang w:val="es-ES"/>
        </w:rPr>
        <w:t> </w:t>
      </w:r>
      <w:r w:rsidR="00205482" w:rsidRPr="00F30AB8">
        <w:rPr>
          <w:rFonts w:cs="Arial"/>
          <w:szCs w:val="22"/>
          <w:lang w:val="es-ES" w:eastAsia="de-DE"/>
        </w:rPr>
        <w:t>&lt; </w:t>
      </w:r>
      <w:r w:rsidRPr="008A106B">
        <w:rPr>
          <w:lang w:val="es-ES"/>
        </w:rPr>
        <w:t>30 kg y 10 mg/kg desarrolló anticuerpos anti-tocilizumab positivos sin desarrollar reacción de hipersensibilidad y que posteriormente le condujo a la retirada del ensayo.</w:t>
      </w:r>
    </w:p>
    <w:p w14:paraId="298D73F1" w14:textId="77777777" w:rsidR="007927FC" w:rsidRPr="008A106B" w:rsidRDefault="007927FC" w:rsidP="007927FC">
      <w:pPr>
        <w:rPr>
          <w:lang w:val="es-ES"/>
        </w:rPr>
      </w:pPr>
    </w:p>
    <w:p w14:paraId="32A5B1A7" w14:textId="77777777" w:rsidR="007927FC" w:rsidRPr="00F30AB8" w:rsidRDefault="007927FC" w:rsidP="00F30AB8">
      <w:pPr>
        <w:keepNext/>
        <w:keepLines/>
        <w:rPr>
          <w:i/>
          <w:u w:val="single"/>
          <w:lang w:val="es-ES"/>
        </w:rPr>
      </w:pPr>
      <w:r w:rsidRPr="00F30AB8">
        <w:rPr>
          <w:i/>
          <w:u w:val="single"/>
          <w:lang w:val="es-ES"/>
        </w:rPr>
        <w:lastRenderedPageBreak/>
        <w:t>Neutrófilos</w:t>
      </w:r>
    </w:p>
    <w:p w14:paraId="199D29FD" w14:textId="0DA2CF92" w:rsidR="007927FC" w:rsidRPr="008A106B" w:rsidRDefault="007927FC" w:rsidP="00F30AB8">
      <w:pPr>
        <w:keepNext/>
        <w:keepLines/>
        <w:rPr>
          <w:rFonts w:eastAsia="SimSun"/>
          <w:color w:val="000000"/>
          <w:lang w:val="es-ES" w:eastAsia="de-DE"/>
        </w:rPr>
      </w:pPr>
      <w:r w:rsidRPr="008A106B">
        <w:rPr>
          <w:rFonts w:eastAsia="SimSun"/>
          <w:szCs w:val="22"/>
          <w:lang w:val="es-ES" w:eastAsia="zh-CN"/>
        </w:rPr>
        <w:t xml:space="preserve">Durante la monitorización rutinaria en los valores de laboratorio </w:t>
      </w:r>
      <w:r w:rsidRPr="008A106B">
        <w:rPr>
          <w:lang w:val="es-ES"/>
        </w:rPr>
        <w:t>en toda la población expuesta a tocilizumab, se observó una disminución en el recuento de neutrófilos por debajo de 1</w:t>
      </w:r>
      <w:r w:rsidR="00205482" w:rsidRPr="00B65EA9">
        <w:rPr>
          <w:rFonts w:eastAsia="MS Mincho"/>
          <w:szCs w:val="22"/>
          <w:lang w:val="en-GB"/>
        </w:rPr>
        <w:sym w:font="Symbol" w:char="F0B4"/>
      </w:r>
      <w:r w:rsidR="00205482" w:rsidRPr="00F30AB8">
        <w:rPr>
          <w:rFonts w:eastAsia="MS Mincho"/>
          <w:sz w:val="10"/>
          <w:szCs w:val="22"/>
          <w:lang w:val="es-ES"/>
        </w:rPr>
        <w:t> </w:t>
      </w:r>
      <w:r w:rsidRPr="008A106B">
        <w:rPr>
          <w:rFonts w:eastAsia="SimSun"/>
          <w:color w:val="000000"/>
          <w:lang w:val="es-ES" w:eastAsia="de-DE"/>
        </w:rPr>
        <w:t>10</w:t>
      </w:r>
      <w:r w:rsidRPr="008A106B">
        <w:rPr>
          <w:rFonts w:eastAsia="SimSun"/>
          <w:color w:val="000000"/>
          <w:vertAlign w:val="superscript"/>
          <w:lang w:val="es-ES" w:eastAsia="de-DE"/>
        </w:rPr>
        <w:t>9</w:t>
      </w:r>
      <w:r w:rsidRPr="008A106B">
        <w:rPr>
          <w:rFonts w:eastAsia="SimSun"/>
          <w:color w:val="000000"/>
          <w:lang w:val="es-ES" w:eastAsia="de-DE"/>
        </w:rPr>
        <w:t>/</w:t>
      </w:r>
      <w:r w:rsidR="00374CAD">
        <w:rPr>
          <w:rFonts w:eastAsia="SimSun"/>
          <w:color w:val="000000"/>
          <w:lang w:val="es-ES" w:eastAsia="de-DE"/>
        </w:rPr>
        <w:t>l</w:t>
      </w:r>
      <w:r w:rsidRPr="008A106B">
        <w:rPr>
          <w:rFonts w:eastAsia="SimSun"/>
          <w:color w:val="000000"/>
          <w:lang w:val="es-ES" w:eastAsia="de-DE"/>
        </w:rPr>
        <w:t xml:space="preserve"> en el 3,7</w:t>
      </w:r>
      <w:r w:rsidR="00A04F07">
        <w:rPr>
          <w:rFonts w:eastAsia="SimSun"/>
          <w:color w:val="000000"/>
          <w:lang w:val="es-ES" w:eastAsia="de-DE"/>
        </w:rPr>
        <w:t> </w:t>
      </w:r>
      <w:r w:rsidRPr="008A106B">
        <w:rPr>
          <w:rFonts w:eastAsia="SimSun"/>
          <w:color w:val="000000"/>
          <w:lang w:val="es-ES" w:eastAsia="de-DE"/>
        </w:rPr>
        <w:t>% de los pacientes.</w:t>
      </w:r>
    </w:p>
    <w:p w14:paraId="3D608BFA" w14:textId="77777777" w:rsidR="007927FC" w:rsidRPr="008A106B" w:rsidRDefault="007927FC" w:rsidP="007927FC">
      <w:pPr>
        <w:rPr>
          <w:rFonts w:eastAsia="SimSun"/>
          <w:color w:val="000000"/>
          <w:lang w:val="es-ES" w:eastAsia="de-DE"/>
        </w:rPr>
      </w:pPr>
    </w:p>
    <w:p w14:paraId="3BE6D115" w14:textId="77777777" w:rsidR="007927FC" w:rsidRPr="00F30AB8" w:rsidRDefault="007927FC" w:rsidP="007927FC">
      <w:pPr>
        <w:rPr>
          <w:bCs/>
          <w:i/>
          <w:iCs/>
          <w:u w:val="single"/>
          <w:lang w:val="es-ES"/>
        </w:rPr>
      </w:pPr>
      <w:r w:rsidRPr="00F30AB8">
        <w:rPr>
          <w:bCs/>
          <w:i/>
          <w:iCs/>
          <w:u w:val="single"/>
          <w:lang w:val="es-ES"/>
        </w:rPr>
        <w:t>Plaquetas</w:t>
      </w:r>
    </w:p>
    <w:p w14:paraId="20EFF59D" w14:textId="7130460B" w:rsidR="007927FC" w:rsidRPr="00FA5AD8" w:rsidRDefault="007927FC" w:rsidP="007927FC">
      <w:pPr>
        <w:rPr>
          <w:rFonts w:eastAsia="SimSun"/>
          <w:szCs w:val="22"/>
          <w:lang w:val="es-ES" w:eastAsia="de-DE"/>
        </w:rPr>
      </w:pPr>
      <w:r w:rsidRPr="008A106B">
        <w:rPr>
          <w:rFonts w:eastAsia="SimSun"/>
          <w:szCs w:val="22"/>
          <w:lang w:val="es-ES" w:eastAsia="zh-CN"/>
        </w:rPr>
        <w:t xml:space="preserve">Durante la monitorización rutinaria de los valores de laboratorio </w:t>
      </w:r>
      <w:r w:rsidRPr="008A106B">
        <w:rPr>
          <w:bCs/>
          <w:iCs/>
          <w:lang w:val="es-ES"/>
        </w:rPr>
        <w:t>en toda la población expuesta a tocilizumab, el 1</w:t>
      </w:r>
      <w:r w:rsidR="00A04F07">
        <w:rPr>
          <w:bCs/>
          <w:iCs/>
          <w:lang w:val="es-ES"/>
        </w:rPr>
        <w:t> </w:t>
      </w:r>
      <w:r w:rsidRPr="008A106B">
        <w:rPr>
          <w:bCs/>
          <w:iCs/>
          <w:lang w:val="es-ES"/>
        </w:rPr>
        <w:t xml:space="preserve">% de los pacientes tuvo una disminución en el recuento de plaquetas </w:t>
      </w:r>
      <w:r w:rsidRPr="00FA5AD8">
        <w:rPr>
          <w:bCs/>
          <w:iCs/>
          <w:szCs w:val="22"/>
          <w:lang w:val="es-ES"/>
        </w:rPr>
        <w:t xml:space="preserve">a </w:t>
      </w:r>
      <w:r w:rsidRPr="00FA5AD8">
        <w:rPr>
          <w:color w:val="1F497D"/>
          <w:szCs w:val="22"/>
          <w:lang w:val="es-ES"/>
        </w:rPr>
        <w:t>≤</w:t>
      </w:r>
      <w:r w:rsidR="00205482" w:rsidRPr="00F30AB8">
        <w:rPr>
          <w:szCs w:val="22"/>
          <w:lang w:val="es-ES" w:eastAsia="de-DE"/>
        </w:rPr>
        <w:t> </w:t>
      </w:r>
      <w:r w:rsidRPr="00FA5AD8">
        <w:rPr>
          <w:rFonts w:eastAsia="SimSun"/>
          <w:szCs w:val="22"/>
          <w:lang w:val="es-ES" w:eastAsia="de-DE"/>
        </w:rPr>
        <w:t>50</w:t>
      </w:r>
      <w:r w:rsidR="00205482" w:rsidRPr="00B65EA9">
        <w:rPr>
          <w:rFonts w:eastAsia="MS Mincho"/>
          <w:szCs w:val="22"/>
          <w:lang w:val="en-GB"/>
        </w:rPr>
        <w:sym w:font="Symbol" w:char="F0B4"/>
      </w:r>
      <w:r w:rsidR="00205482" w:rsidRPr="00F30AB8">
        <w:rPr>
          <w:rFonts w:eastAsia="MS Mincho"/>
          <w:sz w:val="10"/>
          <w:szCs w:val="22"/>
          <w:lang w:val="es-ES"/>
        </w:rPr>
        <w:t> </w:t>
      </w:r>
      <w:r w:rsidRPr="00FA5AD8">
        <w:rPr>
          <w:rFonts w:eastAsia="SimSun"/>
          <w:szCs w:val="22"/>
          <w:lang w:val="es-ES" w:eastAsia="de-DE"/>
        </w:rPr>
        <w:t>10</w:t>
      </w:r>
      <w:r w:rsidRPr="00FA5AD8">
        <w:rPr>
          <w:rFonts w:eastAsia="SimSun"/>
          <w:szCs w:val="22"/>
          <w:vertAlign w:val="superscript"/>
          <w:lang w:val="es-ES" w:eastAsia="de-DE"/>
        </w:rPr>
        <w:t>3</w:t>
      </w:r>
      <w:r w:rsidRPr="00FA5AD8">
        <w:rPr>
          <w:rFonts w:eastAsia="SimSun"/>
          <w:szCs w:val="22"/>
          <w:lang w:val="es-ES" w:eastAsia="de-DE"/>
        </w:rPr>
        <w:t>/µ</w:t>
      </w:r>
      <w:r w:rsidR="00374CAD">
        <w:rPr>
          <w:rFonts w:eastAsia="SimSun"/>
          <w:szCs w:val="22"/>
          <w:lang w:val="es-ES" w:eastAsia="de-DE"/>
        </w:rPr>
        <w:t>l</w:t>
      </w:r>
      <w:r w:rsidRPr="00FA5AD8">
        <w:rPr>
          <w:rFonts w:eastAsia="SimSun"/>
          <w:szCs w:val="22"/>
          <w:lang w:val="es-ES" w:eastAsia="de-DE"/>
        </w:rPr>
        <w:t xml:space="preserve"> sin episodios de sangrado asociados.</w:t>
      </w:r>
    </w:p>
    <w:p w14:paraId="30AE397D" w14:textId="77777777" w:rsidR="007927FC" w:rsidRPr="008A106B" w:rsidRDefault="007927FC" w:rsidP="007927FC">
      <w:pPr>
        <w:rPr>
          <w:rFonts w:eastAsia="SimSun"/>
          <w:sz w:val="24"/>
          <w:szCs w:val="24"/>
          <w:lang w:val="es-ES" w:eastAsia="de-DE"/>
        </w:rPr>
      </w:pPr>
    </w:p>
    <w:p w14:paraId="26E045C1" w14:textId="77777777" w:rsidR="007927FC" w:rsidRPr="00F30AB8" w:rsidRDefault="007927FC" w:rsidP="007927FC">
      <w:pPr>
        <w:autoSpaceDE w:val="0"/>
        <w:autoSpaceDN w:val="0"/>
        <w:adjustRightInd w:val="0"/>
        <w:rPr>
          <w:rFonts w:eastAsia="SimSun"/>
          <w:i/>
          <w:u w:val="single"/>
          <w:lang w:val="es-ES" w:eastAsia="zh-CN"/>
        </w:rPr>
      </w:pPr>
      <w:r w:rsidRPr="00F30AB8">
        <w:rPr>
          <w:rFonts w:eastAsia="SimSun"/>
          <w:i/>
          <w:szCs w:val="22"/>
          <w:u w:val="single"/>
          <w:lang w:val="es-ES" w:eastAsia="zh-CN"/>
        </w:rPr>
        <w:t xml:space="preserve">Elevación de las transaminasas hepáticas </w:t>
      </w:r>
    </w:p>
    <w:p w14:paraId="04E0D2AF" w14:textId="5C6322EB" w:rsidR="007927FC" w:rsidRPr="008A106B" w:rsidRDefault="007927FC" w:rsidP="007927FC">
      <w:pPr>
        <w:autoSpaceDE w:val="0"/>
        <w:autoSpaceDN w:val="0"/>
        <w:adjustRightInd w:val="0"/>
        <w:rPr>
          <w:lang w:val="es-ES"/>
        </w:rPr>
      </w:pPr>
      <w:r w:rsidRPr="008A106B">
        <w:rPr>
          <w:rFonts w:eastAsia="SimSun"/>
          <w:szCs w:val="22"/>
          <w:lang w:val="es-ES" w:eastAsia="zh-CN"/>
        </w:rPr>
        <w:t xml:space="preserve">Durante la monitorización rutinaria de los valores de laboratorio </w:t>
      </w:r>
      <w:r w:rsidRPr="008A106B">
        <w:rPr>
          <w:rFonts w:eastAsia="SimSun"/>
          <w:lang w:val="es-ES" w:eastAsia="zh-CN"/>
        </w:rPr>
        <w:t>en toda la población expuesta a tocilizumab</w:t>
      </w:r>
      <w:r w:rsidR="00765056">
        <w:rPr>
          <w:rFonts w:eastAsia="SimSun"/>
          <w:lang w:val="es-ES" w:eastAsia="zh-CN"/>
        </w:rPr>
        <w:t>,</w:t>
      </w:r>
      <w:r w:rsidRPr="008A106B">
        <w:rPr>
          <w:rFonts w:eastAsia="SimSun"/>
          <w:lang w:val="es-ES" w:eastAsia="zh-CN"/>
        </w:rPr>
        <w:t xml:space="preserve"> una elevación en ALT o AST</w:t>
      </w:r>
      <w:r w:rsidR="00205482" w:rsidRPr="00F30AB8">
        <w:rPr>
          <w:szCs w:val="22"/>
          <w:lang w:val="es-ES"/>
        </w:rPr>
        <w:t> ≥ </w:t>
      </w:r>
      <w:r w:rsidRPr="008A106B">
        <w:rPr>
          <w:lang w:val="es-ES"/>
        </w:rPr>
        <w:t>3</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eastAsia="MS Mincho"/>
          <w:sz w:val="10"/>
          <w:szCs w:val="22"/>
          <w:lang w:val="es-ES"/>
        </w:rPr>
        <w:t> </w:t>
      </w:r>
      <w:r w:rsidRPr="008A106B">
        <w:rPr>
          <w:lang w:val="es-ES"/>
        </w:rPr>
        <w:t>LSN ocurrió en el 3,7</w:t>
      </w:r>
      <w:r w:rsidR="00A04F07">
        <w:rPr>
          <w:lang w:val="es-ES"/>
        </w:rPr>
        <w:t> </w:t>
      </w:r>
      <w:r w:rsidRPr="008A106B">
        <w:rPr>
          <w:lang w:val="es-ES"/>
        </w:rPr>
        <w:t>% y en menos del 1</w:t>
      </w:r>
      <w:r w:rsidR="00A04F07">
        <w:rPr>
          <w:lang w:val="es-ES"/>
        </w:rPr>
        <w:t> </w:t>
      </w:r>
      <w:r w:rsidRPr="008A106B">
        <w:rPr>
          <w:lang w:val="es-ES"/>
        </w:rPr>
        <w:t>% de los pacientes, respectivamente.</w:t>
      </w:r>
    </w:p>
    <w:p w14:paraId="3FFF47AF" w14:textId="77777777" w:rsidR="007927FC" w:rsidRPr="008A106B" w:rsidRDefault="007927FC" w:rsidP="007927FC">
      <w:pPr>
        <w:autoSpaceDE w:val="0"/>
        <w:autoSpaceDN w:val="0"/>
        <w:adjustRightInd w:val="0"/>
        <w:rPr>
          <w:lang w:val="es-ES"/>
        </w:rPr>
      </w:pPr>
    </w:p>
    <w:p w14:paraId="3F6DE2AF" w14:textId="77777777" w:rsidR="007927FC" w:rsidRPr="00F30AB8" w:rsidRDefault="007927FC" w:rsidP="00A50280">
      <w:pPr>
        <w:autoSpaceDE w:val="0"/>
        <w:autoSpaceDN w:val="0"/>
        <w:adjustRightInd w:val="0"/>
        <w:rPr>
          <w:i/>
          <w:u w:val="single"/>
          <w:lang w:val="es-ES"/>
        </w:rPr>
      </w:pPr>
      <w:r w:rsidRPr="00F30AB8">
        <w:rPr>
          <w:i/>
          <w:u w:val="single"/>
          <w:lang w:val="es-ES"/>
        </w:rPr>
        <w:t>Parámetros lipídicos</w:t>
      </w:r>
    </w:p>
    <w:p w14:paraId="759E32CE" w14:textId="35A7CBFC" w:rsidR="007927FC" w:rsidRDefault="007927FC" w:rsidP="00A50280">
      <w:pPr>
        <w:autoSpaceDE w:val="0"/>
        <w:autoSpaceDN w:val="0"/>
        <w:adjustRightInd w:val="0"/>
        <w:rPr>
          <w:rFonts w:eastAsia="SimSun"/>
          <w:szCs w:val="22"/>
          <w:lang w:val="es-ES" w:eastAsia="zh-CN"/>
        </w:rPr>
      </w:pPr>
      <w:r w:rsidRPr="008A106B">
        <w:rPr>
          <w:rFonts w:eastAsia="SimSun"/>
          <w:szCs w:val="22"/>
          <w:lang w:val="es-ES" w:eastAsia="zh-CN"/>
        </w:rPr>
        <w:t xml:space="preserve">Durante la monitorización rutinaria de los valores de laboratorio </w:t>
      </w:r>
      <w:r w:rsidR="00B70452">
        <w:rPr>
          <w:rFonts w:eastAsia="SimSun"/>
          <w:szCs w:val="22"/>
          <w:lang w:val="es-ES" w:eastAsia="zh-CN"/>
        </w:rPr>
        <w:t xml:space="preserve">del </w:t>
      </w:r>
      <w:del w:id="195" w:author="AUTHOR">
        <w:r w:rsidR="00B70452" w:rsidDel="006C4AF1">
          <w:rPr>
            <w:rFonts w:eastAsia="SimSun"/>
            <w:szCs w:val="22"/>
            <w:lang w:val="es-ES" w:eastAsia="zh-CN"/>
          </w:rPr>
          <w:delText xml:space="preserve">estudio </w:delText>
        </w:r>
      </w:del>
      <w:ins w:id="196" w:author="AUTHOR">
        <w:r w:rsidR="006C4AF1">
          <w:rPr>
            <w:rFonts w:eastAsia="SimSun"/>
            <w:szCs w:val="22"/>
            <w:lang w:val="es-ES" w:eastAsia="zh-CN"/>
          </w:rPr>
          <w:t xml:space="preserve">ensayo </w:t>
        </w:r>
      </w:ins>
      <w:r w:rsidR="00B70452">
        <w:rPr>
          <w:rFonts w:eastAsia="SimSun"/>
          <w:szCs w:val="22"/>
          <w:lang w:val="es-ES" w:eastAsia="zh-CN"/>
        </w:rPr>
        <w:t xml:space="preserve">WA19977 de </w:t>
      </w:r>
      <w:r w:rsidR="00F63C52">
        <w:rPr>
          <w:rFonts w:eastAsia="SimSun"/>
          <w:szCs w:val="22"/>
          <w:lang w:val="es-ES" w:eastAsia="zh-CN"/>
        </w:rPr>
        <w:t xml:space="preserve">tocilizumab </w:t>
      </w:r>
      <w:r w:rsidR="00B70452">
        <w:rPr>
          <w:rFonts w:eastAsia="SimSun"/>
          <w:szCs w:val="22"/>
          <w:lang w:val="es-ES" w:eastAsia="zh-CN"/>
        </w:rPr>
        <w:t>intravenoso, se produjo una elevación post-basal de l</w:t>
      </w:r>
      <w:r w:rsidR="00AC6608">
        <w:rPr>
          <w:rFonts w:eastAsia="SimSun"/>
          <w:szCs w:val="22"/>
          <w:lang w:val="es-ES" w:eastAsia="zh-CN"/>
        </w:rPr>
        <w:t>os valores de colesterol LDL de</w:t>
      </w:r>
      <w:r w:rsidR="00205482" w:rsidRPr="00F30AB8">
        <w:rPr>
          <w:szCs w:val="22"/>
          <w:lang w:val="es-ES"/>
        </w:rPr>
        <w:t> ≥ </w:t>
      </w:r>
      <w:r w:rsidR="00B70452" w:rsidRPr="00B70452">
        <w:rPr>
          <w:rFonts w:eastAsia="SimSun"/>
          <w:szCs w:val="22"/>
          <w:lang w:val="es-ES" w:eastAsia="zh-CN"/>
        </w:rPr>
        <w:t>130 mg/ dl y de colesterol total de</w:t>
      </w:r>
      <w:r w:rsidR="00205482" w:rsidRPr="00F30AB8">
        <w:rPr>
          <w:szCs w:val="22"/>
          <w:lang w:val="es-ES"/>
        </w:rPr>
        <w:t> ≥ </w:t>
      </w:r>
      <w:r w:rsidR="00B70452" w:rsidRPr="00B70452">
        <w:rPr>
          <w:rFonts w:eastAsia="SimSun"/>
          <w:szCs w:val="22"/>
          <w:lang w:val="es-ES" w:eastAsia="zh-CN"/>
        </w:rPr>
        <w:t>200</w:t>
      </w:r>
      <w:r w:rsidR="00A04F07">
        <w:rPr>
          <w:rFonts w:eastAsia="SimSun"/>
          <w:szCs w:val="22"/>
          <w:lang w:val="es-ES" w:eastAsia="zh-CN"/>
        </w:rPr>
        <w:t> </w:t>
      </w:r>
      <w:r w:rsidR="00B70452" w:rsidRPr="00B70452">
        <w:rPr>
          <w:rFonts w:eastAsia="SimSun"/>
          <w:szCs w:val="22"/>
          <w:lang w:val="es-ES" w:eastAsia="zh-CN"/>
        </w:rPr>
        <w:t>mg/ dl en el 3,4</w:t>
      </w:r>
      <w:r w:rsidR="00A04F07">
        <w:rPr>
          <w:rFonts w:eastAsia="SimSun"/>
          <w:szCs w:val="22"/>
          <w:lang w:val="es-ES" w:eastAsia="zh-CN"/>
        </w:rPr>
        <w:t> </w:t>
      </w:r>
      <w:r w:rsidR="00B70452" w:rsidRPr="00B70452">
        <w:rPr>
          <w:rFonts w:eastAsia="SimSun"/>
          <w:szCs w:val="22"/>
          <w:lang w:val="es-ES" w:eastAsia="zh-CN"/>
        </w:rPr>
        <w:t>% y el 10,4</w:t>
      </w:r>
      <w:r w:rsidR="00A04F07">
        <w:rPr>
          <w:rFonts w:eastAsia="SimSun"/>
          <w:szCs w:val="22"/>
          <w:lang w:val="es-ES" w:eastAsia="zh-CN"/>
        </w:rPr>
        <w:t> </w:t>
      </w:r>
      <w:r w:rsidR="00B70452" w:rsidRPr="00B70452">
        <w:rPr>
          <w:rFonts w:eastAsia="SimSun"/>
          <w:szCs w:val="22"/>
          <w:lang w:val="es-ES" w:eastAsia="zh-CN"/>
        </w:rPr>
        <w:t xml:space="preserve">% de los pacientes, respectivamente, en cualquier momento del tratamiento del </w:t>
      </w:r>
      <w:del w:id="197" w:author="AUTHOR">
        <w:r w:rsidR="00B70452" w:rsidRPr="00B70452" w:rsidDel="00994C36">
          <w:rPr>
            <w:rFonts w:eastAsia="SimSun"/>
            <w:szCs w:val="22"/>
            <w:lang w:val="es-ES" w:eastAsia="zh-CN"/>
          </w:rPr>
          <w:delText>estudio</w:delText>
        </w:r>
      </w:del>
      <w:ins w:id="198" w:author="AUTHOR">
        <w:r w:rsidR="00994C36">
          <w:rPr>
            <w:rFonts w:eastAsia="SimSun"/>
            <w:szCs w:val="22"/>
            <w:lang w:val="es-ES" w:eastAsia="zh-CN"/>
          </w:rPr>
          <w:t>ensayo</w:t>
        </w:r>
      </w:ins>
      <w:r w:rsidR="00B70452" w:rsidRPr="00B70452">
        <w:rPr>
          <w:rFonts w:eastAsia="SimSun"/>
          <w:szCs w:val="22"/>
          <w:lang w:val="es-ES" w:eastAsia="zh-CN"/>
        </w:rPr>
        <w:t>.</w:t>
      </w:r>
      <w:r w:rsidR="004A7045" w:rsidRPr="008A106B">
        <w:rPr>
          <w:rFonts w:eastAsia="SimSun"/>
          <w:szCs w:val="22"/>
          <w:lang w:val="es-ES" w:eastAsia="zh-CN"/>
        </w:rPr>
        <w:t xml:space="preserve"> </w:t>
      </w:r>
    </w:p>
    <w:p w14:paraId="511003DE" w14:textId="77777777" w:rsidR="00AC6608" w:rsidRPr="008A106B" w:rsidRDefault="00AC6608" w:rsidP="007927FC">
      <w:pPr>
        <w:keepNext/>
        <w:keepLines/>
        <w:autoSpaceDE w:val="0"/>
        <w:autoSpaceDN w:val="0"/>
        <w:adjustRightInd w:val="0"/>
        <w:rPr>
          <w:rFonts w:eastAsia="SimSun"/>
          <w:szCs w:val="22"/>
          <w:lang w:val="es-ES" w:eastAsia="zh-CN"/>
        </w:rPr>
      </w:pPr>
    </w:p>
    <w:p w14:paraId="6E713F60" w14:textId="2EBB9565" w:rsidR="007927FC" w:rsidRDefault="00A04F07" w:rsidP="007927FC">
      <w:pPr>
        <w:autoSpaceDE w:val="0"/>
        <w:autoSpaceDN w:val="0"/>
        <w:adjustRightInd w:val="0"/>
        <w:rPr>
          <w:rFonts w:eastAsia="SimSun"/>
          <w:i/>
          <w:szCs w:val="22"/>
          <w:lang w:val="es-ES" w:eastAsia="zh-CN"/>
        </w:rPr>
      </w:pPr>
      <w:r>
        <w:rPr>
          <w:rFonts w:eastAsia="SimSun"/>
          <w:i/>
          <w:szCs w:val="22"/>
          <w:lang w:val="es-ES" w:eastAsia="zh-CN"/>
        </w:rPr>
        <w:t xml:space="preserve">Descripción de </w:t>
      </w:r>
      <w:r w:rsidR="00205482">
        <w:rPr>
          <w:rFonts w:eastAsia="SimSun"/>
          <w:i/>
          <w:szCs w:val="22"/>
          <w:lang w:val="es-ES" w:eastAsia="zh-CN"/>
        </w:rPr>
        <w:t xml:space="preserve">reacciones adversas en </w:t>
      </w:r>
      <w:r>
        <w:rPr>
          <w:rFonts w:eastAsia="SimSun"/>
          <w:i/>
          <w:szCs w:val="22"/>
          <w:lang w:val="es-ES" w:eastAsia="zh-CN"/>
        </w:rPr>
        <w:t>p</w:t>
      </w:r>
      <w:r w:rsidR="007927FC" w:rsidRPr="006868F5">
        <w:rPr>
          <w:rFonts w:eastAsia="SimSun"/>
          <w:i/>
          <w:szCs w:val="22"/>
          <w:lang w:val="es-ES" w:eastAsia="zh-CN"/>
        </w:rPr>
        <w:t>acientes con AIJs</w:t>
      </w:r>
    </w:p>
    <w:p w14:paraId="09993D04" w14:textId="77777777" w:rsidR="00F63C52" w:rsidRPr="006868F5" w:rsidRDefault="00F63C52" w:rsidP="007927FC">
      <w:pPr>
        <w:autoSpaceDE w:val="0"/>
        <w:autoSpaceDN w:val="0"/>
        <w:adjustRightInd w:val="0"/>
        <w:rPr>
          <w:rFonts w:eastAsia="SimSun"/>
          <w:i/>
          <w:szCs w:val="22"/>
          <w:lang w:val="es-ES" w:eastAsia="zh-CN"/>
        </w:rPr>
      </w:pPr>
    </w:p>
    <w:p w14:paraId="56C66EBC" w14:textId="34D4CDA1" w:rsidR="007927FC" w:rsidRPr="008A106B" w:rsidRDefault="00AC6608" w:rsidP="007927FC">
      <w:pPr>
        <w:autoSpaceDE w:val="0"/>
        <w:autoSpaceDN w:val="0"/>
        <w:adjustRightInd w:val="0"/>
        <w:rPr>
          <w:rFonts w:eastAsia="SimSun"/>
          <w:szCs w:val="22"/>
          <w:lang w:val="es-ES" w:eastAsia="zh-CN"/>
        </w:rPr>
      </w:pPr>
      <w:r>
        <w:rPr>
          <w:rFonts w:eastAsia="SimSun"/>
          <w:szCs w:val="22"/>
          <w:lang w:val="es-ES" w:eastAsia="zh-CN"/>
        </w:rPr>
        <w:t xml:space="preserve">El perfil de </w:t>
      </w:r>
      <w:r w:rsidR="004A7045">
        <w:rPr>
          <w:rFonts w:eastAsia="SimSun"/>
          <w:szCs w:val="22"/>
          <w:lang w:val="es-ES" w:eastAsia="zh-CN"/>
        </w:rPr>
        <w:t xml:space="preserve">seguridad de </w:t>
      </w:r>
      <w:r w:rsidR="00AD5268">
        <w:rPr>
          <w:rFonts w:eastAsia="SimSun"/>
          <w:szCs w:val="22"/>
          <w:lang w:val="es-ES" w:eastAsia="zh-CN"/>
        </w:rPr>
        <w:t xml:space="preserve">tocilizumab intravenoso </w:t>
      </w:r>
      <w:r w:rsidR="007927FC" w:rsidRPr="008A106B">
        <w:rPr>
          <w:rFonts w:eastAsia="SimSun"/>
          <w:szCs w:val="22"/>
          <w:lang w:val="es-ES" w:eastAsia="zh-CN"/>
        </w:rPr>
        <w:t>en AIJs se ha estudiado en 112</w:t>
      </w:r>
      <w:r w:rsidR="00205482">
        <w:rPr>
          <w:rFonts w:eastAsia="SimSun"/>
          <w:szCs w:val="22"/>
          <w:lang w:val="es-ES" w:eastAsia="zh-CN"/>
        </w:rPr>
        <w:t> </w:t>
      </w:r>
      <w:r w:rsidR="007927FC" w:rsidRPr="008A106B">
        <w:rPr>
          <w:rFonts w:eastAsia="SimSun"/>
          <w:szCs w:val="22"/>
          <w:lang w:val="es-ES" w:eastAsia="zh-CN"/>
        </w:rPr>
        <w:t>pacientes de 2 a 17</w:t>
      </w:r>
      <w:r w:rsidR="00F63C52">
        <w:rPr>
          <w:rFonts w:eastAsia="SimSun"/>
          <w:szCs w:val="22"/>
          <w:lang w:val="es-ES" w:eastAsia="zh-CN"/>
        </w:rPr>
        <w:t> </w:t>
      </w:r>
      <w:r w:rsidR="007927FC" w:rsidRPr="008A106B">
        <w:rPr>
          <w:rFonts w:eastAsia="SimSun"/>
          <w:szCs w:val="22"/>
          <w:lang w:val="es-ES" w:eastAsia="zh-CN"/>
        </w:rPr>
        <w:t>años de edad. En las 12</w:t>
      </w:r>
      <w:r w:rsidR="00F63C52">
        <w:rPr>
          <w:rFonts w:eastAsia="SimSun"/>
          <w:szCs w:val="22"/>
          <w:lang w:val="es-ES" w:eastAsia="zh-CN"/>
        </w:rPr>
        <w:t> </w:t>
      </w:r>
      <w:r w:rsidR="007927FC" w:rsidRPr="008A106B">
        <w:rPr>
          <w:rFonts w:eastAsia="SimSun"/>
          <w:szCs w:val="22"/>
          <w:lang w:val="es-ES" w:eastAsia="zh-CN"/>
        </w:rPr>
        <w:t>semanas de la fase controlada, doble ciego, 75</w:t>
      </w:r>
      <w:r w:rsidR="00F63C52">
        <w:rPr>
          <w:rFonts w:eastAsia="SimSun"/>
          <w:szCs w:val="22"/>
          <w:lang w:val="es-ES" w:eastAsia="zh-CN"/>
        </w:rPr>
        <w:t> </w:t>
      </w:r>
      <w:r w:rsidR="007927FC" w:rsidRPr="008A106B">
        <w:rPr>
          <w:rFonts w:eastAsia="SimSun"/>
          <w:szCs w:val="22"/>
          <w:lang w:val="es-ES" w:eastAsia="zh-CN"/>
        </w:rPr>
        <w:t>pacientes recibieron tratamiento con tocilizumab (8 mg/kg o 12mg/kg en base al peso corporal). Después de 12</w:t>
      </w:r>
      <w:r w:rsidR="00F63C52">
        <w:rPr>
          <w:rFonts w:eastAsia="SimSun"/>
          <w:szCs w:val="22"/>
          <w:lang w:val="es-ES" w:eastAsia="zh-CN"/>
        </w:rPr>
        <w:t> </w:t>
      </w:r>
      <w:r w:rsidR="007927FC" w:rsidRPr="008A106B">
        <w:rPr>
          <w:rFonts w:eastAsia="SimSun"/>
          <w:szCs w:val="22"/>
          <w:lang w:val="es-ES" w:eastAsia="zh-CN"/>
        </w:rPr>
        <w:t>semanas o en el momento de cam</w:t>
      </w:r>
      <w:r w:rsidR="004A7045">
        <w:rPr>
          <w:rFonts w:eastAsia="SimSun"/>
          <w:szCs w:val="22"/>
          <w:lang w:val="es-ES" w:eastAsia="zh-CN"/>
        </w:rPr>
        <w:t xml:space="preserve">biar </w:t>
      </w:r>
      <w:r w:rsidR="00F63C52">
        <w:rPr>
          <w:rFonts w:eastAsia="SimSun"/>
          <w:szCs w:val="22"/>
          <w:lang w:val="es-ES" w:eastAsia="zh-CN"/>
        </w:rPr>
        <w:t xml:space="preserve">del </w:t>
      </w:r>
      <w:del w:id="199" w:author="AUTHOR">
        <w:r w:rsidR="00F63C52" w:rsidDel="00487D16">
          <w:rPr>
            <w:rFonts w:eastAsia="SimSun"/>
            <w:szCs w:val="22"/>
            <w:lang w:val="es-ES" w:eastAsia="zh-CN"/>
          </w:rPr>
          <w:delText xml:space="preserve">placeba </w:delText>
        </w:r>
      </w:del>
      <w:ins w:id="200" w:author="AUTHOR">
        <w:r w:rsidR="00487D16">
          <w:rPr>
            <w:rFonts w:eastAsia="SimSun"/>
            <w:szCs w:val="22"/>
            <w:lang w:val="es-ES" w:eastAsia="zh-CN"/>
          </w:rPr>
          <w:t xml:space="preserve">placebo </w:t>
        </w:r>
      </w:ins>
      <w:r w:rsidR="00F63C52">
        <w:rPr>
          <w:rFonts w:eastAsia="SimSun"/>
          <w:szCs w:val="22"/>
          <w:lang w:val="es-ES" w:eastAsia="zh-CN"/>
        </w:rPr>
        <w:t xml:space="preserve">a </w:t>
      </w:r>
      <w:r w:rsidR="004A7045">
        <w:rPr>
          <w:rFonts w:eastAsia="SimSun"/>
          <w:szCs w:val="22"/>
          <w:lang w:val="es-ES" w:eastAsia="zh-CN"/>
        </w:rPr>
        <w:t xml:space="preserve"> </w:t>
      </w:r>
      <w:r w:rsidR="00F63C52">
        <w:rPr>
          <w:rFonts w:eastAsia="SimSun"/>
          <w:szCs w:val="22"/>
          <w:lang w:val="es-ES" w:eastAsia="zh-CN"/>
        </w:rPr>
        <w:t>tocilizumab</w:t>
      </w:r>
      <w:r w:rsidR="007927FC" w:rsidRPr="008A106B">
        <w:rPr>
          <w:rFonts w:eastAsia="SimSun"/>
          <w:szCs w:val="22"/>
          <w:lang w:val="es-ES" w:eastAsia="zh-CN"/>
        </w:rPr>
        <w:t>, debido al empeoramiento de la enfermedad, los pacientes fueron tratados en la fas</w:t>
      </w:r>
      <w:r w:rsidR="004A7045">
        <w:rPr>
          <w:rFonts w:eastAsia="SimSun"/>
          <w:szCs w:val="22"/>
          <w:lang w:val="es-ES" w:eastAsia="zh-CN"/>
        </w:rPr>
        <w:t>e abierta de extensión</w:t>
      </w:r>
      <w:r w:rsidR="007927FC" w:rsidRPr="008A106B">
        <w:rPr>
          <w:rFonts w:eastAsia="SimSun"/>
          <w:szCs w:val="22"/>
          <w:lang w:val="es-ES" w:eastAsia="zh-CN"/>
        </w:rPr>
        <w:t>.</w:t>
      </w:r>
    </w:p>
    <w:p w14:paraId="1593098D" w14:textId="77777777" w:rsidR="007927FC" w:rsidRPr="008A106B" w:rsidRDefault="007927FC" w:rsidP="007927FC">
      <w:pPr>
        <w:autoSpaceDE w:val="0"/>
        <w:autoSpaceDN w:val="0"/>
        <w:adjustRightInd w:val="0"/>
        <w:rPr>
          <w:rFonts w:eastAsia="SimSun"/>
          <w:szCs w:val="22"/>
          <w:lang w:val="es-ES" w:eastAsia="zh-CN"/>
        </w:rPr>
      </w:pPr>
    </w:p>
    <w:p w14:paraId="44E2253D" w14:textId="50505D65" w:rsidR="007927FC" w:rsidRPr="008A106B" w:rsidRDefault="007927FC" w:rsidP="0080224A">
      <w:pPr>
        <w:widowControl w:val="0"/>
        <w:autoSpaceDE w:val="0"/>
        <w:autoSpaceDN w:val="0"/>
        <w:adjustRightInd w:val="0"/>
        <w:rPr>
          <w:rFonts w:eastAsia="SimSun"/>
          <w:szCs w:val="22"/>
          <w:lang w:val="es-ES" w:eastAsia="zh-CN"/>
        </w:rPr>
      </w:pPr>
      <w:r w:rsidRPr="008A106B">
        <w:rPr>
          <w:rFonts w:eastAsia="SimSun"/>
          <w:szCs w:val="22"/>
          <w:lang w:val="es-ES" w:eastAsia="zh-CN"/>
        </w:rPr>
        <w:t xml:space="preserve">En general, las reacciones adversas en pacientes AIJs fueron de una clase similar a las observadas en los pacientes con </w:t>
      </w:r>
      <w:r w:rsidR="00205482" w:rsidRPr="008A106B">
        <w:rPr>
          <w:rFonts w:eastAsia="SimSun"/>
          <w:szCs w:val="22"/>
          <w:lang w:val="es-ES" w:eastAsia="zh-CN"/>
        </w:rPr>
        <w:t>reacciones adversas</w:t>
      </w:r>
      <w:del w:id="201" w:author="AUTHOR">
        <w:r w:rsidRPr="008A106B" w:rsidDel="00487D16">
          <w:rPr>
            <w:rFonts w:eastAsia="SimSun"/>
            <w:szCs w:val="22"/>
            <w:lang w:val="es-ES" w:eastAsia="zh-CN"/>
          </w:rPr>
          <w:delText>, ver sección</w:delText>
        </w:r>
        <w:r w:rsidR="00F63C52" w:rsidDel="00487D16">
          <w:rPr>
            <w:rFonts w:eastAsia="SimSun"/>
            <w:szCs w:val="22"/>
            <w:lang w:val="es-ES" w:eastAsia="zh-CN"/>
          </w:rPr>
          <w:delText> </w:delText>
        </w:r>
        <w:r w:rsidRPr="008A106B" w:rsidDel="00487D16">
          <w:rPr>
            <w:rFonts w:eastAsia="SimSun"/>
            <w:szCs w:val="22"/>
            <w:lang w:val="es-ES" w:eastAsia="zh-CN"/>
          </w:rPr>
          <w:delText>4,8</w:delText>
        </w:r>
      </w:del>
      <w:r w:rsidRPr="008A106B">
        <w:rPr>
          <w:rFonts w:eastAsia="SimSun"/>
          <w:szCs w:val="22"/>
          <w:lang w:val="es-ES" w:eastAsia="zh-CN"/>
        </w:rPr>
        <w:t>. La frecuencia de reacciones adversas en pacientes AIJs está incluida en la Tabla</w:t>
      </w:r>
      <w:r w:rsidR="00F63C52" w:rsidRPr="00F30AB8">
        <w:rPr>
          <w:rFonts w:eastAsia="SimSun"/>
          <w:noProof/>
          <w:lang w:val="es-ES"/>
        </w:rPr>
        <w:t> </w:t>
      </w:r>
      <w:r w:rsidR="00037A04">
        <w:rPr>
          <w:rFonts w:eastAsia="SimSun"/>
          <w:szCs w:val="22"/>
          <w:lang w:val="es-ES" w:eastAsia="zh-CN"/>
        </w:rPr>
        <w:t>3</w:t>
      </w:r>
      <w:r w:rsidRPr="008A106B">
        <w:rPr>
          <w:rFonts w:eastAsia="SimSun"/>
          <w:szCs w:val="22"/>
          <w:lang w:val="es-ES" w:eastAsia="zh-CN"/>
        </w:rPr>
        <w:t>. Comparado con la población adulta con artritis reumatoide, se notificaron con más frecuencia en pacientes con AIJs</w:t>
      </w:r>
      <w:r w:rsidR="0035300D">
        <w:rPr>
          <w:rFonts w:eastAsia="SimSun"/>
          <w:szCs w:val="22"/>
          <w:lang w:val="es-ES" w:eastAsia="zh-CN"/>
        </w:rPr>
        <w:t>,</w:t>
      </w:r>
      <w:r w:rsidRPr="008A106B">
        <w:rPr>
          <w:rFonts w:eastAsia="SimSun"/>
          <w:szCs w:val="22"/>
          <w:lang w:val="es-ES" w:eastAsia="zh-CN"/>
        </w:rPr>
        <w:t xml:space="preserve"> nasofaringitis, disminución en el recuento de neutrófilos, aumento de las transaminasas hepáticas, y diarrea. </w:t>
      </w:r>
      <w:del w:id="202" w:author="AUTHOR">
        <w:r w:rsidRPr="008A106B" w:rsidDel="00487D16">
          <w:rPr>
            <w:rFonts w:eastAsia="SimSun"/>
            <w:szCs w:val="22"/>
            <w:lang w:val="es-ES" w:eastAsia="zh-CN"/>
          </w:rPr>
          <w:delText>Sin embargo e</w:delText>
        </w:r>
      </w:del>
      <w:ins w:id="203" w:author="AUTHOR">
        <w:r w:rsidR="00487D16">
          <w:rPr>
            <w:rFonts w:eastAsia="SimSun"/>
            <w:szCs w:val="22"/>
            <w:lang w:val="es-ES" w:eastAsia="zh-CN"/>
          </w:rPr>
          <w:t>E</w:t>
        </w:r>
      </w:ins>
      <w:r w:rsidRPr="008A106B">
        <w:rPr>
          <w:rFonts w:eastAsia="SimSun"/>
          <w:szCs w:val="22"/>
          <w:lang w:val="es-ES" w:eastAsia="zh-CN"/>
        </w:rPr>
        <w:t>ventos como aumento del colesterol, fueron menos frecuentemente notificados en población con AIJs que en población adulta con artritis reumatoide.</w:t>
      </w:r>
      <w:r w:rsidRPr="008A106B">
        <w:rPr>
          <w:rFonts w:eastAsia="SimSun"/>
          <w:szCs w:val="22"/>
          <w:lang w:val="es-ES" w:eastAsia="zh-CN"/>
        </w:rPr>
        <w:br/>
      </w:r>
    </w:p>
    <w:p w14:paraId="32BB65C9" w14:textId="77777777" w:rsidR="007927FC" w:rsidRPr="00F30AB8" w:rsidRDefault="007927FC" w:rsidP="00EF2448">
      <w:pPr>
        <w:keepNext/>
        <w:keepLines/>
        <w:autoSpaceDE w:val="0"/>
        <w:autoSpaceDN w:val="0"/>
        <w:adjustRightInd w:val="0"/>
        <w:rPr>
          <w:rFonts w:eastAsia="SimSun"/>
          <w:i/>
          <w:szCs w:val="22"/>
          <w:u w:val="single"/>
          <w:lang w:val="es-ES" w:eastAsia="zh-CN"/>
        </w:rPr>
      </w:pPr>
      <w:r w:rsidRPr="00F30AB8">
        <w:rPr>
          <w:rFonts w:eastAsia="SimSun"/>
          <w:i/>
          <w:szCs w:val="22"/>
          <w:u w:val="single"/>
          <w:lang w:val="es-ES" w:eastAsia="zh-CN"/>
        </w:rPr>
        <w:t xml:space="preserve">Infecciones </w:t>
      </w:r>
    </w:p>
    <w:p w14:paraId="5A3C9494" w14:textId="0CEA89BB" w:rsidR="007927FC" w:rsidRPr="008A106B" w:rsidRDefault="007927FC" w:rsidP="00EF2448">
      <w:pPr>
        <w:keepNext/>
        <w:keepLines/>
        <w:autoSpaceDE w:val="0"/>
        <w:autoSpaceDN w:val="0"/>
        <w:adjustRightInd w:val="0"/>
        <w:rPr>
          <w:rFonts w:eastAsia="SimSun"/>
          <w:szCs w:val="22"/>
          <w:lang w:val="es-ES" w:eastAsia="zh-CN"/>
        </w:rPr>
      </w:pPr>
      <w:r w:rsidRPr="008A106B">
        <w:rPr>
          <w:rFonts w:eastAsia="SimSun"/>
          <w:szCs w:val="22"/>
          <w:lang w:val="es-ES" w:eastAsia="zh-CN"/>
        </w:rPr>
        <w:t>En las 12</w:t>
      </w:r>
      <w:r w:rsidR="00DE5F92">
        <w:rPr>
          <w:rFonts w:eastAsia="SimSun"/>
          <w:szCs w:val="22"/>
          <w:lang w:val="es-ES" w:eastAsia="zh-CN"/>
        </w:rPr>
        <w:t> </w:t>
      </w:r>
      <w:r w:rsidRPr="008A106B">
        <w:rPr>
          <w:rFonts w:eastAsia="SimSun"/>
          <w:szCs w:val="22"/>
          <w:lang w:val="es-ES" w:eastAsia="zh-CN"/>
        </w:rPr>
        <w:t>semanas de la fase controlada, la tasa de todas las i</w:t>
      </w:r>
      <w:r w:rsidR="004A7045">
        <w:rPr>
          <w:rFonts w:eastAsia="SimSun"/>
          <w:szCs w:val="22"/>
          <w:lang w:val="es-ES" w:eastAsia="zh-CN"/>
        </w:rPr>
        <w:t xml:space="preserve">nfecciones del grupo </w:t>
      </w:r>
      <w:r w:rsidR="00DE5F92">
        <w:rPr>
          <w:rFonts w:eastAsia="SimSun"/>
          <w:szCs w:val="22"/>
          <w:lang w:val="es-ES" w:eastAsia="zh-CN"/>
        </w:rPr>
        <w:t>tocilizumab</w:t>
      </w:r>
      <w:r w:rsidR="00DE5F92" w:rsidRPr="008A106B">
        <w:rPr>
          <w:rFonts w:eastAsia="SimSun"/>
          <w:szCs w:val="22"/>
          <w:lang w:val="es-ES" w:eastAsia="zh-CN"/>
        </w:rPr>
        <w:t xml:space="preserve"> </w:t>
      </w:r>
      <w:r w:rsidR="004A7045">
        <w:rPr>
          <w:rFonts w:eastAsia="SimSun"/>
          <w:szCs w:val="22"/>
          <w:lang w:val="es-ES" w:eastAsia="zh-CN"/>
        </w:rPr>
        <w:t xml:space="preserve">IV </w:t>
      </w:r>
      <w:r w:rsidRPr="008A106B">
        <w:rPr>
          <w:rFonts w:eastAsia="SimSun"/>
          <w:szCs w:val="22"/>
          <w:lang w:val="es-ES" w:eastAsia="zh-CN"/>
        </w:rPr>
        <w:t>fue 344,7 por 100</w:t>
      </w:r>
      <w:r w:rsidR="00DE5F92">
        <w:rPr>
          <w:rFonts w:eastAsia="SimSun"/>
          <w:szCs w:val="22"/>
          <w:lang w:val="es-ES" w:eastAsia="zh-CN"/>
        </w:rPr>
        <w:t> </w:t>
      </w:r>
      <w:r w:rsidRPr="008A106B">
        <w:rPr>
          <w:rFonts w:eastAsia="SimSun"/>
          <w:szCs w:val="22"/>
          <w:lang w:val="es-ES" w:eastAsia="zh-CN"/>
        </w:rPr>
        <w:t>pacientes</w:t>
      </w:r>
      <w:del w:id="204" w:author="AUTHOR">
        <w:r w:rsidRPr="008A106B" w:rsidDel="00487D16">
          <w:rPr>
            <w:rFonts w:eastAsia="SimSun"/>
            <w:szCs w:val="22"/>
            <w:lang w:val="es-ES" w:eastAsia="zh-CN"/>
          </w:rPr>
          <w:delText xml:space="preserve"> </w:delText>
        </w:r>
      </w:del>
      <w:r w:rsidRPr="008A106B">
        <w:rPr>
          <w:rFonts w:eastAsia="SimSun"/>
          <w:szCs w:val="22"/>
          <w:lang w:val="es-ES" w:eastAsia="zh-CN"/>
        </w:rPr>
        <w:t>año</w:t>
      </w:r>
      <w:del w:id="205" w:author="AUTHOR">
        <w:r w:rsidRPr="008A106B" w:rsidDel="00487D16">
          <w:rPr>
            <w:rFonts w:eastAsia="SimSun"/>
            <w:szCs w:val="22"/>
            <w:lang w:val="es-ES" w:eastAsia="zh-CN"/>
          </w:rPr>
          <w:delText>s</w:delText>
        </w:r>
      </w:del>
      <w:r w:rsidRPr="008A106B">
        <w:rPr>
          <w:rFonts w:eastAsia="SimSun"/>
          <w:szCs w:val="22"/>
          <w:lang w:val="es-ES" w:eastAsia="zh-CN"/>
        </w:rPr>
        <w:t xml:space="preserve"> y 287,0 por 100</w:t>
      </w:r>
      <w:r w:rsidR="00DE5F92">
        <w:rPr>
          <w:rFonts w:eastAsia="SimSun"/>
          <w:szCs w:val="22"/>
          <w:lang w:val="es-ES" w:eastAsia="zh-CN"/>
        </w:rPr>
        <w:t> </w:t>
      </w:r>
      <w:ins w:id="206" w:author="AUTHOR">
        <w:r w:rsidR="00487D16" w:rsidRPr="008A106B">
          <w:rPr>
            <w:rFonts w:eastAsia="SimSun"/>
            <w:szCs w:val="22"/>
            <w:lang w:val="es-ES" w:eastAsia="zh-CN"/>
          </w:rPr>
          <w:t>pacientes</w:t>
        </w:r>
        <w:r w:rsidR="00487D16">
          <w:rPr>
            <w:rFonts w:eastAsia="SimSun"/>
            <w:szCs w:val="22"/>
            <w:lang w:val="es-ES" w:eastAsia="zh-CN"/>
          </w:rPr>
          <w:t>-</w:t>
        </w:r>
        <w:r w:rsidR="00487D16" w:rsidRPr="008A106B">
          <w:rPr>
            <w:rFonts w:eastAsia="SimSun"/>
            <w:szCs w:val="22"/>
            <w:lang w:val="es-ES" w:eastAsia="zh-CN"/>
          </w:rPr>
          <w:t>año</w:t>
        </w:r>
      </w:ins>
      <w:del w:id="207" w:author="AUTHOR">
        <w:r w:rsidRPr="008A106B" w:rsidDel="00487D16">
          <w:rPr>
            <w:rFonts w:eastAsia="SimSun"/>
            <w:szCs w:val="22"/>
            <w:lang w:val="es-ES" w:eastAsia="zh-CN"/>
          </w:rPr>
          <w:delText>pacientes años</w:delText>
        </w:r>
      </w:del>
      <w:r w:rsidRPr="008A106B">
        <w:rPr>
          <w:rFonts w:eastAsia="SimSun"/>
          <w:szCs w:val="22"/>
          <w:lang w:val="es-ES" w:eastAsia="zh-CN"/>
        </w:rPr>
        <w:t xml:space="preserve"> en el grupo de placebo. En la fas</w:t>
      </w:r>
      <w:r w:rsidR="004A7045">
        <w:rPr>
          <w:rFonts w:eastAsia="SimSun"/>
          <w:szCs w:val="22"/>
          <w:lang w:val="es-ES" w:eastAsia="zh-CN"/>
        </w:rPr>
        <w:t>e abierta de extensión</w:t>
      </w:r>
      <w:r w:rsidRPr="008A106B">
        <w:rPr>
          <w:rFonts w:eastAsia="SimSun"/>
          <w:szCs w:val="22"/>
          <w:lang w:val="es-ES" w:eastAsia="zh-CN"/>
        </w:rPr>
        <w:t xml:space="preserve"> (parte II), la tasa global de infecciones continua similar 306,6 por 100</w:t>
      </w:r>
      <w:r w:rsidR="00DE5F92">
        <w:rPr>
          <w:rFonts w:eastAsia="SimSun"/>
          <w:szCs w:val="22"/>
          <w:lang w:val="es-ES" w:eastAsia="zh-CN"/>
        </w:rPr>
        <w:t> </w:t>
      </w:r>
      <w:ins w:id="208" w:author="AUTHOR">
        <w:r w:rsidR="00487D16" w:rsidRPr="008A106B">
          <w:rPr>
            <w:rFonts w:eastAsia="SimSun"/>
            <w:szCs w:val="22"/>
            <w:lang w:val="es-ES" w:eastAsia="zh-CN"/>
          </w:rPr>
          <w:t>pacientes</w:t>
        </w:r>
        <w:r w:rsidR="00487D16">
          <w:rPr>
            <w:rFonts w:eastAsia="SimSun"/>
            <w:szCs w:val="22"/>
            <w:lang w:val="es-ES" w:eastAsia="zh-CN"/>
          </w:rPr>
          <w:t>-</w:t>
        </w:r>
        <w:r w:rsidR="00487D16" w:rsidRPr="008A106B">
          <w:rPr>
            <w:rFonts w:eastAsia="SimSun"/>
            <w:szCs w:val="22"/>
            <w:lang w:val="es-ES" w:eastAsia="zh-CN"/>
          </w:rPr>
          <w:t>año</w:t>
        </w:r>
      </w:ins>
      <w:del w:id="209" w:author="AUTHOR">
        <w:r w:rsidRPr="008A106B" w:rsidDel="00487D16">
          <w:rPr>
            <w:rFonts w:eastAsia="SimSun"/>
            <w:szCs w:val="22"/>
            <w:lang w:val="es-ES" w:eastAsia="zh-CN"/>
          </w:rPr>
          <w:delText>pacientes años</w:delText>
        </w:r>
      </w:del>
      <w:r w:rsidRPr="008A106B">
        <w:rPr>
          <w:rFonts w:eastAsia="SimSun"/>
          <w:szCs w:val="22"/>
          <w:lang w:val="es-ES" w:eastAsia="zh-CN"/>
        </w:rPr>
        <w:t>.</w:t>
      </w:r>
    </w:p>
    <w:p w14:paraId="611CD352" w14:textId="77777777" w:rsidR="007927FC" w:rsidRPr="008A106B" w:rsidRDefault="007927FC" w:rsidP="007927FC">
      <w:pPr>
        <w:autoSpaceDE w:val="0"/>
        <w:autoSpaceDN w:val="0"/>
        <w:adjustRightInd w:val="0"/>
        <w:rPr>
          <w:rFonts w:eastAsia="SimSun"/>
          <w:szCs w:val="22"/>
          <w:lang w:val="es-ES" w:eastAsia="zh-CN"/>
        </w:rPr>
      </w:pPr>
    </w:p>
    <w:p w14:paraId="29E3DDA9" w14:textId="3F5DDBA6"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En las 12</w:t>
      </w:r>
      <w:r w:rsidR="00DE5F92">
        <w:rPr>
          <w:rFonts w:eastAsia="SimSun"/>
          <w:szCs w:val="22"/>
          <w:lang w:val="es-ES" w:eastAsia="zh-CN"/>
        </w:rPr>
        <w:t> </w:t>
      </w:r>
      <w:r w:rsidRPr="008A106B">
        <w:rPr>
          <w:rFonts w:eastAsia="SimSun"/>
          <w:szCs w:val="22"/>
          <w:lang w:val="es-ES" w:eastAsia="zh-CN"/>
        </w:rPr>
        <w:t>semanas de la fase controlada, la tasa de infecciones g</w:t>
      </w:r>
      <w:r w:rsidR="004A7045">
        <w:rPr>
          <w:rFonts w:eastAsia="SimSun"/>
          <w:szCs w:val="22"/>
          <w:lang w:val="es-ES" w:eastAsia="zh-CN"/>
        </w:rPr>
        <w:t xml:space="preserve">raves en el grupo de </w:t>
      </w:r>
      <w:r w:rsidR="00DE5F92">
        <w:rPr>
          <w:rFonts w:eastAsia="SimSun"/>
          <w:szCs w:val="22"/>
          <w:lang w:val="es-ES" w:eastAsia="zh-CN"/>
        </w:rPr>
        <w:t>tocilizumab intravenoso</w:t>
      </w:r>
      <w:r w:rsidRPr="008A106B">
        <w:rPr>
          <w:rFonts w:eastAsia="SimSun"/>
          <w:szCs w:val="22"/>
          <w:lang w:val="es-ES" w:eastAsia="zh-CN"/>
        </w:rPr>
        <w:t xml:space="preserve"> fue de 11,5 por 100</w:t>
      </w:r>
      <w:r w:rsidR="00DE5F92">
        <w:rPr>
          <w:rFonts w:eastAsia="SimSun"/>
          <w:szCs w:val="22"/>
          <w:lang w:val="es-ES" w:eastAsia="zh-CN"/>
        </w:rPr>
        <w:t> </w:t>
      </w:r>
      <w:ins w:id="210" w:author="AUTHOR">
        <w:r w:rsidR="00487D16" w:rsidRPr="008A106B">
          <w:rPr>
            <w:rFonts w:eastAsia="SimSun"/>
            <w:szCs w:val="22"/>
            <w:lang w:val="es-ES" w:eastAsia="zh-CN"/>
          </w:rPr>
          <w:t>pacientes</w:t>
        </w:r>
        <w:r w:rsidR="00487D16">
          <w:rPr>
            <w:rFonts w:eastAsia="SimSun"/>
            <w:szCs w:val="22"/>
            <w:lang w:val="es-ES" w:eastAsia="zh-CN"/>
          </w:rPr>
          <w:t>-</w:t>
        </w:r>
        <w:r w:rsidR="00487D16" w:rsidRPr="008A106B">
          <w:rPr>
            <w:rFonts w:eastAsia="SimSun"/>
            <w:szCs w:val="22"/>
            <w:lang w:val="es-ES" w:eastAsia="zh-CN"/>
          </w:rPr>
          <w:t>año</w:t>
        </w:r>
      </w:ins>
      <w:del w:id="211" w:author="AUTHOR">
        <w:r w:rsidRPr="008A106B" w:rsidDel="00487D16">
          <w:rPr>
            <w:rFonts w:eastAsia="SimSun"/>
            <w:szCs w:val="22"/>
            <w:lang w:val="es-ES" w:eastAsia="zh-CN"/>
          </w:rPr>
          <w:delText>pacientes años</w:delText>
        </w:r>
      </w:del>
      <w:r w:rsidRPr="008A106B">
        <w:rPr>
          <w:rFonts w:eastAsia="SimSun"/>
          <w:szCs w:val="22"/>
          <w:lang w:val="es-ES" w:eastAsia="zh-CN"/>
        </w:rPr>
        <w:t>. En un año de la fas</w:t>
      </w:r>
      <w:r w:rsidR="004A7045">
        <w:rPr>
          <w:rFonts w:eastAsia="SimSun"/>
          <w:szCs w:val="22"/>
          <w:lang w:val="es-ES" w:eastAsia="zh-CN"/>
        </w:rPr>
        <w:t>e abierta de extensión</w:t>
      </w:r>
      <w:r w:rsidRPr="008A106B">
        <w:rPr>
          <w:rFonts w:eastAsia="SimSun"/>
          <w:szCs w:val="22"/>
          <w:lang w:val="es-ES" w:eastAsia="zh-CN"/>
        </w:rPr>
        <w:t xml:space="preserve"> la tasa global de infecciones graves continúa estable 11,3 por 100</w:t>
      </w:r>
      <w:r w:rsidR="00DE5F92">
        <w:rPr>
          <w:rFonts w:eastAsia="SimSun"/>
          <w:szCs w:val="22"/>
          <w:lang w:val="es-ES" w:eastAsia="zh-CN"/>
        </w:rPr>
        <w:t> </w:t>
      </w:r>
      <w:ins w:id="212" w:author="AUTHOR">
        <w:r w:rsidR="00487D16" w:rsidRPr="008A106B">
          <w:rPr>
            <w:rFonts w:eastAsia="SimSun"/>
            <w:szCs w:val="22"/>
            <w:lang w:val="es-ES" w:eastAsia="zh-CN"/>
          </w:rPr>
          <w:t>pacientes</w:t>
        </w:r>
        <w:r w:rsidR="00487D16">
          <w:rPr>
            <w:rFonts w:eastAsia="SimSun"/>
            <w:szCs w:val="22"/>
            <w:lang w:val="es-ES" w:eastAsia="zh-CN"/>
          </w:rPr>
          <w:t>-</w:t>
        </w:r>
        <w:r w:rsidR="00487D16" w:rsidRPr="008A106B">
          <w:rPr>
            <w:rFonts w:eastAsia="SimSun"/>
            <w:szCs w:val="22"/>
            <w:lang w:val="es-ES" w:eastAsia="zh-CN"/>
          </w:rPr>
          <w:t>año</w:t>
        </w:r>
      </w:ins>
      <w:del w:id="213" w:author="AUTHOR">
        <w:r w:rsidRPr="008A106B" w:rsidDel="00487D16">
          <w:rPr>
            <w:rFonts w:eastAsia="SimSun"/>
            <w:szCs w:val="22"/>
            <w:lang w:val="es-ES" w:eastAsia="zh-CN"/>
          </w:rPr>
          <w:delText>pacientes años</w:delText>
        </w:r>
      </w:del>
      <w:r w:rsidRPr="008A106B">
        <w:rPr>
          <w:rFonts w:eastAsia="SimSun"/>
          <w:szCs w:val="22"/>
          <w:lang w:val="es-ES" w:eastAsia="zh-CN"/>
        </w:rPr>
        <w:t>. Las infecciones graves fueron similares a las observadas en pacientes con AR incluyendo varicela y otitis media.</w:t>
      </w:r>
    </w:p>
    <w:p w14:paraId="25BB7350" w14:textId="77777777" w:rsidR="007927FC" w:rsidRPr="008A106B" w:rsidRDefault="007927FC" w:rsidP="007927FC">
      <w:pPr>
        <w:autoSpaceDE w:val="0"/>
        <w:autoSpaceDN w:val="0"/>
        <w:adjustRightInd w:val="0"/>
        <w:rPr>
          <w:rFonts w:eastAsia="SimSun"/>
          <w:szCs w:val="22"/>
          <w:lang w:val="es-ES" w:eastAsia="zh-CN"/>
        </w:rPr>
      </w:pPr>
    </w:p>
    <w:p w14:paraId="23439284" w14:textId="44FF5BC4" w:rsidR="007927FC" w:rsidRPr="00F30AB8" w:rsidRDefault="007927FC" w:rsidP="007927FC">
      <w:pPr>
        <w:autoSpaceDE w:val="0"/>
        <w:autoSpaceDN w:val="0"/>
        <w:adjustRightInd w:val="0"/>
        <w:rPr>
          <w:rFonts w:eastAsia="SimSun"/>
          <w:i/>
          <w:szCs w:val="22"/>
          <w:u w:val="single"/>
          <w:lang w:val="es-ES" w:eastAsia="zh-CN"/>
        </w:rPr>
      </w:pPr>
      <w:r w:rsidRPr="00F30AB8">
        <w:rPr>
          <w:rFonts w:eastAsia="SimSun"/>
          <w:i/>
          <w:szCs w:val="22"/>
          <w:u w:val="single"/>
          <w:lang w:val="es-ES" w:eastAsia="zh-CN"/>
        </w:rPr>
        <w:t xml:space="preserve">Reacciones </w:t>
      </w:r>
      <w:r w:rsidR="00205482">
        <w:rPr>
          <w:rFonts w:eastAsia="SimSun"/>
          <w:i/>
          <w:szCs w:val="22"/>
          <w:u w:val="single"/>
          <w:lang w:val="es-ES" w:eastAsia="zh-CN"/>
        </w:rPr>
        <w:t>R</w:t>
      </w:r>
      <w:r w:rsidR="00205482" w:rsidRPr="00F30AB8">
        <w:rPr>
          <w:rFonts w:eastAsia="SimSun"/>
          <w:i/>
          <w:szCs w:val="22"/>
          <w:u w:val="single"/>
          <w:lang w:val="es-ES" w:eastAsia="zh-CN"/>
        </w:rPr>
        <w:t xml:space="preserve">elacionadas </w:t>
      </w:r>
      <w:r w:rsidR="00037A04" w:rsidRPr="00F30AB8">
        <w:rPr>
          <w:rFonts w:eastAsia="SimSun"/>
          <w:i/>
          <w:szCs w:val="22"/>
          <w:u w:val="single"/>
          <w:lang w:val="es-ES" w:eastAsia="zh-CN"/>
        </w:rPr>
        <w:t>con</w:t>
      </w:r>
      <w:r w:rsidRPr="00F30AB8">
        <w:rPr>
          <w:rFonts w:eastAsia="SimSun"/>
          <w:i/>
          <w:szCs w:val="22"/>
          <w:u w:val="single"/>
          <w:lang w:val="es-ES" w:eastAsia="zh-CN"/>
        </w:rPr>
        <w:t xml:space="preserve"> la </w:t>
      </w:r>
      <w:r w:rsidR="00205482">
        <w:rPr>
          <w:rFonts w:eastAsia="SimSun"/>
          <w:i/>
          <w:szCs w:val="22"/>
          <w:u w:val="single"/>
          <w:lang w:val="es-ES" w:eastAsia="zh-CN"/>
        </w:rPr>
        <w:t>P</w:t>
      </w:r>
      <w:r w:rsidR="00205482" w:rsidRPr="00F30AB8">
        <w:rPr>
          <w:rFonts w:eastAsia="SimSun"/>
          <w:i/>
          <w:szCs w:val="22"/>
          <w:u w:val="single"/>
          <w:lang w:val="es-ES" w:eastAsia="zh-CN"/>
        </w:rPr>
        <w:t>erfusión</w:t>
      </w:r>
    </w:p>
    <w:p w14:paraId="72588C3F" w14:textId="57C1C60F"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Las reacciones relacionadas con la perfusión están definidas como los eventos ocurridos durante o en las 24</w:t>
      </w:r>
      <w:r w:rsidR="00DE5F92">
        <w:rPr>
          <w:rFonts w:eastAsia="SimSun"/>
          <w:szCs w:val="22"/>
          <w:lang w:val="es-ES" w:eastAsia="zh-CN"/>
        </w:rPr>
        <w:t> </w:t>
      </w:r>
      <w:r w:rsidRPr="008A106B">
        <w:rPr>
          <w:rFonts w:eastAsia="SimSun"/>
          <w:szCs w:val="22"/>
          <w:lang w:val="es-ES" w:eastAsia="zh-CN"/>
        </w:rPr>
        <w:t>horas siguientes a la perfusión. En las 12</w:t>
      </w:r>
      <w:r w:rsidR="00DE5F92">
        <w:rPr>
          <w:rFonts w:eastAsia="SimSun"/>
          <w:szCs w:val="22"/>
          <w:lang w:val="es-ES" w:eastAsia="zh-CN"/>
        </w:rPr>
        <w:t> </w:t>
      </w:r>
      <w:r w:rsidRPr="008A106B">
        <w:rPr>
          <w:rFonts w:eastAsia="SimSun"/>
          <w:szCs w:val="22"/>
          <w:lang w:val="es-ES" w:eastAsia="zh-CN"/>
        </w:rPr>
        <w:t>semanas de la fase controlada el 4</w:t>
      </w:r>
      <w:r w:rsidR="00DE5F92">
        <w:rPr>
          <w:rFonts w:eastAsia="SimSun"/>
          <w:szCs w:val="22"/>
          <w:lang w:val="es-ES" w:eastAsia="zh-CN"/>
        </w:rPr>
        <w:t> </w:t>
      </w:r>
      <w:r w:rsidRPr="008A106B">
        <w:rPr>
          <w:rFonts w:eastAsia="SimSun"/>
          <w:szCs w:val="22"/>
          <w:lang w:val="es-ES" w:eastAsia="zh-CN"/>
        </w:rPr>
        <w:t>% de los pacientes tratados con tocilizumab tuvo eventos durante la perfusión. A un paciente se le interrumpió el tratamiento en el ensayo por evento (angioedema) considerado grave y amenazante para la vida.</w:t>
      </w:r>
    </w:p>
    <w:p w14:paraId="4A0932DD" w14:textId="77777777" w:rsidR="007927FC" w:rsidRPr="008A106B" w:rsidRDefault="007927FC" w:rsidP="007927FC">
      <w:pPr>
        <w:autoSpaceDE w:val="0"/>
        <w:autoSpaceDN w:val="0"/>
        <w:adjustRightInd w:val="0"/>
        <w:rPr>
          <w:rFonts w:eastAsia="SimSun"/>
          <w:szCs w:val="22"/>
          <w:lang w:val="es-ES" w:eastAsia="zh-CN"/>
        </w:rPr>
      </w:pPr>
    </w:p>
    <w:p w14:paraId="5DF12A5D" w14:textId="61BE43F6"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En las 12</w:t>
      </w:r>
      <w:r w:rsidR="00DE5F92">
        <w:rPr>
          <w:rFonts w:eastAsia="SimSun"/>
          <w:szCs w:val="22"/>
          <w:lang w:val="es-ES" w:eastAsia="zh-CN"/>
        </w:rPr>
        <w:t> </w:t>
      </w:r>
      <w:r w:rsidRPr="008A106B">
        <w:rPr>
          <w:rFonts w:eastAsia="SimSun"/>
          <w:szCs w:val="22"/>
          <w:lang w:val="es-ES" w:eastAsia="zh-CN"/>
        </w:rPr>
        <w:t>semanas de la fase controlada del estudio, el 16</w:t>
      </w:r>
      <w:r w:rsidR="00DE5F92">
        <w:rPr>
          <w:rFonts w:eastAsia="SimSun"/>
          <w:szCs w:val="22"/>
          <w:lang w:val="es-ES" w:eastAsia="zh-CN"/>
        </w:rPr>
        <w:t> </w:t>
      </w:r>
      <w:r w:rsidRPr="008A106B">
        <w:rPr>
          <w:rFonts w:eastAsia="SimSun"/>
          <w:szCs w:val="22"/>
          <w:lang w:val="es-ES" w:eastAsia="zh-CN"/>
        </w:rPr>
        <w:t>% de los pacientes del grupo de tocilizumab y el 5,4</w:t>
      </w:r>
      <w:r w:rsidR="00DE5F92">
        <w:rPr>
          <w:rFonts w:eastAsia="SimSun"/>
          <w:szCs w:val="22"/>
          <w:lang w:val="es-ES" w:eastAsia="zh-CN"/>
        </w:rPr>
        <w:t> </w:t>
      </w:r>
      <w:r w:rsidRPr="008A106B">
        <w:rPr>
          <w:rFonts w:eastAsia="SimSun"/>
          <w:szCs w:val="22"/>
          <w:lang w:val="es-ES" w:eastAsia="zh-CN"/>
        </w:rPr>
        <w:t>% de los pacientes del grupo placebo experimentaron eventos en las 24</w:t>
      </w:r>
      <w:r w:rsidR="00DE5F92">
        <w:rPr>
          <w:rFonts w:eastAsia="SimSun"/>
          <w:szCs w:val="22"/>
          <w:lang w:val="es-ES" w:eastAsia="zh-CN"/>
        </w:rPr>
        <w:t> </w:t>
      </w:r>
      <w:r w:rsidRPr="008A106B">
        <w:rPr>
          <w:rFonts w:eastAsia="SimSun"/>
          <w:szCs w:val="22"/>
          <w:lang w:val="es-ES" w:eastAsia="zh-CN"/>
        </w:rPr>
        <w:t xml:space="preserve">horas siguientes a la </w:t>
      </w:r>
      <w:r w:rsidRPr="008A106B">
        <w:rPr>
          <w:rFonts w:eastAsia="SimSun"/>
          <w:szCs w:val="22"/>
          <w:lang w:val="es-ES" w:eastAsia="zh-CN"/>
        </w:rPr>
        <w:lastRenderedPageBreak/>
        <w:t xml:space="preserve">perfusión. En el grupo de tocilizumab se dieron los siguientes eventos, pero no limitados a </w:t>
      </w:r>
      <w:r w:rsidR="00765056">
        <w:rPr>
          <w:rFonts w:eastAsia="SimSun"/>
          <w:szCs w:val="22"/>
          <w:lang w:val="es-ES" w:eastAsia="zh-CN"/>
        </w:rPr>
        <w:t>erupción</w:t>
      </w:r>
      <w:r w:rsidRPr="008A106B">
        <w:rPr>
          <w:rFonts w:eastAsia="SimSun"/>
          <w:szCs w:val="22"/>
          <w:lang w:val="es-ES" w:eastAsia="zh-CN"/>
        </w:rPr>
        <w:t>, urticaria, diarrea, malestar epigástrico, artralgia, y dolor de cabeza. Uno de los eventos, urticaria</w:t>
      </w:r>
      <w:r w:rsidR="00F97391">
        <w:rPr>
          <w:rFonts w:eastAsia="SimSun"/>
          <w:szCs w:val="22"/>
          <w:lang w:val="es-ES" w:eastAsia="zh-CN"/>
        </w:rPr>
        <w:t>,</w:t>
      </w:r>
      <w:r w:rsidRPr="008A106B">
        <w:rPr>
          <w:rFonts w:eastAsia="SimSun"/>
          <w:szCs w:val="22"/>
          <w:lang w:val="es-ES" w:eastAsia="zh-CN"/>
        </w:rPr>
        <w:t xml:space="preserve"> fue considerado grave.</w:t>
      </w:r>
    </w:p>
    <w:p w14:paraId="07F32913" w14:textId="77777777" w:rsidR="007927FC" w:rsidRPr="008A106B" w:rsidRDefault="007927FC" w:rsidP="007927FC">
      <w:pPr>
        <w:autoSpaceDE w:val="0"/>
        <w:autoSpaceDN w:val="0"/>
        <w:adjustRightInd w:val="0"/>
        <w:rPr>
          <w:rFonts w:eastAsia="SimSun"/>
          <w:szCs w:val="22"/>
          <w:lang w:val="es-ES" w:eastAsia="zh-CN"/>
        </w:rPr>
      </w:pPr>
    </w:p>
    <w:p w14:paraId="167B77FA" w14:textId="5B421FBD"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Se notificaron reacciones de hipersensibilidad clínicamente significativas asociadas con tocilizumab y que requirieron interrupción del tratamiento en 1 de cada 112</w:t>
      </w:r>
      <w:r w:rsidR="00DE5F92">
        <w:rPr>
          <w:rFonts w:eastAsia="SimSun"/>
          <w:szCs w:val="22"/>
          <w:lang w:val="es-ES" w:eastAsia="zh-CN"/>
        </w:rPr>
        <w:t> </w:t>
      </w:r>
      <w:r w:rsidRPr="008A106B">
        <w:rPr>
          <w:rFonts w:eastAsia="SimSun"/>
          <w:szCs w:val="22"/>
          <w:lang w:val="es-ES" w:eastAsia="zh-CN"/>
        </w:rPr>
        <w:t>pacientes (&lt;1</w:t>
      </w:r>
      <w:r w:rsidR="00DE5F92">
        <w:rPr>
          <w:rFonts w:eastAsia="SimSun"/>
          <w:szCs w:val="22"/>
          <w:lang w:val="es-ES" w:eastAsia="zh-CN"/>
        </w:rPr>
        <w:t> </w:t>
      </w:r>
      <w:r w:rsidRPr="008A106B">
        <w:rPr>
          <w:rFonts w:eastAsia="SimSun"/>
          <w:szCs w:val="22"/>
          <w:lang w:val="es-ES" w:eastAsia="zh-CN"/>
        </w:rPr>
        <w:t>%) tratados con tocilizumab durante la fase controlada y hasta la inclusión en la fase abierta del ensayo clínico.</w:t>
      </w:r>
    </w:p>
    <w:p w14:paraId="19B65C88" w14:textId="77777777" w:rsidR="007927FC" w:rsidRPr="008A106B" w:rsidRDefault="007927FC" w:rsidP="007927FC">
      <w:pPr>
        <w:autoSpaceDE w:val="0"/>
        <w:autoSpaceDN w:val="0"/>
        <w:adjustRightInd w:val="0"/>
        <w:rPr>
          <w:rFonts w:eastAsia="SimSun"/>
          <w:szCs w:val="22"/>
          <w:lang w:val="es-ES" w:eastAsia="zh-CN"/>
        </w:rPr>
      </w:pPr>
    </w:p>
    <w:p w14:paraId="0408956B" w14:textId="77777777" w:rsidR="007927FC" w:rsidRPr="00F30AB8" w:rsidRDefault="007927FC" w:rsidP="007927FC">
      <w:pPr>
        <w:autoSpaceDE w:val="0"/>
        <w:autoSpaceDN w:val="0"/>
        <w:adjustRightInd w:val="0"/>
        <w:rPr>
          <w:rFonts w:eastAsia="SimSun"/>
          <w:i/>
          <w:szCs w:val="22"/>
          <w:u w:val="single"/>
          <w:lang w:val="es-ES" w:eastAsia="zh-CN"/>
        </w:rPr>
      </w:pPr>
      <w:r w:rsidRPr="00F30AB8">
        <w:rPr>
          <w:rFonts w:eastAsia="SimSun"/>
          <w:i/>
          <w:szCs w:val="22"/>
          <w:u w:val="single"/>
          <w:lang w:val="es-ES" w:eastAsia="zh-CN"/>
        </w:rPr>
        <w:t>Inmunogenicidad</w:t>
      </w:r>
    </w:p>
    <w:p w14:paraId="5858CC56" w14:textId="12C87AAB"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En todos los 112</w:t>
      </w:r>
      <w:r w:rsidR="00DE5F92">
        <w:rPr>
          <w:rFonts w:eastAsia="SimSun"/>
          <w:szCs w:val="22"/>
          <w:lang w:val="es-ES" w:eastAsia="zh-CN"/>
        </w:rPr>
        <w:t> </w:t>
      </w:r>
      <w:r w:rsidRPr="008A106B">
        <w:rPr>
          <w:rFonts w:eastAsia="SimSun"/>
          <w:szCs w:val="22"/>
          <w:lang w:val="es-ES" w:eastAsia="zh-CN"/>
        </w:rPr>
        <w:t>pacientes se analizaron los anticuerpos anti-tocilizumab al inicio. Dos pacientes desarrollaron anticuerpos anti-tocilizumab positivos, uno de ellos tuvo una reacción de hipersensibilidad que le condujo a la retirada del ensayo. La incidencia de formación de anticuerpos anti-tocilizumab podría ser subestimada debido a interferencia de tocilizumab con el método analítico y a las altas concentraciones de producto observadas en niños en comparación con adultos.</w:t>
      </w:r>
    </w:p>
    <w:p w14:paraId="61A3EE5C" w14:textId="77777777" w:rsidR="007927FC" w:rsidRPr="00F30AB8" w:rsidRDefault="007927FC" w:rsidP="007927FC">
      <w:pPr>
        <w:autoSpaceDE w:val="0"/>
        <w:autoSpaceDN w:val="0"/>
        <w:adjustRightInd w:val="0"/>
        <w:rPr>
          <w:rFonts w:eastAsia="SimSun"/>
          <w:szCs w:val="22"/>
          <w:u w:val="single"/>
          <w:lang w:val="es-ES" w:eastAsia="zh-CN"/>
        </w:rPr>
      </w:pPr>
    </w:p>
    <w:p w14:paraId="68FC2792" w14:textId="77777777" w:rsidR="007927FC" w:rsidRPr="00F30AB8" w:rsidRDefault="007927FC" w:rsidP="00A50280">
      <w:pPr>
        <w:keepNext/>
        <w:keepLines/>
        <w:autoSpaceDE w:val="0"/>
        <w:autoSpaceDN w:val="0"/>
        <w:adjustRightInd w:val="0"/>
        <w:rPr>
          <w:rFonts w:eastAsia="SimSun"/>
          <w:i/>
          <w:szCs w:val="22"/>
          <w:u w:val="single"/>
          <w:lang w:val="es-ES" w:eastAsia="zh-CN"/>
        </w:rPr>
      </w:pPr>
      <w:r w:rsidRPr="00F30AB8">
        <w:rPr>
          <w:rFonts w:eastAsia="SimSun"/>
          <w:i/>
          <w:szCs w:val="22"/>
          <w:u w:val="single"/>
          <w:lang w:val="es-ES" w:eastAsia="zh-CN"/>
        </w:rPr>
        <w:t>Neutrófilos</w:t>
      </w:r>
    </w:p>
    <w:p w14:paraId="2C86F850" w14:textId="6F013A15" w:rsidR="007927FC" w:rsidRPr="008A106B" w:rsidRDefault="007927FC" w:rsidP="00A50280">
      <w:pPr>
        <w:keepNext/>
        <w:keepLines/>
        <w:autoSpaceDE w:val="0"/>
        <w:autoSpaceDN w:val="0"/>
        <w:adjustRightInd w:val="0"/>
        <w:rPr>
          <w:rFonts w:eastAsia="SimSun"/>
          <w:szCs w:val="22"/>
          <w:lang w:val="es-ES" w:eastAsia="zh-CN"/>
        </w:rPr>
      </w:pPr>
      <w:r w:rsidRPr="008A106B">
        <w:rPr>
          <w:rFonts w:eastAsia="SimSun"/>
          <w:szCs w:val="22"/>
          <w:lang w:val="es-ES" w:eastAsia="zh-CN"/>
        </w:rPr>
        <w:t>Durante la monitorización de los valores de laboratorio en las 12</w:t>
      </w:r>
      <w:r w:rsidR="00DE5F92">
        <w:rPr>
          <w:rFonts w:eastAsia="SimSun"/>
          <w:szCs w:val="22"/>
          <w:lang w:val="es-ES" w:eastAsia="zh-CN"/>
        </w:rPr>
        <w:t> </w:t>
      </w:r>
      <w:r w:rsidRPr="008A106B">
        <w:rPr>
          <w:rFonts w:eastAsia="SimSun"/>
          <w:szCs w:val="22"/>
          <w:lang w:val="es-ES" w:eastAsia="zh-CN"/>
        </w:rPr>
        <w:t>semanas de la fase controlada, descendió el recuento de neutrófilos por debajo del 1</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eastAsia="MS Mincho"/>
          <w:sz w:val="10"/>
          <w:szCs w:val="22"/>
          <w:lang w:val="es-ES"/>
        </w:rPr>
        <w:t> </w:t>
      </w:r>
      <w:r w:rsidR="00205482" w:rsidRPr="008A106B" w:rsidDel="00205482">
        <w:rPr>
          <w:rFonts w:eastAsia="SimSun"/>
          <w:szCs w:val="22"/>
          <w:lang w:val="es-ES" w:eastAsia="zh-CN"/>
        </w:rPr>
        <w:t xml:space="preserve"> </w:t>
      </w:r>
      <w:r w:rsidRPr="008A106B">
        <w:rPr>
          <w:rFonts w:eastAsia="SimSun"/>
          <w:szCs w:val="22"/>
          <w:lang w:val="es-ES" w:eastAsia="zh-CN"/>
        </w:rPr>
        <w:t>10</w:t>
      </w:r>
      <w:r w:rsidRPr="008A106B">
        <w:rPr>
          <w:rFonts w:eastAsia="SimSun"/>
          <w:szCs w:val="22"/>
          <w:vertAlign w:val="superscript"/>
          <w:lang w:val="es-ES" w:eastAsia="zh-CN"/>
        </w:rPr>
        <w:t>9</w:t>
      </w:r>
      <w:r w:rsidRPr="008A106B">
        <w:rPr>
          <w:rFonts w:eastAsia="SimSun"/>
          <w:szCs w:val="22"/>
          <w:lang w:val="es-ES" w:eastAsia="zh-CN"/>
        </w:rPr>
        <w:t>/l en un 7</w:t>
      </w:r>
      <w:r w:rsidR="00DE5F92">
        <w:rPr>
          <w:rFonts w:eastAsia="SimSun"/>
          <w:szCs w:val="22"/>
          <w:lang w:val="es-ES" w:eastAsia="zh-CN"/>
        </w:rPr>
        <w:t> </w:t>
      </w:r>
      <w:r w:rsidRPr="008A106B">
        <w:rPr>
          <w:rFonts w:eastAsia="SimSun"/>
          <w:szCs w:val="22"/>
          <w:lang w:val="es-ES" w:eastAsia="zh-CN"/>
        </w:rPr>
        <w:t>% de los pacientes del grupo de tocilizumab y no disminuyó en el grupo placebo.</w:t>
      </w:r>
    </w:p>
    <w:p w14:paraId="50F0DA98" w14:textId="77777777" w:rsidR="007927FC" w:rsidRPr="008A106B" w:rsidRDefault="007927FC" w:rsidP="007927FC">
      <w:pPr>
        <w:autoSpaceDE w:val="0"/>
        <w:autoSpaceDN w:val="0"/>
        <w:adjustRightInd w:val="0"/>
        <w:rPr>
          <w:rFonts w:eastAsia="SimSun"/>
          <w:szCs w:val="22"/>
          <w:lang w:val="es-ES" w:eastAsia="zh-CN"/>
        </w:rPr>
      </w:pPr>
    </w:p>
    <w:p w14:paraId="42FEE8A3" w14:textId="1D1E1751" w:rsidR="007927FC" w:rsidRPr="008A106B" w:rsidRDefault="007927FC" w:rsidP="007927FC">
      <w:pPr>
        <w:autoSpaceDE w:val="0"/>
        <w:autoSpaceDN w:val="0"/>
        <w:adjustRightInd w:val="0"/>
        <w:rPr>
          <w:rFonts w:eastAsia="SimSun"/>
          <w:szCs w:val="22"/>
          <w:lang w:val="es-ES" w:eastAsia="zh-CN"/>
        </w:rPr>
      </w:pPr>
      <w:bookmarkStart w:id="214" w:name="OLE_LINK1"/>
      <w:r w:rsidRPr="008A106B">
        <w:rPr>
          <w:rFonts w:eastAsia="SimSun"/>
          <w:szCs w:val="22"/>
          <w:lang w:val="es-ES" w:eastAsia="zh-CN"/>
        </w:rPr>
        <w:t>En la fase abierta de extensión</w:t>
      </w:r>
      <w:bookmarkEnd w:id="214"/>
      <w:r w:rsidRPr="008A106B">
        <w:rPr>
          <w:rFonts w:eastAsia="SimSun"/>
          <w:szCs w:val="22"/>
          <w:lang w:val="es-ES" w:eastAsia="zh-CN"/>
        </w:rPr>
        <w:t>, disminuyó el recuento de neutrófilos por debajo de 1</w:t>
      </w:r>
      <w:r w:rsidR="00205482" w:rsidRPr="00F30AB8">
        <w:rPr>
          <w:rFonts w:eastAsia="MS Mincho"/>
          <w:sz w:val="10"/>
          <w:szCs w:val="22"/>
          <w:lang w:val="es-ES"/>
        </w:rPr>
        <w:t> </w:t>
      </w:r>
      <w:r w:rsidR="00205482" w:rsidRPr="00B65EA9">
        <w:rPr>
          <w:rFonts w:eastAsia="MS Mincho"/>
          <w:szCs w:val="22"/>
          <w:lang w:val="en-GB"/>
        </w:rPr>
        <w:sym w:font="Symbol" w:char="F0B4"/>
      </w:r>
      <w:r w:rsidR="00205482" w:rsidRPr="00F30AB8">
        <w:rPr>
          <w:rFonts w:eastAsia="MS Mincho"/>
          <w:sz w:val="10"/>
          <w:szCs w:val="22"/>
          <w:lang w:val="es-ES"/>
        </w:rPr>
        <w:t> </w:t>
      </w:r>
      <w:r w:rsidR="00205482" w:rsidRPr="008A106B" w:rsidDel="00205482">
        <w:rPr>
          <w:rFonts w:eastAsia="SimSun"/>
          <w:szCs w:val="22"/>
          <w:lang w:val="es-ES" w:eastAsia="zh-CN"/>
        </w:rPr>
        <w:t xml:space="preserve"> </w:t>
      </w:r>
      <w:r w:rsidRPr="008A106B">
        <w:rPr>
          <w:rFonts w:eastAsia="SimSun"/>
          <w:szCs w:val="22"/>
          <w:lang w:val="es-ES" w:eastAsia="zh-CN"/>
        </w:rPr>
        <w:t>10</w:t>
      </w:r>
      <w:r w:rsidRPr="008A106B">
        <w:rPr>
          <w:rFonts w:eastAsia="SimSun"/>
          <w:szCs w:val="22"/>
          <w:vertAlign w:val="superscript"/>
          <w:lang w:val="es-ES" w:eastAsia="zh-CN"/>
        </w:rPr>
        <w:t>9</w:t>
      </w:r>
      <w:r w:rsidRPr="008A106B">
        <w:rPr>
          <w:rFonts w:eastAsia="SimSun"/>
          <w:szCs w:val="22"/>
          <w:lang w:val="es-ES" w:eastAsia="zh-CN"/>
        </w:rPr>
        <w:t xml:space="preserve">/l en un 15% de los pacientes del grupo de tocilizumab. </w:t>
      </w:r>
    </w:p>
    <w:p w14:paraId="482F92E0" w14:textId="77777777" w:rsidR="007927FC" w:rsidRPr="008A106B" w:rsidRDefault="007927FC" w:rsidP="007927FC">
      <w:pPr>
        <w:autoSpaceDE w:val="0"/>
        <w:autoSpaceDN w:val="0"/>
        <w:adjustRightInd w:val="0"/>
        <w:rPr>
          <w:rFonts w:eastAsia="SimSun"/>
          <w:szCs w:val="22"/>
          <w:lang w:val="es-ES" w:eastAsia="zh-CN"/>
        </w:rPr>
      </w:pPr>
    </w:p>
    <w:p w14:paraId="64227729" w14:textId="77777777" w:rsidR="007927FC" w:rsidRPr="00F30AB8" w:rsidRDefault="007927FC" w:rsidP="007927FC">
      <w:pPr>
        <w:keepNext/>
        <w:keepLines/>
        <w:autoSpaceDE w:val="0"/>
        <w:autoSpaceDN w:val="0"/>
        <w:adjustRightInd w:val="0"/>
        <w:rPr>
          <w:rFonts w:eastAsia="SimSun"/>
          <w:i/>
          <w:szCs w:val="22"/>
          <w:u w:val="single"/>
          <w:lang w:val="es-ES" w:eastAsia="zh-CN"/>
        </w:rPr>
      </w:pPr>
      <w:r w:rsidRPr="00F30AB8">
        <w:rPr>
          <w:rFonts w:eastAsia="SimSun"/>
          <w:i/>
          <w:szCs w:val="22"/>
          <w:u w:val="single"/>
          <w:lang w:val="es-ES" w:eastAsia="zh-CN"/>
        </w:rPr>
        <w:t>Plaquetas</w:t>
      </w:r>
    </w:p>
    <w:p w14:paraId="19424D4B" w14:textId="5AD82CA6"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Durante la monitorización de los valores de laboratorio en las 12</w:t>
      </w:r>
      <w:r w:rsidR="00DE5F92">
        <w:rPr>
          <w:rFonts w:eastAsia="SimSun"/>
          <w:szCs w:val="22"/>
          <w:lang w:val="es-ES" w:eastAsia="zh-CN"/>
        </w:rPr>
        <w:t> </w:t>
      </w:r>
      <w:r w:rsidRPr="008A106B">
        <w:rPr>
          <w:rFonts w:eastAsia="SimSun"/>
          <w:szCs w:val="22"/>
          <w:lang w:val="es-ES" w:eastAsia="zh-CN"/>
        </w:rPr>
        <w:t>semanas de la fase controlada, el 3% de los pacientes del grupo de placebo y el 1% del grupo de tocilizumab tuvieron un descenso el recuento de plaquetas hasta</w:t>
      </w:r>
      <w:r w:rsidR="00205482" w:rsidRPr="00F30AB8">
        <w:rPr>
          <w:szCs w:val="22"/>
          <w:lang w:val="es-ES"/>
        </w:rPr>
        <w:t> ≤ </w:t>
      </w:r>
      <w:r w:rsidRPr="008A106B">
        <w:rPr>
          <w:rFonts w:eastAsia="SimSun"/>
          <w:szCs w:val="22"/>
          <w:lang w:val="es-ES" w:eastAsia="zh-CN"/>
        </w:rPr>
        <w:t>100</w:t>
      </w:r>
      <w:r w:rsidR="00205482" w:rsidRPr="00F30AB8">
        <w:rPr>
          <w:szCs w:val="22"/>
          <w:lang w:val="es-ES"/>
        </w:rPr>
        <w:t> ≤ </w:t>
      </w:r>
      <w:r w:rsidRPr="008A106B">
        <w:rPr>
          <w:rFonts w:eastAsia="SimSun"/>
          <w:szCs w:val="22"/>
          <w:lang w:val="es-ES" w:eastAsia="zh-CN"/>
        </w:rPr>
        <w:t>10</w:t>
      </w:r>
      <w:r w:rsidRPr="008A106B">
        <w:rPr>
          <w:rFonts w:eastAsia="SimSun"/>
          <w:szCs w:val="22"/>
          <w:vertAlign w:val="superscript"/>
          <w:lang w:val="es-ES" w:eastAsia="zh-CN"/>
        </w:rPr>
        <w:t>3</w:t>
      </w:r>
      <w:r w:rsidRPr="008A106B">
        <w:rPr>
          <w:rFonts w:eastAsia="SimSun"/>
          <w:szCs w:val="22"/>
          <w:lang w:val="es-ES" w:eastAsia="zh-CN"/>
        </w:rPr>
        <w:t>/µl.</w:t>
      </w:r>
    </w:p>
    <w:p w14:paraId="1F9BF138" w14:textId="77777777" w:rsidR="007927FC" w:rsidRPr="008A106B" w:rsidRDefault="007927FC" w:rsidP="007927FC">
      <w:pPr>
        <w:autoSpaceDE w:val="0"/>
        <w:autoSpaceDN w:val="0"/>
        <w:adjustRightInd w:val="0"/>
        <w:rPr>
          <w:rFonts w:eastAsia="SimSun"/>
          <w:szCs w:val="22"/>
          <w:lang w:val="es-ES" w:eastAsia="zh-CN"/>
        </w:rPr>
      </w:pPr>
    </w:p>
    <w:p w14:paraId="3C81A2F2" w14:textId="3235C8A7"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En la fas</w:t>
      </w:r>
      <w:r w:rsidR="004A7045">
        <w:rPr>
          <w:rFonts w:eastAsia="SimSun"/>
          <w:szCs w:val="22"/>
          <w:lang w:val="es-ES" w:eastAsia="zh-CN"/>
        </w:rPr>
        <w:t>e abierta de extensión</w:t>
      </w:r>
      <w:r w:rsidRPr="008A106B">
        <w:rPr>
          <w:rFonts w:eastAsia="SimSun"/>
          <w:szCs w:val="22"/>
          <w:lang w:val="es-ES" w:eastAsia="zh-CN"/>
        </w:rPr>
        <w:t>, el descenso del recuento de plaquetas por debajo de 100</w:t>
      </w:r>
      <w:r w:rsidR="00205482" w:rsidRPr="00F30AB8">
        <w:rPr>
          <w:szCs w:val="22"/>
          <w:lang w:val="es-ES"/>
        </w:rPr>
        <w:t> ≤ </w:t>
      </w:r>
      <w:r w:rsidRPr="008A106B">
        <w:rPr>
          <w:rFonts w:eastAsia="SimSun"/>
          <w:szCs w:val="22"/>
          <w:lang w:val="es-ES" w:eastAsia="zh-CN"/>
        </w:rPr>
        <w:t>10</w:t>
      </w:r>
      <w:r w:rsidRPr="008A106B">
        <w:rPr>
          <w:rFonts w:eastAsia="SimSun"/>
          <w:szCs w:val="22"/>
          <w:vertAlign w:val="superscript"/>
          <w:lang w:val="es-ES" w:eastAsia="zh-CN"/>
        </w:rPr>
        <w:t>3</w:t>
      </w:r>
      <w:r w:rsidRPr="008A106B">
        <w:rPr>
          <w:rFonts w:eastAsia="SimSun"/>
          <w:szCs w:val="22"/>
          <w:lang w:val="es-ES" w:eastAsia="zh-CN"/>
        </w:rPr>
        <w:t>/µl, se dio en el 3% de los pacientes en el grupo de tocilizumab, sin episodios de sangrado asociados.</w:t>
      </w:r>
    </w:p>
    <w:p w14:paraId="54550131" w14:textId="77777777" w:rsidR="007927FC" w:rsidRPr="008A106B" w:rsidRDefault="007927FC" w:rsidP="007927FC">
      <w:pPr>
        <w:autoSpaceDE w:val="0"/>
        <w:autoSpaceDN w:val="0"/>
        <w:adjustRightInd w:val="0"/>
        <w:rPr>
          <w:rFonts w:eastAsia="SimSun"/>
          <w:szCs w:val="22"/>
          <w:lang w:val="es-ES" w:eastAsia="zh-CN"/>
        </w:rPr>
      </w:pPr>
    </w:p>
    <w:p w14:paraId="5C1BA87D" w14:textId="77777777" w:rsidR="007927FC" w:rsidRPr="00F30AB8" w:rsidRDefault="007927FC" w:rsidP="00097C58">
      <w:pPr>
        <w:keepNext/>
        <w:keepLines/>
        <w:autoSpaceDE w:val="0"/>
        <w:autoSpaceDN w:val="0"/>
        <w:adjustRightInd w:val="0"/>
        <w:rPr>
          <w:rFonts w:eastAsia="SimSun"/>
          <w:i/>
          <w:szCs w:val="22"/>
          <w:u w:val="single"/>
          <w:lang w:val="es-ES" w:eastAsia="zh-CN"/>
        </w:rPr>
      </w:pPr>
      <w:r w:rsidRPr="00F30AB8">
        <w:rPr>
          <w:rFonts w:eastAsia="SimSun"/>
          <w:i/>
          <w:szCs w:val="22"/>
          <w:u w:val="single"/>
          <w:lang w:val="es-ES" w:eastAsia="zh-CN"/>
        </w:rPr>
        <w:t xml:space="preserve">Elevación en las transaminasas hepáticas </w:t>
      </w:r>
    </w:p>
    <w:p w14:paraId="2C1BAEA2" w14:textId="6EC6B21F" w:rsidR="007927FC" w:rsidRPr="008A106B" w:rsidRDefault="007927FC" w:rsidP="007927FC">
      <w:pPr>
        <w:autoSpaceDE w:val="0"/>
        <w:autoSpaceDN w:val="0"/>
        <w:adjustRightInd w:val="0"/>
        <w:rPr>
          <w:rFonts w:eastAsia="SimSun"/>
          <w:szCs w:val="22"/>
          <w:u w:val="single"/>
          <w:lang w:val="es-ES" w:eastAsia="zh-CN"/>
        </w:rPr>
      </w:pPr>
      <w:r w:rsidRPr="008A106B">
        <w:rPr>
          <w:rFonts w:eastAsia="SimSun"/>
          <w:szCs w:val="22"/>
          <w:lang w:val="es-ES" w:eastAsia="zh-CN"/>
        </w:rPr>
        <w:t>Durante la monitorización de los valores de laboratorio en las 12</w:t>
      </w:r>
      <w:r w:rsidR="00205482" w:rsidRPr="00F30AB8">
        <w:rPr>
          <w:szCs w:val="22"/>
          <w:lang w:val="es-ES"/>
        </w:rPr>
        <w:t> </w:t>
      </w:r>
      <w:r w:rsidRPr="008A106B">
        <w:rPr>
          <w:rFonts w:eastAsia="SimSun"/>
          <w:szCs w:val="22"/>
          <w:lang w:val="es-ES" w:eastAsia="zh-CN"/>
        </w:rPr>
        <w:t>semanas de la fase controlada, el aumento en ALT o AST</w:t>
      </w:r>
      <w:r w:rsidR="00205482" w:rsidRPr="00F30AB8">
        <w:rPr>
          <w:szCs w:val="22"/>
          <w:lang w:val="es-ES"/>
        </w:rPr>
        <w:t> ≥ </w:t>
      </w:r>
      <w:r w:rsidRPr="008A106B">
        <w:rPr>
          <w:rFonts w:eastAsia="SimSun"/>
          <w:szCs w:val="22"/>
          <w:lang w:val="es-ES" w:eastAsia="zh-CN"/>
        </w:rPr>
        <w:t>3</w:t>
      </w:r>
      <w:r w:rsidR="00205482" w:rsidRPr="00F30AB8">
        <w:rPr>
          <w:szCs w:val="22"/>
          <w:lang w:val="es-ES"/>
        </w:rPr>
        <w:t> ≤ </w:t>
      </w:r>
      <w:r w:rsidRPr="008A106B">
        <w:rPr>
          <w:rFonts w:eastAsia="SimSun"/>
          <w:szCs w:val="22"/>
          <w:lang w:val="es-ES" w:eastAsia="zh-CN"/>
        </w:rPr>
        <w:t>LSN fue de un 5% y un 3% respectivamente en el grupo de tocilizumab y un 0% en el grupo de placebo.</w:t>
      </w:r>
    </w:p>
    <w:p w14:paraId="3D0753EB" w14:textId="77777777" w:rsidR="007927FC" w:rsidRPr="008A106B" w:rsidRDefault="007927FC" w:rsidP="007927FC">
      <w:pPr>
        <w:autoSpaceDE w:val="0"/>
        <w:autoSpaceDN w:val="0"/>
        <w:adjustRightInd w:val="0"/>
        <w:rPr>
          <w:rFonts w:eastAsia="SimSun"/>
          <w:szCs w:val="22"/>
          <w:u w:val="single"/>
          <w:lang w:val="es-ES" w:eastAsia="zh-CN"/>
        </w:rPr>
      </w:pPr>
    </w:p>
    <w:p w14:paraId="5D2B3AC2" w14:textId="7A7F7163"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En la fas</w:t>
      </w:r>
      <w:r w:rsidR="004A7045">
        <w:rPr>
          <w:rFonts w:eastAsia="SimSun"/>
          <w:szCs w:val="22"/>
          <w:lang w:val="es-ES" w:eastAsia="zh-CN"/>
        </w:rPr>
        <w:t>e abierta de extensión</w:t>
      </w:r>
      <w:r w:rsidRPr="008A106B">
        <w:rPr>
          <w:rFonts w:eastAsia="SimSun"/>
          <w:szCs w:val="22"/>
          <w:lang w:val="es-ES" w:eastAsia="zh-CN"/>
        </w:rPr>
        <w:t>, el aumento de ALT o AST</w:t>
      </w:r>
      <w:r w:rsidR="00205482" w:rsidRPr="00F30AB8">
        <w:rPr>
          <w:szCs w:val="22"/>
          <w:lang w:val="es-ES"/>
        </w:rPr>
        <w:t> </w:t>
      </w:r>
      <w:proofErr w:type="gramStart"/>
      <w:r w:rsidR="00205482" w:rsidRPr="00F30AB8">
        <w:rPr>
          <w:szCs w:val="22"/>
          <w:lang w:val="es-ES"/>
        </w:rPr>
        <w:t>≥ </w:t>
      </w:r>
      <w:r w:rsidRPr="008A106B">
        <w:rPr>
          <w:rFonts w:eastAsia="SimSun"/>
          <w:szCs w:val="22"/>
          <w:lang w:val="es-ES" w:eastAsia="zh-CN"/>
        </w:rPr>
        <w:t xml:space="preserve"> 3</w:t>
      </w:r>
      <w:proofErr w:type="gramEnd"/>
      <w:r w:rsidR="00205482" w:rsidRPr="00F30AB8">
        <w:rPr>
          <w:szCs w:val="22"/>
          <w:lang w:val="es-ES"/>
        </w:rPr>
        <w:t> ≤ </w:t>
      </w:r>
      <w:r w:rsidRPr="008A106B">
        <w:rPr>
          <w:rFonts w:eastAsia="SimSun"/>
          <w:szCs w:val="22"/>
          <w:lang w:val="es-ES" w:eastAsia="zh-CN"/>
        </w:rPr>
        <w:t xml:space="preserve">LSN fue </w:t>
      </w:r>
      <w:r w:rsidR="00093B77">
        <w:rPr>
          <w:rFonts w:eastAsia="SimSun"/>
          <w:szCs w:val="22"/>
          <w:lang w:val="es-ES" w:eastAsia="zh-CN"/>
        </w:rPr>
        <w:t>de</w:t>
      </w:r>
      <w:r w:rsidRPr="008A106B">
        <w:rPr>
          <w:rFonts w:eastAsia="SimSun"/>
          <w:szCs w:val="22"/>
          <w:lang w:val="es-ES" w:eastAsia="zh-CN"/>
        </w:rPr>
        <w:t xml:space="preserve"> un 12% y un 4% respectivamente en el grupo de tocilizumab.</w:t>
      </w:r>
    </w:p>
    <w:p w14:paraId="5E79FCE4" w14:textId="77777777" w:rsidR="007927FC" w:rsidRPr="008A106B" w:rsidRDefault="007927FC" w:rsidP="007927FC">
      <w:pPr>
        <w:autoSpaceDE w:val="0"/>
        <w:autoSpaceDN w:val="0"/>
        <w:adjustRightInd w:val="0"/>
        <w:rPr>
          <w:rFonts w:eastAsia="SimSun"/>
          <w:szCs w:val="22"/>
          <w:u w:val="single"/>
          <w:lang w:val="es-ES" w:eastAsia="zh-CN"/>
        </w:rPr>
      </w:pPr>
    </w:p>
    <w:p w14:paraId="08E79D8F" w14:textId="77777777" w:rsidR="007927FC" w:rsidRPr="00F30AB8" w:rsidRDefault="007927FC" w:rsidP="007927FC">
      <w:pPr>
        <w:autoSpaceDE w:val="0"/>
        <w:autoSpaceDN w:val="0"/>
        <w:adjustRightInd w:val="0"/>
        <w:rPr>
          <w:rFonts w:eastAsia="SimSun"/>
          <w:i/>
          <w:szCs w:val="22"/>
          <w:u w:val="single"/>
          <w:lang w:val="es-ES" w:eastAsia="zh-CN"/>
        </w:rPr>
      </w:pPr>
      <w:r w:rsidRPr="00F30AB8">
        <w:rPr>
          <w:rFonts w:eastAsia="SimSun"/>
          <w:i/>
          <w:szCs w:val="22"/>
          <w:u w:val="single"/>
          <w:lang w:val="es-ES" w:eastAsia="zh-CN"/>
        </w:rPr>
        <w:t>Inmunoglobulina G</w:t>
      </w:r>
    </w:p>
    <w:p w14:paraId="38942B8D" w14:textId="062DECE9" w:rsidR="007927FC" w:rsidRPr="008A106B"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Los niveles de inmunoglobulina G disminuyen durante la terapia. Un descenso a límites inferiores a la normalidad se produjo en 15</w:t>
      </w:r>
      <w:r w:rsidR="00DE5F92">
        <w:rPr>
          <w:rFonts w:eastAsia="SimSun"/>
          <w:szCs w:val="22"/>
          <w:lang w:val="es-ES" w:eastAsia="zh-CN"/>
        </w:rPr>
        <w:t> </w:t>
      </w:r>
      <w:r w:rsidRPr="008A106B">
        <w:rPr>
          <w:rFonts w:eastAsia="SimSun"/>
          <w:szCs w:val="22"/>
          <w:lang w:val="es-ES" w:eastAsia="zh-CN"/>
        </w:rPr>
        <w:t xml:space="preserve">pacientes en algún momento del ensayo. </w:t>
      </w:r>
    </w:p>
    <w:p w14:paraId="27578755" w14:textId="77777777" w:rsidR="007927FC" w:rsidRPr="008A106B" w:rsidRDefault="007927FC" w:rsidP="007927FC">
      <w:pPr>
        <w:autoSpaceDE w:val="0"/>
        <w:autoSpaceDN w:val="0"/>
        <w:adjustRightInd w:val="0"/>
        <w:rPr>
          <w:rFonts w:eastAsia="SimSun"/>
          <w:szCs w:val="22"/>
          <w:u w:val="single"/>
          <w:lang w:val="es-ES" w:eastAsia="zh-CN"/>
        </w:rPr>
      </w:pPr>
    </w:p>
    <w:p w14:paraId="63EF89D0" w14:textId="77777777" w:rsidR="007927FC" w:rsidRPr="00F30AB8" w:rsidRDefault="007927FC" w:rsidP="007927FC">
      <w:pPr>
        <w:autoSpaceDE w:val="0"/>
        <w:autoSpaceDN w:val="0"/>
        <w:adjustRightInd w:val="0"/>
        <w:rPr>
          <w:rFonts w:eastAsia="SimSun"/>
          <w:i/>
          <w:szCs w:val="22"/>
          <w:u w:val="single"/>
          <w:lang w:val="es-ES" w:eastAsia="zh-CN"/>
        </w:rPr>
      </w:pPr>
      <w:r w:rsidRPr="00F30AB8">
        <w:rPr>
          <w:rFonts w:eastAsia="SimSun"/>
          <w:i/>
          <w:szCs w:val="22"/>
          <w:u w:val="single"/>
          <w:lang w:val="es-ES" w:eastAsia="zh-CN"/>
        </w:rPr>
        <w:t>Parámetros lipídicos</w:t>
      </w:r>
    </w:p>
    <w:p w14:paraId="7786EAC4" w14:textId="07AA2982" w:rsidR="007927FC"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Durante la monitorización de los valores de laboratorio en las 12</w:t>
      </w:r>
      <w:r w:rsidR="00DE5F92">
        <w:rPr>
          <w:rFonts w:eastAsia="SimSun"/>
          <w:szCs w:val="22"/>
          <w:lang w:val="es-ES" w:eastAsia="zh-CN"/>
        </w:rPr>
        <w:t> </w:t>
      </w:r>
      <w:r w:rsidRPr="008A106B">
        <w:rPr>
          <w:rFonts w:eastAsia="SimSun"/>
          <w:szCs w:val="22"/>
          <w:lang w:val="es-ES" w:eastAsia="zh-CN"/>
        </w:rPr>
        <w:t>semanas de la fase controlada,</w:t>
      </w:r>
      <w:r w:rsidR="00D5074E" w:rsidRPr="00D5074E">
        <w:rPr>
          <w:lang w:val="es-ES"/>
        </w:rPr>
        <w:t xml:space="preserve"> </w:t>
      </w:r>
      <w:r w:rsidR="00D5074E">
        <w:rPr>
          <w:lang w:val="es-ES"/>
        </w:rPr>
        <w:t>(</w:t>
      </w:r>
      <w:del w:id="215" w:author="AUTHOR">
        <w:r w:rsidR="00D5074E" w:rsidRPr="00D5074E" w:rsidDel="006C4AF1">
          <w:rPr>
            <w:rFonts w:eastAsia="SimSun"/>
            <w:szCs w:val="22"/>
            <w:lang w:val="es-ES" w:eastAsia="zh-CN"/>
          </w:rPr>
          <w:delText xml:space="preserve">Estudio </w:delText>
        </w:r>
      </w:del>
      <w:ins w:id="216" w:author="AUTHOR">
        <w:r w:rsidR="006C4AF1" w:rsidRPr="00D5074E">
          <w:rPr>
            <w:rFonts w:eastAsia="SimSun"/>
            <w:szCs w:val="22"/>
            <w:lang w:val="es-ES" w:eastAsia="zh-CN"/>
          </w:rPr>
          <w:t>E</w:t>
        </w:r>
        <w:r w:rsidR="006C4AF1">
          <w:rPr>
            <w:rFonts w:eastAsia="SimSun"/>
            <w:szCs w:val="22"/>
            <w:lang w:val="es-ES" w:eastAsia="zh-CN"/>
          </w:rPr>
          <w:t>nsayo</w:t>
        </w:r>
        <w:r w:rsidR="006C4AF1" w:rsidRPr="00D5074E">
          <w:rPr>
            <w:rFonts w:eastAsia="SimSun"/>
            <w:szCs w:val="22"/>
            <w:lang w:val="es-ES" w:eastAsia="zh-CN"/>
          </w:rPr>
          <w:t xml:space="preserve"> </w:t>
        </w:r>
      </w:ins>
      <w:r w:rsidR="00D5074E" w:rsidRPr="00D5074E">
        <w:rPr>
          <w:rFonts w:eastAsia="SimSun"/>
          <w:szCs w:val="22"/>
          <w:lang w:val="es-ES" w:eastAsia="zh-CN"/>
        </w:rPr>
        <w:t>WA18221), el 13,4</w:t>
      </w:r>
      <w:r w:rsidR="00DE5F92">
        <w:rPr>
          <w:rFonts w:eastAsia="SimSun"/>
          <w:szCs w:val="22"/>
          <w:lang w:val="es-ES" w:eastAsia="zh-CN"/>
        </w:rPr>
        <w:t> </w:t>
      </w:r>
      <w:r w:rsidR="00D5074E" w:rsidRPr="00D5074E">
        <w:rPr>
          <w:rFonts w:eastAsia="SimSun"/>
          <w:szCs w:val="22"/>
          <w:lang w:val="es-ES" w:eastAsia="zh-CN"/>
        </w:rPr>
        <w:t>% y el 33,3</w:t>
      </w:r>
      <w:r w:rsidR="00DE5F92">
        <w:rPr>
          <w:rFonts w:eastAsia="SimSun"/>
          <w:szCs w:val="22"/>
          <w:lang w:val="es-ES" w:eastAsia="zh-CN"/>
        </w:rPr>
        <w:t> </w:t>
      </w:r>
      <w:r w:rsidR="00D5074E" w:rsidRPr="00D5074E">
        <w:rPr>
          <w:rFonts w:eastAsia="SimSun"/>
          <w:szCs w:val="22"/>
          <w:lang w:val="es-ES" w:eastAsia="zh-CN"/>
        </w:rPr>
        <w:t xml:space="preserve">% de los pacientes experimentaron una </w:t>
      </w:r>
      <w:del w:id="217" w:author="AUTHOR">
        <w:r w:rsidR="00D5074E" w:rsidRPr="00D5074E" w:rsidDel="00487D16">
          <w:rPr>
            <w:rFonts w:eastAsia="SimSun"/>
            <w:szCs w:val="22"/>
            <w:lang w:val="es-ES" w:eastAsia="zh-CN"/>
          </w:rPr>
          <w:delText xml:space="preserve">elavación </w:delText>
        </w:r>
      </w:del>
      <w:ins w:id="218" w:author="AUTHOR">
        <w:r w:rsidR="00487D16" w:rsidRPr="00D5074E">
          <w:rPr>
            <w:rFonts w:eastAsia="SimSun"/>
            <w:szCs w:val="22"/>
            <w:lang w:val="es-ES" w:eastAsia="zh-CN"/>
          </w:rPr>
          <w:t>el</w:t>
        </w:r>
        <w:r w:rsidR="00487D16">
          <w:rPr>
            <w:rFonts w:eastAsia="SimSun"/>
            <w:szCs w:val="22"/>
            <w:lang w:val="es-ES" w:eastAsia="zh-CN"/>
          </w:rPr>
          <w:t>e</w:t>
        </w:r>
        <w:r w:rsidR="00487D16" w:rsidRPr="00D5074E">
          <w:rPr>
            <w:rFonts w:eastAsia="SimSun"/>
            <w:szCs w:val="22"/>
            <w:lang w:val="es-ES" w:eastAsia="zh-CN"/>
          </w:rPr>
          <w:t xml:space="preserve">vación </w:t>
        </w:r>
      </w:ins>
      <w:r w:rsidR="00D5074E" w:rsidRPr="00D5074E">
        <w:rPr>
          <w:rFonts w:eastAsia="SimSun"/>
          <w:szCs w:val="22"/>
          <w:lang w:val="es-ES" w:eastAsia="zh-CN"/>
        </w:rPr>
        <w:t>post-basal de los valores colesterol LDL de</w:t>
      </w:r>
      <w:r w:rsidR="00205482" w:rsidRPr="00F30AB8">
        <w:rPr>
          <w:szCs w:val="22"/>
          <w:lang w:val="es-ES"/>
        </w:rPr>
        <w:t> ≥ </w:t>
      </w:r>
      <w:r w:rsidR="00D5074E" w:rsidRPr="00D5074E">
        <w:rPr>
          <w:rFonts w:eastAsia="SimSun"/>
          <w:szCs w:val="22"/>
          <w:lang w:val="es-ES" w:eastAsia="zh-CN"/>
        </w:rPr>
        <w:t>130 mg/ dl y de colesterol total de</w:t>
      </w:r>
      <w:r w:rsidR="00205482" w:rsidRPr="00F30AB8">
        <w:rPr>
          <w:szCs w:val="22"/>
          <w:lang w:val="es-ES"/>
        </w:rPr>
        <w:t> ≥ </w:t>
      </w:r>
      <w:r w:rsidR="00D5074E" w:rsidRPr="00D5074E">
        <w:rPr>
          <w:rFonts w:eastAsia="SimSun"/>
          <w:szCs w:val="22"/>
          <w:lang w:val="es-ES" w:eastAsia="zh-CN"/>
        </w:rPr>
        <w:t xml:space="preserve">200 mg/ dl, respectivamente, en cualquier momento durante el tratamiento del </w:t>
      </w:r>
      <w:del w:id="219" w:author="AUTHOR">
        <w:r w:rsidR="00D5074E" w:rsidDel="00994C36">
          <w:rPr>
            <w:rFonts w:eastAsia="SimSun"/>
            <w:szCs w:val="22"/>
            <w:lang w:val="es-ES" w:eastAsia="zh-CN"/>
          </w:rPr>
          <w:delText>estudio</w:delText>
        </w:r>
      </w:del>
      <w:ins w:id="220" w:author="AUTHOR">
        <w:r w:rsidR="00994C36">
          <w:rPr>
            <w:rFonts w:eastAsia="SimSun"/>
            <w:szCs w:val="22"/>
            <w:lang w:val="es-ES" w:eastAsia="zh-CN"/>
          </w:rPr>
          <w:t>ensayo</w:t>
        </w:r>
      </w:ins>
      <w:r w:rsidR="00D5074E">
        <w:rPr>
          <w:rFonts w:eastAsia="SimSun"/>
          <w:szCs w:val="22"/>
          <w:lang w:val="es-ES" w:eastAsia="zh-CN"/>
        </w:rPr>
        <w:t>.</w:t>
      </w:r>
    </w:p>
    <w:p w14:paraId="0DE96B39" w14:textId="77777777" w:rsidR="00AC6608" w:rsidRPr="008A106B" w:rsidRDefault="00AC6608" w:rsidP="007927FC">
      <w:pPr>
        <w:autoSpaceDE w:val="0"/>
        <w:autoSpaceDN w:val="0"/>
        <w:adjustRightInd w:val="0"/>
        <w:rPr>
          <w:rFonts w:eastAsia="SimSun"/>
          <w:szCs w:val="22"/>
          <w:lang w:val="es-ES" w:eastAsia="zh-CN"/>
        </w:rPr>
      </w:pPr>
    </w:p>
    <w:p w14:paraId="4EC333A9" w14:textId="6BF3B18C" w:rsidR="00D5074E" w:rsidRDefault="007927FC" w:rsidP="007927FC">
      <w:pPr>
        <w:autoSpaceDE w:val="0"/>
        <w:autoSpaceDN w:val="0"/>
        <w:adjustRightInd w:val="0"/>
        <w:rPr>
          <w:rFonts w:eastAsia="SimSun"/>
          <w:szCs w:val="22"/>
          <w:lang w:val="es-ES" w:eastAsia="zh-CN"/>
        </w:rPr>
      </w:pPr>
      <w:r w:rsidRPr="008A106B">
        <w:rPr>
          <w:rFonts w:eastAsia="SimSun"/>
          <w:szCs w:val="22"/>
          <w:lang w:val="es-ES" w:eastAsia="zh-CN"/>
        </w:rPr>
        <w:t>En la fase abierta de extensión</w:t>
      </w:r>
      <w:r w:rsidR="00D5074E">
        <w:rPr>
          <w:rFonts w:eastAsia="SimSun"/>
          <w:szCs w:val="22"/>
          <w:lang w:val="es-ES" w:eastAsia="zh-CN"/>
        </w:rPr>
        <w:t xml:space="preserve"> </w:t>
      </w:r>
      <w:r w:rsidR="00D5074E" w:rsidRPr="00D5074E">
        <w:rPr>
          <w:rFonts w:eastAsia="SimSun"/>
          <w:szCs w:val="22"/>
          <w:lang w:val="es-ES" w:eastAsia="zh-CN"/>
        </w:rPr>
        <w:t>(</w:t>
      </w:r>
      <w:del w:id="221" w:author="AUTHOR">
        <w:r w:rsidR="00D5074E" w:rsidRPr="00D5074E" w:rsidDel="006C4AF1">
          <w:rPr>
            <w:rFonts w:eastAsia="SimSun"/>
            <w:szCs w:val="22"/>
            <w:lang w:val="es-ES" w:eastAsia="zh-CN"/>
          </w:rPr>
          <w:delText xml:space="preserve">estudio </w:delText>
        </w:r>
      </w:del>
      <w:ins w:id="222" w:author="AUTHOR">
        <w:r w:rsidR="006C4AF1">
          <w:rPr>
            <w:rFonts w:eastAsia="SimSun"/>
            <w:szCs w:val="22"/>
            <w:lang w:val="es-ES" w:eastAsia="zh-CN"/>
          </w:rPr>
          <w:t>ensayo</w:t>
        </w:r>
        <w:r w:rsidR="006C4AF1" w:rsidRPr="00D5074E">
          <w:rPr>
            <w:rFonts w:eastAsia="SimSun"/>
            <w:szCs w:val="22"/>
            <w:lang w:val="es-ES" w:eastAsia="zh-CN"/>
          </w:rPr>
          <w:t xml:space="preserve"> </w:t>
        </w:r>
      </w:ins>
      <w:r w:rsidR="00D5074E" w:rsidRPr="00D5074E">
        <w:rPr>
          <w:rFonts w:eastAsia="SimSun"/>
          <w:szCs w:val="22"/>
          <w:lang w:val="es-ES" w:eastAsia="zh-CN"/>
        </w:rPr>
        <w:t>WA18221), el 13,2% y el 27,7% de los pacientes experimentaron una elevación post-basal de los valores de colesterol LDL de ≥</w:t>
      </w:r>
      <w:r w:rsidR="00205482" w:rsidRPr="00F30AB8">
        <w:rPr>
          <w:szCs w:val="22"/>
          <w:lang w:val="es-ES"/>
        </w:rPr>
        <w:t> </w:t>
      </w:r>
      <w:r w:rsidR="00D5074E" w:rsidRPr="00D5074E">
        <w:rPr>
          <w:rFonts w:eastAsia="SimSun"/>
          <w:szCs w:val="22"/>
          <w:lang w:val="es-ES" w:eastAsia="zh-CN"/>
        </w:rPr>
        <w:t>30</w:t>
      </w:r>
      <w:r w:rsidR="00205482" w:rsidRPr="00F30AB8">
        <w:rPr>
          <w:szCs w:val="22"/>
          <w:lang w:val="es-ES"/>
        </w:rPr>
        <w:t> </w:t>
      </w:r>
      <w:r w:rsidR="00D5074E" w:rsidRPr="00D5074E">
        <w:rPr>
          <w:rFonts w:eastAsia="SimSun"/>
          <w:szCs w:val="22"/>
          <w:lang w:val="es-ES" w:eastAsia="zh-CN"/>
        </w:rPr>
        <w:t>mg/ dl y de colesterol total de ≥</w:t>
      </w:r>
      <w:r w:rsidR="00205482" w:rsidRPr="00F30AB8">
        <w:rPr>
          <w:szCs w:val="22"/>
          <w:lang w:val="es-ES"/>
        </w:rPr>
        <w:t> </w:t>
      </w:r>
      <w:r w:rsidR="00D5074E" w:rsidRPr="00D5074E">
        <w:rPr>
          <w:rFonts w:eastAsia="SimSun"/>
          <w:szCs w:val="22"/>
          <w:lang w:val="es-ES" w:eastAsia="zh-CN"/>
        </w:rPr>
        <w:t xml:space="preserve">200 mg/ dl, respectivamente, en cualquier momento durante el tratamiento del </w:t>
      </w:r>
      <w:del w:id="223" w:author="AUTHOR">
        <w:r w:rsidR="00D5074E" w:rsidRPr="00D5074E" w:rsidDel="00994C36">
          <w:rPr>
            <w:rFonts w:eastAsia="SimSun"/>
            <w:szCs w:val="22"/>
            <w:lang w:val="es-ES" w:eastAsia="zh-CN"/>
          </w:rPr>
          <w:delText>estudio</w:delText>
        </w:r>
      </w:del>
      <w:ins w:id="224" w:author="AUTHOR">
        <w:r w:rsidR="00994C36">
          <w:rPr>
            <w:rFonts w:eastAsia="SimSun"/>
            <w:szCs w:val="22"/>
            <w:lang w:val="es-ES" w:eastAsia="zh-CN"/>
          </w:rPr>
          <w:t>ensayo</w:t>
        </w:r>
      </w:ins>
      <w:r w:rsidR="00AC6608">
        <w:rPr>
          <w:rFonts w:eastAsia="SimSun"/>
          <w:szCs w:val="22"/>
          <w:lang w:val="es-ES" w:eastAsia="zh-CN"/>
        </w:rPr>
        <w:t>.</w:t>
      </w:r>
    </w:p>
    <w:p w14:paraId="31A1BEF3" w14:textId="77777777" w:rsidR="00AC6608" w:rsidRDefault="00AC6608" w:rsidP="007927FC">
      <w:pPr>
        <w:autoSpaceDE w:val="0"/>
        <w:autoSpaceDN w:val="0"/>
        <w:adjustRightInd w:val="0"/>
        <w:rPr>
          <w:rFonts w:eastAsia="SimSun"/>
          <w:szCs w:val="22"/>
          <w:lang w:val="es-ES" w:eastAsia="zh-CN"/>
        </w:rPr>
      </w:pPr>
    </w:p>
    <w:p w14:paraId="252740FA" w14:textId="77777777" w:rsidR="0012401D" w:rsidRDefault="0012401D" w:rsidP="007927FC">
      <w:pPr>
        <w:autoSpaceDE w:val="0"/>
        <w:autoSpaceDN w:val="0"/>
        <w:adjustRightInd w:val="0"/>
        <w:rPr>
          <w:rFonts w:eastAsia="SimSun"/>
          <w:i/>
          <w:szCs w:val="22"/>
          <w:lang w:val="es-ES" w:eastAsia="zh-CN"/>
        </w:rPr>
      </w:pPr>
      <w:r w:rsidRPr="00F30AB8">
        <w:rPr>
          <w:rFonts w:eastAsia="SimSun"/>
          <w:i/>
          <w:szCs w:val="22"/>
          <w:lang w:val="es-ES" w:eastAsia="zh-CN"/>
        </w:rPr>
        <w:t>Pacientes con SLC</w:t>
      </w:r>
    </w:p>
    <w:p w14:paraId="6DF48258" w14:textId="77777777" w:rsidR="00DE5F92" w:rsidRPr="00F30AB8" w:rsidRDefault="00DE5F92" w:rsidP="007927FC">
      <w:pPr>
        <w:autoSpaceDE w:val="0"/>
        <w:autoSpaceDN w:val="0"/>
        <w:adjustRightInd w:val="0"/>
        <w:rPr>
          <w:rFonts w:eastAsia="SimSun"/>
          <w:i/>
          <w:szCs w:val="22"/>
          <w:lang w:val="es-ES" w:eastAsia="zh-CN"/>
        </w:rPr>
      </w:pPr>
    </w:p>
    <w:p w14:paraId="58396DC4" w14:textId="449EE26B" w:rsidR="00C34899" w:rsidRDefault="00C34899" w:rsidP="007927FC">
      <w:pPr>
        <w:autoSpaceDE w:val="0"/>
        <w:autoSpaceDN w:val="0"/>
        <w:adjustRightInd w:val="0"/>
        <w:rPr>
          <w:rFonts w:eastAsia="SimSun"/>
          <w:szCs w:val="22"/>
          <w:lang w:val="es-ES" w:eastAsia="zh-CN"/>
        </w:rPr>
      </w:pPr>
      <w:r>
        <w:rPr>
          <w:rFonts w:eastAsia="SimSun"/>
          <w:szCs w:val="22"/>
          <w:lang w:val="es-ES" w:eastAsia="zh-CN"/>
        </w:rPr>
        <w:lastRenderedPageBreak/>
        <w:t>Se ha evaluado la seguridad de tocilizumab en el SLC en un análisis retrospectivo de datos de ensayos cl</w:t>
      </w:r>
      <w:r w:rsidR="00077DC8">
        <w:rPr>
          <w:rFonts w:eastAsia="SimSun"/>
          <w:szCs w:val="22"/>
          <w:lang w:val="es-ES" w:eastAsia="zh-CN"/>
        </w:rPr>
        <w:t>ínicos, en los que</w:t>
      </w:r>
      <w:r>
        <w:rPr>
          <w:rFonts w:eastAsia="SimSun"/>
          <w:szCs w:val="22"/>
          <w:lang w:val="es-ES" w:eastAsia="zh-CN"/>
        </w:rPr>
        <w:t xml:space="preserve"> 51</w:t>
      </w:r>
      <w:r w:rsidR="00DE5F92">
        <w:rPr>
          <w:rFonts w:eastAsia="SimSun"/>
          <w:szCs w:val="22"/>
          <w:lang w:val="es-ES" w:eastAsia="zh-CN"/>
        </w:rPr>
        <w:t> </w:t>
      </w:r>
      <w:r>
        <w:rPr>
          <w:rFonts w:eastAsia="SimSun"/>
          <w:szCs w:val="22"/>
          <w:lang w:val="es-ES" w:eastAsia="zh-CN"/>
        </w:rPr>
        <w:t xml:space="preserve">pacientes fueron tratados </w:t>
      </w:r>
      <w:r w:rsidR="004F26E6">
        <w:rPr>
          <w:rFonts w:eastAsia="SimSun"/>
          <w:szCs w:val="22"/>
          <w:lang w:val="es-ES" w:eastAsia="zh-CN"/>
        </w:rPr>
        <w:t xml:space="preserve">por vía intravenosa con tocilizumab </w:t>
      </w:r>
      <w:r>
        <w:rPr>
          <w:rFonts w:eastAsia="SimSun"/>
          <w:szCs w:val="22"/>
          <w:lang w:val="es-ES" w:eastAsia="zh-CN"/>
        </w:rPr>
        <w:t>8</w:t>
      </w:r>
      <w:r w:rsidR="00DE5F92">
        <w:rPr>
          <w:rFonts w:eastAsia="SimSun"/>
          <w:szCs w:val="22"/>
          <w:lang w:val="es-ES" w:eastAsia="zh-CN"/>
        </w:rPr>
        <w:t> </w:t>
      </w:r>
      <w:r>
        <w:rPr>
          <w:rFonts w:eastAsia="SimSun"/>
          <w:szCs w:val="22"/>
          <w:lang w:val="es-ES" w:eastAsia="zh-CN"/>
        </w:rPr>
        <w:t>mg/kg (12</w:t>
      </w:r>
      <w:r w:rsidR="00DE5F92">
        <w:rPr>
          <w:rFonts w:eastAsia="SimSun"/>
          <w:szCs w:val="22"/>
          <w:lang w:val="es-ES" w:eastAsia="zh-CN"/>
        </w:rPr>
        <w:t> </w:t>
      </w:r>
      <w:r>
        <w:rPr>
          <w:rFonts w:eastAsia="SimSun"/>
          <w:szCs w:val="22"/>
          <w:lang w:val="es-ES" w:eastAsia="zh-CN"/>
        </w:rPr>
        <w:t>mg/kg</w:t>
      </w:r>
      <w:r w:rsidR="004F26E6">
        <w:rPr>
          <w:rFonts w:eastAsia="SimSun"/>
          <w:szCs w:val="22"/>
          <w:lang w:val="es-ES" w:eastAsia="zh-CN"/>
        </w:rPr>
        <w:t xml:space="preserve"> para pacientes con un peso menor a 30</w:t>
      </w:r>
      <w:r w:rsidR="00DE5F92">
        <w:rPr>
          <w:rFonts w:eastAsia="SimSun"/>
          <w:szCs w:val="22"/>
          <w:lang w:val="es-ES" w:eastAsia="zh-CN"/>
        </w:rPr>
        <w:t> </w:t>
      </w:r>
      <w:r w:rsidR="004F26E6">
        <w:rPr>
          <w:rFonts w:eastAsia="SimSun"/>
          <w:szCs w:val="22"/>
          <w:lang w:val="es-ES" w:eastAsia="zh-CN"/>
        </w:rPr>
        <w:t>kg) con o sin dos</w:t>
      </w:r>
      <w:r w:rsidR="00DC6633">
        <w:rPr>
          <w:rFonts w:eastAsia="SimSun"/>
          <w:szCs w:val="22"/>
          <w:lang w:val="es-ES" w:eastAsia="zh-CN"/>
        </w:rPr>
        <w:t>is altas adicionales de cortico</w:t>
      </w:r>
      <w:r w:rsidR="004F26E6">
        <w:rPr>
          <w:rFonts w:eastAsia="SimSun"/>
          <w:szCs w:val="22"/>
          <w:lang w:val="es-ES" w:eastAsia="zh-CN"/>
        </w:rPr>
        <w:t xml:space="preserve">steroides para </w:t>
      </w:r>
      <w:r w:rsidR="00077DC8">
        <w:rPr>
          <w:rFonts w:eastAsia="SimSun"/>
          <w:szCs w:val="22"/>
          <w:lang w:val="es-ES" w:eastAsia="zh-CN"/>
        </w:rPr>
        <w:t xml:space="preserve">el </w:t>
      </w:r>
      <w:r w:rsidR="004F26E6">
        <w:rPr>
          <w:rFonts w:eastAsia="SimSun"/>
          <w:szCs w:val="22"/>
          <w:lang w:val="es-ES" w:eastAsia="zh-CN"/>
        </w:rPr>
        <w:t xml:space="preserve">SLC grave o potencialmente mortal </w:t>
      </w:r>
      <w:r w:rsidR="00135267">
        <w:rPr>
          <w:rFonts w:eastAsia="SimSun"/>
          <w:szCs w:val="22"/>
          <w:lang w:val="es-ES" w:eastAsia="zh-CN"/>
        </w:rPr>
        <w:t xml:space="preserve">inducido </w:t>
      </w:r>
      <w:r w:rsidR="00DE5F92">
        <w:rPr>
          <w:rFonts w:eastAsia="SimSun"/>
          <w:szCs w:val="22"/>
          <w:lang w:val="es-ES" w:eastAsia="zh-CN"/>
        </w:rPr>
        <w:t>CAR </w:t>
      </w:r>
      <w:proofErr w:type="gramStart"/>
      <w:r w:rsidR="00DE5F92">
        <w:rPr>
          <w:rFonts w:eastAsia="SimSun"/>
          <w:szCs w:val="22"/>
          <w:lang w:val="es-ES" w:eastAsia="zh-CN"/>
        </w:rPr>
        <w:t>T </w:t>
      </w:r>
      <w:r w:rsidR="00B41878">
        <w:rPr>
          <w:rFonts w:eastAsia="SimSun"/>
          <w:szCs w:val="22"/>
          <w:lang w:val="es-ES" w:eastAsia="zh-CN"/>
        </w:rPr>
        <w:t>.</w:t>
      </w:r>
      <w:proofErr w:type="gramEnd"/>
      <w:r w:rsidR="00E82487">
        <w:rPr>
          <w:rFonts w:eastAsia="SimSun"/>
          <w:szCs w:val="22"/>
          <w:lang w:val="es-ES" w:eastAsia="zh-CN"/>
        </w:rPr>
        <w:t xml:space="preserve"> Se administró una mediana de 1</w:t>
      </w:r>
      <w:r w:rsidR="00DE5F92">
        <w:rPr>
          <w:rFonts w:eastAsia="SimSun"/>
          <w:szCs w:val="22"/>
          <w:lang w:val="es-ES" w:eastAsia="zh-CN"/>
        </w:rPr>
        <w:t> </w:t>
      </w:r>
      <w:r w:rsidR="00E82487">
        <w:rPr>
          <w:rFonts w:eastAsia="SimSun"/>
          <w:szCs w:val="22"/>
          <w:lang w:val="es-ES" w:eastAsia="zh-CN"/>
        </w:rPr>
        <w:t>dosis de tocilizumab (rango, de 1 a 4 dosis)</w:t>
      </w:r>
      <w:r w:rsidR="00077DC8">
        <w:rPr>
          <w:rFonts w:eastAsia="SimSun"/>
          <w:szCs w:val="22"/>
          <w:lang w:val="es-ES" w:eastAsia="zh-CN"/>
        </w:rPr>
        <w:t>.</w:t>
      </w:r>
    </w:p>
    <w:p w14:paraId="2E34E586" w14:textId="77777777" w:rsidR="0012401D" w:rsidRDefault="0012401D" w:rsidP="007927FC">
      <w:pPr>
        <w:autoSpaceDE w:val="0"/>
        <w:autoSpaceDN w:val="0"/>
        <w:adjustRightInd w:val="0"/>
        <w:rPr>
          <w:rFonts w:eastAsia="SimSun"/>
          <w:szCs w:val="22"/>
          <w:lang w:val="es-ES" w:eastAsia="zh-CN"/>
        </w:rPr>
      </w:pPr>
    </w:p>
    <w:p w14:paraId="3E56200B" w14:textId="77777777" w:rsidR="00FD7BE7" w:rsidRDefault="00FD7BE7" w:rsidP="00F30AB8">
      <w:pPr>
        <w:keepNext/>
        <w:keepLines/>
        <w:autoSpaceDE w:val="0"/>
        <w:autoSpaceDN w:val="0"/>
        <w:adjustRightInd w:val="0"/>
        <w:jc w:val="both"/>
        <w:rPr>
          <w:szCs w:val="24"/>
          <w:u w:val="single"/>
          <w:lang w:val="es-ES_tradnl"/>
        </w:rPr>
      </w:pPr>
      <w:r>
        <w:rPr>
          <w:szCs w:val="24"/>
          <w:u w:val="single"/>
          <w:lang w:val="es-ES_tradnl"/>
        </w:rPr>
        <w:t>Notificación de sospechas de reacciones adversas</w:t>
      </w:r>
    </w:p>
    <w:p w14:paraId="09182216" w14:textId="77777777" w:rsidR="00DE5F92" w:rsidRDefault="00DE5F92" w:rsidP="00F30AB8">
      <w:pPr>
        <w:keepNext/>
        <w:keepLines/>
        <w:autoSpaceDE w:val="0"/>
        <w:autoSpaceDN w:val="0"/>
        <w:adjustRightInd w:val="0"/>
        <w:jc w:val="both"/>
        <w:rPr>
          <w:szCs w:val="24"/>
          <w:u w:val="single"/>
          <w:lang w:val="es-ES_tradnl"/>
        </w:rPr>
      </w:pPr>
    </w:p>
    <w:p w14:paraId="7DE06288" w14:textId="1E60FAB0" w:rsidR="00FD7BE7" w:rsidRDefault="00FD7BE7" w:rsidP="00F30AB8">
      <w:pPr>
        <w:keepNext/>
        <w:keepLines/>
        <w:autoSpaceDE w:val="0"/>
        <w:autoSpaceDN w:val="0"/>
        <w:adjustRightInd w:val="0"/>
        <w:rPr>
          <w:szCs w:val="24"/>
          <w:lang w:val="es-ES_tradnl"/>
        </w:rPr>
      </w:pPr>
      <w:r>
        <w:rPr>
          <w:szCs w:val="24"/>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C43447">
        <w:rPr>
          <w:szCs w:val="22"/>
          <w:highlight w:val="lightGray"/>
          <w:lang w:val="es-ES" w:eastAsia="en-US"/>
        </w:rPr>
        <w:t xml:space="preserve">sistema nacional de notificación  incluido en el </w:t>
      </w:r>
      <w:r>
        <w:fldChar w:fldCharType="begin"/>
      </w:r>
      <w:r w:rsidRPr="00467FFD">
        <w:rPr>
          <w:lang w:val="es-ES"/>
          <w:rPrChange w:id="225" w:author="AUTHOR">
            <w:rPr/>
          </w:rPrChange>
        </w:rPr>
        <w:instrText>HYPERLINK "https://www.ema.europa.eu/documents/template-form/qrd-appendix-v-adverse-drug-reaction-reporting-details_en.docx"</w:instrText>
      </w:r>
      <w:r>
        <w:fldChar w:fldCharType="separate"/>
      </w:r>
      <w:r w:rsidRPr="00C43447">
        <w:rPr>
          <w:rStyle w:val="Hyperlink"/>
          <w:szCs w:val="22"/>
          <w:highlight w:val="lightGray"/>
          <w:lang w:val="es-ES" w:eastAsia="en-US"/>
        </w:rPr>
        <w:t>A</w:t>
      </w:r>
      <w:r w:rsidR="00515999">
        <w:rPr>
          <w:rStyle w:val="Hyperlink"/>
          <w:szCs w:val="22"/>
          <w:highlight w:val="lightGray"/>
          <w:lang w:val="es-ES" w:eastAsia="en-US"/>
        </w:rPr>
        <w:t>péndice</w:t>
      </w:r>
      <w:r w:rsidRPr="00C43447">
        <w:rPr>
          <w:rStyle w:val="Hyperlink"/>
          <w:szCs w:val="22"/>
          <w:highlight w:val="lightGray"/>
          <w:lang w:val="es-ES" w:eastAsia="en-US"/>
        </w:rPr>
        <w:t xml:space="preserve"> V</w:t>
      </w:r>
      <w:r>
        <w:fldChar w:fldCharType="end"/>
      </w:r>
      <w:r>
        <w:rPr>
          <w:szCs w:val="24"/>
          <w:lang w:val="es-ES_tradnl"/>
        </w:rPr>
        <w:t>.</w:t>
      </w:r>
    </w:p>
    <w:p w14:paraId="2430F29F" w14:textId="77777777" w:rsidR="007927FC" w:rsidRPr="008A106B" w:rsidRDefault="007927FC" w:rsidP="007927FC">
      <w:pPr>
        <w:autoSpaceDE w:val="0"/>
        <w:autoSpaceDN w:val="0"/>
        <w:adjustRightInd w:val="0"/>
        <w:rPr>
          <w:rFonts w:eastAsia="SimSun"/>
          <w:szCs w:val="22"/>
          <w:u w:val="single"/>
          <w:lang w:val="es-ES" w:eastAsia="zh-CN"/>
        </w:rPr>
      </w:pPr>
    </w:p>
    <w:p w14:paraId="04D870F1" w14:textId="77777777" w:rsidR="007927FC" w:rsidRPr="008A106B" w:rsidRDefault="007927FC" w:rsidP="007927FC">
      <w:pPr>
        <w:ind w:left="567" w:hanging="567"/>
        <w:outlineLvl w:val="0"/>
        <w:rPr>
          <w:lang w:val="es-ES"/>
        </w:rPr>
      </w:pPr>
      <w:r w:rsidRPr="008A106B">
        <w:rPr>
          <w:b/>
          <w:bCs/>
          <w:lang w:val="es-ES"/>
        </w:rPr>
        <w:t>4.9</w:t>
      </w:r>
      <w:r w:rsidRPr="008A106B">
        <w:rPr>
          <w:b/>
          <w:bCs/>
          <w:lang w:val="es-ES"/>
        </w:rPr>
        <w:tab/>
      </w:r>
      <w:r w:rsidRPr="008A106B">
        <w:rPr>
          <w:b/>
          <w:bCs/>
          <w:lang w:val="es-ES_tradnl"/>
        </w:rPr>
        <w:t>Sobredosis</w:t>
      </w:r>
    </w:p>
    <w:p w14:paraId="7E718359" w14:textId="77777777" w:rsidR="007927FC" w:rsidRPr="008A106B" w:rsidRDefault="007927FC" w:rsidP="007927FC">
      <w:pPr>
        <w:rPr>
          <w:lang w:val="es-ES"/>
        </w:rPr>
      </w:pPr>
    </w:p>
    <w:p w14:paraId="63C8D734" w14:textId="097E0749" w:rsidR="007927FC" w:rsidRPr="008A106B" w:rsidRDefault="007927FC" w:rsidP="007927FC">
      <w:pPr>
        <w:rPr>
          <w:lang w:val="es-ES"/>
        </w:rPr>
      </w:pPr>
      <w:r w:rsidRPr="008A106B">
        <w:rPr>
          <w:lang w:val="es-ES_tradnl"/>
        </w:rPr>
        <w:t xml:space="preserve">Hay pocos datos disponibles acerca de la sobredosis con </w:t>
      </w:r>
      <w:r w:rsidR="00DE5F92">
        <w:rPr>
          <w:lang w:val="es-ES_tradnl"/>
        </w:rPr>
        <w:t>tocilizumab</w:t>
      </w:r>
      <w:r w:rsidRPr="008A106B">
        <w:rPr>
          <w:lang w:val="es-ES_tradnl"/>
        </w:rPr>
        <w:t>.</w:t>
      </w:r>
      <w:r w:rsidRPr="008A106B">
        <w:rPr>
          <w:lang w:val="es-ES"/>
        </w:rPr>
        <w:t xml:space="preserve"> </w:t>
      </w:r>
      <w:r w:rsidRPr="008A106B">
        <w:rPr>
          <w:lang w:val="es-ES_tradnl"/>
        </w:rPr>
        <w:t>Se notificó un caso de sobredosis accidental en el que un paciente con mieloma múltiple recibió una dosis única de 40 mg/kg. No se observaron reacciones adversas.</w:t>
      </w:r>
      <w:r w:rsidRPr="008A106B">
        <w:rPr>
          <w:lang w:val="es-ES"/>
        </w:rPr>
        <w:t xml:space="preserve"> </w:t>
      </w:r>
    </w:p>
    <w:p w14:paraId="2AF4D90F" w14:textId="77777777" w:rsidR="007927FC" w:rsidRPr="008A106B" w:rsidRDefault="007927FC" w:rsidP="007927FC">
      <w:pPr>
        <w:rPr>
          <w:lang w:val="es-ES"/>
        </w:rPr>
      </w:pPr>
    </w:p>
    <w:p w14:paraId="0E37CEE6" w14:textId="77777777" w:rsidR="007927FC" w:rsidRDefault="007927FC" w:rsidP="007927FC">
      <w:pPr>
        <w:rPr>
          <w:lang w:val="es-ES_tradnl"/>
        </w:rPr>
      </w:pPr>
      <w:r w:rsidRPr="000911DD">
        <w:rPr>
          <w:lang w:val="es-ES_tradnl"/>
        </w:rPr>
        <w:t>No se observaron reacciones adversas graves en voluntarios sanos que recibieron una dosis única de hasta 28 mg/kg, aunque se observó neutropenia limitante de la dosis.</w:t>
      </w:r>
    </w:p>
    <w:p w14:paraId="0E08F4BF" w14:textId="77777777" w:rsidR="00A13035" w:rsidRDefault="00A13035" w:rsidP="007927FC">
      <w:pPr>
        <w:rPr>
          <w:lang w:val="es-ES_tradnl"/>
        </w:rPr>
      </w:pPr>
    </w:p>
    <w:p w14:paraId="5260ECC1" w14:textId="77777777" w:rsidR="007927FC" w:rsidRPr="008A106B" w:rsidRDefault="007927FC" w:rsidP="007927FC">
      <w:pPr>
        <w:ind w:left="567" w:hanging="567"/>
        <w:rPr>
          <w:lang w:val="es-ES"/>
        </w:rPr>
      </w:pPr>
    </w:p>
    <w:p w14:paraId="6B6788B2" w14:textId="77777777" w:rsidR="007927FC" w:rsidRPr="008A106B" w:rsidRDefault="007927FC" w:rsidP="0078290D">
      <w:pPr>
        <w:keepNext/>
        <w:ind w:left="567" w:hanging="567"/>
        <w:rPr>
          <w:lang w:val="es-ES"/>
        </w:rPr>
      </w:pPr>
      <w:r w:rsidRPr="008A106B">
        <w:rPr>
          <w:b/>
          <w:bCs/>
          <w:lang w:val="es-ES"/>
        </w:rPr>
        <w:t>5.</w:t>
      </w:r>
      <w:r w:rsidRPr="008A106B">
        <w:rPr>
          <w:b/>
          <w:bCs/>
          <w:lang w:val="es-ES"/>
        </w:rPr>
        <w:tab/>
      </w:r>
      <w:r w:rsidRPr="008A106B">
        <w:rPr>
          <w:b/>
          <w:bCs/>
          <w:lang w:val="es-ES_tradnl"/>
        </w:rPr>
        <w:t>PROPIEDADES FARMACOLÓGICAS</w:t>
      </w:r>
    </w:p>
    <w:p w14:paraId="7DF3F3AB" w14:textId="77777777" w:rsidR="007927FC" w:rsidRPr="008A106B" w:rsidRDefault="007927FC" w:rsidP="0078290D">
      <w:pPr>
        <w:keepNext/>
        <w:rPr>
          <w:lang w:val="es-ES"/>
        </w:rPr>
      </w:pPr>
    </w:p>
    <w:p w14:paraId="12D7F39D" w14:textId="77777777" w:rsidR="007927FC" w:rsidRPr="008A106B" w:rsidRDefault="007927FC" w:rsidP="0078290D">
      <w:pPr>
        <w:keepNext/>
        <w:ind w:left="567" w:hanging="567"/>
        <w:outlineLvl w:val="0"/>
        <w:rPr>
          <w:lang w:val="es-ES"/>
        </w:rPr>
      </w:pPr>
      <w:r w:rsidRPr="008A106B">
        <w:rPr>
          <w:b/>
          <w:bCs/>
          <w:lang w:val="es-ES"/>
        </w:rPr>
        <w:t xml:space="preserve">5.1 </w:t>
      </w:r>
      <w:r w:rsidRPr="008A106B">
        <w:rPr>
          <w:b/>
          <w:bCs/>
          <w:lang w:val="es-ES"/>
        </w:rPr>
        <w:tab/>
      </w:r>
      <w:r w:rsidRPr="008A106B">
        <w:rPr>
          <w:b/>
          <w:bCs/>
          <w:lang w:val="es-ES_tradnl"/>
        </w:rPr>
        <w:t>Propiedades farmacodinámicas</w:t>
      </w:r>
    </w:p>
    <w:p w14:paraId="01A997B2" w14:textId="77777777" w:rsidR="007927FC" w:rsidRPr="008A106B" w:rsidRDefault="007927FC" w:rsidP="0078290D">
      <w:pPr>
        <w:keepNext/>
        <w:rPr>
          <w:lang w:val="es-ES"/>
        </w:rPr>
      </w:pPr>
    </w:p>
    <w:p w14:paraId="622D29FB" w14:textId="77777777" w:rsidR="007927FC" w:rsidRPr="008A106B" w:rsidRDefault="007927FC" w:rsidP="007927FC">
      <w:pPr>
        <w:numPr>
          <w:ilvl w:val="12"/>
          <w:numId w:val="0"/>
        </w:numPr>
        <w:ind w:right="-2"/>
        <w:rPr>
          <w:lang w:val="es-ES"/>
        </w:rPr>
      </w:pPr>
      <w:r w:rsidRPr="008A106B">
        <w:rPr>
          <w:lang w:val="es-ES_tradnl"/>
        </w:rPr>
        <w:t>Grupo farmacoterapéutico:</w:t>
      </w:r>
      <w:r w:rsidRPr="008A106B">
        <w:rPr>
          <w:lang w:val="es-ES"/>
        </w:rPr>
        <w:t xml:space="preserve"> </w:t>
      </w:r>
      <w:r w:rsidRPr="008A106B">
        <w:rPr>
          <w:lang w:val="es-ES_tradnl"/>
        </w:rPr>
        <w:t>Agente inmunosupresor, inhibidores de la interleucina; Código ATC:</w:t>
      </w:r>
      <w:r w:rsidRPr="008A106B">
        <w:rPr>
          <w:lang w:val="es-ES"/>
        </w:rPr>
        <w:t xml:space="preserve"> </w:t>
      </w:r>
      <w:r w:rsidRPr="008A106B">
        <w:rPr>
          <w:lang w:val="es-ES_tradnl"/>
        </w:rPr>
        <w:t>L04AC07.</w:t>
      </w:r>
    </w:p>
    <w:p w14:paraId="79B0635D" w14:textId="77777777" w:rsidR="007927FC" w:rsidRPr="008A106B" w:rsidRDefault="007927FC" w:rsidP="007927FC">
      <w:pPr>
        <w:numPr>
          <w:ilvl w:val="12"/>
          <w:numId w:val="0"/>
        </w:numPr>
        <w:ind w:right="-2"/>
        <w:rPr>
          <w:lang w:val="es-ES"/>
        </w:rPr>
      </w:pPr>
    </w:p>
    <w:p w14:paraId="7EE0E2A3" w14:textId="77777777" w:rsidR="007927FC" w:rsidDel="00D33DBC" w:rsidRDefault="007927FC" w:rsidP="007927FC">
      <w:pPr>
        <w:keepNext/>
        <w:numPr>
          <w:ilvl w:val="12"/>
          <w:numId w:val="0"/>
        </w:numPr>
        <w:rPr>
          <w:del w:id="226" w:author="AUTHOR"/>
          <w:iCs/>
          <w:u w:val="single"/>
          <w:lang w:val="es-ES_tradnl"/>
        </w:rPr>
      </w:pPr>
      <w:r w:rsidRPr="008A106B">
        <w:rPr>
          <w:iCs/>
          <w:u w:val="single"/>
          <w:lang w:val="es-ES_tradnl"/>
        </w:rPr>
        <w:t>Mecanismo de acción</w:t>
      </w:r>
    </w:p>
    <w:p w14:paraId="14639129" w14:textId="77777777" w:rsidR="00DE5F92" w:rsidRPr="008A106B" w:rsidRDefault="00DE5F92" w:rsidP="007927FC">
      <w:pPr>
        <w:keepNext/>
        <w:numPr>
          <w:ilvl w:val="12"/>
          <w:numId w:val="0"/>
        </w:numPr>
        <w:rPr>
          <w:iCs/>
          <w:u w:val="single"/>
          <w:lang w:val="es-ES"/>
        </w:rPr>
      </w:pPr>
    </w:p>
    <w:p w14:paraId="4AC494CE" w14:textId="77777777" w:rsidR="007927FC" w:rsidRPr="008A106B" w:rsidRDefault="007927FC" w:rsidP="007927FC">
      <w:pPr>
        <w:numPr>
          <w:ilvl w:val="12"/>
          <w:numId w:val="0"/>
        </w:numPr>
        <w:ind w:right="-2"/>
        <w:rPr>
          <w:lang w:val="es-ES"/>
        </w:rPr>
      </w:pPr>
      <w:r w:rsidRPr="008A106B">
        <w:rPr>
          <w:lang w:val="es-ES_tradnl"/>
        </w:rPr>
        <w:t>Tocilizumab se une específicamente a los receptores de IL-6 tanto solubles como unidos a membranas (IL-6Rs e IL-6Rm).</w:t>
      </w:r>
      <w:r w:rsidRPr="008A106B">
        <w:rPr>
          <w:lang w:val="es-ES"/>
        </w:rPr>
        <w:t xml:space="preserve"> </w:t>
      </w:r>
      <w:r w:rsidRPr="008A106B">
        <w:rPr>
          <w:lang w:val="es-ES_tradnl"/>
        </w:rPr>
        <w:t>Se ha demostrado que tocilizumab inhibe la señalización mediada por IL-6Rs e IL-6Rm.</w:t>
      </w:r>
      <w:r w:rsidRPr="008A106B">
        <w:rPr>
          <w:lang w:val="es-ES"/>
        </w:rPr>
        <w:t xml:space="preserve"> </w:t>
      </w:r>
      <w:r w:rsidRPr="008A106B">
        <w:rPr>
          <w:lang w:val="es-ES_tradnl"/>
        </w:rPr>
        <w:t>La IL-6 es una citocina proinflamatoria pleiotrópica producida por diversos tipos celulares incluidas células T y B, los monocitos y los fibroblastos.</w:t>
      </w:r>
      <w:r w:rsidRPr="008A106B">
        <w:rPr>
          <w:lang w:val="es-ES"/>
        </w:rPr>
        <w:t xml:space="preserve"> </w:t>
      </w:r>
      <w:r w:rsidRPr="008A106B">
        <w:rPr>
          <w:lang w:val="es-ES_tradnl"/>
        </w:rPr>
        <w:t>La IL-6 participa en diversos procesos fisiológicos como la activación de los linfocitos T, la inducción de secreción de inmunoglobulina, la inducción de síntesis hepática de proteínas de la fase aguda y</w:t>
      </w:r>
      <w:r w:rsidRPr="008A106B">
        <w:rPr>
          <w:lang w:val="es-ES"/>
        </w:rPr>
        <w:t xml:space="preserve"> </w:t>
      </w:r>
      <w:r w:rsidRPr="008A106B">
        <w:rPr>
          <w:lang w:val="es-ES_tradnl"/>
        </w:rPr>
        <w:t>la estimulación de la hemopoyesis.</w:t>
      </w:r>
      <w:r w:rsidRPr="008A106B">
        <w:rPr>
          <w:lang w:val="es-ES"/>
        </w:rPr>
        <w:t xml:space="preserve"> </w:t>
      </w:r>
      <w:r w:rsidRPr="008A106B">
        <w:rPr>
          <w:lang w:val="es-ES_tradnl"/>
        </w:rPr>
        <w:t>Se ha implicado a la IL-6 en la patogenia de enfermedades como enfermedades inflamatorias, osteoporosis y neoplasias.</w:t>
      </w:r>
      <w:r w:rsidRPr="008A106B">
        <w:rPr>
          <w:lang w:val="es-ES"/>
        </w:rPr>
        <w:t xml:space="preserve"> </w:t>
      </w:r>
    </w:p>
    <w:p w14:paraId="728D848A" w14:textId="77777777" w:rsidR="007927FC" w:rsidRPr="008A106B" w:rsidRDefault="007927FC" w:rsidP="007927FC">
      <w:pPr>
        <w:numPr>
          <w:ilvl w:val="12"/>
          <w:numId w:val="0"/>
        </w:numPr>
        <w:ind w:right="-2"/>
        <w:rPr>
          <w:lang w:val="es-ES"/>
        </w:rPr>
      </w:pPr>
    </w:p>
    <w:p w14:paraId="3A229CF1" w14:textId="77777777" w:rsidR="007927FC" w:rsidRPr="00F30AB8" w:rsidDel="00D33DBC" w:rsidRDefault="007927FC" w:rsidP="00097C58">
      <w:pPr>
        <w:keepNext/>
        <w:keepLines/>
        <w:numPr>
          <w:ilvl w:val="12"/>
          <w:numId w:val="0"/>
        </w:numPr>
        <w:ind w:right="-2"/>
        <w:rPr>
          <w:del w:id="227" w:author="AUTHOR"/>
          <w:u w:val="single"/>
          <w:lang w:val="es-ES"/>
        </w:rPr>
      </w:pPr>
      <w:r w:rsidRPr="00F30AB8">
        <w:rPr>
          <w:u w:val="single"/>
          <w:lang w:val="es-ES"/>
        </w:rPr>
        <w:t>Efectos farmacodinámicos</w:t>
      </w:r>
    </w:p>
    <w:p w14:paraId="5CEB984D" w14:textId="77777777" w:rsidR="00DB5D62" w:rsidRPr="004B67DA" w:rsidRDefault="00DB5D62" w:rsidP="00097C58">
      <w:pPr>
        <w:keepNext/>
        <w:keepLines/>
        <w:numPr>
          <w:ilvl w:val="12"/>
          <w:numId w:val="0"/>
        </w:numPr>
        <w:ind w:right="-2"/>
        <w:rPr>
          <w:lang w:val="es-ES"/>
        </w:rPr>
      </w:pPr>
    </w:p>
    <w:p w14:paraId="553E9824" w14:textId="31BD0658" w:rsidR="007927FC" w:rsidRPr="008A106B" w:rsidRDefault="007927FC" w:rsidP="007927FC">
      <w:pPr>
        <w:numPr>
          <w:ilvl w:val="12"/>
          <w:numId w:val="0"/>
        </w:numPr>
        <w:tabs>
          <w:tab w:val="left" w:pos="1985"/>
        </w:tabs>
        <w:ind w:right="-2"/>
        <w:rPr>
          <w:lang w:val="es-ES"/>
        </w:rPr>
      </w:pPr>
      <w:r w:rsidRPr="008A106B">
        <w:rPr>
          <w:lang w:val="es-ES_tradnl"/>
        </w:rPr>
        <w:t xml:space="preserve">En ensayos clínicos </w:t>
      </w:r>
      <w:r w:rsidR="00037A04">
        <w:rPr>
          <w:lang w:val="es-ES_tradnl"/>
        </w:rPr>
        <w:t xml:space="preserve">en pacientes con AR tratados </w:t>
      </w:r>
      <w:r w:rsidRPr="008A106B">
        <w:rPr>
          <w:lang w:val="es-ES_tradnl"/>
        </w:rPr>
        <w:t>con tocilizumab, se observaron reducciones rápidas de la proteína C reactiva (PCR), la velocidad de sedimentación globular (VSG)</w:t>
      </w:r>
      <w:r w:rsidR="0089499D">
        <w:rPr>
          <w:lang w:val="es-ES_tradnl"/>
        </w:rPr>
        <w:t>,</w:t>
      </w:r>
      <w:r w:rsidRPr="008A106B">
        <w:rPr>
          <w:lang w:val="es-ES_tradnl"/>
        </w:rPr>
        <w:t xml:space="preserve"> el amiloide A sérico (AAS)</w:t>
      </w:r>
      <w:r w:rsidR="0089499D">
        <w:rPr>
          <w:lang w:val="es-ES_tradnl"/>
        </w:rPr>
        <w:t xml:space="preserve"> y el fibrinógeno</w:t>
      </w:r>
      <w:r w:rsidRPr="008A106B">
        <w:rPr>
          <w:lang w:val="es-ES_tradnl"/>
        </w:rPr>
        <w:t>.</w:t>
      </w:r>
      <w:r w:rsidRPr="008A106B">
        <w:rPr>
          <w:lang w:val="es-ES"/>
        </w:rPr>
        <w:t xml:space="preserve"> </w:t>
      </w:r>
      <w:r w:rsidRPr="008A106B">
        <w:rPr>
          <w:lang w:val="es-ES_tradnl"/>
        </w:rPr>
        <w:t>De forma coherente con el efecto sobre los reactantes de la fase aguda, el tratamiento con tocilizumab se asoció a reducción del recuento de plaquetas dentro del rango normal.</w:t>
      </w:r>
      <w:r w:rsidRPr="008A106B">
        <w:rPr>
          <w:lang w:val="es-ES"/>
        </w:rPr>
        <w:t xml:space="preserve"> </w:t>
      </w:r>
      <w:r w:rsidRPr="008A106B">
        <w:rPr>
          <w:lang w:val="es-ES_tradnl"/>
        </w:rPr>
        <w:t>Se observaron aumentos de los niveles de hemoglobina, debidos a la reducción por tocilizumab de los efectos impulsados por la IL-6 sobre la producción de hepcidina para aumentar la disponibilidad del hierro.</w:t>
      </w:r>
      <w:r w:rsidRPr="008A106B">
        <w:rPr>
          <w:lang w:val="es-ES"/>
        </w:rPr>
        <w:t xml:space="preserve"> </w:t>
      </w:r>
      <w:r w:rsidRPr="008A106B">
        <w:rPr>
          <w:lang w:val="es-ES_tradnl"/>
        </w:rPr>
        <w:t>En pacientes tratados, se observaron disminuciones de los niveles de PCR dentro de los valores normales ya a la semana</w:t>
      </w:r>
      <w:r w:rsidR="00205482">
        <w:rPr>
          <w:lang w:val="es-ES_tradnl"/>
        </w:rPr>
        <w:t xml:space="preserve"> 2 </w:t>
      </w:r>
      <w:r w:rsidRPr="008A106B">
        <w:rPr>
          <w:lang w:val="es-ES_tradnl"/>
        </w:rPr>
        <w:t>y las reducciones se mantuvieron mientras se mantenía el tratamiento.</w:t>
      </w:r>
    </w:p>
    <w:p w14:paraId="5D5F7292" w14:textId="77777777" w:rsidR="007927FC" w:rsidRPr="008A106B" w:rsidRDefault="007927FC" w:rsidP="007927FC">
      <w:pPr>
        <w:numPr>
          <w:ilvl w:val="12"/>
          <w:numId w:val="0"/>
        </w:numPr>
        <w:ind w:right="-2"/>
        <w:rPr>
          <w:lang w:val="es-ES"/>
        </w:rPr>
      </w:pPr>
    </w:p>
    <w:p w14:paraId="31BB2E8C" w14:textId="7A4E6E3E" w:rsidR="0085789E" w:rsidRDefault="007927FC" w:rsidP="007927FC">
      <w:pPr>
        <w:numPr>
          <w:ilvl w:val="12"/>
          <w:numId w:val="0"/>
        </w:numPr>
        <w:ind w:right="-2"/>
        <w:rPr>
          <w:lang w:val="es-ES"/>
        </w:rPr>
      </w:pPr>
      <w:r w:rsidRPr="008A106B">
        <w:rPr>
          <w:lang w:val="es-ES"/>
        </w:rPr>
        <w:t>En voluntarios sanos a los que se administró tocilizumab a dosis de 2 a 28 mg/kg, el recuento absoluto de neutrófilos disminuyó a su nivel más bajo tra</w:t>
      </w:r>
      <w:ins w:id="228" w:author="AUTHOR">
        <w:r w:rsidR="000679B6">
          <w:rPr>
            <w:lang w:val="es-ES"/>
          </w:rPr>
          <w:t>n</w:t>
        </w:r>
      </w:ins>
      <w:r w:rsidRPr="008A106B">
        <w:rPr>
          <w:lang w:val="es-ES"/>
        </w:rPr>
        <w:t xml:space="preserve">scurridos de 3 a 5 días tras la administración. Posteriormente los niveles de neutrófilos se recuperaron hasta el valor basal de una manera dosis dependiente. Los pacientes con artritis reumatoide han mostrado un patrón similar en el recuento absoluto de neutrófilos tras la administración con tocilizumab (ver sección 4.8). </w:t>
      </w:r>
    </w:p>
    <w:p w14:paraId="74F56CB9" w14:textId="77777777" w:rsidR="0085789E" w:rsidRDefault="0085789E" w:rsidP="007927FC">
      <w:pPr>
        <w:numPr>
          <w:ilvl w:val="12"/>
          <w:numId w:val="0"/>
        </w:numPr>
        <w:ind w:right="-2"/>
        <w:rPr>
          <w:lang w:val="es-ES"/>
        </w:rPr>
      </w:pPr>
    </w:p>
    <w:p w14:paraId="0658FA6F" w14:textId="3BA938B5" w:rsidR="007927FC" w:rsidRPr="008A106B" w:rsidRDefault="0085789E" w:rsidP="007927FC">
      <w:pPr>
        <w:numPr>
          <w:ilvl w:val="12"/>
          <w:numId w:val="0"/>
        </w:numPr>
        <w:ind w:right="-2"/>
        <w:rPr>
          <w:lang w:val="es-ES"/>
        </w:rPr>
      </w:pPr>
      <w:r w:rsidRPr="0085789E">
        <w:rPr>
          <w:lang w:val="es-ES"/>
        </w:rPr>
        <w:t>En pacientes con C</w:t>
      </w:r>
      <w:r>
        <w:rPr>
          <w:lang w:val="es-ES"/>
        </w:rPr>
        <w:t>OVID-19 con una dosis de 8 mg/</w:t>
      </w:r>
      <w:r w:rsidRPr="0085789E">
        <w:rPr>
          <w:lang w:val="es-ES"/>
        </w:rPr>
        <w:t xml:space="preserve">kg de tocilizumab administrada por vía intravenosa, se observaron disminuciones en los niveles de PCR dentro de los rangos normales ya en el </w:t>
      </w:r>
      <w:proofErr w:type="gramStart"/>
      <w:r w:rsidRPr="0085789E">
        <w:rPr>
          <w:lang w:val="es-ES"/>
        </w:rPr>
        <w:t>día</w:t>
      </w:r>
      <w:r w:rsidR="00205482">
        <w:rPr>
          <w:lang w:val="es-ES_tradnl"/>
        </w:rPr>
        <w:t> </w:t>
      </w:r>
      <w:r w:rsidR="00205482" w:rsidRPr="0085789E" w:rsidDel="00205482">
        <w:rPr>
          <w:lang w:val="es-ES"/>
        </w:rPr>
        <w:t xml:space="preserve"> </w:t>
      </w:r>
      <w:r w:rsidRPr="0085789E">
        <w:rPr>
          <w:lang w:val="es-ES"/>
        </w:rPr>
        <w:t>7</w:t>
      </w:r>
      <w:proofErr w:type="gramEnd"/>
      <w:r w:rsidRPr="0085789E">
        <w:rPr>
          <w:lang w:val="es-ES"/>
        </w:rPr>
        <w:t>.</w:t>
      </w:r>
    </w:p>
    <w:p w14:paraId="1E8C264E" w14:textId="77777777" w:rsidR="00037A04" w:rsidRDefault="00037A04" w:rsidP="00037A04">
      <w:pPr>
        <w:keepNext/>
        <w:keepLines/>
        <w:numPr>
          <w:ilvl w:val="12"/>
          <w:numId w:val="0"/>
        </w:numPr>
        <w:rPr>
          <w:u w:val="single"/>
          <w:lang w:val="es-ES"/>
        </w:rPr>
      </w:pPr>
    </w:p>
    <w:p w14:paraId="01A637BC" w14:textId="77777777" w:rsidR="00037A04" w:rsidRPr="006868F5" w:rsidDel="00D33DBC" w:rsidRDefault="00037A04">
      <w:pPr>
        <w:keepNext/>
        <w:keepLines/>
        <w:numPr>
          <w:ilvl w:val="12"/>
          <w:numId w:val="0"/>
        </w:numPr>
        <w:rPr>
          <w:del w:id="229" w:author="AUTHOR"/>
          <w:u w:val="single"/>
          <w:lang w:val="es-ES"/>
        </w:rPr>
      </w:pPr>
      <w:r w:rsidRPr="006868F5">
        <w:rPr>
          <w:u w:val="single"/>
          <w:lang w:val="es-ES"/>
        </w:rPr>
        <w:t>Pacientes con AR</w:t>
      </w:r>
    </w:p>
    <w:p w14:paraId="60B4E004" w14:textId="77777777" w:rsidR="007927FC" w:rsidRPr="008A106B" w:rsidRDefault="007927FC">
      <w:pPr>
        <w:keepNext/>
        <w:keepLines/>
        <w:numPr>
          <w:ilvl w:val="12"/>
          <w:numId w:val="0"/>
        </w:numPr>
        <w:rPr>
          <w:lang w:val="es-ES"/>
        </w:rPr>
        <w:pPrChange w:id="230" w:author="tcs" w:date="2026-02-25T23:50:00Z">
          <w:pPr>
            <w:numPr>
              <w:ilvl w:val="12"/>
            </w:numPr>
            <w:ind w:right="-2"/>
          </w:pPr>
        </w:pPrChange>
      </w:pPr>
    </w:p>
    <w:p w14:paraId="1602E68E" w14:textId="77777777" w:rsidR="007927FC" w:rsidRPr="00F30AB8" w:rsidRDefault="007927FC">
      <w:pPr>
        <w:keepNext/>
        <w:keepLines/>
        <w:numPr>
          <w:ilvl w:val="12"/>
          <w:numId w:val="0"/>
        </w:numPr>
        <w:rPr>
          <w:i/>
          <w:iCs/>
          <w:lang w:val="es-ES"/>
        </w:rPr>
        <w:pPrChange w:id="231" w:author="tcs" w:date="2026-02-25T23:50:00Z">
          <w:pPr>
            <w:numPr>
              <w:ilvl w:val="12"/>
            </w:numPr>
          </w:pPr>
        </w:pPrChange>
      </w:pPr>
      <w:r w:rsidRPr="00F30AB8">
        <w:rPr>
          <w:i/>
          <w:iCs/>
          <w:lang w:val="es-ES_tradnl"/>
        </w:rPr>
        <w:t>Eficacia clínica</w:t>
      </w:r>
      <w:r w:rsidRPr="00F30AB8">
        <w:rPr>
          <w:i/>
          <w:iCs/>
          <w:lang w:val="es-ES"/>
        </w:rPr>
        <w:t xml:space="preserve"> y seguridad</w:t>
      </w:r>
    </w:p>
    <w:p w14:paraId="08538026" w14:textId="77777777" w:rsidR="00DB5D62" w:rsidRPr="008A106B" w:rsidRDefault="00DB5D62">
      <w:pPr>
        <w:keepNext/>
        <w:keepLines/>
        <w:numPr>
          <w:ilvl w:val="12"/>
          <w:numId w:val="0"/>
        </w:numPr>
        <w:rPr>
          <w:u w:val="single"/>
          <w:lang w:val="es-ES"/>
        </w:rPr>
        <w:pPrChange w:id="232" w:author="tcs" w:date="2026-02-25T23:50:00Z">
          <w:pPr>
            <w:numPr>
              <w:ilvl w:val="12"/>
            </w:numPr>
          </w:pPr>
        </w:pPrChange>
      </w:pPr>
    </w:p>
    <w:p w14:paraId="0667EBE1" w14:textId="5279F5B5" w:rsidR="007927FC" w:rsidRPr="008A106B" w:rsidRDefault="007927FC">
      <w:pPr>
        <w:keepNext/>
        <w:keepLines/>
        <w:numPr>
          <w:ilvl w:val="12"/>
          <w:numId w:val="0"/>
        </w:numPr>
        <w:rPr>
          <w:lang w:val="es-ES"/>
        </w:rPr>
        <w:pPrChange w:id="233" w:author="tcs" w:date="2026-02-25T23:50:00Z">
          <w:pPr>
            <w:numPr>
              <w:ilvl w:val="12"/>
            </w:numPr>
          </w:pPr>
        </w:pPrChange>
      </w:pPr>
      <w:r w:rsidRPr="008A106B">
        <w:rPr>
          <w:lang w:val="es-ES_tradnl"/>
        </w:rPr>
        <w:t>Se ha evaluado la eficacia de tocilizumab para aliviar los signos y síntomas de artritis reumatoide en cinco ensayos aleatorizados, doble ciego, multicéntricos.</w:t>
      </w:r>
      <w:r w:rsidRPr="008A106B">
        <w:rPr>
          <w:lang w:val="es-ES"/>
        </w:rPr>
        <w:t xml:space="preserve"> </w:t>
      </w:r>
      <w:r w:rsidRPr="008A106B">
        <w:rPr>
          <w:lang w:val="es-ES_tradnl"/>
        </w:rPr>
        <w:t xml:space="preserve">Los </w:t>
      </w:r>
      <w:proofErr w:type="gramStart"/>
      <w:r w:rsidRPr="008A106B">
        <w:rPr>
          <w:lang w:val="es-ES_tradnl"/>
        </w:rPr>
        <w:t xml:space="preserve">ensayos </w:t>
      </w:r>
      <w:ins w:id="234" w:author="AUTHOR">
        <w:r w:rsidR="00994C36" w:rsidRPr="008A106B">
          <w:rPr>
            <w:lang w:val="es-ES_tradnl"/>
          </w:rPr>
          <w:t xml:space="preserve"> </w:t>
        </w:r>
      </w:ins>
      <w:r w:rsidRPr="008A106B">
        <w:rPr>
          <w:lang w:val="es-ES_tradnl"/>
        </w:rPr>
        <w:t>I</w:t>
      </w:r>
      <w:proofErr w:type="gramEnd"/>
      <w:r w:rsidRPr="008A106B">
        <w:rPr>
          <w:lang w:val="es-ES_tradnl"/>
        </w:rPr>
        <w:t xml:space="preserve">-V incluyeron a pacientes ≥ </w:t>
      </w:r>
      <w:r w:rsidR="00205482" w:rsidRPr="00F30AB8">
        <w:rPr>
          <w:szCs w:val="22"/>
          <w:lang w:val="es-ES"/>
        </w:rPr>
        <w:t xml:space="preserve"> ≥</w:t>
      </w:r>
      <w:r w:rsidR="00205482" w:rsidRPr="008A106B">
        <w:rPr>
          <w:lang w:val="es-ES_tradnl"/>
        </w:rPr>
        <w:t> </w:t>
      </w:r>
      <w:r w:rsidRPr="008A106B">
        <w:rPr>
          <w:lang w:val="es-ES_tradnl"/>
        </w:rPr>
        <w:t>18 años de edad con artritis reumatoide activa diagnosticada según los criterios del American College of Rheumatology (ACR) y que tenían al menos ocho articulaciones doloridas y seis inflamadas al inicio.</w:t>
      </w:r>
      <w:r w:rsidRPr="008A106B">
        <w:rPr>
          <w:lang w:val="es-ES"/>
        </w:rPr>
        <w:t xml:space="preserve"> </w:t>
      </w:r>
    </w:p>
    <w:p w14:paraId="5BD0C172" w14:textId="77777777" w:rsidR="007927FC" w:rsidRPr="008A106B" w:rsidRDefault="007927FC" w:rsidP="007927FC">
      <w:pPr>
        <w:numPr>
          <w:ilvl w:val="12"/>
          <w:numId w:val="0"/>
        </w:numPr>
        <w:ind w:right="-2"/>
        <w:rPr>
          <w:lang w:val="es-ES"/>
        </w:rPr>
      </w:pPr>
    </w:p>
    <w:p w14:paraId="729A20C8" w14:textId="34EF53CA" w:rsidR="007927FC" w:rsidRPr="008A106B" w:rsidRDefault="007927FC" w:rsidP="007927FC">
      <w:pPr>
        <w:numPr>
          <w:ilvl w:val="12"/>
          <w:numId w:val="0"/>
        </w:numPr>
        <w:ind w:right="-2"/>
        <w:rPr>
          <w:lang w:val="es-ES"/>
        </w:rPr>
      </w:pPr>
      <w:r w:rsidRPr="008A106B">
        <w:rPr>
          <w:lang w:val="es-ES_tradnl"/>
        </w:rPr>
        <w:t>En el ensayo I, tocilizumab se administró por vía intravenosa cada cuatro semanas como monoterapia.</w:t>
      </w:r>
      <w:r w:rsidRPr="008A106B">
        <w:rPr>
          <w:lang w:val="es-ES"/>
        </w:rPr>
        <w:t xml:space="preserve"> </w:t>
      </w:r>
      <w:r w:rsidRPr="008A106B">
        <w:rPr>
          <w:lang w:val="es-ES_tradnl"/>
        </w:rPr>
        <w:t xml:space="preserve">En los </w:t>
      </w:r>
      <w:del w:id="235" w:author="AUTHOR">
        <w:r w:rsidRPr="008A106B" w:rsidDel="006C4AF1">
          <w:rPr>
            <w:lang w:val="es-ES_tradnl"/>
          </w:rPr>
          <w:delText xml:space="preserve">estudios </w:delText>
        </w:r>
      </w:del>
      <w:ins w:id="236" w:author="AUTHOR">
        <w:r w:rsidR="006C4AF1">
          <w:rPr>
            <w:lang w:val="es-ES_tradnl"/>
          </w:rPr>
          <w:t>ensayos</w:t>
        </w:r>
        <w:r w:rsidR="006C4AF1" w:rsidRPr="008A106B">
          <w:rPr>
            <w:lang w:val="es-ES_tradnl"/>
          </w:rPr>
          <w:t xml:space="preserve"> </w:t>
        </w:r>
      </w:ins>
      <w:r w:rsidRPr="008A106B">
        <w:rPr>
          <w:lang w:val="es-ES_tradnl"/>
        </w:rPr>
        <w:t>II, III y V, tocilizumab se administró por vía intravenosa cada cuatro semanas en combinación con MTX frente a placebo y MTX.</w:t>
      </w:r>
      <w:r w:rsidRPr="008A106B">
        <w:rPr>
          <w:lang w:val="es-ES"/>
        </w:rPr>
        <w:t xml:space="preserve"> </w:t>
      </w:r>
      <w:r w:rsidRPr="008A106B">
        <w:rPr>
          <w:lang w:val="es-ES_tradnl"/>
        </w:rPr>
        <w:t xml:space="preserve">En el </w:t>
      </w:r>
      <w:del w:id="237" w:author="AUTHOR">
        <w:r w:rsidRPr="008A106B" w:rsidDel="006C4AF1">
          <w:rPr>
            <w:lang w:val="es-ES_tradnl"/>
          </w:rPr>
          <w:delText xml:space="preserve">estudio </w:delText>
        </w:r>
      </w:del>
      <w:ins w:id="238" w:author="AUTHOR">
        <w:r w:rsidR="006C4AF1">
          <w:rPr>
            <w:lang w:val="es-ES_tradnl"/>
          </w:rPr>
          <w:t>ensayo</w:t>
        </w:r>
        <w:r w:rsidR="006C4AF1" w:rsidRPr="008A106B">
          <w:rPr>
            <w:lang w:val="es-ES_tradnl"/>
          </w:rPr>
          <w:t xml:space="preserve"> </w:t>
        </w:r>
      </w:ins>
      <w:r w:rsidRPr="008A106B">
        <w:rPr>
          <w:lang w:val="es-ES_tradnl"/>
        </w:rPr>
        <w:t>IV, tocilizumab se administró por vía intravenosa cada 4 semanas en combinación con otros FAMEs frente a placebo y otros FAMEs.</w:t>
      </w:r>
      <w:r w:rsidRPr="008A106B">
        <w:rPr>
          <w:lang w:val="es-ES"/>
        </w:rPr>
        <w:t xml:space="preserve"> </w:t>
      </w:r>
      <w:del w:id="239" w:author="AUTHOR">
        <w:r w:rsidRPr="008A106B" w:rsidDel="00E11790">
          <w:rPr>
            <w:lang w:val="es-ES_tradnl"/>
          </w:rPr>
          <w:delText>El objetivo primario</w:delText>
        </w:r>
      </w:del>
      <w:ins w:id="240" w:author="AUTHOR">
        <w:r w:rsidR="00E11790">
          <w:rPr>
            <w:lang w:val="es-ES_tradnl"/>
          </w:rPr>
          <w:t>La variable principal</w:t>
        </w:r>
      </w:ins>
      <w:r w:rsidRPr="008A106B">
        <w:rPr>
          <w:lang w:val="es-ES_tradnl"/>
        </w:rPr>
        <w:t xml:space="preserve"> de los cinco estudios fue la proporción de pacientes que alcanzaron respuesta ACR20 la semana</w:t>
      </w:r>
      <w:r w:rsidR="00205482">
        <w:rPr>
          <w:lang w:val="es-ES_tradnl"/>
        </w:rPr>
        <w:t> </w:t>
      </w:r>
      <w:r w:rsidRPr="008A106B">
        <w:rPr>
          <w:lang w:val="es-ES_tradnl"/>
        </w:rPr>
        <w:t>24.</w:t>
      </w:r>
      <w:r w:rsidRPr="008A106B">
        <w:rPr>
          <w:lang w:val="es-ES"/>
        </w:rPr>
        <w:t xml:space="preserve"> </w:t>
      </w:r>
    </w:p>
    <w:p w14:paraId="1DE887DA" w14:textId="77777777" w:rsidR="007927FC" w:rsidRPr="008A106B" w:rsidRDefault="007927FC" w:rsidP="007927FC">
      <w:pPr>
        <w:numPr>
          <w:ilvl w:val="12"/>
          <w:numId w:val="0"/>
        </w:numPr>
        <w:ind w:right="-2"/>
        <w:rPr>
          <w:lang w:val="es-ES"/>
        </w:rPr>
      </w:pPr>
    </w:p>
    <w:p w14:paraId="7CB07EF3" w14:textId="2B3E2E3A" w:rsidR="007927FC" w:rsidRPr="008A106B" w:rsidRDefault="007927FC" w:rsidP="007927FC">
      <w:pPr>
        <w:numPr>
          <w:ilvl w:val="12"/>
          <w:numId w:val="0"/>
        </w:numPr>
        <w:ind w:right="-2"/>
        <w:rPr>
          <w:lang w:val="es-ES"/>
        </w:rPr>
      </w:pPr>
      <w:r w:rsidRPr="008A106B">
        <w:rPr>
          <w:lang w:val="es-ES_tradnl"/>
        </w:rPr>
        <w:t>En el ensayo I se evaluaron 673</w:t>
      </w:r>
      <w:r w:rsidR="00DB5D62">
        <w:rPr>
          <w:lang w:val="es-ES_tradnl"/>
        </w:rPr>
        <w:t> </w:t>
      </w:r>
      <w:r w:rsidRPr="008A106B">
        <w:rPr>
          <w:lang w:val="es-ES_tradnl"/>
        </w:rPr>
        <w:t>pacientes que no habían sido tratados con MTX en los seis meses previos a la aleatorización y que no habían suspendido el tratamiento previo con MTX como consecuencia de efectos tóxicos clínicamente importantes o falta de respuesta.</w:t>
      </w:r>
      <w:r w:rsidRPr="008A106B">
        <w:rPr>
          <w:lang w:val="es-ES"/>
        </w:rPr>
        <w:t xml:space="preserve"> </w:t>
      </w:r>
      <w:r w:rsidRPr="008A106B">
        <w:rPr>
          <w:lang w:val="es-ES_tradnl"/>
        </w:rPr>
        <w:t>La mayoría (67 %) de los pacientes no habían recibido nunca MTX.</w:t>
      </w:r>
      <w:r w:rsidRPr="008A106B">
        <w:rPr>
          <w:lang w:val="es-ES"/>
        </w:rPr>
        <w:t xml:space="preserve"> </w:t>
      </w:r>
      <w:r w:rsidRPr="008A106B">
        <w:rPr>
          <w:lang w:val="es-ES_tradnl"/>
        </w:rPr>
        <w:t>Se administraron dosis de 8 mg/kg de tocilizumab cada cuatro semanas como monoterapia.</w:t>
      </w:r>
      <w:r w:rsidRPr="008A106B">
        <w:rPr>
          <w:lang w:val="es-ES"/>
        </w:rPr>
        <w:t xml:space="preserve"> </w:t>
      </w:r>
      <w:r w:rsidRPr="008A106B">
        <w:rPr>
          <w:lang w:val="es-ES_tradnl"/>
        </w:rPr>
        <w:t>El grupo de comparación recibió MTX semanal (dosis ajustada desde 7,5 mg a un máximo de 20 mg por semana durante un período de ocho semanas).</w:t>
      </w:r>
      <w:r w:rsidRPr="008A106B">
        <w:rPr>
          <w:lang w:val="es-ES"/>
        </w:rPr>
        <w:t xml:space="preserve"> </w:t>
      </w:r>
    </w:p>
    <w:p w14:paraId="1A03186E" w14:textId="77777777" w:rsidR="007927FC" w:rsidRPr="008A106B" w:rsidRDefault="007927FC" w:rsidP="007927FC">
      <w:pPr>
        <w:numPr>
          <w:ilvl w:val="12"/>
          <w:numId w:val="0"/>
        </w:numPr>
        <w:ind w:right="-2"/>
        <w:rPr>
          <w:lang w:val="es-ES"/>
        </w:rPr>
      </w:pPr>
    </w:p>
    <w:p w14:paraId="03CCFA06" w14:textId="6F19AEF4" w:rsidR="007927FC" w:rsidRPr="008A106B" w:rsidRDefault="007927FC" w:rsidP="007927FC">
      <w:pPr>
        <w:numPr>
          <w:ilvl w:val="12"/>
          <w:numId w:val="0"/>
        </w:numPr>
        <w:ind w:right="-2"/>
        <w:rPr>
          <w:lang w:val="es-ES"/>
        </w:rPr>
      </w:pPr>
      <w:r w:rsidRPr="008A106B">
        <w:rPr>
          <w:lang w:val="es-ES_tradnl"/>
        </w:rPr>
        <w:t xml:space="preserve">En el ensayo II, un </w:t>
      </w:r>
      <w:del w:id="241" w:author="AUTHOR">
        <w:r w:rsidRPr="008A106B" w:rsidDel="00994C36">
          <w:rPr>
            <w:lang w:val="es-ES_tradnl"/>
          </w:rPr>
          <w:delText xml:space="preserve">estudio </w:delText>
        </w:r>
      </w:del>
      <w:ins w:id="242" w:author="AUTHOR">
        <w:r w:rsidR="00994C36">
          <w:rPr>
            <w:lang w:val="es-ES_tradnl"/>
          </w:rPr>
          <w:t>ensayo</w:t>
        </w:r>
        <w:r w:rsidR="00994C36" w:rsidRPr="008A106B">
          <w:rPr>
            <w:lang w:val="es-ES_tradnl"/>
          </w:rPr>
          <w:t xml:space="preserve"> </w:t>
        </w:r>
      </w:ins>
      <w:r w:rsidRPr="008A106B">
        <w:rPr>
          <w:lang w:val="es-ES_tradnl"/>
        </w:rPr>
        <w:t>de dos años con análisis planificados en las semanas</w:t>
      </w:r>
      <w:r w:rsidR="00205482" w:rsidRPr="00F30AB8">
        <w:rPr>
          <w:szCs w:val="22"/>
          <w:lang w:val="es-ES"/>
        </w:rPr>
        <w:t> </w:t>
      </w:r>
      <w:r w:rsidR="00205482" w:rsidRPr="008A106B" w:rsidDel="00205482">
        <w:rPr>
          <w:lang w:val="es-ES_tradnl"/>
        </w:rPr>
        <w:t xml:space="preserve"> </w:t>
      </w:r>
      <w:r w:rsidRPr="008A106B">
        <w:rPr>
          <w:lang w:val="es-ES_tradnl"/>
        </w:rPr>
        <w:t>24, 52 y 104, se evaluaron 1196</w:t>
      </w:r>
      <w:r w:rsidR="00205482" w:rsidRPr="00F30AB8">
        <w:rPr>
          <w:szCs w:val="22"/>
          <w:lang w:val="es-ES"/>
        </w:rPr>
        <w:t> </w:t>
      </w:r>
      <w:r w:rsidR="00205482" w:rsidRPr="008A106B" w:rsidDel="00205482">
        <w:rPr>
          <w:lang w:val="es-ES_tradnl"/>
        </w:rPr>
        <w:t xml:space="preserve"> </w:t>
      </w:r>
      <w:r w:rsidRPr="008A106B">
        <w:rPr>
          <w:lang w:val="es-ES_tradnl"/>
        </w:rPr>
        <w:t>pacientes con una respuesta clínica inadecuada a MTX.</w:t>
      </w:r>
      <w:r w:rsidRPr="008A106B">
        <w:rPr>
          <w:lang w:val="es-ES"/>
        </w:rPr>
        <w:t xml:space="preserve"> </w:t>
      </w:r>
      <w:r w:rsidRPr="008A106B">
        <w:rPr>
          <w:lang w:val="es-ES_tradnl"/>
        </w:rPr>
        <w:t xml:space="preserve">Se administraron dosis de 4 u 8 mg/kg de tocilizumab o placebo cada cuatro semanas como </w:t>
      </w:r>
      <w:ins w:id="243" w:author="AUTHOR">
        <w:r w:rsidR="000679B6" w:rsidRPr="000679B6">
          <w:rPr>
            <w:lang w:val="es-ES_tradnl"/>
          </w:rPr>
          <w:t>tratamiento bajo enmascaramiento</w:t>
        </w:r>
      </w:ins>
      <w:del w:id="244" w:author="AUTHOR">
        <w:r w:rsidRPr="008A106B" w:rsidDel="000679B6">
          <w:rPr>
            <w:lang w:val="es-ES_tradnl"/>
          </w:rPr>
          <w:delText>terapia ciega</w:delText>
        </w:r>
      </w:del>
      <w:r w:rsidRPr="008A106B">
        <w:rPr>
          <w:lang w:val="es-ES_tradnl"/>
        </w:rPr>
        <w:t xml:space="preserve"> durante 52</w:t>
      </w:r>
      <w:r w:rsidR="00205482" w:rsidRPr="00F30AB8">
        <w:rPr>
          <w:szCs w:val="22"/>
          <w:lang w:val="es-ES"/>
        </w:rPr>
        <w:t> </w:t>
      </w:r>
      <w:r w:rsidR="00205482" w:rsidRPr="008A106B" w:rsidDel="00205482">
        <w:rPr>
          <w:lang w:val="es-ES_tradnl"/>
        </w:rPr>
        <w:t xml:space="preserve"> </w:t>
      </w:r>
      <w:r w:rsidRPr="008A106B">
        <w:rPr>
          <w:lang w:val="es-ES_tradnl"/>
        </w:rPr>
        <w:t>semanas en combinación con MTX estable (de 10 mg a 25 mg semanales).</w:t>
      </w:r>
      <w:r w:rsidRPr="008A106B">
        <w:rPr>
          <w:lang w:val="es-ES"/>
        </w:rPr>
        <w:t xml:space="preserve"> Después de </w:t>
      </w:r>
      <w:proofErr w:type="gramStart"/>
      <w:r w:rsidRPr="008A106B">
        <w:rPr>
          <w:lang w:val="es-ES"/>
        </w:rPr>
        <w:t>52</w:t>
      </w:r>
      <w:r w:rsidR="00205482" w:rsidRPr="00F30AB8">
        <w:rPr>
          <w:szCs w:val="22"/>
          <w:lang w:val="es-ES"/>
        </w:rPr>
        <w:t> </w:t>
      </w:r>
      <w:r w:rsidR="00205482" w:rsidRPr="008A106B" w:rsidDel="00205482">
        <w:rPr>
          <w:lang w:val="es-ES"/>
        </w:rPr>
        <w:t xml:space="preserve"> </w:t>
      </w:r>
      <w:r w:rsidRPr="008A106B">
        <w:rPr>
          <w:lang w:val="es-ES"/>
        </w:rPr>
        <w:t>semanas</w:t>
      </w:r>
      <w:proofErr w:type="gramEnd"/>
      <w:r w:rsidRPr="008A106B">
        <w:rPr>
          <w:lang w:val="es-ES"/>
        </w:rPr>
        <w:t xml:space="preserve"> todos los pacientes pudieron recibir tratamiento abierto con tocilizumab 8</w:t>
      </w:r>
      <w:r w:rsidR="00205482" w:rsidRPr="00F30AB8">
        <w:rPr>
          <w:szCs w:val="22"/>
          <w:lang w:val="es-ES"/>
        </w:rPr>
        <w:t> </w:t>
      </w:r>
      <w:r w:rsidR="00205482" w:rsidRPr="008A106B">
        <w:rPr>
          <w:lang w:val="es-ES"/>
        </w:rPr>
        <w:t xml:space="preserve"> </w:t>
      </w:r>
      <w:r w:rsidRPr="008A106B">
        <w:rPr>
          <w:lang w:val="es-ES"/>
        </w:rPr>
        <w:t xml:space="preserve">mg/kg. De los pacientes que completaron el </w:t>
      </w:r>
      <w:del w:id="245" w:author="AUTHOR">
        <w:r w:rsidRPr="008A106B" w:rsidDel="006C4AF1">
          <w:rPr>
            <w:lang w:val="es-ES"/>
          </w:rPr>
          <w:delText>estudio</w:delText>
        </w:r>
      </w:del>
      <w:ins w:id="246" w:author="AUTHOR">
        <w:r w:rsidR="006C4AF1">
          <w:rPr>
            <w:lang w:val="es-ES"/>
          </w:rPr>
          <w:t>ensayo</w:t>
        </w:r>
      </w:ins>
      <w:r w:rsidRPr="008A106B">
        <w:rPr>
          <w:lang w:val="es-ES"/>
        </w:rPr>
        <w:t xml:space="preserve">, el 86% de los que inicialmente fueron asignados al </w:t>
      </w:r>
      <w:ins w:id="247" w:author="AUTHOR">
        <w:r w:rsidR="004E273B" w:rsidRPr="004E273B">
          <w:rPr>
            <w:lang w:val="es-ES"/>
          </w:rPr>
          <w:t>grupo</w:t>
        </w:r>
      </w:ins>
      <w:del w:id="248" w:author="AUTHOR">
        <w:r w:rsidRPr="008A106B" w:rsidDel="004E273B">
          <w:rPr>
            <w:lang w:val="es-ES"/>
          </w:rPr>
          <w:delText>brazo</w:delText>
        </w:r>
      </w:del>
      <w:r w:rsidRPr="008A106B">
        <w:rPr>
          <w:lang w:val="es-ES"/>
        </w:rPr>
        <w:t xml:space="preserve"> placebo + MTX recibieron tratamiento abierto con tocilizumab 8</w:t>
      </w:r>
      <w:r w:rsidR="00DB5D62">
        <w:rPr>
          <w:lang w:val="es-ES"/>
        </w:rPr>
        <w:t> </w:t>
      </w:r>
      <w:r w:rsidRPr="008A106B">
        <w:rPr>
          <w:lang w:val="es-ES"/>
        </w:rPr>
        <w:t xml:space="preserve">mg/kg en el segundo año. </w:t>
      </w:r>
      <w:del w:id="249" w:author="AUTHOR">
        <w:r w:rsidRPr="008A106B" w:rsidDel="00E11790">
          <w:rPr>
            <w:lang w:val="es-ES_tradnl"/>
          </w:rPr>
          <w:delText>El objetivo primario</w:delText>
        </w:r>
      </w:del>
      <w:ins w:id="250" w:author="AUTHOR">
        <w:r w:rsidR="00E11790">
          <w:rPr>
            <w:lang w:val="es-ES_tradnl"/>
          </w:rPr>
          <w:t>La variable principal</w:t>
        </w:r>
      </w:ins>
      <w:r w:rsidRPr="008A106B">
        <w:rPr>
          <w:lang w:val="es-ES_tradnl"/>
        </w:rPr>
        <w:t xml:space="preserve"> en la </w:t>
      </w:r>
      <w:proofErr w:type="gramStart"/>
      <w:r w:rsidRPr="008A106B">
        <w:rPr>
          <w:lang w:val="es-ES_tradnl"/>
        </w:rPr>
        <w:t>semana</w:t>
      </w:r>
      <w:r w:rsidR="00205482" w:rsidRPr="00F30AB8">
        <w:rPr>
          <w:szCs w:val="22"/>
          <w:lang w:val="es-ES"/>
        </w:rPr>
        <w:t> </w:t>
      </w:r>
      <w:r w:rsidR="00205482" w:rsidRPr="008A106B" w:rsidDel="00205482">
        <w:rPr>
          <w:lang w:val="es-ES_tradnl"/>
        </w:rPr>
        <w:t xml:space="preserve"> </w:t>
      </w:r>
      <w:r w:rsidRPr="008A106B">
        <w:rPr>
          <w:lang w:val="es-ES_tradnl"/>
        </w:rPr>
        <w:t>24</w:t>
      </w:r>
      <w:proofErr w:type="gramEnd"/>
      <w:r w:rsidRPr="008A106B">
        <w:rPr>
          <w:lang w:val="es-ES_tradnl"/>
        </w:rPr>
        <w:t xml:space="preserve"> fue la proporción de pacientes que alcanzaron respuesta ACR</w:t>
      </w:r>
      <w:r w:rsidR="00205482" w:rsidRPr="00F30AB8">
        <w:rPr>
          <w:szCs w:val="22"/>
          <w:lang w:val="es-ES"/>
        </w:rPr>
        <w:t> </w:t>
      </w:r>
      <w:r w:rsidR="00205482" w:rsidRPr="008A106B">
        <w:rPr>
          <w:lang w:val="es-ES_tradnl"/>
        </w:rPr>
        <w:t xml:space="preserve"> </w:t>
      </w:r>
      <w:r w:rsidRPr="008A106B">
        <w:rPr>
          <w:lang w:val="es-ES_tradnl"/>
        </w:rPr>
        <w:t>20.</w:t>
      </w:r>
      <w:r w:rsidRPr="008A106B">
        <w:rPr>
          <w:lang w:val="es-ES"/>
        </w:rPr>
        <w:t xml:space="preserve"> En </w:t>
      </w:r>
      <w:r w:rsidRPr="008A106B">
        <w:rPr>
          <w:lang w:val="es-ES_tradnl"/>
        </w:rPr>
        <w:t>la semana</w:t>
      </w:r>
      <w:r w:rsidR="00DB5D62">
        <w:rPr>
          <w:lang w:val="es-ES_tradnl"/>
        </w:rPr>
        <w:t> </w:t>
      </w:r>
      <w:r w:rsidRPr="008A106B">
        <w:rPr>
          <w:lang w:val="es-ES_tradnl"/>
        </w:rPr>
        <w:t>52 y 104, l</w:t>
      </w:r>
      <w:ins w:id="251" w:author="AUTHOR">
        <w:r w:rsidR="00E11790">
          <w:rPr>
            <w:lang w:val="es-ES_tradnl"/>
          </w:rPr>
          <w:t>a</w:t>
        </w:r>
      </w:ins>
      <w:del w:id="252" w:author="AUTHOR">
        <w:r w:rsidRPr="008A106B" w:rsidDel="00E11790">
          <w:rPr>
            <w:lang w:val="es-ES_tradnl"/>
          </w:rPr>
          <w:delText>o</w:delText>
        </w:r>
      </w:del>
      <w:r w:rsidRPr="008A106B">
        <w:rPr>
          <w:lang w:val="es-ES_tradnl"/>
        </w:rPr>
        <w:t xml:space="preserve">s </w:t>
      </w:r>
      <w:del w:id="253" w:author="AUTHOR">
        <w:r w:rsidRPr="008A106B" w:rsidDel="00E11790">
          <w:rPr>
            <w:lang w:val="es-ES_tradnl"/>
          </w:rPr>
          <w:delText xml:space="preserve">objetivos </w:delText>
        </w:r>
      </w:del>
      <w:ins w:id="254" w:author="AUTHOR">
        <w:r w:rsidR="00E11790">
          <w:rPr>
            <w:lang w:val="es-ES_tradnl"/>
          </w:rPr>
          <w:t>variables</w:t>
        </w:r>
        <w:r w:rsidR="00E11790" w:rsidRPr="008A106B">
          <w:rPr>
            <w:lang w:val="es-ES_tradnl"/>
          </w:rPr>
          <w:t xml:space="preserve"> </w:t>
        </w:r>
      </w:ins>
      <w:r w:rsidRPr="008A106B">
        <w:rPr>
          <w:lang w:val="es-ES_tradnl"/>
        </w:rPr>
        <w:t>co-</w:t>
      </w:r>
      <w:del w:id="255" w:author="AUTHOR">
        <w:r w:rsidRPr="008A106B" w:rsidDel="00E11790">
          <w:rPr>
            <w:lang w:val="es-ES_tradnl"/>
          </w:rPr>
          <w:delText xml:space="preserve">primarios </w:delText>
        </w:r>
      </w:del>
      <w:ins w:id="256" w:author="AUTHOR">
        <w:r w:rsidR="00E11790" w:rsidRPr="008A106B">
          <w:rPr>
            <w:lang w:val="es-ES_tradnl"/>
          </w:rPr>
          <w:t>pri</w:t>
        </w:r>
        <w:r w:rsidR="00E11790">
          <w:rPr>
            <w:lang w:val="es-ES_tradnl"/>
          </w:rPr>
          <w:t>cipales</w:t>
        </w:r>
        <w:r w:rsidR="00E11790" w:rsidRPr="008A106B">
          <w:rPr>
            <w:lang w:val="es-ES_tradnl"/>
          </w:rPr>
          <w:t xml:space="preserve"> </w:t>
        </w:r>
      </w:ins>
      <w:r w:rsidRPr="008A106B">
        <w:rPr>
          <w:lang w:val="es-ES_tradnl"/>
        </w:rPr>
        <w:t>fueron la prevención del daño articular y la mejora de la función física.</w:t>
      </w:r>
    </w:p>
    <w:p w14:paraId="69A06549" w14:textId="77777777" w:rsidR="007927FC" w:rsidRPr="008A106B" w:rsidRDefault="007927FC" w:rsidP="007927FC">
      <w:pPr>
        <w:numPr>
          <w:ilvl w:val="12"/>
          <w:numId w:val="0"/>
        </w:numPr>
        <w:ind w:right="-2"/>
        <w:rPr>
          <w:lang w:val="es-ES"/>
        </w:rPr>
      </w:pPr>
    </w:p>
    <w:p w14:paraId="495A88B2" w14:textId="4C1528D6" w:rsidR="007927FC" w:rsidRPr="008A106B" w:rsidRDefault="007927FC" w:rsidP="007927FC">
      <w:pPr>
        <w:numPr>
          <w:ilvl w:val="12"/>
          <w:numId w:val="0"/>
        </w:numPr>
        <w:ind w:right="-2"/>
        <w:rPr>
          <w:lang w:val="es-ES"/>
        </w:rPr>
      </w:pPr>
      <w:r w:rsidRPr="008A106B">
        <w:rPr>
          <w:lang w:val="es-ES_tradnl"/>
        </w:rPr>
        <w:t>En el ensayo III se evaluaron 623</w:t>
      </w:r>
      <w:r w:rsidR="00DB5D62">
        <w:rPr>
          <w:lang w:val="es-ES_tradnl"/>
        </w:rPr>
        <w:t> </w:t>
      </w:r>
      <w:r w:rsidRPr="008A106B">
        <w:rPr>
          <w:lang w:val="es-ES_tradnl"/>
        </w:rPr>
        <w:t>pacientes con una respuesta clínica inadecuada a MTX.</w:t>
      </w:r>
      <w:r w:rsidRPr="008A106B">
        <w:rPr>
          <w:lang w:val="es-ES"/>
        </w:rPr>
        <w:t xml:space="preserve"> </w:t>
      </w:r>
      <w:r w:rsidRPr="008A106B">
        <w:rPr>
          <w:lang w:val="es-ES_tradnl"/>
        </w:rPr>
        <w:t>Se administraron dosis de 4 u 8 mg/kg de tocilizumab o placebo cada cuatro semanas, en combinación con MTX estable (de 10 mg a 25 mg semanales).</w:t>
      </w:r>
      <w:r w:rsidRPr="008A106B">
        <w:rPr>
          <w:lang w:val="es-ES"/>
        </w:rPr>
        <w:t xml:space="preserve"> </w:t>
      </w:r>
    </w:p>
    <w:p w14:paraId="313AF313" w14:textId="77777777" w:rsidR="007927FC" w:rsidRPr="008A106B" w:rsidRDefault="007927FC" w:rsidP="007927FC">
      <w:pPr>
        <w:numPr>
          <w:ilvl w:val="12"/>
          <w:numId w:val="0"/>
        </w:numPr>
        <w:ind w:right="-2"/>
        <w:rPr>
          <w:lang w:val="es-ES"/>
        </w:rPr>
      </w:pPr>
    </w:p>
    <w:p w14:paraId="3D8BF4A6" w14:textId="3F7FA209" w:rsidR="007927FC" w:rsidRPr="008A106B" w:rsidRDefault="007927FC" w:rsidP="007927FC">
      <w:pPr>
        <w:numPr>
          <w:ilvl w:val="12"/>
          <w:numId w:val="0"/>
        </w:numPr>
        <w:ind w:right="-2"/>
        <w:rPr>
          <w:lang w:val="es-ES"/>
        </w:rPr>
      </w:pPr>
      <w:r w:rsidRPr="008A106B">
        <w:rPr>
          <w:lang w:val="es-ES_tradnl"/>
        </w:rPr>
        <w:t>En el ensayo IV se evaluaron 1220</w:t>
      </w:r>
      <w:r w:rsidR="00DB5D62">
        <w:rPr>
          <w:lang w:val="es-ES_tradnl"/>
        </w:rPr>
        <w:t> </w:t>
      </w:r>
      <w:r w:rsidRPr="008A106B">
        <w:rPr>
          <w:lang w:val="es-ES_tradnl"/>
        </w:rPr>
        <w:t>pacientes con una respuesta inadecuada a un tratamiento reumatológico instaurado, con uno o más FAMEs.</w:t>
      </w:r>
      <w:r w:rsidRPr="008A106B">
        <w:rPr>
          <w:lang w:val="es-ES"/>
        </w:rPr>
        <w:t xml:space="preserve"> </w:t>
      </w:r>
      <w:r w:rsidRPr="008A106B">
        <w:rPr>
          <w:lang w:val="es-ES_tradnl"/>
        </w:rPr>
        <w:t>Se administraron dosis de 8 mg/kg de tocilizumab o placebo cada cuatro semanas, en combinación con FAMEs estables.</w:t>
      </w:r>
      <w:r w:rsidRPr="008A106B">
        <w:rPr>
          <w:lang w:val="es-ES"/>
        </w:rPr>
        <w:t xml:space="preserve"> </w:t>
      </w:r>
    </w:p>
    <w:p w14:paraId="3D35487D" w14:textId="77777777" w:rsidR="007927FC" w:rsidRPr="008A106B" w:rsidRDefault="007927FC" w:rsidP="007927FC">
      <w:pPr>
        <w:numPr>
          <w:ilvl w:val="12"/>
          <w:numId w:val="0"/>
        </w:numPr>
        <w:ind w:right="-2"/>
        <w:rPr>
          <w:lang w:val="es-ES"/>
        </w:rPr>
      </w:pPr>
    </w:p>
    <w:p w14:paraId="402AC87D" w14:textId="3369BE7D" w:rsidR="007927FC" w:rsidRPr="008A106B" w:rsidRDefault="007927FC" w:rsidP="007927FC">
      <w:pPr>
        <w:numPr>
          <w:ilvl w:val="12"/>
          <w:numId w:val="0"/>
        </w:numPr>
        <w:ind w:right="-2"/>
        <w:rPr>
          <w:lang w:val="es-ES"/>
        </w:rPr>
      </w:pPr>
      <w:r w:rsidRPr="008A106B">
        <w:rPr>
          <w:lang w:val="es-ES_tradnl"/>
        </w:rPr>
        <w:t>En el ensayo V se evaluaron 499</w:t>
      </w:r>
      <w:r w:rsidR="00DB5D62">
        <w:rPr>
          <w:lang w:val="es-ES_tradnl"/>
        </w:rPr>
        <w:t> </w:t>
      </w:r>
      <w:r w:rsidRPr="008A106B">
        <w:rPr>
          <w:lang w:val="es-ES_tradnl"/>
        </w:rPr>
        <w:t>pacientes con una respuesta clínica inadecuada o intolerancia a uno o más tratamientos antagonistas TNF.</w:t>
      </w:r>
      <w:r w:rsidRPr="008A106B">
        <w:rPr>
          <w:lang w:val="es-ES"/>
        </w:rPr>
        <w:t xml:space="preserve"> </w:t>
      </w:r>
      <w:r w:rsidRPr="008A106B">
        <w:rPr>
          <w:lang w:val="es-ES_tradnl"/>
        </w:rPr>
        <w:t>El tratamiento con antagonistas TNF se suspendió antes de la aleatorización.</w:t>
      </w:r>
      <w:r w:rsidRPr="008A106B">
        <w:rPr>
          <w:lang w:val="es-ES"/>
        </w:rPr>
        <w:t xml:space="preserve"> </w:t>
      </w:r>
      <w:r w:rsidRPr="008A106B">
        <w:rPr>
          <w:lang w:val="es-ES_tradnl"/>
        </w:rPr>
        <w:t>Se administraron dosis de 4 u 8 mg/kg de tocilizumab o placebo cada cuatro semanas, en combinación con MTX estable (de 10 mg a – 25 mg semanales).</w:t>
      </w:r>
      <w:r w:rsidRPr="008A106B">
        <w:rPr>
          <w:lang w:val="es-ES"/>
        </w:rPr>
        <w:t xml:space="preserve"> </w:t>
      </w:r>
    </w:p>
    <w:p w14:paraId="445A3E86" w14:textId="77777777" w:rsidR="007927FC" w:rsidRPr="008A106B" w:rsidRDefault="007927FC" w:rsidP="007927FC">
      <w:pPr>
        <w:numPr>
          <w:ilvl w:val="12"/>
          <w:numId w:val="0"/>
        </w:numPr>
        <w:ind w:right="-2"/>
        <w:rPr>
          <w:lang w:val="es-ES"/>
        </w:rPr>
      </w:pPr>
    </w:p>
    <w:p w14:paraId="551D6FB9" w14:textId="77777777" w:rsidR="007927FC" w:rsidRPr="008A106B" w:rsidRDefault="007927FC" w:rsidP="007927FC">
      <w:pPr>
        <w:keepNext/>
        <w:keepLines/>
        <w:numPr>
          <w:ilvl w:val="12"/>
          <w:numId w:val="0"/>
        </w:numPr>
        <w:rPr>
          <w:i/>
          <w:iCs/>
          <w:lang w:val="es-ES"/>
        </w:rPr>
      </w:pPr>
      <w:r w:rsidRPr="008A106B">
        <w:rPr>
          <w:i/>
          <w:iCs/>
          <w:lang w:val="es-ES_tradnl"/>
        </w:rPr>
        <w:lastRenderedPageBreak/>
        <w:t>Respuesta clínica</w:t>
      </w:r>
    </w:p>
    <w:p w14:paraId="6553EC43" w14:textId="4175561C" w:rsidR="007927FC" w:rsidRPr="008A106B" w:rsidRDefault="007927FC" w:rsidP="007927FC">
      <w:pPr>
        <w:keepNext/>
        <w:keepLines/>
        <w:numPr>
          <w:ilvl w:val="12"/>
          <w:numId w:val="0"/>
        </w:numPr>
        <w:rPr>
          <w:lang w:val="es-ES"/>
        </w:rPr>
      </w:pPr>
      <w:r w:rsidRPr="008A106B">
        <w:rPr>
          <w:lang w:val="es-ES_tradnl"/>
        </w:rPr>
        <w:t xml:space="preserve">En todos los ensayos, los pacientes tratados con tocilizumab 8 mg/kg tuvieron unas tasas de respuesta en ACR 20, 50 y 70 significativamente mayores a los </w:t>
      </w:r>
      <w:proofErr w:type="gramStart"/>
      <w:r w:rsidRPr="008A106B">
        <w:rPr>
          <w:lang w:val="es-ES_tradnl"/>
        </w:rPr>
        <w:t>6</w:t>
      </w:r>
      <w:r w:rsidR="00205482" w:rsidRPr="00F30AB8">
        <w:rPr>
          <w:szCs w:val="22"/>
          <w:lang w:val="es-ES"/>
        </w:rPr>
        <w:t> </w:t>
      </w:r>
      <w:r w:rsidR="00205482" w:rsidRPr="008A106B" w:rsidDel="00205482">
        <w:rPr>
          <w:lang w:val="es-ES_tradnl"/>
        </w:rPr>
        <w:t xml:space="preserve"> </w:t>
      </w:r>
      <w:r w:rsidRPr="008A106B">
        <w:rPr>
          <w:lang w:val="es-ES_tradnl"/>
        </w:rPr>
        <w:t>meses</w:t>
      </w:r>
      <w:proofErr w:type="gramEnd"/>
      <w:r w:rsidRPr="008A106B">
        <w:rPr>
          <w:lang w:val="es-ES_tradnl"/>
        </w:rPr>
        <w:t xml:space="preserve"> que los controles (</w:t>
      </w:r>
      <w:r w:rsidR="00852BE8">
        <w:rPr>
          <w:lang w:val="es-ES_tradnl"/>
        </w:rPr>
        <w:t xml:space="preserve">ver </w:t>
      </w:r>
      <w:r w:rsidRPr="008A106B">
        <w:rPr>
          <w:lang w:val="es-ES_tradnl"/>
        </w:rPr>
        <w:t>Tabla</w:t>
      </w:r>
      <w:r w:rsidR="00DB5D62">
        <w:rPr>
          <w:lang w:val="es-ES_tradnl"/>
        </w:rPr>
        <w:t> </w:t>
      </w:r>
      <w:r w:rsidR="0085789E">
        <w:rPr>
          <w:lang w:val="es-ES_tradnl"/>
        </w:rPr>
        <w:t>4</w:t>
      </w:r>
      <w:r w:rsidRPr="008A106B">
        <w:rPr>
          <w:lang w:val="es-ES_tradnl"/>
        </w:rPr>
        <w:t>).</w:t>
      </w:r>
      <w:r w:rsidRPr="008A106B">
        <w:rPr>
          <w:lang w:val="es-ES"/>
        </w:rPr>
        <w:t xml:space="preserve"> </w:t>
      </w:r>
      <w:r w:rsidRPr="008A106B">
        <w:rPr>
          <w:lang w:val="es-ES_tradnl"/>
        </w:rPr>
        <w:t xml:space="preserve">En el </w:t>
      </w:r>
      <w:del w:id="257" w:author="AUTHOR">
        <w:r w:rsidRPr="008A106B" w:rsidDel="006C4AF1">
          <w:rPr>
            <w:lang w:val="es-ES_tradnl"/>
          </w:rPr>
          <w:delText xml:space="preserve">estudio </w:delText>
        </w:r>
      </w:del>
      <w:ins w:id="258" w:author="AUTHOR">
        <w:r w:rsidR="006C4AF1">
          <w:rPr>
            <w:lang w:val="es-ES_tradnl"/>
          </w:rPr>
          <w:t>ensayo</w:t>
        </w:r>
        <w:r w:rsidR="006C4AF1" w:rsidRPr="008A106B">
          <w:rPr>
            <w:lang w:val="es-ES_tradnl"/>
          </w:rPr>
          <w:t xml:space="preserve"> </w:t>
        </w:r>
      </w:ins>
      <w:r w:rsidRPr="008A106B">
        <w:rPr>
          <w:lang w:val="es-ES_tradnl"/>
        </w:rPr>
        <w:t>I, se demostró la superioridad de tocilizumab 8 mg/kg frente al comparador activo MTX.</w:t>
      </w:r>
    </w:p>
    <w:p w14:paraId="5F9BC14C" w14:textId="77777777" w:rsidR="007927FC" w:rsidRPr="008A106B" w:rsidRDefault="007927FC" w:rsidP="007927FC">
      <w:pPr>
        <w:numPr>
          <w:ilvl w:val="12"/>
          <w:numId w:val="0"/>
        </w:numPr>
        <w:ind w:right="-2"/>
        <w:rPr>
          <w:lang w:val="es-ES"/>
        </w:rPr>
      </w:pPr>
    </w:p>
    <w:p w14:paraId="75535D38" w14:textId="74913A3E" w:rsidR="007927FC" w:rsidRPr="008A106B" w:rsidRDefault="007927FC" w:rsidP="007927FC">
      <w:pPr>
        <w:numPr>
          <w:ilvl w:val="12"/>
          <w:numId w:val="0"/>
        </w:numPr>
        <w:ind w:right="-2"/>
        <w:rPr>
          <w:lang w:val="es-ES"/>
        </w:rPr>
      </w:pPr>
      <w:r w:rsidRPr="008A106B">
        <w:rPr>
          <w:lang w:val="es-ES_tradnl"/>
        </w:rPr>
        <w:t>El efecto del tratamiento fue similar en los pacientes independientemente de cuestiones como factor reumatoide, edad, sexo, raza, número de tratamientos previos o estado de la enfermedad.</w:t>
      </w:r>
      <w:r w:rsidRPr="008A106B">
        <w:rPr>
          <w:lang w:val="es-ES"/>
        </w:rPr>
        <w:t xml:space="preserve"> </w:t>
      </w:r>
      <w:r w:rsidRPr="008A106B">
        <w:rPr>
          <w:lang w:val="es-ES_tradnl"/>
        </w:rPr>
        <w:t>El tiempo hasta al inicio de la acción fue rápido (ya a la semana</w:t>
      </w:r>
      <w:r w:rsidR="00DB5D62">
        <w:rPr>
          <w:lang w:val="es-ES_tradnl"/>
        </w:rPr>
        <w:t> </w:t>
      </w:r>
      <w:r w:rsidRPr="008A106B">
        <w:rPr>
          <w:lang w:val="es-ES_tradnl"/>
        </w:rPr>
        <w:t>2) y la magnitud de la respuesta siguió mejorando con la duración del tratamiento.</w:t>
      </w:r>
      <w:r w:rsidRPr="008A106B">
        <w:rPr>
          <w:lang w:val="es-ES"/>
        </w:rPr>
        <w:t xml:space="preserve"> </w:t>
      </w:r>
      <w:r w:rsidRPr="008A106B">
        <w:rPr>
          <w:lang w:val="es-ES_tradnl"/>
        </w:rPr>
        <w:t>Se han observado respuestas duraderas continuadas durante más de 3</w:t>
      </w:r>
      <w:r w:rsidR="00DB5D62">
        <w:rPr>
          <w:lang w:val="es-ES_tradnl"/>
        </w:rPr>
        <w:t> </w:t>
      </w:r>
      <w:r w:rsidRPr="008A106B">
        <w:rPr>
          <w:lang w:val="es-ES_tradnl"/>
        </w:rPr>
        <w:t>años en los ensayos de extensi</w:t>
      </w:r>
      <w:r w:rsidR="00D5074E">
        <w:rPr>
          <w:lang w:val="es-ES_tradnl"/>
        </w:rPr>
        <w:t>ón abiertos</w:t>
      </w:r>
      <w:r w:rsidRPr="008A106B">
        <w:rPr>
          <w:lang w:val="es-ES_tradnl"/>
        </w:rPr>
        <w:t xml:space="preserve"> I</w:t>
      </w:r>
      <w:del w:id="259" w:author="AUTHOR">
        <w:r w:rsidRPr="008A106B" w:rsidDel="00EE0268">
          <w:rPr>
            <w:lang w:val="es-ES_tradnl"/>
          </w:rPr>
          <w:delText xml:space="preserve">, y </w:delText>
        </w:r>
      </w:del>
      <w:ins w:id="260" w:author="AUTHOR">
        <w:r w:rsidR="00EE0268">
          <w:rPr>
            <w:lang w:val="es-ES_tradnl"/>
          </w:rPr>
          <w:t>-</w:t>
        </w:r>
      </w:ins>
      <w:r w:rsidRPr="008A106B">
        <w:rPr>
          <w:lang w:val="es-ES_tradnl"/>
        </w:rPr>
        <w:t>V.</w:t>
      </w:r>
      <w:r w:rsidRPr="008A106B">
        <w:rPr>
          <w:lang w:val="es-ES"/>
        </w:rPr>
        <w:t xml:space="preserve"> </w:t>
      </w:r>
    </w:p>
    <w:p w14:paraId="1A2C1AAB" w14:textId="77777777" w:rsidR="007927FC" w:rsidRPr="008A106B" w:rsidRDefault="007927FC" w:rsidP="007927FC">
      <w:pPr>
        <w:numPr>
          <w:ilvl w:val="12"/>
          <w:numId w:val="0"/>
        </w:numPr>
        <w:ind w:right="-2"/>
        <w:rPr>
          <w:lang w:val="es-ES"/>
        </w:rPr>
      </w:pPr>
    </w:p>
    <w:p w14:paraId="2907C633" w14:textId="77777777" w:rsidR="007927FC" w:rsidRPr="008A106B" w:rsidRDefault="007927FC" w:rsidP="007927FC">
      <w:pPr>
        <w:numPr>
          <w:ilvl w:val="12"/>
          <w:numId w:val="0"/>
        </w:numPr>
        <w:ind w:right="-2"/>
        <w:rPr>
          <w:lang w:val="es-ES"/>
        </w:rPr>
      </w:pPr>
      <w:r w:rsidRPr="008A106B">
        <w:rPr>
          <w:lang w:val="es-ES_tradnl"/>
        </w:rPr>
        <w:t>En pacientes tratados con tocilizumab 8 mg/kg, se observaron mejorías significativas en todos los componentes individuales de la respuesta ACR, incluidos:</w:t>
      </w:r>
      <w:r w:rsidRPr="008A106B">
        <w:rPr>
          <w:lang w:val="es-ES"/>
        </w:rPr>
        <w:t xml:space="preserve"> </w:t>
      </w:r>
      <w:r w:rsidRPr="008A106B">
        <w:rPr>
          <w:lang w:val="es-ES_tradnl"/>
        </w:rPr>
        <w:t>Recuentos de articulaciones doloridas e inflamadas; evaluación global por los pacientes y los médicos; puntuaciones del índice de discapacidad; evaluación del dolor y PCR en comparación con los pacientes que recibieron placebo más MTX / u otros FAMEs en todos los estudios.</w:t>
      </w:r>
      <w:r w:rsidRPr="008A106B">
        <w:rPr>
          <w:lang w:val="es-ES"/>
        </w:rPr>
        <w:t xml:space="preserve"> </w:t>
      </w:r>
    </w:p>
    <w:p w14:paraId="2A4B4F39" w14:textId="77777777" w:rsidR="007927FC" w:rsidRPr="008A106B" w:rsidRDefault="007927FC" w:rsidP="007927FC">
      <w:pPr>
        <w:numPr>
          <w:ilvl w:val="12"/>
          <w:numId w:val="0"/>
        </w:numPr>
        <w:ind w:right="-2"/>
        <w:rPr>
          <w:lang w:val="es-ES"/>
        </w:rPr>
      </w:pPr>
    </w:p>
    <w:p w14:paraId="262AF621" w14:textId="58D6A072" w:rsidR="007927FC" w:rsidRPr="00BD7005" w:rsidRDefault="007927FC" w:rsidP="007927FC">
      <w:pPr>
        <w:numPr>
          <w:ilvl w:val="12"/>
          <w:numId w:val="0"/>
        </w:numPr>
        <w:ind w:right="-2"/>
        <w:rPr>
          <w:lang w:val="es-ES"/>
          <w:rPrChange w:id="261" w:author="TCS" w:date="2026-03-19T15:02:00Z">
            <w:rPr>
              <w:lang w:val="es-ES"/>
            </w:rPr>
          </w:rPrChange>
        </w:rPr>
      </w:pPr>
      <w:r w:rsidRPr="00BD7005">
        <w:rPr>
          <w:lang w:val="es-ES"/>
          <w:rPrChange w:id="262" w:author="TCS" w:date="2026-03-19T15:02:00Z">
            <w:rPr>
              <w:lang w:val="es-ES"/>
            </w:rPr>
          </w:rPrChange>
        </w:rPr>
        <w:t xml:space="preserve">Los pacientes de los </w:t>
      </w:r>
      <w:del w:id="263" w:author="AUTHOR">
        <w:r w:rsidRPr="00BD7005" w:rsidDel="006C4AF1">
          <w:rPr>
            <w:lang w:val="es-ES"/>
            <w:rPrChange w:id="264" w:author="TCS" w:date="2026-03-19T15:02:00Z">
              <w:rPr>
                <w:lang w:val="es-ES"/>
              </w:rPr>
            </w:rPrChange>
          </w:rPr>
          <w:delText>estudios</w:delText>
        </w:r>
      </w:del>
      <w:ins w:id="265" w:author="AUTHOR">
        <w:r w:rsidR="006C4AF1" w:rsidRPr="00BD7005">
          <w:rPr>
            <w:lang w:val="es-ES"/>
            <w:rPrChange w:id="266" w:author="TCS" w:date="2026-03-19T15:02:00Z">
              <w:rPr>
                <w:lang w:val="es-ES"/>
              </w:rPr>
            </w:rPrChange>
          </w:rPr>
          <w:t>ensayos</w:t>
        </w:r>
      </w:ins>
      <w:r w:rsidRPr="00BD7005">
        <w:rPr>
          <w:lang w:val="es-ES"/>
          <w:rPrChange w:id="267" w:author="TCS" w:date="2026-03-19T15:02:00Z">
            <w:rPr>
              <w:lang w:val="es-ES"/>
            </w:rPr>
          </w:rPrChange>
        </w:rPr>
        <w:t xml:space="preserve"> I-V tenían un nivel medio de actividad de la enfermedad DAS 28 6,5- 6,8 al inicio. Se observó una reducción significativa (mejoría media), del nivel inicial DAS28 3,1</w:t>
      </w:r>
      <w:ins w:id="268" w:author="AUTHOR">
        <w:r w:rsidR="00EE0268" w:rsidRPr="00BD7005">
          <w:rPr>
            <w:lang w:val="es-ES"/>
            <w:rPrChange w:id="269" w:author="TCS" w:date="2026-03-19T15:02:00Z">
              <w:rPr>
                <w:lang w:val="es-ES"/>
              </w:rPr>
            </w:rPrChange>
          </w:rPr>
          <w:t xml:space="preserve"> </w:t>
        </w:r>
      </w:ins>
      <w:r w:rsidRPr="00BD7005">
        <w:rPr>
          <w:lang w:val="es-ES"/>
          <w:rPrChange w:id="270" w:author="TCS" w:date="2026-03-19T15:02:00Z">
            <w:rPr>
              <w:lang w:val="es-ES"/>
            </w:rPr>
          </w:rPrChange>
        </w:rPr>
        <w:t>- 3,4 en los pacientes tratados con tocilizumab frente a los pacientes control (1,3-2,1). La proporción de pacientes que alcanzaron una remisión clínica DAS28 (DAS28</w:t>
      </w:r>
      <w:r w:rsidR="00205482" w:rsidRPr="00BD7005">
        <w:rPr>
          <w:rFonts w:eastAsia="MS Mincho"/>
          <w:sz w:val="10"/>
          <w:szCs w:val="22"/>
          <w:lang w:val="es-ES"/>
          <w:rPrChange w:id="271" w:author="TCS" w:date="2026-03-19T15:02:00Z">
            <w:rPr>
              <w:rFonts w:ascii="Arial" w:eastAsia="MS Mincho" w:hAnsi="Arial" w:cs="Arial"/>
              <w:sz w:val="10"/>
              <w:szCs w:val="22"/>
              <w:lang w:val="es-ES"/>
            </w:rPr>
          </w:rPrChange>
        </w:rPr>
        <w:t> </w:t>
      </w:r>
      <w:r w:rsidR="00205482" w:rsidRPr="00BD7005">
        <w:rPr>
          <w:rFonts w:eastAsia="MS Mincho"/>
          <w:szCs w:val="22"/>
          <w:lang w:val="en-GB"/>
          <w:rPrChange w:id="272" w:author="TCS" w:date="2026-03-19T15:02:00Z">
            <w:rPr>
              <w:rFonts w:ascii="Arial" w:eastAsia="MS Mincho" w:hAnsi="Arial" w:cs="Arial"/>
              <w:szCs w:val="22"/>
              <w:lang w:val="en-GB"/>
            </w:rPr>
          </w:rPrChange>
        </w:rPr>
        <w:sym w:font="Symbol" w:char="F03C"/>
      </w:r>
      <w:r w:rsidR="00205482" w:rsidRPr="00BD7005">
        <w:rPr>
          <w:rFonts w:eastAsia="MS Mincho"/>
          <w:sz w:val="10"/>
          <w:szCs w:val="22"/>
          <w:lang w:val="es-ES"/>
          <w:rPrChange w:id="273" w:author="TCS" w:date="2026-03-19T15:02:00Z">
            <w:rPr>
              <w:rFonts w:ascii="Arial" w:eastAsia="MS Mincho" w:hAnsi="Arial" w:cs="Arial"/>
              <w:sz w:val="10"/>
              <w:szCs w:val="22"/>
              <w:lang w:val="es-ES"/>
            </w:rPr>
          </w:rPrChange>
        </w:rPr>
        <w:t> </w:t>
      </w:r>
      <w:r w:rsidRPr="00BD7005">
        <w:rPr>
          <w:lang w:val="es-ES"/>
          <w:rPrChange w:id="274" w:author="TCS" w:date="2026-03-19T15:02:00Z">
            <w:rPr>
              <w:lang w:val="es-ES"/>
            </w:rPr>
          </w:rPrChange>
        </w:rPr>
        <w:t>2,6), a las 24</w:t>
      </w:r>
      <w:r w:rsidR="00205482" w:rsidRPr="00BD7005">
        <w:rPr>
          <w:szCs w:val="22"/>
          <w:lang w:val="es-ES"/>
          <w:rPrChange w:id="275" w:author="TCS" w:date="2026-03-19T15:02:00Z">
            <w:rPr>
              <w:szCs w:val="22"/>
              <w:lang w:val="es-ES"/>
            </w:rPr>
          </w:rPrChange>
        </w:rPr>
        <w:t> </w:t>
      </w:r>
      <w:r w:rsidR="00205482" w:rsidRPr="00BD7005" w:rsidDel="00205482">
        <w:rPr>
          <w:lang w:val="es-ES"/>
          <w:rPrChange w:id="276" w:author="TCS" w:date="2026-03-19T15:02:00Z">
            <w:rPr>
              <w:lang w:val="es-ES"/>
            </w:rPr>
          </w:rPrChange>
        </w:rPr>
        <w:t xml:space="preserve"> </w:t>
      </w:r>
      <w:r w:rsidRPr="00BD7005">
        <w:rPr>
          <w:lang w:val="es-ES"/>
          <w:rPrChange w:id="277" w:author="TCS" w:date="2026-03-19T15:02:00Z">
            <w:rPr>
              <w:lang w:val="es-ES"/>
            </w:rPr>
          </w:rPrChange>
        </w:rPr>
        <w:t>semanas, fue significativamente mayor en los pacientes que recibieron tocilizumab (28 - 34 %) comparado con los pacientes del control (1 - 12 %). En el ensayo II, un 65 % de los pacientes alcanzaron un DAS28</w:t>
      </w:r>
      <w:r w:rsidR="00205482" w:rsidRPr="00BD7005">
        <w:rPr>
          <w:rFonts w:eastAsia="MS Mincho"/>
          <w:sz w:val="10"/>
          <w:szCs w:val="22"/>
          <w:lang w:val="es-ES"/>
          <w:rPrChange w:id="278" w:author="TCS" w:date="2026-03-19T15:02:00Z">
            <w:rPr>
              <w:rFonts w:ascii="Arial" w:eastAsia="MS Mincho" w:hAnsi="Arial" w:cs="Arial"/>
              <w:sz w:val="10"/>
              <w:szCs w:val="22"/>
              <w:lang w:val="es-ES"/>
            </w:rPr>
          </w:rPrChange>
        </w:rPr>
        <w:t> </w:t>
      </w:r>
      <w:r w:rsidR="00205482" w:rsidRPr="00BD7005">
        <w:rPr>
          <w:rFonts w:eastAsia="MS Mincho"/>
          <w:szCs w:val="22"/>
          <w:lang w:val="en-GB"/>
          <w:rPrChange w:id="279" w:author="TCS" w:date="2026-03-19T15:02:00Z">
            <w:rPr>
              <w:rFonts w:ascii="Arial" w:eastAsia="MS Mincho" w:hAnsi="Arial" w:cs="Arial"/>
              <w:szCs w:val="22"/>
              <w:lang w:val="en-GB"/>
            </w:rPr>
          </w:rPrChange>
        </w:rPr>
        <w:sym w:font="Symbol" w:char="F03C"/>
      </w:r>
      <w:r w:rsidR="00205482" w:rsidRPr="00BD7005">
        <w:rPr>
          <w:rFonts w:eastAsia="MS Mincho"/>
          <w:sz w:val="10"/>
          <w:szCs w:val="22"/>
          <w:lang w:val="es-ES"/>
          <w:rPrChange w:id="280" w:author="TCS" w:date="2026-03-19T15:02:00Z">
            <w:rPr>
              <w:rFonts w:ascii="Arial" w:eastAsia="MS Mincho" w:hAnsi="Arial" w:cs="Arial"/>
              <w:sz w:val="10"/>
              <w:szCs w:val="22"/>
              <w:lang w:val="es-ES"/>
            </w:rPr>
          </w:rPrChange>
        </w:rPr>
        <w:t> </w:t>
      </w:r>
      <w:r w:rsidRPr="00BD7005">
        <w:rPr>
          <w:lang w:val="es-ES"/>
          <w:rPrChange w:id="281" w:author="TCS" w:date="2026-03-19T15:02:00Z">
            <w:rPr>
              <w:lang w:val="es-ES"/>
            </w:rPr>
          </w:rPrChange>
        </w:rPr>
        <w:t>de 2,6 a la semana</w:t>
      </w:r>
      <w:r w:rsidR="00205482" w:rsidRPr="00BD7005">
        <w:rPr>
          <w:szCs w:val="22"/>
          <w:lang w:val="es-ES"/>
          <w:rPrChange w:id="282" w:author="TCS" w:date="2026-03-19T15:02:00Z">
            <w:rPr>
              <w:szCs w:val="22"/>
              <w:lang w:val="es-ES"/>
            </w:rPr>
          </w:rPrChange>
        </w:rPr>
        <w:t> </w:t>
      </w:r>
      <w:r w:rsidRPr="00BD7005">
        <w:rPr>
          <w:lang w:val="es-ES"/>
          <w:rPrChange w:id="283" w:author="TCS" w:date="2026-03-19T15:02:00Z">
            <w:rPr>
              <w:lang w:val="es-ES"/>
            </w:rPr>
          </w:rPrChange>
        </w:rPr>
        <w:t>104, comparado con un 48% que lo alcanzó a la semana</w:t>
      </w:r>
      <w:r w:rsidR="00205482" w:rsidRPr="00BD7005">
        <w:rPr>
          <w:szCs w:val="22"/>
          <w:lang w:val="es-ES"/>
          <w:rPrChange w:id="284" w:author="TCS" w:date="2026-03-19T15:02:00Z">
            <w:rPr>
              <w:szCs w:val="22"/>
              <w:lang w:val="es-ES"/>
            </w:rPr>
          </w:rPrChange>
        </w:rPr>
        <w:t> </w:t>
      </w:r>
      <w:r w:rsidRPr="00BD7005">
        <w:rPr>
          <w:lang w:val="es-ES"/>
          <w:rPrChange w:id="285" w:author="TCS" w:date="2026-03-19T15:02:00Z">
            <w:rPr>
              <w:lang w:val="es-ES"/>
            </w:rPr>
          </w:rPrChange>
        </w:rPr>
        <w:t>52 y un 33 % que lo alcanzó en la semana</w:t>
      </w:r>
      <w:r w:rsidR="00205482" w:rsidRPr="00BD7005">
        <w:rPr>
          <w:szCs w:val="22"/>
          <w:lang w:val="es-ES"/>
          <w:rPrChange w:id="286" w:author="TCS" w:date="2026-03-19T15:02:00Z">
            <w:rPr>
              <w:szCs w:val="22"/>
              <w:lang w:val="es-ES"/>
            </w:rPr>
          </w:rPrChange>
        </w:rPr>
        <w:t> </w:t>
      </w:r>
      <w:r w:rsidRPr="00BD7005">
        <w:rPr>
          <w:lang w:val="es-ES"/>
          <w:rPrChange w:id="287" w:author="TCS" w:date="2026-03-19T15:02:00Z">
            <w:rPr>
              <w:lang w:val="es-ES"/>
            </w:rPr>
          </w:rPrChange>
        </w:rPr>
        <w:t xml:space="preserve">24. </w:t>
      </w:r>
    </w:p>
    <w:p w14:paraId="59312136" w14:textId="77777777" w:rsidR="007927FC" w:rsidRPr="00BD7005" w:rsidRDefault="007927FC" w:rsidP="007927FC">
      <w:pPr>
        <w:numPr>
          <w:ilvl w:val="12"/>
          <w:numId w:val="0"/>
        </w:numPr>
        <w:ind w:right="-2"/>
        <w:rPr>
          <w:lang w:val="es-ES"/>
          <w:rPrChange w:id="288" w:author="TCS" w:date="2026-03-19T15:02:00Z">
            <w:rPr>
              <w:lang w:val="es-ES"/>
            </w:rPr>
          </w:rPrChange>
        </w:rPr>
      </w:pPr>
    </w:p>
    <w:p w14:paraId="4CD3EA8F" w14:textId="7338F1A2" w:rsidR="007927FC" w:rsidRPr="00BD7005" w:rsidRDefault="007927FC" w:rsidP="007927FC">
      <w:pPr>
        <w:numPr>
          <w:ilvl w:val="12"/>
          <w:numId w:val="0"/>
        </w:numPr>
        <w:ind w:right="-2"/>
        <w:rPr>
          <w:lang w:val="es-ES"/>
          <w:rPrChange w:id="289" w:author="TCS" w:date="2026-03-19T15:02:00Z">
            <w:rPr>
              <w:lang w:val="es-ES"/>
            </w:rPr>
          </w:rPrChange>
        </w:rPr>
      </w:pPr>
      <w:r w:rsidRPr="00BD7005">
        <w:rPr>
          <w:lang w:val="es-ES_tradnl"/>
          <w:rPrChange w:id="290" w:author="TCS" w:date="2026-03-19T15:02:00Z">
            <w:rPr>
              <w:lang w:val="es-ES_tradnl"/>
            </w:rPr>
          </w:rPrChange>
        </w:rPr>
        <w:t>En un análisis conjunto de los estudios II, III y IV, la proporción de pacientes que alcanzaron una respuesta ACR</w:t>
      </w:r>
      <w:r w:rsidR="00205482" w:rsidRPr="00BD7005">
        <w:rPr>
          <w:szCs w:val="22"/>
          <w:lang w:val="es-ES"/>
          <w:rPrChange w:id="291" w:author="TCS" w:date="2026-03-19T15:02:00Z">
            <w:rPr>
              <w:szCs w:val="22"/>
              <w:lang w:val="es-ES"/>
            </w:rPr>
          </w:rPrChange>
        </w:rPr>
        <w:t> </w:t>
      </w:r>
      <w:r w:rsidR="00205482" w:rsidRPr="00BD7005">
        <w:rPr>
          <w:lang w:val="es-ES_tradnl"/>
          <w:rPrChange w:id="292" w:author="TCS" w:date="2026-03-19T15:02:00Z">
            <w:rPr>
              <w:lang w:val="es-ES_tradnl"/>
            </w:rPr>
          </w:rPrChange>
        </w:rPr>
        <w:t xml:space="preserve"> </w:t>
      </w:r>
      <w:r w:rsidRPr="00BD7005">
        <w:rPr>
          <w:lang w:val="es-ES_tradnl"/>
          <w:rPrChange w:id="293" w:author="TCS" w:date="2026-03-19T15:02:00Z">
            <w:rPr>
              <w:lang w:val="es-ES_tradnl"/>
            </w:rPr>
          </w:rPrChange>
        </w:rPr>
        <w:t>20, 50 y 70 fue significativamente mayor (59 % frente al 50 %, 37 % frente a 27 %, 18 % frente al 11 %, respectivamente) en el grupo de tocilizumab 8 mg/kg más FAMEs frente al grupo tratado con tocilizumab 4 mg/kg más FAMEs (p</w:t>
      </w:r>
      <w:r w:rsidR="00205482" w:rsidRPr="00BD7005">
        <w:rPr>
          <w:rFonts w:eastAsia="MS Mincho"/>
          <w:sz w:val="10"/>
          <w:szCs w:val="22"/>
          <w:lang w:val="es-ES"/>
          <w:rPrChange w:id="294" w:author="TCS" w:date="2026-03-19T15:02:00Z">
            <w:rPr>
              <w:rFonts w:ascii="Arial" w:eastAsia="MS Mincho" w:hAnsi="Arial" w:cs="Arial"/>
              <w:sz w:val="10"/>
              <w:szCs w:val="22"/>
              <w:lang w:val="es-ES"/>
            </w:rPr>
          </w:rPrChange>
        </w:rPr>
        <w:t> </w:t>
      </w:r>
      <w:r w:rsidR="00205482" w:rsidRPr="00BD7005">
        <w:rPr>
          <w:rFonts w:eastAsia="MS Mincho"/>
          <w:szCs w:val="22"/>
          <w:lang w:val="en-GB"/>
          <w:rPrChange w:id="295" w:author="TCS" w:date="2026-03-19T15:02:00Z">
            <w:rPr>
              <w:rFonts w:ascii="Arial" w:eastAsia="MS Mincho" w:hAnsi="Arial" w:cs="Arial"/>
              <w:szCs w:val="22"/>
              <w:lang w:val="en-GB"/>
            </w:rPr>
          </w:rPrChange>
        </w:rPr>
        <w:sym w:font="Symbol" w:char="F03C"/>
      </w:r>
      <w:r w:rsidR="00205482" w:rsidRPr="00BD7005">
        <w:rPr>
          <w:rFonts w:eastAsia="MS Mincho"/>
          <w:sz w:val="10"/>
          <w:szCs w:val="22"/>
          <w:lang w:val="es-ES"/>
          <w:rPrChange w:id="296" w:author="TCS" w:date="2026-03-19T15:02:00Z">
            <w:rPr>
              <w:rFonts w:ascii="Arial" w:eastAsia="MS Mincho" w:hAnsi="Arial" w:cs="Arial"/>
              <w:sz w:val="10"/>
              <w:szCs w:val="22"/>
              <w:lang w:val="es-ES"/>
            </w:rPr>
          </w:rPrChange>
        </w:rPr>
        <w:t> </w:t>
      </w:r>
      <w:r w:rsidRPr="00BD7005">
        <w:rPr>
          <w:lang w:val="es-ES_tradnl"/>
          <w:rPrChange w:id="297" w:author="TCS" w:date="2026-03-19T15:02:00Z">
            <w:rPr>
              <w:lang w:val="es-ES_tradnl"/>
            </w:rPr>
          </w:rPrChange>
        </w:rPr>
        <w:t>0,03).</w:t>
      </w:r>
      <w:r w:rsidRPr="00BD7005">
        <w:rPr>
          <w:lang w:val="es-ES"/>
          <w:rPrChange w:id="298" w:author="TCS" w:date="2026-03-19T15:02:00Z">
            <w:rPr>
              <w:lang w:val="es-ES"/>
            </w:rPr>
          </w:rPrChange>
        </w:rPr>
        <w:t xml:space="preserve"> </w:t>
      </w:r>
      <w:r w:rsidRPr="00BD7005">
        <w:rPr>
          <w:lang w:val="es-ES_tradnl"/>
          <w:rPrChange w:id="299" w:author="TCS" w:date="2026-03-19T15:02:00Z">
            <w:rPr>
              <w:lang w:val="es-ES_tradnl"/>
            </w:rPr>
          </w:rPrChange>
        </w:rPr>
        <w:t>De forma similar, la proporción de pacientes que alcanzaron remisión en el DAS28 (DAS28</w:t>
      </w:r>
      <w:r w:rsidR="00205482" w:rsidRPr="00BD7005">
        <w:rPr>
          <w:rFonts w:eastAsia="MS Mincho"/>
          <w:sz w:val="10"/>
          <w:szCs w:val="22"/>
          <w:lang w:val="es-ES"/>
          <w:rPrChange w:id="300" w:author="TCS" w:date="2026-03-19T15:02:00Z">
            <w:rPr>
              <w:rFonts w:ascii="Arial" w:eastAsia="MS Mincho" w:hAnsi="Arial" w:cs="Arial"/>
              <w:sz w:val="10"/>
              <w:szCs w:val="22"/>
              <w:lang w:val="es-ES"/>
            </w:rPr>
          </w:rPrChange>
        </w:rPr>
        <w:t> </w:t>
      </w:r>
      <w:r w:rsidR="00205482" w:rsidRPr="00BD7005">
        <w:rPr>
          <w:rFonts w:eastAsia="MS Mincho"/>
          <w:szCs w:val="22"/>
          <w:lang w:val="en-GB"/>
          <w:rPrChange w:id="301" w:author="TCS" w:date="2026-03-19T15:02:00Z">
            <w:rPr>
              <w:rFonts w:ascii="Arial" w:eastAsia="MS Mincho" w:hAnsi="Arial" w:cs="Arial"/>
              <w:szCs w:val="22"/>
              <w:lang w:val="en-GB"/>
            </w:rPr>
          </w:rPrChange>
        </w:rPr>
        <w:sym w:font="Symbol" w:char="F03C"/>
      </w:r>
      <w:r w:rsidR="00205482" w:rsidRPr="00BD7005">
        <w:rPr>
          <w:rFonts w:eastAsia="MS Mincho"/>
          <w:sz w:val="10"/>
          <w:szCs w:val="22"/>
          <w:lang w:val="es-ES"/>
          <w:rPrChange w:id="302" w:author="TCS" w:date="2026-03-19T15:02:00Z">
            <w:rPr>
              <w:rFonts w:ascii="Arial" w:eastAsia="MS Mincho" w:hAnsi="Arial" w:cs="Arial"/>
              <w:sz w:val="10"/>
              <w:szCs w:val="22"/>
              <w:lang w:val="es-ES"/>
            </w:rPr>
          </w:rPrChange>
        </w:rPr>
        <w:t> </w:t>
      </w:r>
      <w:r w:rsidRPr="00BD7005">
        <w:rPr>
          <w:lang w:val="es-ES_tradnl"/>
          <w:rPrChange w:id="303" w:author="TCS" w:date="2026-03-19T15:02:00Z">
            <w:rPr>
              <w:lang w:val="es-ES_tradnl"/>
            </w:rPr>
          </w:rPrChange>
        </w:rPr>
        <w:t>2,6) fue significativamente mayor (31 % frente al 16 %, respectivamente) en los pacientes que recibieron tocilizumab 8 mg/kg más FAME que en pacientes que reciben tocilizumab 4 mg/kg más FAME (p</w:t>
      </w:r>
      <w:r w:rsidR="00205482" w:rsidRPr="00BD7005">
        <w:rPr>
          <w:rFonts w:eastAsia="MS Mincho"/>
          <w:sz w:val="10"/>
          <w:szCs w:val="22"/>
          <w:lang w:val="es-ES"/>
          <w:rPrChange w:id="304" w:author="TCS" w:date="2026-03-19T15:02:00Z">
            <w:rPr>
              <w:rFonts w:ascii="Arial" w:eastAsia="MS Mincho" w:hAnsi="Arial" w:cs="Arial"/>
              <w:sz w:val="10"/>
              <w:szCs w:val="22"/>
              <w:lang w:val="es-ES"/>
            </w:rPr>
          </w:rPrChange>
        </w:rPr>
        <w:t> </w:t>
      </w:r>
      <w:r w:rsidR="00205482" w:rsidRPr="00BD7005">
        <w:rPr>
          <w:rFonts w:eastAsia="MS Mincho"/>
          <w:szCs w:val="22"/>
          <w:lang w:val="en-GB"/>
          <w:rPrChange w:id="305" w:author="TCS" w:date="2026-03-19T15:02:00Z">
            <w:rPr>
              <w:rFonts w:ascii="Arial" w:eastAsia="MS Mincho" w:hAnsi="Arial" w:cs="Arial"/>
              <w:szCs w:val="22"/>
              <w:lang w:val="en-GB"/>
            </w:rPr>
          </w:rPrChange>
        </w:rPr>
        <w:sym w:font="Symbol" w:char="F03C"/>
      </w:r>
      <w:r w:rsidR="00205482" w:rsidRPr="00BD7005">
        <w:rPr>
          <w:rFonts w:eastAsia="MS Mincho"/>
          <w:sz w:val="10"/>
          <w:szCs w:val="22"/>
          <w:lang w:val="es-ES"/>
          <w:rPrChange w:id="306" w:author="TCS" w:date="2026-03-19T15:02:00Z">
            <w:rPr>
              <w:rFonts w:ascii="Arial" w:eastAsia="MS Mincho" w:hAnsi="Arial" w:cs="Arial"/>
              <w:sz w:val="10"/>
              <w:szCs w:val="22"/>
              <w:lang w:val="es-ES"/>
            </w:rPr>
          </w:rPrChange>
        </w:rPr>
        <w:t> </w:t>
      </w:r>
      <w:r w:rsidRPr="00BD7005">
        <w:rPr>
          <w:lang w:val="es-ES_tradnl"/>
          <w:rPrChange w:id="307" w:author="TCS" w:date="2026-03-19T15:02:00Z">
            <w:rPr>
              <w:lang w:val="es-ES_tradnl"/>
            </w:rPr>
          </w:rPrChange>
        </w:rPr>
        <w:t>0,0001).</w:t>
      </w:r>
    </w:p>
    <w:p w14:paraId="78DA56E6" w14:textId="77777777" w:rsidR="007927FC" w:rsidRPr="008A106B" w:rsidRDefault="007927FC" w:rsidP="007927FC">
      <w:pPr>
        <w:numPr>
          <w:ilvl w:val="12"/>
          <w:numId w:val="0"/>
        </w:numPr>
        <w:rPr>
          <w:lang w:val="es-ES"/>
        </w:rPr>
      </w:pPr>
    </w:p>
    <w:p w14:paraId="6B44A56C" w14:textId="77777777" w:rsidR="007927FC" w:rsidRDefault="007927FC" w:rsidP="007927FC">
      <w:pPr>
        <w:keepNext/>
        <w:keepLines/>
        <w:numPr>
          <w:ilvl w:val="12"/>
          <w:numId w:val="0"/>
        </w:numPr>
        <w:ind w:right="-2"/>
        <w:rPr>
          <w:bCs/>
          <w:i/>
          <w:lang w:val="es-ES_tradnl"/>
        </w:rPr>
      </w:pPr>
      <w:r w:rsidRPr="008A106B">
        <w:rPr>
          <w:bCs/>
          <w:i/>
          <w:lang w:val="es-ES_tradnl"/>
        </w:rPr>
        <w:lastRenderedPageBreak/>
        <w:t xml:space="preserve">Tabla </w:t>
      </w:r>
      <w:r w:rsidR="0085789E">
        <w:rPr>
          <w:bCs/>
          <w:i/>
          <w:lang w:val="es-ES_tradnl"/>
        </w:rPr>
        <w:t>4</w:t>
      </w:r>
      <w:r w:rsidRPr="008A106B">
        <w:rPr>
          <w:bCs/>
          <w:i/>
          <w:lang w:val="es-ES_tradnl"/>
        </w:rPr>
        <w:t xml:space="preserve">. Respuestas ACR en ensayos controlados con placebo / MTX / FAMEs (Porcentaje de pacientes) </w:t>
      </w:r>
    </w:p>
    <w:p w14:paraId="438B016B" w14:textId="77777777" w:rsidR="00D615B3" w:rsidRPr="008A106B" w:rsidRDefault="00D615B3" w:rsidP="007927FC">
      <w:pPr>
        <w:keepNext/>
        <w:keepLines/>
        <w:numPr>
          <w:ilvl w:val="12"/>
          <w:numId w:val="0"/>
        </w:numPr>
        <w:ind w:right="-2"/>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7"/>
        <w:gridCol w:w="861"/>
        <w:gridCol w:w="636"/>
        <w:gridCol w:w="861"/>
        <w:gridCol w:w="836"/>
        <w:gridCol w:w="861"/>
        <w:gridCol w:w="836"/>
        <w:gridCol w:w="919"/>
        <w:gridCol w:w="909"/>
        <w:gridCol w:w="7"/>
        <w:gridCol w:w="861"/>
        <w:gridCol w:w="707"/>
      </w:tblGrid>
      <w:tr w:rsidR="007927FC" w:rsidRPr="005A5612" w14:paraId="50A235D6" w14:textId="77777777" w:rsidTr="00DB5D62">
        <w:trPr>
          <w:cantSplit/>
          <w:trHeight w:val="463"/>
          <w:tblHeader/>
        </w:trPr>
        <w:tc>
          <w:tcPr>
            <w:tcW w:w="430" w:type="pct"/>
          </w:tcPr>
          <w:p w14:paraId="46C22FFA" w14:textId="77777777" w:rsidR="007927FC" w:rsidRPr="005A5612" w:rsidRDefault="007927FC" w:rsidP="00FC7454">
            <w:pPr>
              <w:keepNext/>
              <w:keepLines/>
              <w:numPr>
                <w:ilvl w:val="12"/>
                <w:numId w:val="0"/>
              </w:numPr>
              <w:ind w:right="-2"/>
              <w:jc w:val="center"/>
              <w:rPr>
                <w:sz w:val="18"/>
                <w:szCs w:val="18"/>
                <w:lang w:val="es-ES"/>
              </w:rPr>
            </w:pPr>
          </w:p>
        </w:tc>
        <w:tc>
          <w:tcPr>
            <w:tcW w:w="805" w:type="pct"/>
            <w:gridSpan w:val="2"/>
            <w:tcBorders>
              <w:bottom w:val="single" w:sz="4" w:space="0" w:color="auto"/>
            </w:tcBorders>
          </w:tcPr>
          <w:p w14:paraId="22B755F3" w14:textId="72E0260D" w:rsidR="007927FC" w:rsidRPr="005A5612" w:rsidRDefault="007927FC" w:rsidP="00FC7454">
            <w:pPr>
              <w:keepNext/>
              <w:keepLines/>
              <w:numPr>
                <w:ilvl w:val="12"/>
                <w:numId w:val="0"/>
              </w:numPr>
              <w:ind w:right="-2"/>
              <w:jc w:val="center"/>
              <w:rPr>
                <w:b/>
                <w:bCs/>
                <w:sz w:val="18"/>
                <w:szCs w:val="18"/>
                <w:lang w:val="en-GB"/>
              </w:rPr>
            </w:pPr>
            <w:del w:id="308" w:author="AUTHOR">
              <w:r w:rsidRPr="005A5612" w:rsidDel="006C4AF1">
                <w:rPr>
                  <w:b/>
                  <w:bCs/>
                  <w:sz w:val="18"/>
                  <w:szCs w:val="18"/>
                  <w:lang w:val="es-ES_tradnl"/>
                </w:rPr>
                <w:delText xml:space="preserve">Estudio </w:delText>
              </w:r>
            </w:del>
            <w:ins w:id="309" w:author="AUTHOR">
              <w:r w:rsidR="006C4AF1">
                <w:rPr>
                  <w:b/>
                  <w:bCs/>
                  <w:sz w:val="18"/>
                  <w:szCs w:val="18"/>
                  <w:lang w:val="es-ES_tradnl"/>
                </w:rPr>
                <w:t>Ensayo</w:t>
              </w:r>
              <w:r w:rsidR="006C4AF1" w:rsidRPr="005A5612">
                <w:rPr>
                  <w:b/>
                  <w:bCs/>
                  <w:sz w:val="18"/>
                  <w:szCs w:val="18"/>
                  <w:lang w:val="es-ES_tradnl"/>
                </w:rPr>
                <w:t xml:space="preserve"> </w:t>
              </w:r>
            </w:ins>
            <w:r w:rsidRPr="005A5612">
              <w:rPr>
                <w:b/>
                <w:bCs/>
                <w:sz w:val="18"/>
                <w:szCs w:val="18"/>
                <w:lang w:val="es-ES_tradnl"/>
              </w:rPr>
              <w:t>I</w:t>
            </w:r>
          </w:p>
          <w:p w14:paraId="6E6913BB"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AMBITION</w:t>
            </w:r>
          </w:p>
        </w:tc>
        <w:tc>
          <w:tcPr>
            <w:tcW w:w="935" w:type="pct"/>
            <w:gridSpan w:val="2"/>
            <w:tcBorders>
              <w:bottom w:val="single" w:sz="4" w:space="0" w:color="auto"/>
            </w:tcBorders>
          </w:tcPr>
          <w:p w14:paraId="5026DF93" w14:textId="0C69B5F4" w:rsidR="007927FC" w:rsidRPr="005A5612" w:rsidRDefault="006C4AF1" w:rsidP="00FC7454">
            <w:pPr>
              <w:keepNext/>
              <w:keepLines/>
              <w:numPr>
                <w:ilvl w:val="12"/>
                <w:numId w:val="0"/>
              </w:numPr>
              <w:ind w:right="-2"/>
              <w:jc w:val="center"/>
              <w:rPr>
                <w:b/>
                <w:bCs/>
                <w:sz w:val="18"/>
                <w:szCs w:val="18"/>
                <w:lang w:val="en-GB"/>
              </w:rPr>
            </w:pPr>
            <w:ins w:id="310" w:author="AUTHOR">
              <w:r>
                <w:rPr>
                  <w:b/>
                  <w:bCs/>
                  <w:sz w:val="18"/>
                  <w:szCs w:val="18"/>
                  <w:lang w:val="es-ES_tradnl"/>
                </w:rPr>
                <w:t>Ensayo</w:t>
              </w:r>
            </w:ins>
            <w:del w:id="311" w:author="AUTHOR">
              <w:r w:rsidR="007927FC" w:rsidRPr="005A5612" w:rsidDel="006C4AF1">
                <w:rPr>
                  <w:b/>
                  <w:bCs/>
                  <w:sz w:val="18"/>
                  <w:szCs w:val="18"/>
                  <w:lang w:val="es-ES_tradnl"/>
                </w:rPr>
                <w:delText>Estudio</w:delText>
              </w:r>
            </w:del>
            <w:r w:rsidR="007927FC" w:rsidRPr="005A5612">
              <w:rPr>
                <w:b/>
                <w:bCs/>
                <w:sz w:val="18"/>
                <w:szCs w:val="18"/>
                <w:lang w:val="es-ES_tradnl"/>
              </w:rPr>
              <w:t xml:space="preserve"> II</w:t>
            </w:r>
          </w:p>
          <w:p w14:paraId="7E5BE0F1"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LITHE</w:t>
            </w:r>
          </w:p>
        </w:tc>
        <w:tc>
          <w:tcPr>
            <w:tcW w:w="935" w:type="pct"/>
            <w:gridSpan w:val="2"/>
            <w:tcBorders>
              <w:bottom w:val="single" w:sz="4" w:space="0" w:color="auto"/>
            </w:tcBorders>
          </w:tcPr>
          <w:p w14:paraId="25D175E3" w14:textId="20EE5EBA" w:rsidR="007927FC" w:rsidRPr="005A5612" w:rsidRDefault="006C4AF1" w:rsidP="00FC7454">
            <w:pPr>
              <w:keepNext/>
              <w:keepLines/>
              <w:numPr>
                <w:ilvl w:val="12"/>
                <w:numId w:val="0"/>
              </w:numPr>
              <w:ind w:right="-2"/>
              <w:jc w:val="center"/>
              <w:rPr>
                <w:b/>
                <w:bCs/>
                <w:sz w:val="18"/>
                <w:szCs w:val="18"/>
                <w:lang w:val="en-GB"/>
              </w:rPr>
            </w:pPr>
            <w:ins w:id="312" w:author="AUTHOR">
              <w:r>
                <w:rPr>
                  <w:b/>
                  <w:bCs/>
                  <w:sz w:val="18"/>
                  <w:szCs w:val="18"/>
                  <w:lang w:val="es-ES_tradnl"/>
                </w:rPr>
                <w:t>Ensayo</w:t>
              </w:r>
              <w:r w:rsidRPr="005A5612">
                <w:rPr>
                  <w:b/>
                  <w:bCs/>
                  <w:sz w:val="18"/>
                  <w:szCs w:val="18"/>
                  <w:lang w:val="es-ES_tradnl"/>
                </w:rPr>
                <w:t xml:space="preserve"> </w:t>
              </w:r>
            </w:ins>
            <w:del w:id="313" w:author="AUTHOR">
              <w:r w:rsidR="007927FC" w:rsidRPr="005A5612" w:rsidDel="006C4AF1">
                <w:rPr>
                  <w:b/>
                  <w:bCs/>
                  <w:sz w:val="18"/>
                  <w:szCs w:val="18"/>
                  <w:lang w:val="es-ES_tradnl"/>
                </w:rPr>
                <w:delText xml:space="preserve">Estudio </w:delText>
              </w:r>
            </w:del>
            <w:r w:rsidR="007927FC" w:rsidRPr="005A5612">
              <w:rPr>
                <w:b/>
                <w:bCs/>
                <w:sz w:val="18"/>
                <w:szCs w:val="18"/>
                <w:lang w:val="es-ES_tradnl"/>
              </w:rPr>
              <w:t>III</w:t>
            </w:r>
          </w:p>
          <w:p w14:paraId="6FA45483"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OPTION</w:t>
            </w:r>
          </w:p>
        </w:tc>
        <w:tc>
          <w:tcPr>
            <w:tcW w:w="1027" w:type="pct"/>
            <w:gridSpan w:val="3"/>
            <w:tcBorders>
              <w:bottom w:val="single" w:sz="4" w:space="0" w:color="auto"/>
            </w:tcBorders>
          </w:tcPr>
          <w:p w14:paraId="0E4B17A2" w14:textId="7AC3A9A5" w:rsidR="007927FC" w:rsidRPr="005A5612" w:rsidRDefault="006C4AF1" w:rsidP="00FC7454">
            <w:pPr>
              <w:keepNext/>
              <w:keepLines/>
              <w:numPr>
                <w:ilvl w:val="12"/>
                <w:numId w:val="0"/>
              </w:numPr>
              <w:ind w:right="-2"/>
              <w:jc w:val="center"/>
              <w:rPr>
                <w:b/>
                <w:bCs/>
                <w:sz w:val="18"/>
                <w:szCs w:val="18"/>
                <w:lang w:val="en-GB"/>
              </w:rPr>
            </w:pPr>
            <w:ins w:id="314" w:author="AUTHOR">
              <w:r>
                <w:rPr>
                  <w:b/>
                  <w:bCs/>
                  <w:sz w:val="18"/>
                  <w:szCs w:val="18"/>
                  <w:lang w:val="es-ES_tradnl"/>
                </w:rPr>
                <w:t>Ensayo</w:t>
              </w:r>
            </w:ins>
            <w:del w:id="315" w:author="AUTHOR">
              <w:r w:rsidR="007927FC" w:rsidRPr="005A5612" w:rsidDel="006C4AF1">
                <w:rPr>
                  <w:b/>
                  <w:bCs/>
                  <w:sz w:val="18"/>
                  <w:szCs w:val="18"/>
                  <w:lang w:val="es-ES_tradnl"/>
                </w:rPr>
                <w:delText>Estudio</w:delText>
              </w:r>
            </w:del>
            <w:r w:rsidR="007927FC" w:rsidRPr="005A5612">
              <w:rPr>
                <w:b/>
                <w:bCs/>
                <w:sz w:val="18"/>
                <w:szCs w:val="18"/>
                <w:lang w:val="es-ES_tradnl"/>
              </w:rPr>
              <w:t xml:space="preserve"> IV</w:t>
            </w:r>
          </w:p>
          <w:p w14:paraId="71D66702"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TOWARD</w:t>
            </w:r>
          </w:p>
        </w:tc>
        <w:tc>
          <w:tcPr>
            <w:tcW w:w="869" w:type="pct"/>
            <w:gridSpan w:val="2"/>
            <w:tcBorders>
              <w:bottom w:val="single" w:sz="4" w:space="0" w:color="auto"/>
            </w:tcBorders>
          </w:tcPr>
          <w:p w14:paraId="493AAAAB" w14:textId="7D943988" w:rsidR="007927FC" w:rsidRPr="005A5612" w:rsidRDefault="006C4AF1" w:rsidP="00FC7454">
            <w:pPr>
              <w:keepNext/>
              <w:keepLines/>
              <w:numPr>
                <w:ilvl w:val="12"/>
                <w:numId w:val="0"/>
              </w:numPr>
              <w:ind w:right="-2"/>
              <w:jc w:val="center"/>
              <w:rPr>
                <w:b/>
                <w:bCs/>
                <w:sz w:val="18"/>
                <w:szCs w:val="18"/>
                <w:lang w:val="en-GB"/>
              </w:rPr>
            </w:pPr>
            <w:ins w:id="316" w:author="AUTHOR">
              <w:r>
                <w:rPr>
                  <w:b/>
                  <w:bCs/>
                  <w:sz w:val="18"/>
                  <w:szCs w:val="18"/>
                  <w:lang w:val="es-ES_tradnl"/>
                </w:rPr>
                <w:t>Ensayo</w:t>
              </w:r>
            </w:ins>
            <w:del w:id="317" w:author="AUTHOR">
              <w:r w:rsidR="007927FC" w:rsidRPr="005A5612" w:rsidDel="006C4AF1">
                <w:rPr>
                  <w:b/>
                  <w:bCs/>
                  <w:sz w:val="18"/>
                  <w:szCs w:val="18"/>
                  <w:lang w:val="es-ES_tradnl"/>
                </w:rPr>
                <w:delText>Estudio</w:delText>
              </w:r>
            </w:del>
            <w:r w:rsidR="007927FC" w:rsidRPr="005A5612">
              <w:rPr>
                <w:b/>
                <w:bCs/>
                <w:sz w:val="18"/>
                <w:szCs w:val="18"/>
                <w:lang w:val="es-ES_tradnl"/>
              </w:rPr>
              <w:t xml:space="preserve"> V</w:t>
            </w:r>
          </w:p>
          <w:p w14:paraId="6AB22E2C"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RADIATE</w:t>
            </w:r>
          </w:p>
        </w:tc>
      </w:tr>
      <w:tr w:rsidR="007927FC" w:rsidRPr="005A5612" w14:paraId="752032BD" w14:textId="77777777" w:rsidTr="00DB5D62">
        <w:trPr>
          <w:cantSplit/>
          <w:trHeight w:val="737"/>
        </w:trPr>
        <w:tc>
          <w:tcPr>
            <w:tcW w:w="430" w:type="pct"/>
          </w:tcPr>
          <w:p w14:paraId="79F82323" w14:textId="6A9ABACD" w:rsidR="007927FC" w:rsidRPr="005A5612" w:rsidRDefault="00DB5D62" w:rsidP="00FC7454">
            <w:pPr>
              <w:keepNext/>
              <w:keepLines/>
              <w:numPr>
                <w:ilvl w:val="12"/>
                <w:numId w:val="0"/>
              </w:numPr>
              <w:ind w:right="-2"/>
              <w:jc w:val="center"/>
              <w:rPr>
                <w:sz w:val="18"/>
                <w:szCs w:val="18"/>
              </w:rPr>
            </w:pPr>
            <w:r>
              <w:rPr>
                <w:b/>
                <w:bCs/>
                <w:sz w:val="18"/>
                <w:szCs w:val="18"/>
                <w:lang w:val="es-ES_tradnl"/>
              </w:rPr>
              <w:t>s</w:t>
            </w:r>
            <w:r w:rsidR="007927FC" w:rsidRPr="005A5612">
              <w:rPr>
                <w:b/>
                <w:bCs/>
                <w:sz w:val="18"/>
                <w:szCs w:val="18"/>
                <w:lang w:val="es-ES_tradnl"/>
              </w:rPr>
              <w:t>ema-na</w:t>
            </w:r>
          </w:p>
        </w:tc>
        <w:tc>
          <w:tcPr>
            <w:tcW w:w="462" w:type="pct"/>
            <w:tcBorders>
              <w:right w:val="single" w:sz="4" w:space="0" w:color="auto"/>
            </w:tcBorders>
          </w:tcPr>
          <w:p w14:paraId="3F68F219"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s-ES_tradnl"/>
              </w:rPr>
              <w:t>TCZ</w:t>
            </w:r>
          </w:p>
          <w:p w14:paraId="381C70A4"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8 mg/kg</w:t>
            </w:r>
          </w:p>
        </w:tc>
        <w:tc>
          <w:tcPr>
            <w:tcW w:w="342" w:type="pct"/>
            <w:tcBorders>
              <w:left w:val="single" w:sz="4" w:space="0" w:color="auto"/>
              <w:right w:val="single" w:sz="4" w:space="0" w:color="auto"/>
            </w:tcBorders>
          </w:tcPr>
          <w:p w14:paraId="361A08F6"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MTX</w:t>
            </w:r>
          </w:p>
        </w:tc>
        <w:tc>
          <w:tcPr>
            <w:tcW w:w="467" w:type="pct"/>
            <w:tcBorders>
              <w:left w:val="single" w:sz="4" w:space="0" w:color="auto"/>
              <w:right w:val="single" w:sz="4" w:space="0" w:color="auto"/>
            </w:tcBorders>
          </w:tcPr>
          <w:p w14:paraId="1FD6A6DA" w14:textId="77777777" w:rsidR="007927FC" w:rsidRPr="005A5612" w:rsidRDefault="007927FC" w:rsidP="00FC7454">
            <w:pPr>
              <w:keepNext/>
              <w:keepLines/>
              <w:numPr>
                <w:ilvl w:val="12"/>
                <w:numId w:val="0"/>
              </w:numPr>
              <w:ind w:right="-2"/>
              <w:jc w:val="center"/>
              <w:rPr>
                <w:b/>
                <w:bCs/>
                <w:sz w:val="18"/>
                <w:szCs w:val="18"/>
                <w:lang w:val="pt-BR"/>
              </w:rPr>
            </w:pPr>
            <w:r w:rsidRPr="005A5612">
              <w:rPr>
                <w:b/>
                <w:bCs/>
                <w:sz w:val="18"/>
                <w:szCs w:val="18"/>
                <w:lang w:val="es-ES_tradnl"/>
              </w:rPr>
              <w:t>TCZ</w:t>
            </w:r>
          </w:p>
          <w:p w14:paraId="08CBB8BD"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8 mg/kg + MTX</w:t>
            </w:r>
          </w:p>
        </w:tc>
        <w:tc>
          <w:tcPr>
            <w:tcW w:w="467" w:type="pct"/>
            <w:tcBorders>
              <w:left w:val="single" w:sz="4" w:space="0" w:color="auto"/>
              <w:right w:val="single" w:sz="4" w:space="0" w:color="auto"/>
            </w:tcBorders>
          </w:tcPr>
          <w:p w14:paraId="0A7ADF57"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PBO + MTX</w:t>
            </w:r>
          </w:p>
        </w:tc>
        <w:tc>
          <w:tcPr>
            <w:tcW w:w="467" w:type="pct"/>
            <w:tcBorders>
              <w:left w:val="single" w:sz="4" w:space="0" w:color="auto"/>
              <w:right w:val="single" w:sz="4" w:space="0" w:color="auto"/>
            </w:tcBorders>
          </w:tcPr>
          <w:p w14:paraId="26D6B452" w14:textId="77777777" w:rsidR="007927FC" w:rsidRPr="005A5612" w:rsidRDefault="007927FC" w:rsidP="00FC7454">
            <w:pPr>
              <w:keepNext/>
              <w:keepLines/>
              <w:numPr>
                <w:ilvl w:val="12"/>
                <w:numId w:val="0"/>
              </w:numPr>
              <w:ind w:right="-2"/>
              <w:jc w:val="center"/>
              <w:rPr>
                <w:b/>
                <w:bCs/>
                <w:sz w:val="18"/>
                <w:szCs w:val="18"/>
                <w:lang w:val="pt-BR"/>
              </w:rPr>
            </w:pPr>
            <w:r w:rsidRPr="005A5612">
              <w:rPr>
                <w:b/>
                <w:bCs/>
                <w:sz w:val="18"/>
                <w:szCs w:val="18"/>
                <w:lang w:val="es-ES_tradnl"/>
              </w:rPr>
              <w:t>TCZ</w:t>
            </w:r>
          </w:p>
          <w:p w14:paraId="15D06B9C"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8 mg/kg + MTX</w:t>
            </w:r>
          </w:p>
        </w:tc>
        <w:tc>
          <w:tcPr>
            <w:tcW w:w="467" w:type="pct"/>
            <w:tcBorders>
              <w:left w:val="single" w:sz="4" w:space="0" w:color="auto"/>
            </w:tcBorders>
          </w:tcPr>
          <w:p w14:paraId="77BCED86"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PBO + MTX</w:t>
            </w:r>
          </w:p>
        </w:tc>
        <w:tc>
          <w:tcPr>
            <w:tcW w:w="514" w:type="pct"/>
            <w:tcBorders>
              <w:left w:val="nil"/>
              <w:right w:val="single" w:sz="4" w:space="0" w:color="auto"/>
            </w:tcBorders>
          </w:tcPr>
          <w:p w14:paraId="25F1342E" w14:textId="77777777" w:rsidR="007927FC" w:rsidRPr="005A5612" w:rsidRDefault="007927FC" w:rsidP="00FC7454">
            <w:pPr>
              <w:keepNext/>
              <w:keepLines/>
              <w:numPr>
                <w:ilvl w:val="12"/>
                <w:numId w:val="0"/>
              </w:numPr>
              <w:ind w:right="-2"/>
              <w:jc w:val="center"/>
              <w:rPr>
                <w:b/>
                <w:bCs/>
                <w:sz w:val="18"/>
                <w:szCs w:val="18"/>
                <w:lang w:val="fr-FR"/>
              </w:rPr>
            </w:pPr>
            <w:r w:rsidRPr="005A5612">
              <w:rPr>
                <w:b/>
                <w:bCs/>
                <w:sz w:val="18"/>
                <w:szCs w:val="18"/>
                <w:lang w:val="es-ES_tradnl"/>
              </w:rPr>
              <w:t>TCZ</w:t>
            </w:r>
          </w:p>
          <w:p w14:paraId="316B7DFC"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8 mg/kg + FAME</w:t>
            </w:r>
          </w:p>
        </w:tc>
        <w:tc>
          <w:tcPr>
            <w:tcW w:w="513" w:type="pct"/>
            <w:gridSpan w:val="2"/>
            <w:tcBorders>
              <w:left w:val="single" w:sz="4" w:space="0" w:color="auto"/>
            </w:tcBorders>
          </w:tcPr>
          <w:p w14:paraId="03CD0C02"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PBO + FAME</w:t>
            </w:r>
          </w:p>
        </w:tc>
        <w:tc>
          <w:tcPr>
            <w:tcW w:w="467" w:type="pct"/>
            <w:tcBorders>
              <w:left w:val="nil"/>
              <w:right w:val="single" w:sz="4" w:space="0" w:color="auto"/>
            </w:tcBorders>
          </w:tcPr>
          <w:p w14:paraId="6C526BEF"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TCZ 8 mg/kg + MTX</w:t>
            </w:r>
          </w:p>
        </w:tc>
        <w:tc>
          <w:tcPr>
            <w:tcW w:w="402" w:type="pct"/>
            <w:tcBorders>
              <w:left w:val="single" w:sz="4" w:space="0" w:color="auto"/>
            </w:tcBorders>
          </w:tcPr>
          <w:p w14:paraId="3103AD68" w14:textId="77777777"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PBO + MTX</w:t>
            </w:r>
            <w:r w:rsidRPr="005A5612">
              <w:rPr>
                <w:b/>
                <w:bCs/>
                <w:sz w:val="18"/>
                <w:szCs w:val="18"/>
                <w:lang w:val="en-GB"/>
              </w:rPr>
              <w:br/>
            </w:r>
          </w:p>
        </w:tc>
      </w:tr>
      <w:tr w:rsidR="007927FC" w:rsidRPr="005A5612" w14:paraId="33B0B4C2" w14:textId="77777777" w:rsidTr="00DB5D62">
        <w:trPr>
          <w:cantSplit/>
          <w:trHeight w:val="521"/>
        </w:trPr>
        <w:tc>
          <w:tcPr>
            <w:tcW w:w="430" w:type="pct"/>
          </w:tcPr>
          <w:p w14:paraId="6F477332" w14:textId="77777777" w:rsidR="007927FC" w:rsidRPr="005A5612" w:rsidRDefault="007927FC" w:rsidP="00FC7454">
            <w:pPr>
              <w:keepNext/>
              <w:keepLines/>
              <w:numPr>
                <w:ilvl w:val="12"/>
                <w:numId w:val="0"/>
              </w:numPr>
              <w:ind w:right="-2"/>
              <w:jc w:val="center"/>
              <w:rPr>
                <w:b/>
                <w:bCs/>
                <w:sz w:val="18"/>
                <w:szCs w:val="18"/>
                <w:lang w:val="en-GB"/>
              </w:rPr>
            </w:pPr>
          </w:p>
        </w:tc>
        <w:tc>
          <w:tcPr>
            <w:tcW w:w="462" w:type="pct"/>
            <w:tcBorders>
              <w:right w:val="single" w:sz="4" w:space="0" w:color="auto"/>
            </w:tcBorders>
          </w:tcPr>
          <w:p w14:paraId="231B2CCB" w14:textId="2BD1B999" w:rsidR="007927FC" w:rsidRPr="005A5612" w:rsidRDefault="007927FC" w:rsidP="00FC7454">
            <w:pPr>
              <w:keepNext/>
              <w:keepLines/>
              <w:numPr>
                <w:ilvl w:val="12"/>
                <w:numId w:val="0"/>
              </w:numPr>
              <w:ind w:right="-2"/>
              <w:jc w:val="center"/>
              <w:rPr>
                <w:b/>
                <w:bCs/>
                <w:sz w:val="18"/>
                <w:szCs w:val="18"/>
                <w:lang w:val="en-GB"/>
              </w:rPr>
            </w:pPr>
            <w:del w:id="318" w:author="AUTHOR">
              <w:r w:rsidRPr="005A5612" w:rsidDel="003E29DD">
                <w:rPr>
                  <w:b/>
                  <w:bCs/>
                  <w:sz w:val="18"/>
                  <w:szCs w:val="18"/>
                  <w:lang w:val="es-ES_tradnl"/>
                </w:rPr>
                <w:delText>N</w:delText>
              </w:r>
            </w:del>
            <w:ins w:id="319" w:author="AUTHOR">
              <w:r w:rsidR="003E29DD">
                <w:rPr>
                  <w:b/>
                  <w:bCs/>
                  <w:sz w:val="18"/>
                  <w:szCs w:val="18"/>
                  <w:lang w:val="es-ES_tradnl"/>
                </w:rPr>
                <w:t xml:space="preserve">n </w:t>
              </w:r>
              <w:r w:rsidR="005F62DB" w:rsidRPr="000D6691">
                <w:rPr>
                  <w:b/>
                  <w:bCs/>
                  <w:szCs w:val="22"/>
                  <w:lang w:val="en-GB"/>
                </w:rPr>
                <w:t>=</w:t>
              </w:r>
            </w:ins>
          </w:p>
          <w:p w14:paraId="64922350"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286</w:t>
            </w:r>
          </w:p>
        </w:tc>
        <w:tc>
          <w:tcPr>
            <w:tcW w:w="342" w:type="pct"/>
            <w:tcBorders>
              <w:left w:val="single" w:sz="4" w:space="0" w:color="auto"/>
              <w:right w:val="single" w:sz="4" w:space="0" w:color="auto"/>
            </w:tcBorders>
          </w:tcPr>
          <w:p w14:paraId="55619D69" w14:textId="62B7EAD9" w:rsidR="007927FC" w:rsidRPr="005A5612" w:rsidRDefault="007927FC" w:rsidP="00FC7454">
            <w:pPr>
              <w:keepNext/>
              <w:keepLines/>
              <w:numPr>
                <w:ilvl w:val="12"/>
                <w:numId w:val="0"/>
              </w:numPr>
              <w:ind w:right="-2"/>
              <w:jc w:val="center"/>
              <w:rPr>
                <w:b/>
                <w:bCs/>
                <w:sz w:val="18"/>
                <w:szCs w:val="18"/>
                <w:lang w:val="en-GB"/>
              </w:rPr>
            </w:pPr>
            <w:del w:id="320" w:author="AUTHOR">
              <w:r w:rsidRPr="005A5612" w:rsidDel="003E29DD">
                <w:rPr>
                  <w:b/>
                  <w:bCs/>
                  <w:sz w:val="18"/>
                  <w:szCs w:val="18"/>
                  <w:lang w:val="es-ES_tradnl"/>
                </w:rPr>
                <w:delText>N</w:delText>
              </w:r>
            </w:del>
            <w:ins w:id="321" w:author="AUTHOR">
              <w:r w:rsidR="003E29DD">
                <w:rPr>
                  <w:b/>
                  <w:bCs/>
                  <w:sz w:val="18"/>
                  <w:szCs w:val="18"/>
                  <w:lang w:val="es-ES_tradnl"/>
                </w:rPr>
                <w:t xml:space="preserve">n </w:t>
              </w:r>
              <w:r w:rsidR="005F62DB" w:rsidRPr="000D6691">
                <w:rPr>
                  <w:b/>
                  <w:bCs/>
                  <w:szCs w:val="22"/>
                  <w:lang w:val="en-GB"/>
                </w:rPr>
                <w:t>=</w:t>
              </w:r>
            </w:ins>
          </w:p>
          <w:p w14:paraId="1CE0ADD2"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284</w:t>
            </w:r>
          </w:p>
        </w:tc>
        <w:tc>
          <w:tcPr>
            <w:tcW w:w="467" w:type="pct"/>
            <w:tcBorders>
              <w:left w:val="single" w:sz="4" w:space="0" w:color="auto"/>
              <w:right w:val="single" w:sz="4" w:space="0" w:color="auto"/>
            </w:tcBorders>
          </w:tcPr>
          <w:p w14:paraId="7279219C" w14:textId="2AC76162" w:rsidR="007927FC" w:rsidRPr="005A5612" w:rsidRDefault="007927FC" w:rsidP="00FC7454">
            <w:pPr>
              <w:keepNext/>
              <w:keepLines/>
              <w:numPr>
                <w:ilvl w:val="12"/>
                <w:numId w:val="0"/>
              </w:numPr>
              <w:ind w:right="-2"/>
              <w:jc w:val="center"/>
              <w:rPr>
                <w:b/>
                <w:bCs/>
                <w:sz w:val="18"/>
                <w:szCs w:val="18"/>
                <w:lang w:val="pt-BR"/>
              </w:rPr>
            </w:pPr>
            <w:del w:id="322" w:author="AUTHOR">
              <w:r w:rsidRPr="005A5612" w:rsidDel="003E29DD">
                <w:rPr>
                  <w:b/>
                  <w:bCs/>
                  <w:sz w:val="18"/>
                  <w:szCs w:val="18"/>
                  <w:lang w:val="es-ES_tradnl"/>
                </w:rPr>
                <w:delText>N</w:delText>
              </w:r>
            </w:del>
            <w:ins w:id="323" w:author="AUTHOR">
              <w:r w:rsidR="003E29DD">
                <w:rPr>
                  <w:b/>
                  <w:bCs/>
                  <w:sz w:val="18"/>
                  <w:szCs w:val="18"/>
                  <w:lang w:val="es-ES_tradnl"/>
                </w:rPr>
                <w:t xml:space="preserve">n </w:t>
              </w:r>
              <w:r w:rsidR="005F62DB" w:rsidRPr="000D6691">
                <w:rPr>
                  <w:b/>
                  <w:bCs/>
                  <w:szCs w:val="22"/>
                  <w:lang w:val="en-GB"/>
                </w:rPr>
                <w:t>=</w:t>
              </w:r>
            </w:ins>
          </w:p>
          <w:p w14:paraId="2C0B5316" w14:textId="77777777" w:rsidR="007927FC" w:rsidRPr="005A5612" w:rsidRDefault="007927FC" w:rsidP="00FC7454">
            <w:pPr>
              <w:keepNext/>
              <w:keepLines/>
              <w:numPr>
                <w:ilvl w:val="12"/>
                <w:numId w:val="0"/>
              </w:numPr>
              <w:ind w:right="-2"/>
              <w:jc w:val="center"/>
              <w:rPr>
                <w:b/>
                <w:bCs/>
                <w:sz w:val="18"/>
                <w:szCs w:val="18"/>
                <w:lang w:val="pt-BR"/>
              </w:rPr>
            </w:pPr>
            <w:r w:rsidRPr="005A5612">
              <w:rPr>
                <w:b/>
                <w:bCs/>
                <w:sz w:val="18"/>
                <w:szCs w:val="18"/>
                <w:lang w:val="pt-BR"/>
              </w:rPr>
              <w:t>398</w:t>
            </w:r>
          </w:p>
        </w:tc>
        <w:tc>
          <w:tcPr>
            <w:tcW w:w="467" w:type="pct"/>
            <w:tcBorders>
              <w:left w:val="single" w:sz="4" w:space="0" w:color="auto"/>
              <w:right w:val="single" w:sz="4" w:space="0" w:color="auto"/>
            </w:tcBorders>
          </w:tcPr>
          <w:p w14:paraId="497F3EBF" w14:textId="2F9EC55A" w:rsidR="007927FC" w:rsidRPr="005A5612" w:rsidRDefault="007927FC" w:rsidP="00FC7454">
            <w:pPr>
              <w:keepNext/>
              <w:keepLines/>
              <w:numPr>
                <w:ilvl w:val="12"/>
                <w:numId w:val="0"/>
              </w:numPr>
              <w:ind w:right="-2"/>
              <w:jc w:val="center"/>
              <w:rPr>
                <w:b/>
                <w:bCs/>
                <w:sz w:val="18"/>
                <w:szCs w:val="18"/>
                <w:lang w:val="en-GB"/>
              </w:rPr>
            </w:pPr>
            <w:del w:id="324" w:author="AUTHOR">
              <w:r w:rsidRPr="005A5612" w:rsidDel="003E29DD">
                <w:rPr>
                  <w:b/>
                  <w:bCs/>
                  <w:sz w:val="18"/>
                  <w:szCs w:val="18"/>
                  <w:lang w:val="es-ES_tradnl"/>
                </w:rPr>
                <w:delText>N</w:delText>
              </w:r>
            </w:del>
            <w:ins w:id="325" w:author="AUTHOR">
              <w:r w:rsidR="003E29DD">
                <w:rPr>
                  <w:b/>
                  <w:bCs/>
                  <w:sz w:val="18"/>
                  <w:szCs w:val="18"/>
                  <w:lang w:val="es-ES_tradnl"/>
                </w:rPr>
                <w:t xml:space="preserve">n </w:t>
              </w:r>
              <w:r w:rsidR="005F62DB" w:rsidRPr="000D6691">
                <w:rPr>
                  <w:b/>
                  <w:bCs/>
                  <w:szCs w:val="22"/>
                  <w:lang w:val="en-GB"/>
                </w:rPr>
                <w:t>=</w:t>
              </w:r>
            </w:ins>
          </w:p>
          <w:p w14:paraId="3196F15D"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393</w:t>
            </w:r>
          </w:p>
        </w:tc>
        <w:tc>
          <w:tcPr>
            <w:tcW w:w="467" w:type="pct"/>
            <w:tcBorders>
              <w:left w:val="single" w:sz="4" w:space="0" w:color="auto"/>
              <w:right w:val="single" w:sz="4" w:space="0" w:color="auto"/>
            </w:tcBorders>
          </w:tcPr>
          <w:p w14:paraId="06B65DAC" w14:textId="10C0B2AC" w:rsidR="007927FC" w:rsidRPr="005A5612" w:rsidRDefault="007927FC" w:rsidP="00FC7454">
            <w:pPr>
              <w:keepNext/>
              <w:keepLines/>
              <w:numPr>
                <w:ilvl w:val="12"/>
                <w:numId w:val="0"/>
              </w:numPr>
              <w:ind w:right="-2"/>
              <w:jc w:val="center"/>
              <w:rPr>
                <w:b/>
                <w:bCs/>
                <w:sz w:val="18"/>
                <w:szCs w:val="18"/>
                <w:lang w:val="pt-BR"/>
              </w:rPr>
            </w:pPr>
            <w:del w:id="326" w:author="AUTHOR">
              <w:r w:rsidRPr="005A5612" w:rsidDel="003E29DD">
                <w:rPr>
                  <w:b/>
                  <w:bCs/>
                  <w:sz w:val="18"/>
                  <w:szCs w:val="18"/>
                  <w:lang w:val="es-ES_tradnl"/>
                </w:rPr>
                <w:delText>N</w:delText>
              </w:r>
            </w:del>
            <w:ins w:id="327" w:author="AUTHOR">
              <w:r w:rsidR="003E29DD">
                <w:rPr>
                  <w:b/>
                  <w:bCs/>
                  <w:sz w:val="18"/>
                  <w:szCs w:val="18"/>
                  <w:lang w:val="es-ES_tradnl"/>
                </w:rPr>
                <w:t xml:space="preserve">n </w:t>
              </w:r>
              <w:r w:rsidR="005F62DB" w:rsidRPr="000D6691">
                <w:rPr>
                  <w:b/>
                  <w:bCs/>
                  <w:szCs w:val="22"/>
                  <w:lang w:val="en-GB"/>
                </w:rPr>
                <w:t>=</w:t>
              </w:r>
            </w:ins>
          </w:p>
          <w:p w14:paraId="1D343DA5" w14:textId="77777777" w:rsidR="007927FC" w:rsidRPr="005A5612" w:rsidRDefault="007927FC" w:rsidP="00FC7454">
            <w:pPr>
              <w:keepNext/>
              <w:keepLines/>
              <w:numPr>
                <w:ilvl w:val="12"/>
                <w:numId w:val="0"/>
              </w:numPr>
              <w:ind w:right="-2"/>
              <w:jc w:val="center"/>
              <w:rPr>
                <w:b/>
                <w:bCs/>
                <w:sz w:val="18"/>
                <w:szCs w:val="18"/>
                <w:lang w:val="pt-BR"/>
              </w:rPr>
            </w:pPr>
            <w:r w:rsidRPr="005A5612">
              <w:rPr>
                <w:b/>
                <w:bCs/>
                <w:sz w:val="18"/>
                <w:szCs w:val="18"/>
                <w:lang w:val="pt-BR"/>
              </w:rPr>
              <w:t>205</w:t>
            </w:r>
          </w:p>
        </w:tc>
        <w:tc>
          <w:tcPr>
            <w:tcW w:w="467" w:type="pct"/>
            <w:tcBorders>
              <w:left w:val="single" w:sz="4" w:space="0" w:color="auto"/>
            </w:tcBorders>
          </w:tcPr>
          <w:p w14:paraId="782D9238" w14:textId="1CDD0486" w:rsidR="007927FC" w:rsidRPr="005A5612" w:rsidRDefault="007927FC" w:rsidP="00FC7454">
            <w:pPr>
              <w:keepNext/>
              <w:keepLines/>
              <w:numPr>
                <w:ilvl w:val="12"/>
                <w:numId w:val="0"/>
              </w:numPr>
              <w:ind w:right="-2"/>
              <w:jc w:val="center"/>
              <w:rPr>
                <w:b/>
                <w:bCs/>
                <w:sz w:val="18"/>
                <w:szCs w:val="18"/>
                <w:lang w:val="en-GB"/>
              </w:rPr>
            </w:pPr>
            <w:del w:id="328" w:author="AUTHOR">
              <w:r w:rsidRPr="005A5612" w:rsidDel="003E29DD">
                <w:rPr>
                  <w:b/>
                  <w:bCs/>
                  <w:sz w:val="18"/>
                  <w:szCs w:val="18"/>
                  <w:lang w:val="es-ES_tradnl"/>
                </w:rPr>
                <w:delText>N</w:delText>
              </w:r>
            </w:del>
            <w:ins w:id="329" w:author="AUTHOR">
              <w:r w:rsidR="003E29DD">
                <w:rPr>
                  <w:b/>
                  <w:bCs/>
                  <w:sz w:val="18"/>
                  <w:szCs w:val="18"/>
                  <w:lang w:val="es-ES_tradnl"/>
                </w:rPr>
                <w:t>n</w:t>
              </w:r>
              <w:r w:rsidR="005F62DB" w:rsidRPr="000D6691">
                <w:rPr>
                  <w:b/>
                  <w:bCs/>
                  <w:szCs w:val="22"/>
                  <w:lang w:val="en-GB"/>
                </w:rPr>
                <w:t>=</w:t>
              </w:r>
            </w:ins>
          </w:p>
          <w:p w14:paraId="074F5FCA"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204</w:t>
            </w:r>
          </w:p>
        </w:tc>
        <w:tc>
          <w:tcPr>
            <w:tcW w:w="514" w:type="pct"/>
            <w:tcBorders>
              <w:left w:val="nil"/>
              <w:right w:val="single" w:sz="4" w:space="0" w:color="auto"/>
            </w:tcBorders>
          </w:tcPr>
          <w:p w14:paraId="0B1A7C29" w14:textId="2D0A2490" w:rsidR="007927FC" w:rsidRPr="005A5612" w:rsidRDefault="007927FC" w:rsidP="00FC7454">
            <w:pPr>
              <w:keepNext/>
              <w:keepLines/>
              <w:numPr>
                <w:ilvl w:val="12"/>
                <w:numId w:val="0"/>
              </w:numPr>
              <w:ind w:right="-2"/>
              <w:jc w:val="center"/>
              <w:rPr>
                <w:b/>
                <w:bCs/>
                <w:sz w:val="18"/>
                <w:szCs w:val="18"/>
                <w:lang w:val="en-GB"/>
              </w:rPr>
            </w:pPr>
            <w:del w:id="330" w:author="AUTHOR">
              <w:r w:rsidRPr="005A5612" w:rsidDel="003E29DD">
                <w:rPr>
                  <w:b/>
                  <w:bCs/>
                  <w:sz w:val="18"/>
                  <w:szCs w:val="18"/>
                  <w:lang w:val="es-ES_tradnl"/>
                </w:rPr>
                <w:delText>N</w:delText>
              </w:r>
            </w:del>
            <w:ins w:id="331" w:author="AUTHOR">
              <w:r w:rsidR="003E29DD">
                <w:rPr>
                  <w:b/>
                  <w:bCs/>
                  <w:sz w:val="18"/>
                  <w:szCs w:val="18"/>
                  <w:lang w:val="es-ES_tradnl"/>
                </w:rPr>
                <w:t xml:space="preserve">n </w:t>
              </w:r>
              <w:r w:rsidR="005F62DB" w:rsidRPr="000D6691">
                <w:rPr>
                  <w:b/>
                  <w:bCs/>
                  <w:szCs w:val="22"/>
                  <w:lang w:val="en-GB"/>
                </w:rPr>
                <w:t>=</w:t>
              </w:r>
            </w:ins>
          </w:p>
          <w:p w14:paraId="1219F814"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803</w:t>
            </w:r>
          </w:p>
        </w:tc>
        <w:tc>
          <w:tcPr>
            <w:tcW w:w="513" w:type="pct"/>
            <w:gridSpan w:val="2"/>
            <w:tcBorders>
              <w:left w:val="single" w:sz="4" w:space="0" w:color="auto"/>
            </w:tcBorders>
          </w:tcPr>
          <w:p w14:paraId="094EE02D" w14:textId="3A953FBD" w:rsidR="007927FC" w:rsidRPr="005A5612" w:rsidRDefault="007927FC" w:rsidP="00FC7454">
            <w:pPr>
              <w:keepNext/>
              <w:keepLines/>
              <w:numPr>
                <w:ilvl w:val="12"/>
                <w:numId w:val="0"/>
              </w:numPr>
              <w:ind w:right="-2"/>
              <w:jc w:val="center"/>
              <w:rPr>
                <w:b/>
                <w:bCs/>
                <w:sz w:val="18"/>
                <w:szCs w:val="18"/>
                <w:lang w:val="en-GB"/>
              </w:rPr>
            </w:pPr>
            <w:del w:id="332" w:author="AUTHOR">
              <w:r w:rsidRPr="005A5612" w:rsidDel="003E29DD">
                <w:rPr>
                  <w:b/>
                  <w:bCs/>
                  <w:sz w:val="18"/>
                  <w:szCs w:val="18"/>
                  <w:lang w:val="es-ES_tradnl"/>
                </w:rPr>
                <w:delText>N</w:delText>
              </w:r>
            </w:del>
            <w:ins w:id="333" w:author="AUTHOR">
              <w:r w:rsidR="003E29DD">
                <w:rPr>
                  <w:b/>
                  <w:bCs/>
                  <w:sz w:val="18"/>
                  <w:szCs w:val="18"/>
                  <w:lang w:val="es-ES_tradnl"/>
                </w:rPr>
                <w:t xml:space="preserve">n </w:t>
              </w:r>
              <w:r w:rsidR="005F62DB" w:rsidRPr="000D6691">
                <w:rPr>
                  <w:b/>
                  <w:bCs/>
                  <w:szCs w:val="22"/>
                  <w:lang w:val="en-GB"/>
                </w:rPr>
                <w:t>=</w:t>
              </w:r>
            </w:ins>
          </w:p>
          <w:p w14:paraId="31FAC7B6"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413</w:t>
            </w:r>
          </w:p>
        </w:tc>
        <w:tc>
          <w:tcPr>
            <w:tcW w:w="467" w:type="pct"/>
            <w:tcBorders>
              <w:left w:val="nil"/>
              <w:right w:val="single" w:sz="4" w:space="0" w:color="auto"/>
            </w:tcBorders>
          </w:tcPr>
          <w:p w14:paraId="7CCC4EC8" w14:textId="6BFC3C7A" w:rsidR="007927FC" w:rsidRPr="005A5612" w:rsidRDefault="007927FC" w:rsidP="00FC7454">
            <w:pPr>
              <w:keepNext/>
              <w:keepLines/>
              <w:numPr>
                <w:ilvl w:val="12"/>
                <w:numId w:val="0"/>
              </w:numPr>
              <w:ind w:right="-2"/>
              <w:jc w:val="center"/>
              <w:rPr>
                <w:b/>
                <w:bCs/>
                <w:sz w:val="18"/>
                <w:szCs w:val="18"/>
                <w:lang w:val="pt-BR"/>
              </w:rPr>
            </w:pPr>
            <w:del w:id="334" w:author="AUTHOR">
              <w:r w:rsidRPr="005A5612" w:rsidDel="003E29DD">
                <w:rPr>
                  <w:b/>
                  <w:bCs/>
                  <w:sz w:val="18"/>
                  <w:szCs w:val="18"/>
                  <w:lang w:val="es-ES_tradnl"/>
                </w:rPr>
                <w:delText>N</w:delText>
              </w:r>
            </w:del>
            <w:ins w:id="335" w:author="AUTHOR">
              <w:r w:rsidR="003E29DD">
                <w:rPr>
                  <w:b/>
                  <w:bCs/>
                  <w:sz w:val="18"/>
                  <w:szCs w:val="18"/>
                  <w:lang w:val="es-ES_tradnl"/>
                </w:rPr>
                <w:t xml:space="preserve">n </w:t>
              </w:r>
              <w:r w:rsidR="005F62DB" w:rsidRPr="000D6691">
                <w:rPr>
                  <w:b/>
                  <w:bCs/>
                  <w:szCs w:val="22"/>
                  <w:lang w:val="en-GB"/>
                </w:rPr>
                <w:t>=</w:t>
              </w:r>
            </w:ins>
          </w:p>
          <w:p w14:paraId="44F73B4D" w14:textId="77777777" w:rsidR="007927FC" w:rsidRPr="005A5612" w:rsidRDefault="007927FC" w:rsidP="00FC7454">
            <w:pPr>
              <w:keepNext/>
              <w:keepLines/>
              <w:numPr>
                <w:ilvl w:val="12"/>
                <w:numId w:val="0"/>
              </w:numPr>
              <w:ind w:right="-2"/>
              <w:jc w:val="center"/>
              <w:rPr>
                <w:b/>
                <w:bCs/>
                <w:sz w:val="18"/>
                <w:szCs w:val="18"/>
                <w:lang w:val="pt-BR"/>
              </w:rPr>
            </w:pPr>
            <w:r w:rsidRPr="005A5612">
              <w:rPr>
                <w:b/>
                <w:bCs/>
                <w:sz w:val="18"/>
                <w:szCs w:val="18"/>
                <w:lang w:val="pt-BR"/>
              </w:rPr>
              <w:t>170</w:t>
            </w:r>
          </w:p>
        </w:tc>
        <w:tc>
          <w:tcPr>
            <w:tcW w:w="402" w:type="pct"/>
            <w:tcBorders>
              <w:left w:val="single" w:sz="4" w:space="0" w:color="auto"/>
            </w:tcBorders>
          </w:tcPr>
          <w:p w14:paraId="5BAAE17F" w14:textId="72B2052B" w:rsidR="007927FC" w:rsidRPr="005A5612" w:rsidRDefault="007927FC" w:rsidP="00FC7454">
            <w:pPr>
              <w:keepNext/>
              <w:keepLines/>
              <w:numPr>
                <w:ilvl w:val="12"/>
                <w:numId w:val="0"/>
              </w:numPr>
              <w:ind w:right="-2"/>
              <w:jc w:val="center"/>
              <w:rPr>
                <w:b/>
                <w:bCs/>
                <w:sz w:val="18"/>
                <w:szCs w:val="18"/>
                <w:lang w:val="en-GB"/>
              </w:rPr>
            </w:pPr>
            <w:del w:id="336" w:author="AUTHOR">
              <w:r w:rsidRPr="005A5612" w:rsidDel="003E29DD">
                <w:rPr>
                  <w:b/>
                  <w:bCs/>
                  <w:sz w:val="18"/>
                  <w:szCs w:val="18"/>
                  <w:lang w:val="es-ES_tradnl"/>
                </w:rPr>
                <w:delText>N</w:delText>
              </w:r>
            </w:del>
            <w:ins w:id="337" w:author="AUTHOR">
              <w:r w:rsidR="003E29DD">
                <w:rPr>
                  <w:b/>
                  <w:bCs/>
                  <w:sz w:val="18"/>
                  <w:szCs w:val="18"/>
                  <w:lang w:val="es-ES_tradnl"/>
                </w:rPr>
                <w:t xml:space="preserve">n </w:t>
              </w:r>
              <w:r w:rsidR="005F62DB" w:rsidRPr="000D6691">
                <w:rPr>
                  <w:b/>
                  <w:bCs/>
                  <w:szCs w:val="22"/>
                  <w:lang w:val="en-GB"/>
                </w:rPr>
                <w:t>=</w:t>
              </w:r>
            </w:ins>
          </w:p>
          <w:p w14:paraId="4599ADE3" w14:textId="77777777" w:rsidR="007927FC" w:rsidRPr="005A5612" w:rsidRDefault="007927FC" w:rsidP="00FC7454">
            <w:pPr>
              <w:keepNext/>
              <w:keepLines/>
              <w:numPr>
                <w:ilvl w:val="12"/>
                <w:numId w:val="0"/>
              </w:numPr>
              <w:ind w:right="-2"/>
              <w:jc w:val="center"/>
              <w:rPr>
                <w:b/>
                <w:bCs/>
                <w:sz w:val="18"/>
                <w:szCs w:val="18"/>
                <w:lang w:val="en-GB"/>
              </w:rPr>
            </w:pPr>
            <w:r w:rsidRPr="005A5612">
              <w:rPr>
                <w:b/>
                <w:bCs/>
                <w:sz w:val="18"/>
                <w:szCs w:val="18"/>
                <w:lang w:val="en-GB"/>
              </w:rPr>
              <w:t>158</w:t>
            </w:r>
          </w:p>
        </w:tc>
      </w:tr>
      <w:tr w:rsidR="007927FC" w:rsidRPr="005A5612" w14:paraId="06C0FED6" w14:textId="77777777" w:rsidTr="00FC7454">
        <w:trPr>
          <w:cantSplit/>
        </w:trPr>
        <w:tc>
          <w:tcPr>
            <w:tcW w:w="5000" w:type="pct"/>
            <w:gridSpan w:val="12"/>
          </w:tcPr>
          <w:p w14:paraId="1D134168" w14:textId="4CFD3A7D" w:rsidR="007927FC" w:rsidRPr="005A5612" w:rsidRDefault="007927FC" w:rsidP="00FC7454">
            <w:pPr>
              <w:keepNext/>
              <w:keepLines/>
              <w:numPr>
                <w:ilvl w:val="12"/>
                <w:numId w:val="0"/>
              </w:numPr>
              <w:ind w:right="-2"/>
              <w:jc w:val="center"/>
              <w:rPr>
                <w:sz w:val="18"/>
                <w:szCs w:val="18"/>
              </w:rPr>
            </w:pPr>
            <w:r w:rsidRPr="005A5612">
              <w:rPr>
                <w:b/>
                <w:bCs/>
                <w:sz w:val="18"/>
                <w:szCs w:val="18"/>
                <w:lang w:val="es-ES_tradnl"/>
              </w:rPr>
              <w:t>ACR</w:t>
            </w:r>
            <w:r w:rsidR="00DB5D62">
              <w:rPr>
                <w:b/>
                <w:bCs/>
                <w:sz w:val="18"/>
                <w:szCs w:val="18"/>
                <w:lang w:val="es-ES_tradnl"/>
              </w:rPr>
              <w:t> </w:t>
            </w:r>
            <w:r w:rsidRPr="005A5612">
              <w:rPr>
                <w:b/>
                <w:bCs/>
                <w:sz w:val="18"/>
                <w:szCs w:val="18"/>
                <w:lang w:val="es-ES_tradnl"/>
              </w:rPr>
              <w:t>20</w:t>
            </w:r>
          </w:p>
        </w:tc>
      </w:tr>
      <w:tr w:rsidR="007927FC" w:rsidRPr="005A5612" w14:paraId="11F840C7" w14:textId="77777777" w:rsidTr="00DB5D62">
        <w:trPr>
          <w:cantSplit/>
        </w:trPr>
        <w:tc>
          <w:tcPr>
            <w:tcW w:w="430" w:type="pct"/>
            <w:tcBorders>
              <w:right w:val="single" w:sz="4" w:space="0" w:color="auto"/>
            </w:tcBorders>
          </w:tcPr>
          <w:p w14:paraId="34FD193B"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24</w:t>
            </w:r>
          </w:p>
        </w:tc>
        <w:tc>
          <w:tcPr>
            <w:tcW w:w="462" w:type="pct"/>
            <w:tcBorders>
              <w:left w:val="single" w:sz="4" w:space="0" w:color="auto"/>
              <w:right w:val="single" w:sz="4" w:space="0" w:color="auto"/>
            </w:tcBorders>
          </w:tcPr>
          <w:p w14:paraId="6CBDBCD4"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70 %***</w:t>
            </w:r>
          </w:p>
        </w:tc>
        <w:tc>
          <w:tcPr>
            <w:tcW w:w="342" w:type="pct"/>
            <w:tcBorders>
              <w:left w:val="single" w:sz="4" w:space="0" w:color="auto"/>
              <w:right w:val="single" w:sz="4" w:space="0" w:color="auto"/>
            </w:tcBorders>
          </w:tcPr>
          <w:p w14:paraId="46020D66"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52 %</w:t>
            </w:r>
          </w:p>
        </w:tc>
        <w:tc>
          <w:tcPr>
            <w:tcW w:w="467" w:type="pct"/>
            <w:tcBorders>
              <w:left w:val="single" w:sz="4" w:space="0" w:color="auto"/>
              <w:right w:val="single" w:sz="4" w:space="0" w:color="auto"/>
            </w:tcBorders>
          </w:tcPr>
          <w:p w14:paraId="57C8C99C"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56 %***</w:t>
            </w:r>
          </w:p>
        </w:tc>
        <w:tc>
          <w:tcPr>
            <w:tcW w:w="467" w:type="pct"/>
            <w:tcBorders>
              <w:left w:val="single" w:sz="4" w:space="0" w:color="auto"/>
              <w:right w:val="single" w:sz="4" w:space="0" w:color="auto"/>
            </w:tcBorders>
          </w:tcPr>
          <w:p w14:paraId="4CEB516B"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27 %</w:t>
            </w:r>
          </w:p>
        </w:tc>
        <w:tc>
          <w:tcPr>
            <w:tcW w:w="467" w:type="pct"/>
            <w:tcBorders>
              <w:left w:val="single" w:sz="4" w:space="0" w:color="auto"/>
              <w:right w:val="single" w:sz="4" w:space="0" w:color="auto"/>
            </w:tcBorders>
          </w:tcPr>
          <w:p w14:paraId="7A9F5759"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59 %***</w:t>
            </w:r>
          </w:p>
        </w:tc>
        <w:tc>
          <w:tcPr>
            <w:tcW w:w="467" w:type="pct"/>
            <w:tcBorders>
              <w:left w:val="single" w:sz="4" w:space="0" w:color="auto"/>
            </w:tcBorders>
          </w:tcPr>
          <w:p w14:paraId="4DE6FD99"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26 %</w:t>
            </w:r>
          </w:p>
        </w:tc>
        <w:tc>
          <w:tcPr>
            <w:tcW w:w="514" w:type="pct"/>
            <w:tcBorders>
              <w:left w:val="nil"/>
            </w:tcBorders>
          </w:tcPr>
          <w:p w14:paraId="319BB19F"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61 %***</w:t>
            </w:r>
          </w:p>
        </w:tc>
        <w:tc>
          <w:tcPr>
            <w:tcW w:w="513" w:type="pct"/>
            <w:gridSpan w:val="2"/>
            <w:tcBorders>
              <w:left w:val="nil"/>
            </w:tcBorders>
          </w:tcPr>
          <w:p w14:paraId="3CF9EED6"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24 %</w:t>
            </w:r>
          </w:p>
        </w:tc>
        <w:tc>
          <w:tcPr>
            <w:tcW w:w="467" w:type="pct"/>
            <w:tcBorders>
              <w:left w:val="nil"/>
            </w:tcBorders>
          </w:tcPr>
          <w:p w14:paraId="5B4C6BEC"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50 %***</w:t>
            </w:r>
          </w:p>
        </w:tc>
        <w:tc>
          <w:tcPr>
            <w:tcW w:w="402" w:type="pct"/>
            <w:tcBorders>
              <w:left w:val="nil"/>
            </w:tcBorders>
          </w:tcPr>
          <w:p w14:paraId="1DD510F5"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10 %</w:t>
            </w:r>
          </w:p>
        </w:tc>
      </w:tr>
      <w:tr w:rsidR="007927FC" w:rsidRPr="005A5612" w14:paraId="50C6BB4D" w14:textId="77777777" w:rsidTr="00DB5D62">
        <w:trPr>
          <w:cantSplit/>
        </w:trPr>
        <w:tc>
          <w:tcPr>
            <w:tcW w:w="430" w:type="pct"/>
            <w:tcBorders>
              <w:right w:val="single" w:sz="4" w:space="0" w:color="auto"/>
            </w:tcBorders>
          </w:tcPr>
          <w:p w14:paraId="7BD9C77D"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52</w:t>
            </w:r>
          </w:p>
        </w:tc>
        <w:tc>
          <w:tcPr>
            <w:tcW w:w="462" w:type="pct"/>
            <w:tcBorders>
              <w:left w:val="single" w:sz="4" w:space="0" w:color="auto"/>
              <w:right w:val="single" w:sz="4" w:space="0" w:color="auto"/>
            </w:tcBorders>
          </w:tcPr>
          <w:p w14:paraId="6CC70543" w14:textId="77777777" w:rsidR="007927FC" w:rsidRPr="005A5612" w:rsidRDefault="007927FC" w:rsidP="00FC7454">
            <w:pPr>
              <w:keepNext/>
              <w:keepLines/>
              <w:numPr>
                <w:ilvl w:val="12"/>
                <w:numId w:val="0"/>
              </w:numPr>
              <w:ind w:right="-2"/>
              <w:jc w:val="center"/>
              <w:rPr>
                <w:sz w:val="18"/>
                <w:szCs w:val="18"/>
                <w:lang w:val="en-GB"/>
              </w:rPr>
            </w:pPr>
          </w:p>
        </w:tc>
        <w:tc>
          <w:tcPr>
            <w:tcW w:w="342" w:type="pct"/>
            <w:tcBorders>
              <w:left w:val="single" w:sz="4" w:space="0" w:color="auto"/>
              <w:right w:val="single" w:sz="4" w:space="0" w:color="auto"/>
            </w:tcBorders>
          </w:tcPr>
          <w:p w14:paraId="2A21C91D" w14:textId="77777777" w:rsidR="007927FC" w:rsidRPr="005A5612" w:rsidRDefault="007927FC" w:rsidP="00FC7454">
            <w:pPr>
              <w:keepNext/>
              <w:keepLines/>
              <w:numPr>
                <w:ilvl w:val="12"/>
                <w:numId w:val="0"/>
              </w:numPr>
              <w:ind w:right="-2"/>
              <w:jc w:val="center"/>
              <w:rPr>
                <w:sz w:val="18"/>
                <w:szCs w:val="18"/>
                <w:lang w:val="en-GB"/>
              </w:rPr>
            </w:pPr>
          </w:p>
        </w:tc>
        <w:tc>
          <w:tcPr>
            <w:tcW w:w="467" w:type="pct"/>
            <w:tcBorders>
              <w:left w:val="single" w:sz="4" w:space="0" w:color="auto"/>
              <w:right w:val="single" w:sz="4" w:space="0" w:color="auto"/>
            </w:tcBorders>
          </w:tcPr>
          <w:p w14:paraId="6D2D150E"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56 %***</w:t>
            </w:r>
          </w:p>
        </w:tc>
        <w:tc>
          <w:tcPr>
            <w:tcW w:w="467" w:type="pct"/>
            <w:tcBorders>
              <w:left w:val="single" w:sz="4" w:space="0" w:color="auto"/>
              <w:right w:val="single" w:sz="4" w:space="0" w:color="auto"/>
            </w:tcBorders>
          </w:tcPr>
          <w:p w14:paraId="758DAAC6"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25 %</w:t>
            </w:r>
          </w:p>
        </w:tc>
        <w:tc>
          <w:tcPr>
            <w:tcW w:w="467" w:type="pct"/>
            <w:tcBorders>
              <w:left w:val="single" w:sz="4" w:space="0" w:color="auto"/>
              <w:right w:val="single" w:sz="4" w:space="0" w:color="auto"/>
            </w:tcBorders>
          </w:tcPr>
          <w:p w14:paraId="56DD7553" w14:textId="77777777" w:rsidR="007927FC" w:rsidRPr="005A5612" w:rsidRDefault="007927FC" w:rsidP="00FC7454">
            <w:pPr>
              <w:keepNext/>
              <w:keepLines/>
              <w:numPr>
                <w:ilvl w:val="12"/>
                <w:numId w:val="0"/>
              </w:numPr>
              <w:ind w:right="-2"/>
              <w:jc w:val="center"/>
              <w:rPr>
                <w:sz w:val="18"/>
                <w:szCs w:val="18"/>
                <w:lang w:val="en-GB"/>
              </w:rPr>
            </w:pPr>
          </w:p>
        </w:tc>
        <w:tc>
          <w:tcPr>
            <w:tcW w:w="467" w:type="pct"/>
            <w:tcBorders>
              <w:left w:val="single" w:sz="4" w:space="0" w:color="auto"/>
            </w:tcBorders>
          </w:tcPr>
          <w:p w14:paraId="08EAD3B0" w14:textId="77777777" w:rsidR="007927FC" w:rsidRPr="005A5612" w:rsidRDefault="007927FC" w:rsidP="00FC7454">
            <w:pPr>
              <w:keepNext/>
              <w:keepLines/>
              <w:numPr>
                <w:ilvl w:val="12"/>
                <w:numId w:val="0"/>
              </w:numPr>
              <w:ind w:right="-2"/>
              <w:jc w:val="center"/>
              <w:rPr>
                <w:sz w:val="18"/>
                <w:szCs w:val="18"/>
                <w:lang w:val="en-GB"/>
              </w:rPr>
            </w:pPr>
          </w:p>
        </w:tc>
        <w:tc>
          <w:tcPr>
            <w:tcW w:w="514" w:type="pct"/>
            <w:tcBorders>
              <w:left w:val="nil"/>
            </w:tcBorders>
          </w:tcPr>
          <w:p w14:paraId="33C7B4F2" w14:textId="77777777" w:rsidR="007927FC" w:rsidRPr="005A5612" w:rsidRDefault="007927FC" w:rsidP="00FC7454">
            <w:pPr>
              <w:keepNext/>
              <w:keepLines/>
              <w:numPr>
                <w:ilvl w:val="12"/>
                <w:numId w:val="0"/>
              </w:numPr>
              <w:ind w:right="-2"/>
              <w:jc w:val="center"/>
              <w:rPr>
                <w:sz w:val="18"/>
                <w:szCs w:val="18"/>
                <w:lang w:val="en-GB"/>
              </w:rPr>
            </w:pPr>
          </w:p>
        </w:tc>
        <w:tc>
          <w:tcPr>
            <w:tcW w:w="513" w:type="pct"/>
            <w:gridSpan w:val="2"/>
            <w:tcBorders>
              <w:left w:val="nil"/>
            </w:tcBorders>
          </w:tcPr>
          <w:p w14:paraId="0F756FA0" w14:textId="77777777" w:rsidR="007927FC" w:rsidRPr="005A5612" w:rsidRDefault="007927FC" w:rsidP="00FC7454">
            <w:pPr>
              <w:keepNext/>
              <w:keepLines/>
              <w:numPr>
                <w:ilvl w:val="12"/>
                <w:numId w:val="0"/>
              </w:numPr>
              <w:ind w:right="-2"/>
              <w:jc w:val="center"/>
              <w:rPr>
                <w:sz w:val="18"/>
                <w:szCs w:val="18"/>
                <w:lang w:val="en-GB"/>
              </w:rPr>
            </w:pPr>
          </w:p>
        </w:tc>
        <w:tc>
          <w:tcPr>
            <w:tcW w:w="467" w:type="pct"/>
            <w:tcBorders>
              <w:left w:val="nil"/>
            </w:tcBorders>
          </w:tcPr>
          <w:p w14:paraId="2747FA15" w14:textId="77777777" w:rsidR="007927FC" w:rsidRPr="005A5612" w:rsidRDefault="007927FC" w:rsidP="00FC7454">
            <w:pPr>
              <w:keepNext/>
              <w:keepLines/>
              <w:numPr>
                <w:ilvl w:val="12"/>
                <w:numId w:val="0"/>
              </w:numPr>
              <w:ind w:right="-2"/>
              <w:jc w:val="center"/>
              <w:rPr>
                <w:sz w:val="18"/>
                <w:szCs w:val="18"/>
                <w:lang w:val="en-GB"/>
              </w:rPr>
            </w:pPr>
          </w:p>
        </w:tc>
        <w:tc>
          <w:tcPr>
            <w:tcW w:w="402" w:type="pct"/>
            <w:tcBorders>
              <w:left w:val="nil"/>
            </w:tcBorders>
          </w:tcPr>
          <w:p w14:paraId="0F51D0DF" w14:textId="77777777" w:rsidR="007927FC" w:rsidRPr="005A5612" w:rsidRDefault="007927FC" w:rsidP="00FC7454">
            <w:pPr>
              <w:keepNext/>
              <w:keepLines/>
              <w:numPr>
                <w:ilvl w:val="12"/>
                <w:numId w:val="0"/>
              </w:numPr>
              <w:ind w:right="-2"/>
              <w:jc w:val="center"/>
              <w:rPr>
                <w:sz w:val="18"/>
                <w:szCs w:val="18"/>
                <w:lang w:val="en-GB"/>
              </w:rPr>
            </w:pPr>
          </w:p>
        </w:tc>
      </w:tr>
      <w:tr w:rsidR="007927FC" w:rsidRPr="005A5612" w14:paraId="39F19153" w14:textId="77777777" w:rsidTr="00FC7454">
        <w:trPr>
          <w:cantSplit/>
        </w:trPr>
        <w:tc>
          <w:tcPr>
            <w:tcW w:w="5000" w:type="pct"/>
            <w:gridSpan w:val="12"/>
          </w:tcPr>
          <w:p w14:paraId="730C4CF7" w14:textId="29B9BC75" w:rsidR="007927FC" w:rsidRPr="005A5612" w:rsidRDefault="007927FC" w:rsidP="00FC7454">
            <w:pPr>
              <w:keepNext/>
              <w:keepLines/>
              <w:numPr>
                <w:ilvl w:val="12"/>
                <w:numId w:val="0"/>
              </w:numPr>
              <w:jc w:val="center"/>
              <w:rPr>
                <w:sz w:val="18"/>
                <w:szCs w:val="18"/>
              </w:rPr>
            </w:pPr>
            <w:r w:rsidRPr="005A5612">
              <w:rPr>
                <w:b/>
                <w:bCs/>
                <w:sz w:val="18"/>
                <w:szCs w:val="18"/>
                <w:lang w:val="es-ES_tradnl"/>
              </w:rPr>
              <w:t>ACR</w:t>
            </w:r>
            <w:r w:rsidR="00DB5D62">
              <w:rPr>
                <w:b/>
                <w:bCs/>
                <w:sz w:val="18"/>
                <w:szCs w:val="18"/>
                <w:lang w:val="es-ES_tradnl"/>
              </w:rPr>
              <w:t> </w:t>
            </w:r>
            <w:r w:rsidRPr="005A5612">
              <w:rPr>
                <w:b/>
                <w:bCs/>
                <w:sz w:val="18"/>
                <w:szCs w:val="18"/>
                <w:lang w:val="es-ES_tradnl"/>
              </w:rPr>
              <w:t>50</w:t>
            </w:r>
          </w:p>
        </w:tc>
      </w:tr>
      <w:tr w:rsidR="007927FC" w:rsidRPr="005A5612" w14:paraId="0FEA042A" w14:textId="77777777" w:rsidTr="00DB5D62">
        <w:trPr>
          <w:cantSplit/>
        </w:trPr>
        <w:tc>
          <w:tcPr>
            <w:tcW w:w="430" w:type="pct"/>
            <w:tcBorders>
              <w:right w:val="single" w:sz="4" w:space="0" w:color="auto"/>
            </w:tcBorders>
          </w:tcPr>
          <w:p w14:paraId="0360DEB8"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24</w:t>
            </w:r>
          </w:p>
        </w:tc>
        <w:tc>
          <w:tcPr>
            <w:tcW w:w="462" w:type="pct"/>
            <w:tcBorders>
              <w:left w:val="single" w:sz="4" w:space="0" w:color="auto"/>
              <w:right w:val="single" w:sz="4" w:space="0" w:color="auto"/>
            </w:tcBorders>
          </w:tcPr>
          <w:p w14:paraId="364CE9D9"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44 %**</w:t>
            </w:r>
          </w:p>
        </w:tc>
        <w:tc>
          <w:tcPr>
            <w:tcW w:w="342" w:type="pct"/>
            <w:tcBorders>
              <w:left w:val="single" w:sz="4" w:space="0" w:color="auto"/>
              <w:right w:val="single" w:sz="4" w:space="0" w:color="auto"/>
            </w:tcBorders>
          </w:tcPr>
          <w:p w14:paraId="3FB3FBBB"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33 %</w:t>
            </w:r>
          </w:p>
        </w:tc>
        <w:tc>
          <w:tcPr>
            <w:tcW w:w="467" w:type="pct"/>
            <w:tcBorders>
              <w:left w:val="single" w:sz="4" w:space="0" w:color="auto"/>
              <w:right w:val="single" w:sz="4" w:space="0" w:color="auto"/>
            </w:tcBorders>
          </w:tcPr>
          <w:p w14:paraId="76CCFCDD"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32 %***</w:t>
            </w:r>
          </w:p>
        </w:tc>
        <w:tc>
          <w:tcPr>
            <w:tcW w:w="467" w:type="pct"/>
            <w:tcBorders>
              <w:left w:val="single" w:sz="4" w:space="0" w:color="auto"/>
              <w:right w:val="single" w:sz="4" w:space="0" w:color="auto"/>
            </w:tcBorders>
          </w:tcPr>
          <w:p w14:paraId="310D9283"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10 %</w:t>
            </w:r>
          </w:p>
        </w:tc>
        <w:tc>
          <w:tcPr>
            <w:tcW w:w="467" w:type="pct"/>
            <w:tcBorders>
              <w:left w:val="single" w:sz="4" w:space="0" w:color="auto"/>
              <w:right w:val="single" w:sz="4" w:space="0" w:color="auto"/>
            </w:tcBorders>
          </w:tcPr>
          <w:p w14:paraId="70BA788A"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44 %***</w:t>
            </w:r>
          </w:p>
        </w:tc>
        <w:tc>
          <w:tcPr>
            <w:tcW w:w="467" w:type="pct"/>
            <w:tcBorders>
              <w:left w:val="single" w:sz="4" w:space="0" w:color="auto"/>
            </w:tcBorders>
          </w:tcPr>
          <w:p w14:paraId="3CAF34E1"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11 %</w:t>
            </w:r>
          </w:p>
        </w:tc>
        <w:tc>
          <w:tcPr>
            <w:tcW w:w="514" w:type="pct"/>
            <w:tcBorders>
              <w:left w:val="nil"/>
            </w:tcBorders>
          </w:tcPr>
          <w:p w14:paraId="288C6133"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38 %***</w:t>
            </w:r>
          </w:p>
        </w:tc>
        <w:tc>
          <w:tcPr>
            <w:tcW w:w="508" w:type="pct"/>
            <w:tcBorders>
              <w:left w:val="nil"/>
            </w:tcBorders>
          </w:tcPr>
          <w:p w14:paraId="2C79A39E"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9 %</w:t>
            </w:r>
          </w:p>
        </w:tc>
        <w:tc>
          <w:tcPr>
            <w:tcW w:w="472" w:type="pct"/>
            <w:gridSpan w:val="2"/>
            <w:tcBorders>
              <w:left w:val="nil"/>
            </w:tcBorders>
          </w:tcPr>
          <w:p w14:paraId="51869FD1"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29 %***</w:t>
            </w:r>
          </w:p>
        </w:tc>
        <w:tc>
          <w:tcPr>
            <w:tcW w:w="402" w:type="pct"/>
            <w:tcBorders>
              <w:left w:val="nil"/>
            </w:tcBorders>
          </w:tcPr>
          <w:p w14:paraId="34ADF057"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4 %</w:t>
            </w:r>
          </w:p>
        </w:tc>
      </w:tr>
      <w:tr w:rsidR="007927FC" w:rsidRPr="005A5612" w14:paraId="0EF81741" w14:textId="77777777" w:rsidTr="00DB5D62">
        <w:trPr>
          <w:cantSplit/>
        </w:trPr>
        <w:tc>
          <w:tcPr>
            <w:tcW w:w="430" w:type="pct"/>
            <w:tcBorders>
              <w:right w:val="single" w:sz="4" w:space="0" w:color="auto"/>
            </w:tcBorders>
          </w:tcPr>
          <w:p w14:paraId="1FAE6878"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52</w:t>
            </w:r>
          </w:p>
        </w:tc>
        <w:tc>
          <w:tcPr>
            <w:tcW w:w="462" w:type="pct"/>
            <w:tcBorders>
              <w:left w:val="single" w:sz="4" w:space="0" w:color="auto"/>
              <w:right w:val="single" w:sz="4" w:space="0" w:color="auto"/>
            </w:tcBorders>
          </w:tcPr>
          <w:p w14:paraId="00EA99B1" w14:textId="77777777" w:rsidR="007927FC" w:rsidRPr="005A5612" w:rsidRDefault="007927FC" w:rsidP="00FC7454">
            <w:pPr>
              <w:keepNext/>
              <w:keepLines/>
              <w:numPr>
                <w:ilvl w:val="12"/>
                <w:numId w:val="0"/>
              </w:numPr>
              <w:ind w:right="-2"/>
              <w:jc w:val="center"/>
              <w:rPr>
                <w:sz w:val="18"/>
                <w:szCs w:val="18"/>
                <w:lang w:val="en-GB"/>
              </w:rPr>
            </w:pPr>
          </w:p>
        </w:tc>
        <w:tc>
          <w:tcPr>
            <w:tcW w:w="342" w:type="pct"/>
            <w:tcBorders>
              <w:left w:val="single" w:sz="4" w:space="0" w:color="auto"/>
              <w:right w:val="single" w:sz="4" w:space="0" w:color="auto"/>
            </w:tcBorders>
          </w:tcPr>
          <w:p w14:paraId="4316C376" w14:textId="77777777" w:rsidR="007927FC" w:rsidRPr="005A5612" w:rsidRDefault="007927FC" w:rsidP="00FC7454">
            <w:pPr>
              <w:keepNext/>
              <w:keepLines/>
              <w:numPr>
                <w:ilvl w:val="12"/>
                <w:numId w:val="0"/>
              </w:numPr>
              <w:ind w:right="-2"/>
              <w:jc w:val="center"/>
              <w:rPr>
                <w:sz w:val="18"/>
                <w:szCs w:val="18"/>
                <w:lang w:val="en-GB"/>
              </w:rPr>
            </w:pPr>
          </w:p>
        </w:tc>
        <w:tc>
          <w:tcPr>
            <w:tcW w:w="467" w:type="pct"/>
            <w:tcBorders>
              <w:left w:val="single" w:sz="4" w:space="0" w:color="auto"/>
              <w:right w:val="single" w:sz="4" w:space="0" w:color="auto"/>
            </w:tcBorders>
          </w:tcPr>
          <w:p w14:paraId="5B556D7E"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36 %***</w:t>
            </w:r>
          </w:p>
        </w:tc>
        <w:tc>
          <w:tcPr>
            <w:tcW w:w="467" w:type="pct"/>
            <w:tcBorders>
              <w:left w:val="single" w:sz="4" w:space="0" w:color="auto"/>
              <w:right w:val="single" w:sz="4" w:space="0" w:color="auto"/>
            </w:tcBorders>
          </w:tcPr>
          <w:p w14:paraId="77566817" w14:textId="77777777" w:rsidR="007927FC" w:rsidRPr="005A5612" w:rsidRDefault="007927FC" w:rsidP="00FC7454">
            <w:pPr>
              <w:keepNext/>
              <w:keepLines/>
              <w:numPr>
                <w:ilvl w:val="12"/>
                <w:numId w:val="0"/>
              </w:numPr>
              <w:ind w:right="-2"/>
              <w:jc w:val="center"/>
              <w:rPr>
                <w:sz w:val="18"/>
                <w:szCs w:val="18"/>
                <w:lang w:val="en-GB"/>
              </w:rPr>
            </w:pPr>
            <w:r w:rsidRPr="005A5612">
              <w:rPr>
                <w:sz w:val="18"/>
                <w:szCs w:val="18"/>
                <w:lang w:val="en-GB"/>
              </w:rPr>
              <w:t>10 %</w:t>
            </w:r>
          </w:p>
        </w:tc>
        <w:tc>
          <w:tcPr>
            <w:tcW w:w="467" w:type="pct"/>
            <w:tcBorders>
              <w:left w:val="single" w:sz="4" w:space="0" w:color="auto"/>
              <w:right w:val="single" w:sz="4" w:space="0" w:color="auto"/>
            </w:tcBorders>
          </w:tcPr>
          <w:p w14:paraId="48E43B15" w14:textId="77777777" w:rsidR="007927FC" w:rsidRPr="005A5612" w:rsidRDefault="007927FC" w:rsidP="00FC7454">
            <w:pPr>
              <w:keepNext/>
              <w:keepLines/>
              <w:numPr>
                <w:ilvl w:val="12"/>
                <w:numId w:val="0"/>
              </w:numPr>
              <w:ind w:right="-2"/>
              <w:jc w:val="center"/>
              <w:rPr>
                <w:sz w:val="18"/>
                <w:szCs w:val="18"/>
                <w:lang w:val="en-GB"/>
              </w:rPr>
            </w:pPr>
          </w:p>
        </w:tc>
        <w:tc>
          <w:tcPr>
            <w:tcW w:w="467" w:type="pct"/>
            <w:tcBorders>
              <w:left w:val="single" w:sz="4" w:space="0" w:color="auto"/>
            </w:tcBorders>
          </w:tcPr>
          <w:p w14:paraId="76BB70DD" w14:textId="77777777" w:rsidR="007927FC" w:rsidRPr="005A5612" w:rsidRDefault="007927FC" w:rsidP="00FC7454">
            <w:pPr>
              <w:keepNext/>
              <w:keepLines/>
              <w:numPr>
                <w:ilvl w:val="12"/>
                <w:numId w:val="0"/>
              </w:numPr>
              <w:ind w:right="-2"/>
              <w:jc w:val="center"/>
              <w:rPr>
                <w:sz w:val="18"/>
                <w:szCs w:val="18"/>
                <w:lang w:val="en-GB"/>
              </w:rPr>
            </w:pPr>
          </w:p>
        </w:tc>
        <w:tc>
          <w:tcPr>
            <w:tcW w:w="514" w:type="pct"/>
            <w:tcBorders>
              <w:left w:val="nil"/>
            </w:tcBorders>
          </w:tcPr>
          <w:p w14:paraId="0FE5BF21" w14:textId="77777777" w:rsidR="007927FC" w:rsidRPr="005A5612" w:rsidRDefault="007927FC" w:rsidP="00FC7454">
            <w:pPr>
              <w:keepNext/>
              <w:keepLines/>
              <w:numPr>
                <w:ilvl w:val="12"/>
                <w:numId w:val="0"/>
              </w:numPr>
              <w:ind w:right="-2"/>
              <w:jc w:val="center"/>
              <w:rPr>
                <w:sz w:val="18"/>
                <w:szCs w:val="18"/>
                <w:lang w:val="en-GB"/>
              </w:rPr>
            </w:pPr>
          </w:p>
        </w:tc>
        <w:tc>
          <w:tcPr>
            <w:tcW w:w="508" w:type="pct"/>
            <w:tcBorders>
              <w:left w:val="nil"/>
            </w:tcBorders>
          </w:tcPr>
          <w:p w14:paraId="7BE21DBE" w14:textId="77777777" w:rsidR="007927FC" w:rsidRPr="005A5612" w:rsidRDefault="007927FC" w:rsidP="00FC7454">
            <w:pPr>
              <w:keepNext/>
              <w:keepLines/>
              <w:numPr>
                <w:ilvl w:val="12"/>
                <w:numId w:val="0"/>
              </w:numPr>
              <w:ind w:right="-2"/>
              <w:jc w:val="center"/>
              <w:rPr>
                <w:sz w:val="18"/>
                <w:szCs w:val="18"/>
                <w:lang w:val="en-GB"/>
              </w:rPr>
            </w:pPr>
          </w:p>
        </w:tc>
        <w:tc>
          <w:tcPr>
            <w:tcW w:w="472" w:type="pct"/>
            <w:gridSpan w:val="2"/>
            <w:tcBorders>
              <w:left w:val="nil"/>
            </w:tcBorders>
          </w:tcPr>
          <w:p w14:paraId="2C9BEA2D" w14:textId="77777777" w:rsidR="007927FC" w:rsidRPr="005A5612" w:rsidRDefault="007927FC" w:rsidP="00FC7454">
            <w:pPr>
              <w:keepNext/>
              <w:keepLines/>
              <w:numPr>
                <w:ilvl w:val="12"/>
                <w:numId w:val="0"/>
              </w:numPr>
              <w:ind w:right="-2"/>
              <w:jc w:val="center"/>
              <w:rPr>
                <w:sz w:val="18"/>
                <w:szCs w:val="18"/>
                <w:lang w:val="en-GB"/>
              </w:rPr>
            </w:pPr>
          </w:p>
        </w:tc>
        <w:tc>
          <w:tcPr>
            <w:tcW w:w="402" w:type="pct"/>
            <w:tcBorders>
              <w:left w:val="nil"/>
            </w:tcBorders>
          </w:tcPr>
          <w:p w14:paraId="74738667" w14:textId="77777777" w:rsidR="007927FC" w:rsidRPr="005A5612" w:rsidRDefault="007927FC" w:rsidP="00FC7454">
            <w:pPr>
              <w:keepNext/>
              <w:keepLines/>
              <w:numPr>
                <w:ilvl w:val="12"/>
                <w:numId w:val="0"/>
              </w:numPr>
              <w:ind w:right="-2"/>
              <w:jc w:val="center"/>
              <w:rPr>
                <w:sz w:val="18"/>
                <w:szCs w:val="18"/>
                <w:lang w:val="en-GB"/>
              </w:rPr>
            </w:pPr>
          </w:p>
        </w:tc>
      </w:tr>
      <w:tr w:rsidR="007927FC" w:rsidRPr="005A5612" w14:paraId="5BC7C8BF" w14:textId="77777777" w:rsidTr="00FC7454">
        <w:trPr>
          <w:cantSplit/>
        </w:trPr>
        <w:tc>
          <w:tcPr>
            <w:tcW w:w="5000" w:type="pct"/>
            <w:gridSpan w:val="12"/>
          </w:tcPr>
          <w:p w14:paraId="5EA0D993" w14:textId="557F8F52" w:rsidR="007927FC" w:rsidRPr="005A5612" w:rsidRDefault="007927FC" w:rsidP="00FC7454">
            <w:pPr>
              <w:keepNext/>
              <w:numPr>
                <w:ilvl w:val="12"/>
                <w:numId w:val="0"/>
              </w:numPr>
              <w:ind w:right="-2"/>
              <w:jc w:val="center"/>
              <w:rPr>
                <w:sz w:val="18"/>
                <w:szCs w:val="18"/>
              </w:rPr>
            </w:pPr>
            <w:r w:rsidRPr="005A5612">
              <w:rPr>
                <w:b/>
                <w:bCs/>
                <w:sz w:val="18"/>
                <w:szCs w:val="18"/>
                <w:lang w:val="es-ES_tradnl"/>
              </w:rPr>
              <w:t>ACR</w:t>
            </w:r>
            <w:r w:rsidR="00DB5D62">
              <w:rPr>
                <w:b/>
                <w:bCs/>
                <w:sz w:val="18"/>
                <w:szCs w:val="18"/>
                <w:lang w:val="es-ES_tradnl"/>
              </w:rPr>
              <w:t> </w:t>
            </w:r>
            <w:r w:rsidRPr="005A5612">
              <w:rPr>
                <w:b/>
                <w:bCs/>
                <w:sz w:val="18"/>
                <w:szCs w:val="18"/>
                <w:lang w:val="es-ES_tradnl"/>
              </w:rPr>
              <w:t>70</w:t>
            </w:r>
          </w:p>
        </w:tc>
      </w:tr>
      <w:tr w:rsidR="007927FC" w:rsidRPr="005A5612" w14:paraId="72DD9FA3" w14:textId="77777777" w:rsidTr="00DB5D62">
        <w:trPr>
          <w:cantSplit/>
        </w:trPr>
        <w:tc>
          <w:tcPr>
            <w:tcW w:w="430" w:type="pct"/>
            <w:tcBorders>
              <w:right w:val="single" w:sz="4" w:space="0" w:color="auto"/>
            </w:tcBorders>
          </w:tcPr>
          <w:p w14:paraId="1A6D3A41"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24</w:t>
            </w:r>
          </w:p>
        </w:tc>
        <w:tc>
          <w:tcPr>
            <w:tcW w:w="462" w:type="pct"/>
            <w:tcBorders>
              <w:left w:val="single" w:sz="4" w:space="0" w:color="auto"/>
              <w:right w:val="single" w:sz="4" w:space="0" w:color="auto"/>
            </w:tcBorders>
          </w:tcPr>
          <w:p w14:paraId="6B60948C"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28 %**</w:t>
            </w:r>
          </w:p>
        </w:tc>
        <w:tc>
          <w:tcPr>
            <w:tcW w:w="342" w:type="pct"/>
            <w:tcBorders>
              <w:left w:val="single" w:sz="4" w:space="0" w:color="auto"/>
              <w:right w:val="single" w:sz="4" w:space="0" w:color="auto"/>
            </w:tcBorders>
          </w:tcPr>
          <w:p w14:paraId="732F9CE4"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15 %</w:t>
            </w:r>
          </w:p>
        </w:tc>
        <w:tc>
          <w:tcPr>
            <w:tcW w:w="467" w:type="pct"/>
            <w:tcBorders>
              <w:left w:val="single" w:sz="4" w:space="0" w:color="auto"/>
              <w:right w:val="single" w:sz="4" w:space="0" w:color="auto"/>
            </w:tcBorders>
          </w:tcPr>
          <w:p w14:paraId="04A2D589"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13 %***</w:t>
            </w:r>
          </w:p>
        </w:tc>
        <w:tc>
          <w:tcPr>
            <w:tcW w:w="467" w:type="pct"/>
            <w:tcBorders>
              <w:left w:val="single" w:sz="4" w:space="0" w:color="auto"/>
              <w:right w:val="single" w:sz="4" w:space="0" w:color="auto"/>
            </w:tcBorders>
          </w:tcPr>
          <w:p w14:paraId="75E6A23D"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2 %</w:t>
            </w:r>
          </w:p>
        </w:tc>
        <w:tc>
          <w:tcPr>
            <w:tcW w:w="467" w:type="pct"/>
            <w:tcBorders>
              <w:left w:val="single" w:sz="4" w:space="0" w:color="auto"/>
              <w:right w:val="single" w:sz="4" w:space="0" w:color="auto"/>
            </w:tcBorders>
          </w:tcPr>
          <w:p w14:paraId="2BEAE437"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22 %***</w:t>
            </w:r>
          </w:p>
        </w:tc>
        <w:tc>
          <w:tcPr>
            <w:tcW w:w="467" w:type="pct"/>
            <w:tcBorders>
              <w:left w:val="single" w:sz="4" w:space="0" w:color="auto"/>
            </w:tcBorders>
          </w:tcPr>
          <w:p w14:paraId="6D41D4BD"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2 %</w:t>
            </w:r>
          </w:p>
        </w:tc>
        <w:tc>
          <w:tcPr>
            <w:tcW w:w="514" w:type="pct"/>
            <w:tcBorders>
              <w:left w:val="nil"/>
            </w:tcBorders>
          </w:tcPr>
          <w:p w14:paraId="118B50CC"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21 %***</w:t>
            </w:r>
          </w:p>
        </w:tc>
        <w:tc>
          <w:tcPr>
            <w:tcW w:w="513" w:type="pct"/>
            <w:gridSpan w:val="2"/>
            <w:tcBorders>
              <w:left w:val="nil"/>
            </w:tcBorders>
          </w:tcPr>
          <w:p w14:paraId="28A75896"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3 %</w:t>
            </w:r>
          </w:p>
        </w:tc>
        <w:tc>
          <w:tcPr>
            <w:tcW w:w="467" w:type="pct"/>
            <w:tcBorders>
              <w:left w:val="nil"/>
            </w:tcBorders>
          </w:tcPr>
          <w:p w14:paraId="36FE27FE"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12 %**</w:t>
            </w:r>
          </w:p>
        </w:tc>
        <w:tc>
          <w:tcPr>
            <w:tcW w:w="402" w:type="pct"/>
            <w:tcBorders>
              <w:left w:val="nil"/>
            </w:tcBorders>
          </w:tcPr>
          <w:p w14:paraId="4F510946"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1 %</w:t>
            </w:r>
          </w:p>
        </w:tc>
      </w:tr>
      <w:tr w:rsidR="007927FC" w:rsidRPr="005A5612" w14:paraId="020720FC" w14:textId="77777777" w:rsidTr="00DB5D62">
        <w:trPr>
          <w:cantSplit/>
        </w:trPr>
        <w:tc>
          <w:tcPr>
            <w:tcW w:w="430" w:type="pct"/>
          </w:tcPr>
          <w:p w14:paraId="3B422EEB"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52</w:t>
            </w:r>
          </w:p>
        </w:tc>
        <w:tc>
          <w:tcPr>
            <w:tcW w:w="462" w:type="pct"/>
            <w:tcBorders>
              <w:right w:val="nil"/>
            </w:tcBorders>
          </w:tcPr>
          <w:p w14:paraId="750ECD34" w14:textId="77777777" w:rsidR="007927FC" w:rsidRPr="005A5612" w:rsidRDefault="007927FC" w:rsidP="00FC7454">
            <w:pPr>
              <w:keepNext/>
              <w:numPr>
                <w:ilvl w:val="12"/>
                <w:numId w:val="0"/>
              </w:numPr>
              <w:ind w:right="-2"/>
              <w:jc w:val="center"/>
              <w:rPr>
                <w:sz w:val="18"/>
                <w:szCs w:val="18"/>
                <w:lang w:val="en-GB"/>
              </w:rPr>
            </w:pPr>
          </w:p>
        </w:tc>
        <w:tc>
          <w:tcPr>
            <w:tcW w:w="342" w:type="pct"/>
            <w:tcBorders>
              <w:left w:val="nil"/>
            </w:tcBorders>
          </w:tcPr>
          <w:p w14:paraId="53E329F1" w14:textId="77777777" w:rsidR="007927FC" w:rsidRPr="005A5612" w:rsidRDefault="007927FC" w:rsidP="00FC7454">
            <w:pPr>
              <w:keepNext/>
              <w:numPr>
                <w:ilvl w:val="12"/>
                <w:numId w:val="0"/>
              </w:numPr>
              <w:ind w:right="-2"/>
              <w:jc w:val="center"/>
              <w:rPr>
                <w:sz w:val="18"/>
                <w:szCs w:val="18"/>
                <w:lang w:val="en-GB"/>
              </w:rPr>
            </w:pPr>
          </w:p>
        </w:tc>
        <w:tc>
          <w:tcPr>
            <w:tcW w:w="467" w:type="pct"/>
            <w:tcBorders>
              <w:right w:val="nil"/>
            </w:tcBorders>
          </w:tcPr>
          <w:p w14:paraId="4CCCEBAD"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20 %***</w:t>
            </w:r>
          </w:p>
        </w:tc>
        <w:tc>
          <w:tcPr>
            <w:tcW w:w="467" w:type="pct"/>
            <w:tcBorders>
              <w:left w:val="nil"/>
            </w:tcBorders>
          </w:tcPr>
          <w:p w14:paraId="6C7A1F9D" w14:textId="77777777" w:rsidR="007927FC" w:rsidRPr="005A5612" w:rsidRDefault="007927FC" w:rsidP="00FC7454">
            <w:pPr>
              <w:keepNext/>
              <w:numPr>
                <w:ilvl w:val="12"/>
                <w:numId w:val="0"/>
              </w:numPr>
              <w:ind w:right="-2"/>
              <w:jc w:val="center"/>
              <w:rPr>
                <w:sz w:val="18"/>
                <w:szCs w:val="18"/>
                <w:lang w:val="en-GB"/>
              </w:rPr>
            </w:pPr>
            <w:r w:rsidRPr="005A5612">
              <w:rPr>
                <w:sz w:val="18"/>
                <w:szCs w:val="18"/>
                <w:lang w:val="en-GB"/>
              </w:rPr>
              <w:t>4 %</w:t>
            </w:r>
          </w:p>
        </w:tc>
        <w:tc>
          <w:tcPr>
            <w:tcW w:w="467" w:type="pct"/>
            <w:tcBorders>
              <w:right w:val="nil"/>
            </w:tcBorders>
          </w:tcPr>
          <w:p w14:paraId="241BCD16" w14:textId="77777777" w:rsidR="007927FC" w:rsidRPr="005A5612" w:rsidRDefault="007927FC" w:rsidP="00FC7454">
            <w:pPr>
              <w:keepNext/>
              <w:numPr>
                <w:ilvl w:val="12"/>
                <w:numId w:val="0"/>
              </w:numPr>
              <w:ind w:right="-2"/>
              <w:jc w:val="center"/>
              <w:rPr>
                <w:sz w:val="18"/>
                <w:szCs w:val="18"/>
                <w:lang w:val="en-GB"/>
              </w:rPr>
            </w:pPr>
          </w:p>
        </w:tc>
        <w:tc>
          <w:tcPr>
            <w:tcW w:w="467" w:type="pct"/>
            <w:tcBorders>
              <w:left w:val="nil"/>
            </w:tcBorders>
          </w:tcPr>
          <w:p w14:paraId="599792FE" w14:textId="77777777" w:rsidR="007927FC" w:rsidRPr="005A5612" w:rsidRDefault="007927FC" w:rsidP="00FC7454">
            <w:pPr>
              <w:keepNext/>
              <w:numPr>
                <w:ilvl w:val="12"/>
                <w:numId w:val="0"/>
              </w:numPr>
              <w:ind w:right="-2"/>
              <w:jc w:val="center"/>
              <w:rPr>
                <w:sz w:val="18"/>
                <w:szCs w:val="18"/>
                <w:lang w:val="en-GB"/>
              </w:rPr>
            </w:pPr>
          </w:p>
        </w:tc>
        <w:tc>
          <w:tcPr>
            <w:tcW w:w="514" w:type="pct"/>
            <w:tcBorders>
              <w:left w:val="nil"/>
            </w:tcBorders>
          </w:tcPr>
          <w:p w14:paraId="26EEF77C" w14:textId="77777777" w:rsidR="007927FC" w:rsidRPr="005A5612" w:rsidRDefault="007927FC" w:rsidP="00FC7454">
            <w:pPr>
              <w:keepNext/>
              <w:numPr>
                <w:ilvl w:val="12"/>
                <w:numId w:val="0"/>
              </w:numPr>
              <w:ind w:right="-2"/>
              <w:jc w:val="center"/>
              <w:rPr>
                <w:sz w:val="18"/>
                <w:szCs w:val="18"/>
                <w:lang w:val="en-GB"/>
              </w:rPr>
            </w:pPr>
          </w:p>
        </w:tc>
        <w:tc>
          <w:tcPr>
            <w:tcW w:w="513" w:type="pct"/>
            <w:gridSpan w:val="2"/>
            <w:tcBorders>
              <w:left w:val="nil"/>
            </w:tcBorders>
          </w:tcPr>
          <w:p w14:paraId="38992863" w14:textId="77777777" w:rsidR="007927FC" w:rsidRPr="005A5612" w:rsidRDefault="007927FC" w:rsidP="00FC7454">
            <w:pPr>
              <w:keepNext/>
              <w:numPr>
                <w:ilvl w:val="12"/>
                <w:numId w:val="0"/>
              </w:numPr>
              <w:ind w:right="-2"/>
              <w:jc w:val="center"/>
              <w:rPr>
                <w:sz w:val="18"/>
                <w:szCs w:val="18"/>
                <w:lang w:val="en-GB"/>
              </w:rPr>
            </w:pPr>
          </w:p>
        </w:tc>
        <w:tc>
          <w:tcPr>
            <w:tcW w:w="467" w:type="pct"/>
            <w:tcBorders>
              <w:left w:val="nil"/>
            </w:tcBorders>
          </w:tcPr>
          <w:p w14:paraId="66AF3DB9" w14:textId="77777777" w:rsidR="007927FC" w:rsidRPr="005A5612" w:rsidRDefault="007927FC" w:rsidP="00FC7454">
            <w:pPr>
              <w:keepNext/>
              <w:numPr>
                <w:ilvl w:val="12"/>
                <w:numId w:val="0"/>
              </w:numPr>
              <w:ind w:right="-2"/>
              <w:jc w:val="center"/>
              <w:rPr>
                <w:sz w:val="18"/>
                <w:szCs w:val="18"/>
                <w:lang w:val="en-GB"/>
              </w:rPr>
            </w:pPr>
          </w:p>
        </w:tc>
        <w:tc>
          <w:tcPr>
            <w:tcW w:w="402" w:type="pct"/>
            <w:tcBorders>
              <w:left w:val="nil"/>
            </w:tcBorders>
          </w:tcPr>
          <w:p w14:paraId="6BDFC14A" w14:textId="77777777" w:rsidR="007927FC" w:rsidRPr="005A5612" w:rsidRDefault="007927FC" w:rsidP="00FC7454">
            <w:pPr>
              <w:keepNext/>
              <w:numPr>
                <w:ilvl w:val="12"/>
                <w:numId w:val="0"/>
              </w:numPr>
              <w:ind w:right="-2"/>
              <w:jc w:val="center"/>
              <w:rPr>
                <w:sz w:val="18"/>
                <w:szCs w:val="18"/>
                <w:lang w:val="en-GB"/>
              </w:rPr>
            </w:pPr>
          </w:p>
        </w:tc>
      </w:tr>
    </w:tbl>
    <w:p w14:paraId="668902A4" w14:textId="77777777" w:rsidR="00DB5D62" w:rsidRPr="00F30AB8" w:rsidRDefault="00DB5D62" w:rsidP="007927FC">
      <w:pPr>
        <w:keepNext/>
        <w:numPr>
          <w:ilvl w:val="12"/>
          <w:numId w:val="0"/>
        </w:numPr>
        <w:ind w:right="-2"/>
        <w:rPr>
          <w:i/>
          <w:iCs/>
          <w:sz w:val="18"/>
          <w:szCs w:val="18"/>
        </w:rPr>
      </w:pPr>
      <w:r w:rsidRPr="00DB5D62">
        <w:rPr>
          <w:i/>
          <w:iCs/>
          <w:sz w:val="18"/>
          <w:szCs w:val="18"/>
        </w:rPr>
        <w:t>ACR</w:t>
      </w:r>
      <w:r w:rsidRPr="00DB5D62">
        <w:rPr>
          <w:i/>
          <w:iCs/>
          <w:sz w:val="18"/>
          <w:szCs w:val="18"/>
        </w:rPr>
        <w:tab/>
      </w:r>
      <w:r w:rsidRPr="00DB5D62">
        <w:rPr>
          <w:i/>
          <w:iCs/>
          <w:sz w:val="18"/>
          <w:szCs w:val="18"/>
        </w:rPr>
        <w:tab/>
        <w:t>- American College of Rheumatology (ACR) criteria</w:t>
      </w:r>
    </w:p>
    <w:p w14:paraId="31373608" w14:textId="77777777" w:rsidR="007927FC" w:rsidRPr="00F30AB8" w:rsidRDefault="007927FC" w:rsidP="007927FC">
      <w:pPr>
        <w:keepNext/>
        <w:numPr>
          <w:ilvl w:val="12"/>
          <w:numId w:val="0"/>
        </w:numPr>
        <w:ind w:right="-2"/>
        <w:rPr>
          <w:i/>
          <w:iCs/>
          <w:sz w:val="18"/>
          <w:szCs w:val="18"/>
        </w:rPr>
      </w:pPr>
      <w:r w:rsidRPr="00F30AB8">
        <w:rPr>
          <w:i/>
          <w:iCs/>
          <w:sz w:val="18"/>
          <w:szCs w:val="18"/>
        </w:rPr>
        <w:t>TCZ</w:t>
      </w:r>
      <w:r w:rsidRPr="00F30AB8">
        <w:rPr>
          <w:i/>
          <w:iCs/>
          <w:sz w:val="18"/>
          <w:szCs w:val="18"/>
        </w:rPr>
        <w:tab/>
      </w:r>
      <w:r w:rsidRPr="00F30AB8">
        <w:rPr>
          <w:i/>
          <w:iCs/>
          <w:sz w:val="18"/>
          <w:szCs w:val="18"/>
        </w:rPr>
        <w:tab/>
        <w:t>-Tocilizumab</w:t>
      </w:r>
    </w:p>
    <w:p w14:paraId="2E20A354" w14:textId="77777777" w:rsidR="007927FC" w:rsidRPr="00F30AB8" w:rsidRDefault="007927FC" w:rsidP="007927FC">
      <w:pPr>
        <w:keepNext/>
        <w:numPr>
          <w:ilvl w:val="12"/>
          <w:numId w:val="0"/>
        </w:numPr>
        <w:ind w:right="-2"/>
        <w:rPr>
          <w:sz w:val="18"/>
          <w:szCs w:val="18"/>
        </w:rPr>
      </w:pPr>
      <w:r w:rsidRPr="00F30AB8">
        <w:rPr>
          <w:i/>
          <w:iCs/>
          <w:sz w:val="18"/>
          <w:szCs w:val="18"/>
        </w:rPr>
        <w:t>MTX</w:t>
      </w:r>
      <w:r w:rsidRPr="00F30AB8">
        <w:rPr>
          <w:i/>
          <w:iCs/>
          <w:sz w:val="18"/>
          <w:szCs w:val="18"/>
        </w:rPr>
        <w:tab/>
      </w:r>
      <w:r w:rsidRPr="00F30AB8">
        <w:rPr>
          <w:i/>
          <w:iCs/>
          <w:sz w:val="18"/>
          <w:szCs w:val="18"/>
        </w:rPr>
        <w:tab/>
        <w:t>- Metotrexato</w:t>
      </w:r>
    </w:p>
    <w:p w14:paraId="35269FDD" w14:textId="77777777" w:rsidR="007927FC" w:rsidRPr="00F30AB8" w:rsidRDefault="007927FC" w:rsidP="007927FC">
      <w:pPr>
        <w:keepNext/>
        <w:numPr>
          <w:ilvl w:val="12"/>
          <w:numId w:val="0"/>
        </w:numPr>
        <w:ind w:right="-2"/>
        <w:rPr>
          <w:i/>
          <w:iCs/>
          <w:sz w:val="18"/>
          <w:szCs w:val="18"/>
        </w:rPr>
      </w:pPr>
      <w:r w:rsidRPr="00F30AB8">
        <w:rPr>
          <w:i/>
          <w:iCs/>
          <w:sz w:val="18"/>
          <w:szCs w:val="18"/>
        </w:rPr>
        <w:t>PBO</w:t>
      </w:r>
      <w:r w:rsidRPr="00F30AB8">
        <w:rPr>
          <w:i/>
          <w:iCs/>
          <w:sz w:val="18"/>
          <w:szCs w:val="18"/>
        </w:rPr>
        <w:tab/>
      </w:r>
      <w:r w:rsidRPr="00F30AB8">
        <w:rPr>
          <w:i/>
          <w:iCs/>
          <w:sz w:val="18"/>
          <w:szCs w:val="18"/>
        </w:rPr>
        <w:tab/>
        <w:t>-Placebo</w:t>
      </w:r>
    </w:p>
    <w:p w14:paraId="25CFACAA" w14:textId="77777777" w:rsidR="007927FC" w:rsidRPr="00957CE0" w:rsidRDefault="007927FC" w:rsidP="007927FC">
      <w:pPr>
        <w:numPr>
          <w:ilvl w:val="12"/>
          <w:numId w:val="0"/>
        </w:numPr>
        <w:ind w:right="-2"/>
        <w:rPr>
          <w:sz w:val="18"/>
          <w:szCs w:val="18"/>
          <w:lang w:val="es-ES_tradnl"/>
        </w:rPr>
      </w:pPr>
      <w:r w:rsidRPr="005447CB">
        <w:rPr>
          <w:i/>
          <w:iCs/>
          <w:sz w:val="18"/>
          <w:szCs w:val="18"/>
          <w:lang w:val="es-ES_tradnl"/>
        </w:rPr>
        <w:t>FAME</w:t>
      </w:r>
      <w:r w:rsidRPr="005447CB">
        <w:rPr>
          <w:i/>
          <w:iCs/>
          <w:sz w:val="18"/>
          <w:szCs w:val="18"/>
          <w:lang w:val="es-ES_tradnl"/>
        </w:rPr>
        <w:tab/>
        <w:t xml:space="preserve"> </w:t>
      </w:r>
      <w:r w:rsidRPr="005447CB">
        <w:rPr>
          <w:i/>
          <w:iCs/>
          <w:sz w:val="18"/>
          <w:szCs w:val="18"/>
          <w:lang w:val="es-ES_tradnl"/>
        </w:rPr>
        <w:tab/>
        <w:t xml:space="preserve">- Fármaco Antirreumático Modificador de la Enfermedad </w:t>
      </w:r>
    </w:p>
    <w:p w14:paraId="2B1FC542" w14:textId="77777777" w:rsidR="007927FC" w:rsidRPr="00A813E6" w:rsidRDefault="007927FC" w:rsidP="007927FC">
      <w:pPr>
        <w:numPr>
          <w:ilvl w:val="12"/>
          <w:numId w:val="0"/>
        </w:numPr>
        <w:ind w:right="-2"/>
        <w:rPr>
          <w:i/>
          <w:iCs/>
          <w:sz w:val="18"/>
          <w:szCs w:val="18"/>
          <w:lang w:val="es-ES_tradnl"/>
        </w:rPr>
      </w:pPr>
      <w:r w:rsidRPr="00A813E6">
        <w:rPr>
          <w:i/>
          <w:iCs/>
          <w:sz w:val="18"/>
          <w:szCs w:val="18"/>
          <w:lang w:val="es-ES_tradnl"/>
        </w:rPr>
        <w:t xml:space="preserve">** </w:t>
      </w:r>
      <w:r w:rsidRPr="00A813E6">
        <w:rPr>
          <w:i/>
          <w:iCs/>
          <w:sz w:val="18"/>
          <w:szCs w:val="18"/>
          <w:lang w:val="es-ES_tradnl"/>
        </w:rPr>
        <w:tab/>
      </w:r>
      <w:r w:rsidRPr="00A813E6">
        <w:rPr>
          <w:i/>
          <w:iCs/>
          <w:sz w:val="18"/>
          <w:szCs w:val="18"/>
          <w:lang w:val="es-ES_tradnl"/>
        </w:rPr>
        <w:tab/>
        <w:t xml:space="preserve">- p&lt;0,01, TCZ VS PBO + MTX/ FAME </w:t>
      </w:r>
    </w:p>
    <w:p w14:paraId="7CDF4419" w14:textId="77777777" w:rsidR="007927FC" w:rsidRPr="005447CB" w:rsidRDefault="007927FC" w:rsidP="007927FC">
      <w:pPr>
        <w:numPr>
          <w:ilvl w:val="12"/>
          <w:numId w:val="0"/>
        </w:numPr>
        <w:ind w:right="-2"/>
        <w:rPr>
          <w:i/>
          <w:iCs/>
          <w:sz w:val="18"/>
          <w:szCs w:val="18"/>
          <w:lang w:val="es-ES_tradnl"/>
        </w:rPr>
      </w:pPr>
      <w:r w:rsidRPr="005447CB">
        <w:rPr>
          <w:i/>
          <w:iCs/>
          <w:sz w:val="18"/>
          <w:szCs w:val="18"/>
          <w:lang w:val="es-ES_tradnl"/>
        </w:rPr>
        <w:t xml:space="preserve">*** </w:t>
      </w:r>
      <w:r w:rsidRPr="005447CB">
        <w:rPr>
          <w:i/>
          <w:iCs/>
          <w:sz w:val="18"/>
          <w:szCs w:val="18"/>
          <w:lang w:val="es-ES_tradnl"/>
        </w:rPr>
        <w:tab/>
      </w:r>
      <w:r w:rsidRPr="005447CB">
        <w:rPr>
          <w:i/>
          <w:iCs/>
          <w:sz w:val="18"/>
          <w:szCs w:val="18"/>
          <w:lang w:val="es-ES_tradnl"/>
        </w:rPr>
        <w:tab/>
        <w:t xml:space="preserve">- p&lt;0,0001, TCZ VS PBO + MTX/ FAME </w:t>
      </w:r>
    </w:p>
    <w:p w14:paraId="1C446C18" w14:textId="77777777" w:rsidR="007927FC" w:rsidRPr="008A106B" w:rsidRDefault="007927FC" w:rsidP="007927FC">
      <w:pPr>
        <w:numPr>
          <w:ilvl w:val="12"/>
          <w:numId w:val="0"/>
        </w:numPr>
        <w:rPr>
          <w:lang w:val="es-ES"/>
        </w:rPr>
      </w:pPr>
    </w:p>
    <w:p w14:paraId="07F395AF" w14:textId="77777777" w:rsidR="007927FC" w:rsidRPr="008A106B" w:rsidRDefault="007927FC" w:rsidP="007927FC">
      <w:pPr>
        <w:numPr>
          <w:ilvl w:val="12"/>
          <w:numId w:val="0"/>
        </w:numPr>
        <w:rPr>
          <w:i/>
          <w:lang w:val="es-ES"/>
        </w:rPr>
      </w:pPr>
      <w:r w:rsidRPr="008A106B">
        <w:rPr>
          <w:i/>
          <w:lang w:val="es-ES"/>
        </w:rPr>
        <w:t xml:space="preserve">Respuesta clínica mayor </w:t>
      </w:r>
    </w:p>
    <w:p w14:paraId="26C2208F" w14:textId="0B08C936" w:rsidR="007927FC" w:rsidRPr="008A106B" w:rsidRDefault="007927FC" w:rsidP="007927FC">
      <w:pPr>
        <w:numPr>
          <w:ilvl w:val="12"/>
          <w:numId w:val="0"/>
        </w:numPr>
        <w:rPr>
          <w:lang w:val="es-ES"/>
        </w:rPr>
      </w:pPr>
      <w:r w:rsidRPr="008A106B">
        <w:rPr>
          <w:lang w:val="es-ES"/>
        </w:rPr>
        <w:t>Después de 2</w:t>
      </w:r>
      <w:r w:rsidR="00DB5D62">
        <w:rPr>
          <w:lang w:val="es-ES"/>
        </w:rPr>
        <w:t xml:space="preserve"> </w:t>
      </w:r>
      <w:r w:rsidRPr="008A106B">
        <w:rPr>
          <w:lang w:val="es-ES"/>
        </w:rPr>
        <w:t xml:space="preserve">años de tratamiento con tocilizumab y </w:t>
      </w:r>
      <w:r w:rsidR="00DB5D62">
        <w:rPr>
          <w:lang w:val="es-ES"/>
        </w:rPr>
        <w:t>MTX</w:t>
      </w:r>
      <w:r w:rsidRPr="008A106B">
        <w:rPr>
          <w:lang w:val="es-ES"/>
        </w:rPr>
        <w:t>, el 14</w:t>
      </w:r>
      <w:r w:rsidR="00DB5D62">
        <w:rPr>
          <w:lang w:val="es-ES"/>
        </w:rPr>
        <w:t> </w:t>
      </w:r>
      <w:r w:rsidRPr="008A106B">
        <w:rPr>
          <w:lang w:val="es-ES"/>
        </w:rPr>
        <w:t>% de los pacientes alcanzaron una respuesta clínica mayor (mantenimiento de la respuesta ACR</w:t>
      </w:r>
      <w:r w:rsidR="00DB5D62">
        <w:rPr>
          <w:lang w:val="es-ES"/>
        </w:rPr>
        <w:t> </w:t>
      </w:r>
      <w:r w:rsidRPr="008A106B">
        <w:rPr>
          <w:lang w:val="es-ES"/>
        </w:rPr>
        <w:t>70 durante 24</w:t>
      </w:r>
      <w:r w:rsidR="00DB5D62">
        <w:rPr>
          <w:lang w:val="es-ES"/>
        </w:rPr>
        <w:t> </w:t>
      </w:r>
      <w:r w:rsidRPr="008A106B">
        <w:rPr>
          <w:lang w:val="es-ES"/>
        </w:rPr>
        <w:t>semanas o más).</w:t>
      </w:r>
    </w:p>
    <w:p w14:paraId="0067DA75" w14:textId="77777777" w:rsidR="007927FC" w:rsidRPr="008A106B" w:rsidRDefault="007927FC" w:rsidP="007927FC">
      <w:pPr>
        <w:numPr>
          <w:ilvl w:val="12"/>
          <w:numId w:val="0"/>
        </w:numPr>
        <w:rPr>
          <w:lang w:val="es-ES"/>
        </w:rPr>
      </w:pPr>
    </w:p>
    <w:p w14:paraId="2B345914" w14:textId="77777777" w:rsidR="007927FC" w:rsidRPr="008A106B" w:rsidRDefault="007927FC" w:rsidP="00F30AB8">
      <w:pPr>
        <w:keepNext/>
        <w:keepLines/>
        <w:rPr>
          <w:i/>
          <w:iCs/>
          <w:lang w:val="es-ES"/>
        </w:rPr>
      </w:pPr>
      <w:r w:rsidRPr="008A106B">
        <w:rPr>
          <w:i/>
          <w:iCs/>
          <w:lang w:val="es-ES_tradnl"/>
        </w:rPr>
        <w:t>Respuesta radiográfica</w:t>
      </w:r>
    </w:p>
    <w:p w14:paraId="124A0BF1" w14:textId="77777777" w:rsidR="007927FC" w:rsidRPr="008A106B" w:rsidRDefault="007927FC" w:rsidP="00F30AB8">
      <w:pPr>
        <w:keepNext/>
        <w:keepLines/>
        <w:rPr>
          <w:lang w:val="es-ES_tradnl"/>
        </w:rPr>
      </w:pPr>
      <w:r w:rsidRPr="008A106B">
        <w:rPr>
          <w:lang w:val="es-ES_tradnl"/>
        </w:rPr>
        <w:t>En el ensayo II, en pacientes con una respuesta inadecuada a MTX, se evaluó radiográficamente la inhibición del daño articular estructural y se expresó como un cambio en la escala de Sharp modificada y sus componentes, la puntuación de erosión y la puntuación de estrechamiento del espacio articular.</w:t>
      </w:r>
      <w:r w:rsidRPr="008A106B">
        <w:rPr>
          <w:lang w:val="es-ES"/>
        </w:rPr>
        <w:t xml:space="preserve"> </w:t>
      </w:r>
      <w:r w:rsidRPr="008A106B">
        <w:rPr>
          <w:lang w:val="es-ES_tradnl"/>
        </w:rPr>
        <w:t>Se demostró inhibición del daño estructural articular con una progresión radiográfica significativamente menor en los pacientes que recibieron tocilizumab en comparación con el control (</w:t>
      </w:r>
      <w:r w:rsidR="00852BE8">
        <w:rPr>
          <w:lang w:val="es-ES_tradnl"/>
        </w:rPr>
        <w:t xml:space="preserve">ver </w:t>
      </w:r>
      <w:r w:rsidRPr="008A106B">
        <w:rPr>
          <w:lang w:val="es-ES_tradnl"/>
        </w:rPr>
        <w:t>Tabla </w:t>
      </w:r>
      <w:r w:rsidR="0085789E">
        <w:rPr>
          <w:lang w:val="es-ES_tradnl"/>
        </w:rPr>
        <w:t>5</w:t>
      </w:r>
      <w:r w:rsidRPr="008A106B">
        <w:rPr>
          <w:lang w:val="es-ES_tradnl"/>
        </w:rPr>
        <w:t>).</w:t>
      </w:r>
    </w:p>
    <w:p w14:paraId="3DB8DCD7" w14:textId="77777777" w:rsidR="007927FC" w:rsidRPr="008A106B" w:rsidRDefault="007927FC" w:rsidP="007927FC">
      <w:pPr>
        <w:rPr>
          <w:lang w:val="es-ES"/>
        </w:rPr>
      </w:pPr>
    </w:p>
    <w:p w14:paraId="77FCF819" w14:textId="61F7C665" w:rsidR="007927FC" w:rsidRPr="008A106B" w:rsidRDefault="007927FC" w:rsidP="007927FC">
      <w:pPr>
        <w:rPr>
          <w:lang w:val="es-ES"/>
        </w:rPr>
      </w:pPr>
      <w:r w:rsidRPr="008A106B">
        <w:rPr>
          <w:lang w:val="es-ES"/>
        </w:rPr>
        <w:t xml:space="preserve">En la extensión abierta del </w:t>
      </w:r>
      <w:del w:id="338" w:author="AUTHOR">
        <w:r w:rsidRPr="008A106B" w:rsidDel="006C4AF1">
          <w:rPr>
            <w:lang w:val="es-ES"/>
          </w:rPr>
          <w:delText xml:space="preserve">estudio </w:delText>
        </w:r>
      </w:del>
      <w:ins w:id="339" w:author="AUTHOR">
        <w:r w:rsidR="006C4AF1" w:rsidRPr="008A106B">
          <w:rPr>
            <w:lang w:val="es-ES"/>
          </w:rPr>
          <w:t>e</w:t>
        </w:r>
        <w:r w:rsidR="006C4AF1">
          <w:rPr>
            <w:lang w:val="es-ES"/>
          </w:rPr>
          <w:t>nsayo</w:t>
        </w:r>
        <w:r w:rsidR="006C4AF1" w:rsidRPr="008A106B">
          <w:rPr>
            <w:lang w:val="es-ES"/>
          </w:rPr>
          <w:t xml:space="preserve"> </w:t>
        </w:r>
      </w:ins>
      <w:r w:rsidRPr="008A106B">
        <w:rPr>
          <w:lang w:val="es-ES"/>
        </w:rPr>
        <w:t xml:space="preserve">II la inhibición de la progresión del daño </w:t>
      </w:r>
      <w:ins w:id="340" w:author="AUTHOR">
        <w:r w:rsidR="005F62DB" w:rsidRPr="005F62DB">
          <w:rPr>
            <w:lang w:val="es-ES"/>
          </w:rPr>
          <w:t>articular</w:t>
        </w:r>
        <w:r w:rsidR="005F62DB">
          <w:rPr>
            <w:lang w:val="es-ES"/>
          </w:rPr>
          <w:t xml:space="preserve"> </w:t>
        </w:r>
      </w:ins>
      <w:r w:rsidRPr="008A106B">
        <w:rPr>
          <w:lang w:val="es-ES"/>
        </w:rPr>
        <w:t xml:space="preserve">estructural en los pacientes tratados con tocilizumab más MTX se mantuvo en el segundo año de tratamiento. En la semana 104 el cambio medio desde </w:t>
      </w:r>
      <w:ins w:id="341" w:author="AUTHOR">
        <w:r w:rsidR="005F62DB" w:rsidRPr="005F62DB">
          <w:rPr>
            <w:lang w:val="es-ES"/>
          </w:rPr>
          <w:t>el inicio</w:t>
        </w:r>
        <w:r w:rsidR="005F62DB">
          <w:rPr>
            <w:lang w:val="es-ES"/>
          </w:rPr>
          <w:t xml:space="preserve"> </w:t>
        </w:r>
      </w:ins>
      <w:del w:id="342" w:author="AUTHOR">
        <w:r w:rsidRPr="008A106B" w:rsidDel="005F62DB">
          <w:rPr>
            <w:lang w:val="es-ES"/>
          </w:rPr>
          <w:delText xml:space="preserve">la basal </w:delText>
        </w:r>
      </w:del>
      <w:r w:rsidRPr="008A106B">
        <w:rPr>
          <w:lang w:val="es-ES"/>
        </w:rPr>
        <w:t xml:space="preserve">en el índice total Sharp-Genant fue significativamente menor en los pacientes del </w:t>
      </w:r>
      <w:del w:id="343" w:author="AUTHOR">
        <w:r w:rsidRPr="008A106B" w:rsidDel="004E273B">
          <w:rPr>
            <w:lang w:val="es-ES"/>
          </w:rPr>
          <w:delText>brazo</w:delText>
        </w:r>
      </w:del>
      <w:ins w:id="344" w:author="AUTHOR">
        <w:r w:rsidR="004E273B">
          <w:rPr>
            <w:lang w:val="es-ES"/>
          </w:rPr>
          <w:t>grupo</w:t>
        </w:r>
      </w:ins>
      <w:r w:rsidRPr="008A106B">
        <w:rPr>
          <w:lang w:val="es-ES"/>
        </w:rPr>
        <w:t xml:space="preserve"> tocilizumab 8 mg/kg más MTX (p&lt;0.0001) que en los del </w:t>
      </w:r>
      <w:del w:id="345" w:author="AUTHOR">
        <w:r w:rsidRPr="008A106B" w:rsidDel="004E273B">
          <w:rPr>
            <w:lang w:val="es-ES"/>
          </w:rPr>
          <w:delText>brazo</w:delText>
        </w:r>
      </w:del>
      <w:ins w:id="346" w:author="AUTHOR">
        <w:r w:rsidR="004E273B">
          <w:rPr>
            <w:lang w:val="es-ES"/>
          </w:rPr>
          <w:t>grupo</w:t>
        </w:r>
      </w:ins>
      <w:r w:rsidRPr="008A106B">
        <w:rPr>
          <w:lang w:val="es-ES"/>
        </w:rPr>
        <w:t xml:space="preserve"> placebo más MTX. </w:t>
      </w:r>
    </w:p>
    <w:p w14:paraId="3EC6C8AC" w14:textId="77777777" w:rsidR="007927FC" w:rsidRPr="008A106B" w:rsidRDefault="007927FC" w:rsidP="007927FC">
      <w:pPr>
        <w:rPr>
          <w:lang w:val="es-ES"/>
        </w:rPr>
      </w:pPr>
    </w:p>
    <w:p w14:paraId="6B0D5668" w14:textId="77777777" w:rsidR="007927FC" w:rsidRDefault="007927FC" w:rsidP="00A50280">
      <w:pPr>
        <w:keepNext/>
        <w:keepLines/>
        <w:rPr>
          <w:bCs/>
          <w:i/>
          <w:lang w:val="es-ES_tradnl"/>
        </w:rPr>
      </w:pPr>
      <w:r w:rsidRPr="008A106B">
        <w:rPr>
          <w:bCs/>
          <w:i/>
          <w:lang w:val="es-ES_tradnl"/>
        </w:rPr>
        <w:t>Tabla </w:t>
      </w:r>
      <w:r w:rsidR="0085789E">
        <w:rPr>
          <w:bCs/>
          <w:i/>
          <w:lang w:val="es-ES_tradnl"/>
        </w:rPr>
        <w:t>5</w:t>
      </w:r>
      <w:r w:rsidRPr="008A106B">
        <w:rPr>
          <w:bCs/>
          <w:i/>
          <w:lang w:val="es-ES_tradnl"/>
        </w:rPr>
        <w:t>. Cambios radiográficos medios en 52 semanas en el estudio II</w:t>
      </w:r>
    </w:p>
    <w:p w14:paraId="79B8D182" w14:textId="77777777" w:rsidR="00D615B3" w:rsidRPr="008A106B" w:rsidRDefault="00D615B3" w:rsidP="00A50280">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7927FC" w:rsidRPr="001335A4" w14:paraId="66C913F0" w14:textId="77777777" w:rsidTr="00FC7454">
        <w:tc>
          <w:tcPr>
            <w:tcW w:w="2358" w:type="dxa"/>
          </w:tcPr>
          <w:p w14:paraId="424A60A3" w14:textId="77777777" w:rsidR="007927FC" w:rsidRPr="005A5612" w:rsidRDefault="007927FC" w:rsidP="00A50280">
            <w:pPr>
              <w:keepNext/>
              <w:keepLines/>
              <w:rPr>
                <w:lang w:val="es-ES"/>
              </w:rPr>
            </w:pPr>
          </w:p>
        </w:tc>
        <w:tc>
          <w:tcPr>
            <w:tcW w:w="2790" w:type="dxa"/>
          </w:tcPr>
          <w:p w14:paraId="3A6A2329" w14:textId="77777777" w:rsidR="007927FC" w:rsidRPr="005A5612" w:rsidRDefault="007927FC" w:rsidP="00A50280">
            <w:pPr>
              <w:keepNext/>
              <w:keepLines/>
              <w:numPr>
                <w:ilvl w:val="12"/>
                <w:numId w:val="0"/>
              </w:numPr>
              <w:ind w:right="-2"/>
              <w:jc w:val="center"/>
              <w:rPr>
                <w:lang w:val="es-ES"/>
              </w:rPr>
            </w:pPr>
            <w:r w:rsidRPr="005A5612">
              <w:rPr>
                <w:b/>
                <w:bCs/>
                <w:sz w:val="20"/>
                <w:lang w:val="es-ES_tradnl"/>
              </w:rPr>
              <w:t>PBO + MTX</w:t>
            </w:r>
            <w:r w:rsidRPr="005A5612">
              <w:rPr>
                <w:b/>
                <w:bCs/>
                <w:sz w:val="20"/>
                <w:lang w:val="es-ES"/>
              </w:rPr>
              <w:t xml:space="preserve"> </w:t>
            </w:r>
          </w:p>
          <w:p w14:paraId="14D39C7C" w14:textId="6B1BCEE4" w:rsidR="007927FC" w:rsidRPr="005A5612" w:rsidRDefault="007927FC" w:rsidP="00A50280">
            <w:pPr>
              <w:keepNext/>
              <w:keepLines/>
              <w:numPr>
                <w:ilvl w:val="12"/>
                <w:numId w:val="0"/>
              </w:numPr>
              <w:ind w:right="-2"/>
              <w:jc w:val="center"/>
              <w:rPr>
                <w:b/>
                <w:bCs/>
                <w:sz w:val="20"/>
                <w:lang w:val="es-ES"/>
              </w:rPr>
            </w:pPr>
            <w:r w:rsidRPr="005A5612">
              <w:rPr>
                <w:b/>
                <w:bCs/>
                <w:sz w:val="20"/>
                <w:lang w:val="es-ES_tradnl"/>
              </w:rPr>
              <w:t>(+TCZ desde la semana</w:t>
            </w:r>
            <w:r w:rsidR="00C8792E">
              <w:rPr>
                <w:b/>
                <w:bCs/>
                <w:sz w:val="20"/>
                <w:lang w:val="es-ES_tradnl"/>
              </w:rPr>
              <w:t> </w:t>
            </w:r>
            <w:r w:rsidRPr="005A5612">
              <w:rPr>
                <w:b/>
                <w:bCs/>
                <w:sz w:val="20"/>
                <w:lang w:val="es-ES_tradnl"/>
              </w:rPr>
              <w:t>24)</w:t>
            </w:r>
          </w:p>
          <w:p w14:paraId="15270A8E" w14:textId="233B1ED1" w:rsidR="007927FC" w:rsidRPr="005A5612" w:rsidRDefault="007927FC" w:rsidP="00A50280">
            <w:pPr>
              <w:keepNext/>
              <w:keepLines/>
              <w:jc w:val="center"/>
            </w:pPr>
            <w:del w:id="347" w:author="AUTHOR">
              <w:r w:rsidRPr="005A5612" w:rsidDel="003E29DD">
                <w:rPr>
                  <w:b/>
                  <w:bCs/>
                  <w:sz w:val="20"/>
                  <w:lang w:val="es-ES_tradnl"/>
                </w:rPr>
                <w:delText xml:space="preserve">N </w:delText>
              </w:r>
            </w:del>
            <w:ins w:id="348" w:author="AUTHOR">
              <w:r w:rsidR="003E29DD">
                <w:rPr>
                  <w:b/>
                  <w:bCs/>
                  <w:sz w:val="20"/>
                  <w:lang w:val="es-ES_tradnl"/>
                </w:rPr>
                <w:t>n</w:t>
              </w:r>
              <w:r w:rsidR="003E29DD" w:rsidRPr="005A5612">
                <w:rPr>
                  <w:b/>
                  <w:bCs/>
                  <w:sz w:val="20"/>
                  <w:lang w:val="es-ES_tradnl"/>
                </w:rPr>
                <w:t xml:space="preserve"> </w:t>
              </w:r>
            </w:ins>
            <w:r w:rsidRPr="005A5612">
              <w:rPr>
                <w:b/>
                <w:bCs/>
                <w:sz w:val="20"/>
                <w:lang w:val="es-ES_tradnl"/>
              </w:rPr>
              <w:t>= 393</w:t>
            </w:r>
          </w:p>
        </w:tc>
        <w:tc>
          <w:tcPr>
            <w:tcW w:w="2610" w:type="dxa"/>
          </w:tcPr>
          <w:p w14:paraId="15CCA455" w14:textId="6071CF16" w:rsidR="007927FC" w:rsidRPr="005A5612" w:rsidRDefault="007927FC" w:rsidP="00A50280">
            <w:pPr>
              <w:keepNext/>
              <w:keepLines/>
              <w:jc w:val="center"/>
              <w:rPr>
                <w:lang w:val="pt-BR"/>
              </w:rPr>
            </w:pPr>
            <w:r w:rsidRPr="005A5612">
              <w:rPr>
                <w:b/>
                <w:bCs/>
                <w:sz w:val="20"/>
                <w:lang w:val="pt-BR"/>
              </w:rPr>
              <w:t>TCZ 8 mg/kg + MTX</w:t>
            </w:r>
            <w:r w:rsidRPr="005A5612">
              <w:rPr>
                <w:b/>
                <w:bCs/>
                <w:sz w:val="20"/>
                <w:lang w:val="pt-BR"/>
              </w:rPr>
              <w:br/>
            </w:r>
            <w:del w:id="349" w:author="AUTHOR">
              <w:r w:rsidRPr="005A5612" w:rsidDel="003E29DD">
                <w:rPr>
                  <w:b/>
                  <w:bCs/>
                  <w:sz w:val="20"/>
                  <w:lang w:val="pt-BR"/>
                </w:rPr>
                <w:delText xml:space="preserve">N </w:delText>
              </w:r>
            </w:del>
            <w:ins w:id="350" w:author="AUTHOR">
              <w:r w:rsidR="003E29DD">
                <w:rPr>
                  <w:b/>
                  <w:bCs/>
                  <w:sz w:val="20"/>
                  <w:lang w:val="pt-BR"/>
                </w:rPr>
                <w:t>n</w:t>
              </w:r>
              <w:r w:rsidR="003E29DD" w:rsidRPr="005A5612">
                <w:rPr>
                  <w:b/>
                  <w:bCs/>
                  <w:sz w:val="20"/>
                  <w:lang w:val="pt-BR"/>
                </w:rPr>
                <w:t xml:space="preserve"> </w:t>
              </w:r>
            </w:ins>
            <w:r w:rsidRPr="005A5612">
              <w:rPr>
                <w:b/>
                <w:bCs/>
                <w:sz w:val="20"/>
                <w:lang w:val="pt-BR"/>
              </w:rPr>
              <w:t>= 398</w:t>
            </w:r>
          </w:p>
        </w:tc>
      </w:tr>
      <w:tr w:rsidR="007927FC" w:rsidRPr="005A5612" w14:paraId="0EC076BF" w14:textId="77777777" w:rsidTr="00FC7454">
        <w:tc>
          <w:tcPr>
            <w:tcW w:w="2358" w:type="dxa"/>
          </w:tcPr>
          <w:p w14:paraId="4B0ECDD5" w14:textId="77777777" w:rsidR="007927FC" w:rsidRPr="005A5612" w:rsidRDefault="007927FC" w:rsidP="00A50280">
            <w:pPr>
              <w:keepNext/>
              <w:keepLines/>
              <w:rPr>
                <w:lang w:val="es-ES"/>
              </w:rPr>
            </w:pPr>
            <w:r w:rsidRPr="005A5612">
              <w:rPr>
                <w:lang w:val="es-ES_tradnl"/>
              </w:rPr>
              <w:t>Puntuación total de Sharp-Genant</w:t>
            </w:r>
          </w:p>
        </w:tc>
        <w:tc>
          <w:tcPr>
            <w:tcW w:w="2790" w:type="dxa"/>
          </w:tcPr>
          <w:p w14:paraId="11FB3096" w14:textId="77777777" w:rsidR="007927FC" w:rsidRPr="005A5612" w:rsidRDefault="007927FC" w:rsidP="00A50280">
            <w:pPr>
              <w:keepNext/>
              <w:keepLines/>
              <w:jc w:val="center"/>
              <w:rPr>
                <w:lang w:val="en-GB"/>
              </w:rPr>
            </w:pPr>
            <w:r w:rsidRPr="005A5612">
              <w:rPr>
                <w:lang w:val="en-GB"/>
              </w:rPr>
              <w:t>1,13</w:t>
            </w:r>
          </w:p>
        </w:tc>
        <w:tc>
          <w:tcPr>
            <w:tcW w:w="2610" w:type="dxa"/>
          </w:tcPr>
          <w:p w14:paraId="6C83938D" w14:textId="77777777" w:rsidR="007927FC" w:rsidRPr="005A5612" w:rsidRDefault="007927FC" w:rsidP="00A50280">
            <w:pPr>
              <w:keepNext/>
              <w:keepLines/>
              <w:jc w:val="center"/>
              <w:rPr>
                <w:lang w:val="en-GB"/>
              </w:rPr>
            </w:pPr>
            <w:r w:rsidRPr="005A5612">
              <w:rPr>
                <w:lang w:val="en-GB"/>
              </w:rPr>
              <w:t>0,29*</w:t>
            </w:r>
          </w:p>
        </w:tc>
      </w:tr>
      <w:tr w:rsidR="007927FC" w:rsidRPr="005A5612" w14:paraId="058D4FCF" w14:textId="77777777" w:rsidTr="00FC7454">
        <w:tc>
          <w:tcPr>
            <w:tcW w:w="2358" w:type="dxa"/>
          </w:tcPr>
          <w:p w14:paraId="08982DDE" w14:textId="77777777" w:rsidR="007927FC" w:rsidRPr="005A5612" w:rsidRDefault="007927FC" w:rsidP="00A50280">
            <w:pPr>
              <w:keepNext/>
              <w:keepLines/>
            </w:pPr>
            <w:r w:rsidRPr="005A5612">
              <w:rPr>
                <w:lang w:val="es-ES_tradnl"/>
              </w:rPr>
              <w:t>Puntuación de erosión</w:t>
            </w:r>
          </w:p>
        </w:tc>
        <w:tc>
          <w:tcPr>
            <w:tcW w:w="2790" w:type="dxa"/>
          </w:tcPr>
          <w:p w14:paraId="51246521" w14:textId="77777777" w:rsidR="007927FC" w:rsidRPr="005A5612" w:rsidRDefault="007927FC" w:rsidP="00A50280">
            <w:pPr>
              <w:keepNext/>
              <w:keepLines/>
              <w:jc w:val="center"/>
              <w:rPr>
                <w:lang w:val="en-GB"/>
              </w:rPr>
            </w:pPr>
            <w:r w:rsidRPr="005A5612">
              <w:rPr>
                <w:lang w:val="en-GB"/>
              </w:rPr>
              <w:t>0,71</w:t>
            </w:r>
          </w:p>
        </w:tc>
        <w:tc>
          <w:tcPr>
            <w:tcW w:w="2610" w:type="dxa"/>
          </w:tcPr>
          <w:p w14:paraId="7C4887C3" w14:textId="77777777" w:rsidR="007927FC" w:rsidRPr="005A5612" w:rsidRDefault="007927FC" w:rsidP="00A50280">
            <w:pPr>
              <w:keepNext/>
              <w:keepLines/>
              <w:jc w:val="center"/>
              <w:rPr>
                <w:lang w:val="en-GB"/>
              </w:rPr>
            </w:pPr>
            <w:r w:rsidRPr="005A5612">
              <w:rPr>
                <w:lang w:val="en-GB"/>
              </w:rPr>
              <w:t>0,17*</w:t>
            </w:r>
          </w:p>
        </w:tc>
      </w:tr>
      <w:tr w:rsidR="007927FC" w:rsidRPr="005A5612" w14:paraId="1E8D5D9D" w14:textId="77777777" w:rsidTr="00FC7454">
        <w:tc>
          <w:tcPr>
            <w:tcW w:w="2358" w:type="dxa"/>
          </w:tcPr>
          <w:p w14:paraId="193B775E" w14:textId="77777777" w:rsidR="007927FC" w:rsidRPr="005A5612" w:rsidRDefault="007927FC" w:rsidP="00A50280">
            <w:pPr>
              <w:keepNext/>
              <w:keepLines/>
            </w:pPr>
            <w:r w:rsidRPr="005A5612">
              <w:rPr>
                <w:lang w:val="es-ES_tradnl"/>
              </w:rPr>
              <w:t>Puntuación de EEA</w:t>
            </w:r>
          </w:p>
        </w:tc>
        <w:tc>
          <w:tcPr>
            <w:tcW w:w="2790" w:type="dxa"/>
          </w:tcPr>
          <w:p w14:paraId="195F0959" w14:textId="77777777" w:rsidR="007927FC" w:rsidRPr="005A5612" w:rsidRDefault="007927FC" w:rsidP="00A50280">
            <w:pPr>
              <w:keepNext/>
              <w:keepLines/>
              <w:jc w:val="center"/>
              <w:rPr>
                <w:lang w:val="en-GB"/>
              </w:rPr>
            </w:pPr>
            <w:r w:rsidRPr="005A5612">
              <w:rPr>
                <w:lang w:val="en-GB"/>
              </w:rPr>
              <w:t>0,42</w:t>
            </w:r>
          </w:p>
        </w:tc>
        <w:tc>
          <w:tcPr>
            <w:tcW w:w="2610" w:type="dxa"/>
          </w:tcPr>
          <w:p w14:paraId="6DF657A6" w14:textId="77777777" w:rsidR="007927FC" w:rsidRPr="005A5612" w:rsidRDefault="007927FC" w:rsidP="00A50280">
            <w:pPr>
              <w:keepNext/>
              <w:keepLines/>
              <w:jc w:val="center"/>
              <w:rPr>
                <w:lang w:val="en-GB"/>
              </w:rPr>
            </w:pPr>
            <w:r w:rsidRPr="005A5612">
              <w:rPr>
                <w:lang w:val="en-GB"/>
              </w:rPr>
              <w:t>0,12**</w:t>
            </w:r>
          </w:p>
        </w:tc>
      </w:tr>
    </w:tbl>
    <w:p w14:paraId="304D0F80" w14:textId="77777777" w:rsidR="007927FC" w:rsidRPr="00A813E6" w:rsidRDefault="007927FC" w:rsidP="00A50280">
      <w:pPr>
        <w:keepNext/>
        <w:keepLines/>
        <w:rPr>
          <w:i/>
          <w:iCs/>
          <w:sz w:val="18"/>
          <w:szCs w:val="18"/>
          <w:lang w:val="es-ES_tradnl"/>
        </w:rPr>
      </w:pPr>
      <w:r w:rsidRPr="00A813E6">
        <w:rPr>
          <w:i/>
          <w:iCs/>
          <w:sz w:val="18"/>
          <w:szCs w:val="18"/>
          <w:lang w:val="es-ES_tradnl"/>
        </w:rPr>
        <w:t>PBO</w:t>
      </w:r>
      <w:r w:rsidRPr="00A813E6">
        <w:rPr>
          <w:i/>
          <w:iCs/>
          <w:sz w:val="18"/>
          <w:szCs w:val="18"/>
          <w:lang w:val="es-ES_tradnl"/>
        </w:rPr>
        <w:tab/>
        <w:t>-Placebo</w:t>
      </w:r>
    </w:p>
    <w:p w14:paraId="17587593" w14:textId="77777777" w:rsidR="007927FC" w:rsidRPr="00957CE0" w:rsidRDefault="007927FC" w:rsidP="00A50280">
      <w:pPr>
        <w:keepNext/>
        <w:keepLines/>
        <w:rPr>
          <w:sz w:val="18"/>
          <w:szCs w:val="18"/>
          <w:lang w:val="es-ES"/>
        </w:rPr>
      </w:pPr>
      <w:r w:rsidRPr="005447CB">
        <w:rPr>
          <w:i/>
          <w:iCs/>
          <w:sz w:val="18"/>
          <w:szCs w:val="18"/>
          <w:lang w:val="es-ES_tradnl"/>
        </w:rPr>
        <w:t>MTX</w:t>
      </w:r>
      <w:r w:rsidRPr="005447CB">
        <w:rPr>
          <w:i/>
          <w:iCs/>
          <w:sz w:val="18"/>
          <w:szCs w:val="18"/>
          <w:lang w:val="es-ES"/>
        </w:rPr>
        <w:tab/>
      </w:r>
      <w:r w:rsidRPr="00957CE0">
        <w:rPr>
          <w:i/>
          <w:iCs/>
          <w:sz w:val="18"/>
          <w:szCs w:val="18"/>
          <w:lang w:val="es-ES_tradnl"/>
        </w:rPr>
        <w:t>- Metotrexato</w:t>
      </w:r>
    </w:p>
    <w:p w14:paraId="37A3343C" w14:textId="77777777" w:rsidR="007927FC" w:rsidRPr="00957CE0" w:rsidRDefault="007927FC" w:rsidP="007927FC">
      <w:pPr>
        <w:rPr>
          <w:sz w:val="18"/>
          <w:szCs w:val="18"/>
          <w:lang w:val="es-ES"/>
        </w:rPr>
      </w:pPr>
      <w:r w:rsidRPr="00A813E6">
        <w:rPr>
          <w:i/>
          <w:iCs/>
          <w:sz w:val="18"/>
          <w:szCs w:val="18"/>
          <w:lang w:val="es-ES_tradnl"/>
        </w:rPr>
        <w:t>TCZ</w:t>
      </w:r>
      <w:r w:rsidRPr="005447CB">
        <w:rPr>
          <w:i/>
          <w:iCs/>
          <w:sz w:val="18"/>
          <w:szCs w:val="18"/>
          <w:lang w:val="es-ES"/>
        </w:rPr>
        <w:tab/>
      </w:r>
      <w:r w:rsidRPr="005447CB">
        <w:rPr>
          <w:i/>
          <w:iCs/>
          <w:sz w:val="18"/>
          <w:szCs w:val="18"/>
          <w:lang w:val="es-ES_tradnl"/>
        </w:rPr>
        <w:t>- Tocilizumab</w:t>
      </w:r>
    </w:p>
    <w:p w14:paraId="0B17C59B" w14:textId="77777777" w:rsidR="007927FC" w:rsidRPr="00957CE0" w:rsidRDefault="007927FC" w:rsidP="007927FC">
      <w:pPr>
        <w:rPr>
          <w:sz w:val="18"/>
          <w:szCs w:val="18"/>
          <w:lang w:val="es-ES"/>
        </w:rPr>
      </w:pPr>
      <w:r w:rsidRPr="00A813E6">
        <w:rPr>
          <w:i/>
          <w:iCs/>
          <w:sz w:val="18"/>
          <w:szCs w:val="18"/>
          <w:lang w:val="es-ES_tradnl"/>
        </w:rPr>
        <w:t>E</w:t>
      </w:r>
      <w:r w:rsidRPr="005447CB">
        <w:rPr>
          <w:i/>
          <w:iCs/>
          <w:sz w:val="18"/>
          <w:szCs w:val="18"/>
          <w:lang w:val="es-ES_tradnl"/>
        </w:rPr>
        <w:t>EA</w:t>
      </w:r>
      <w:r w:rsidRPr="005447CB">
        <w:rPr>
          <w:i/>
          <w:iCs/>
          <w:sz w:val="18"/>
          <w:szCs w:val="18"/>
          <w:lang w:val="es-ES"/>
        </w:rPr>
        <w:tab/>
      </w:r>
      <w:r w:rsidRPr="00957CE0">
        <w:rPr>
          <w:i/>
          <w:iCs/>
          <w:sz w:val="18"/>
          <w:szCs w:val="18"/>
          <w:lang w:val="es-ES_tradnl"/>
        </w:rPr>
        <w:t>- Estrechamiento del espacio articular</w:t>
      </w:r>
    </w:p>
    <w:p w14:paraId="2A047CB0" w14:textId="531A0A4C" w:rsidR="007927FC" w:rsidRPr="005447CB" w:rsidRDefault="007927FC" w:rsidP="007927FC">
      <w:pPr>
        <w:numPr>
          <w:ilvl w:val="12"/>
          <w:numId w:val="0"/>
        </w:numPr>
        <w:ind w:right="-2"/>
        <w:rPr>
          <w:i/>
          <w:iCs/>
          <w:sz w:val="18"/>
          <w:szCs w:val="18"/>
          <w:lang w:val="es-ES"/>
        </w:rPr>
      </w:pPr>
      <w:r w:rsidRPr="00A813E6">
        <w:rPr>
          <w:i/>
          <w:iCs/>
          <w:sz w:val="18"/>
          <w:szCs w:val="18"/>
          <w:lang w:val="es-ES"/>
        </w:rPr>
        <w:t>*</w:t>
      </w:r>
      <w:r w:rsidRPr="00A813E6">
        <w:rPr>
          <w:i/>
          <w:iCs/>
          <w:sz w:val="18"/>
          <w:szCs w:val="18"/>
          <w:lang w:val="es-ES"/>
        </w:rPr>
        <w:tab/>
      </w:r>
      <w:r w:rsidRPr="005447CB">
        <w:rPr>
          <w:i/>
          <w:iCs/>
          <w:sz w:val="18"/>
          <w:szCs w:val="18"/>
          <w:lang w:val="es-ES_tradnl"/>
        </w:rPr>
        <w:t>- p</w:t>
      </w:r>
      <w:r w:rsidR="00C8792E">
        <w:rPr>
          <w:i/>
          <w:iCs/>
          <w:sz w:val="18"/>
          <w:szCs w:val="18"/>
          <w:lang w:val="es-ES_tradnl"/>
        </w:rPr>
        <w:t> </w:t>
      </w:r>
      <w:r w:rsidRPr="005447CB">
        <w:rPr>
          <w:i/>
          <w:iCs/>
          <w:sz w:val="18"/>
          <w:szCs w:val="18"/>
          <w:lang w:val="es-ES_tradnl"/>
        </w:rPr>
        <w:t>≤</w:t>
      </w:r>
      <w:r w:rsidR="00C8792E">
        <w:rPr>
          <w:i/>
          <w:iCs/>
          <w:sz w:val="18"/>
          <w:szCs w:val="18"/>
          <w:lang w:val="es-ES_tradnl"/>
        </w:rPr>
        <w:t> </w:t>
      </w:r>
      <w:r w:rsidRPr="005447CB">
        <w:rPr>
          <w:i/>
          <w:iCs/>
          <w:sz w:val="18"/>
          <w:szCs w:val="18"/>
          <w:lang w:val="es-ES_tradnl"/>
        </w:rPr>
        <w:t>0,0001, TCZ vs PBO + MTX</w:t>
      </w:r>
    </w:p>
    <w:p w14:paraId="09303A51" w14:textId="76907F36" w:rsidR="007927FC" w:rsidRPr="00957CE0" w:rsidRDefault="007927FC" w:rsidP="007927FC">
      <w:pPr>
        <w:numPr>
          <w:ilvl w:val="12"/>
          <w:numId w:val="0"/>
        </w:numPr>
        <w:ind w:right="-2"/>
        <w:rPr>
          <w:i/>
          <w:iCs/>
          <w:sz w:val="18"/>
          <w:szCs w:val="18"/>
          <w:lang w:val="es-ES"/>
        </w:rPr>
      </w:pPr>
      <w:r w:rsidRPr="00957CE0">
        <w:rPr>
          <w:i/>
          <w:iCs/>
          <w:sz w:val="18"/>
          <w:szCs w:val="18"/>
          <w:lang w:val="es-ES"/>
        </w:rPr>
        <w:t xml:space="preserve">** </w:t>
      </w:r>
      <w:r w:rsidRPr="00957CE0">
        <w:rPr>
          <w:i/>
          <w:iCs/>
          <w:sz w:val="18"/>
          <w:szCs w:val="18"/>
          <w:lang w:val="es-ES"/>
        </w:rPr>
        <w:tab/>
      </w:r>
      <w:r w:rsidRPr="00957CE0">
        <w:rPr>
          <w:i/>
          <w:iCs/>
          <w:sz w:val="18"/>
          <w:szCs w:val="18"/>
          <w:lang w:val="es-ES_tradnl"/>
        </w:rPr>
        <w:t>- p</w:t>
      </w:r>
      <w:r w:rsidR="00C8792E">
        <w:rPr>
          <w:i/>
          <w:iCs/>
          <w:sz w:val="18"/>
          <w:szCs w:val="18"/>
          <w:lang w:val="es-ES_tradnl"/>
        </w:rPr>
        <w:t> </w:t>
      </w:r>
      <w:r w:rsidRPr="00957CE0">
        <w:rPr>
          <w:i/>
          <w:iCs/>
          <w:sz w:val="18"/>
          <w:szCs w:val="18"/>
          <w:lang w:val="es-ES_tradnl"/>
        </w:rPr>
        <w:t>&lt;</w:t>
      </w:r>
      <w:r w:rsidR="00C8792E">
        <w:rPr>
          <w:i/>
          <w:iCs/>
          <w:sz w:val="18"/>
          <w:szCs w:val="18"/>
          <w:lang w:val="es-ES_tradnl"/>
        </w:rPr>
        <w:t> </w:t>
      </w:r>
      <w:r w:rsidRPr="00957CE0">
        <w:rPr>
          <w:i/>
          <w:iCs/>
          <w:sz w:val="18"/>
          <w:szCs w:val="18"/>
          <w:lang w:val="es-ES_tradnl"/>
        </w:rPr>
        <w:t>0,005, TCZ vs PBO + MTX</w:t>
      </w:r>
    </w:p>
    <w:p w14:paraId="1A39E8C1" w14:textId="77777777" w:rsidR="007927FC" w:rsidRPr="008A106B" w:rsidRDefault="007927FC" w:rsidP="007927FC">
      <w:pPr>
        <w:rPr>
          <w:b/>
          <w:i/>
          <w:lang w:val="es-ES"/>
        </w:rPr>
      </w:pPr>
    </w:p>
    <w:p w14:paraId="3AA2F7D9" w14:textId="725793EC" w:rsidR="007927FC" w:rsidRPr="008A106B" w:rsidRDefault="007927FC" w:rsidP="007927FC">
      <w:pPr>
        <w:keepNext/>
        <w:keepLines/>
        <w:rPr>
          <w:lang w:val="es-ES"/>
        </w:rPr>
      </w:pPr>
      <w:r w:rsidRPr="008A106B">
        <w:rPr>
          <w:lang w:val="es-ES"/>
        </w:rPr>
        <w:t>Tras 1 año de tratamiento con tocilizumab más MTX, el 85</w:t>
      </w:r>
      <w:r w:rsidR="00DB5D62">
        <w:rPr>
          <w:lang w:val="es-ES"/>
        </w:rPr>
        <w:t> </w:t>
      </w:r>
      <w:r w:rsidRPr="008A106B">
        <w:rPr>
          <w:lang w:val="es-ES"/>
        </w:rPr>
        <w:t>% de los pacientes (n</w:t>
      </w:r>
      <w:ins w:id="351" w:author="AUTHOR">
        <w:r w:rsidR="003E29DD">
          <w:rPr>
            <w:lang w:val="es-ES"/>
          </w:rPr>
          <w:t> </w:t>
        </w:r>
      </w:ins>
      <w:r w:rsidRPr="008A106B">
        <w:rPr>
          <w:lang w:val="es-ES"/>
        </w:rPr>
        <w:t>=</w:t>
      </w:r>
      <w:ins w:id="352" w:author="AUTHOR">
        <w:r w:rsidR="003E29DD">
          <w:rPr>
            <w:lang w:val="es-ES"/>
          </w:rPr>
          <w:t> </w:t>
        </w:r>
      </w:ins>
      <w:r w:rsidRPr="008A106B">
        <w:rPr>
          <w:lang w:val="es-ES"/>
        </w:rPr>
        <w:t>348) no presentaron progresión del daño estructural, definido por un cambio en el índice total de Sharp de cero o menos, comparado con el 67</w:t>
      </w:r>
      <w:r w:rsidR="00DB5D62">
        <w:rPr>
          <w:lang w:val="es-ES"/>
        </w:rPr>
        <w:t> </w:t>
      </w:r>
      <w:r w:rsidRPr="008A106B">
        <w:rPr>
          <w:lang w:val="es-ES"/>
        </w:rPr>
        <w:t>% de los pacientes tratados con placebo más MTX (n</w:t>
      </w:r>
      <w:ins w:id="353" w:author="AUTHOR">
        <w:r w:rsidR="003E29DD">
          <w:rPr>
            <w:lang w:val="es-ES"/>
          </w:rPr>
          <w:t> </w:t>
        </w:r>
      </w:ins>
      <w:r w:rsidRPr="008A106B">
        <w:rPr>
          <w:lang w:val="es-ES"/>
        </w:rPr>
        <w:t>=</w:t>
      </w:r>
      <w:ins w:id="354" w:author="AUTHOR">
        <w:r w:rsidR="003E29DD">
          <w:rPr>
            <w:lang w:val="es-ES"/>
          </w:rPr>
          <w:t> </w:t>
        </w:r>
      </w:ins>
      <w:r w:rsidRPr="008A106B">
        <w:rPr>
          <w:lang w:val="es-ES"/>
        </w:rPr>
        <w:t>290) (p</w:t>
      </w:r>
      <w:r w:rsidR="00205482" w:rsidRPr="00F30AB8">
        <w:rPr>
          <w:szCs w:val="22"/>
          <w:lang w:val="es-ES"/>
        </w:rPr>
        <w:t> ≤ </w:t>
      </w:r>
      <w:r w:rsidRPr="008A106B">
        <w:rPr>
          <w:lang w:val="es-ES"/>
        </w:rPr>
        <w:t>0.</w:t>
      </w:r>
      <w:del w:id="355" w:author="AUTHOR">
        <w:r w:rsidRPr="008A106B" w:rsidDel="005F62DB">
          <w:rPr>
            <w:lang w:val="es-ES"/>
          </w:rPr>
          <w:delText>0</w:delText>
        </w:r>
      </w:del>
      <w:r w:rsidRPr="008A106B">
        <w:rPr>
          <w:lang w:val="es-ES"/>
        </w:rPr>
        <w:t>001). Esto se mantuvo consistente tras 2</w:t>
      </w:r>
      <w:r w:rsidR="00DB5D62">
        <w:rPr>
          <w:lang w:val="es-ES"/>
        </w:rPr>
        <w:t> </w:t>
      </w:r>
      <w:r w:rsidRPr="008A106B">
        <w:rPr>
          <w:lang w:val="es-ES"/>
        </w:rPr>
        <w:t>años de tratamiento (83</w:t>
      </w:r>
      <w:r w:rsidR="00DB5D62">
        <w:rPr>
          <w:lang w:val="es-ES"/>
        </w:rPr>
        <w:t> </w:t>
      </w:r>
      <w:r w:rsidRPr="008A106B">
        <w:rPr>
          <w:lang w:val="es-ES"/>
        </w:rPr>
        <w:t>%; n</w:t>
      </w:r>
      <w:ins w:id="356" w:author="AUTHOR">
        <w:r w:rsidR="003E29DD">
          <w:rPr>
            <w:lang w:val="es-ES"/>
          </w:rPr>
          <w:t> </w:t>
        </w:r>
      </w:ins>
      <w:proofErr w:type="gramStart"/>
      <w:r w:rsidRPr="008A106B">
        <w:rPr>
          <w:lang w:val="es-ES"/>
        </w:rPr>
        <w:t xml:space="preserve">= </w:t>
      </w:r>
      <w:ins w:id="357" w:author="AUTHOR">
        <w:r w:rsidR="003E29DD">
          <w:rPr>
            <w:lang w:val="es-ES"/>
          </w:rPr>
          <w:t> </w:t>
        </w:r>
      </w:ins>
      <w:r w:rsidRPr="008A106B">
        <w:rPr>
          <w:lang w:val="es-ES"/>
        </w:rPr>
        <w:t>353</w:t>
      </w:r>
      <w:proofErr w:type="gramEnd"/>
      <w:r w:rsidRPr="008A106B">
        <w:rPr>
          <w:lang w:val="es-ES"/>
        </w:rPr>
        <w:t>). El noventa y tres por ciento (93</w:t>
      </w:r>
      <w:r w:rsidR="00B31C28">
        <w:rPr>
          <w:lang w:val="es-ES"/>
        </w:rPr>
        <w:t xml:space="preserve"> </w:t>
      </w:r>
      <w:r w:rsidRPr="008A106B">
        <w:rPr>
          <w:lang w:val="es-ES"/>
        </w:rPr>
        <w:t>%; n</w:t>
      </w:r>
      <w:ins w:id="358" w:author="AUTHOR">
        <w:r w:rsidR="003E29DD">
          <w:rPr>
            <w:lang w:val="es-ES"/>
          </w:rPr>
          <w:t> </w:t>
        </w:r>
      </w:ins>
      <w:r w:rsidRPr="008A106B">
        <w:rPr>
          <w:lang w:val="es-ES"/>
        </w:rPr>
        <w:t>=</w:t>
      </w:r>
      <w:ins w:id="359" w:author="AUTHOR">
        <w:r w:rsidR="003E29DD">
          <w:rPr>
            <w:lang w:val="es-ES"/>
          </w:rPr>
          <w:t> </w:t>
        </w:r>
      </w:ins>
      <w:r w:rsidRPr="008A106B">
        <w:rPr>
          <w:lang w:val="es-ES"/>
        </w:rPr>
        <w:t>271) de los pacientes no presentaron progresión entre la semana 52</w:t>
      </w:r>
      <w:r w:rsidR="00DB5D62">
        <w:rPr>
          <w:lang w:val="es-ES"/>
        </w:rPr>
        <w:t> </w:t>
      </w:r>
      <w:r w:rsidRPr="008A106B">
        <w:rPr>
          <w:lang w:val="es-ES"/>
        </w:rPr>
        <w:t>y la semana</w:t>
      </w:r>
      <w:r w:rsidR="00DB5D62">
        <w:rPr>
          <w:lang w:val="es-ES"/>
        </w:rPr>
        <w:t> </w:t>
      </w:r>
      <w:r w:rsidRPr="008A106B">
        <w:rPr>
          <w:lang w:val="es-ES"/>
        </w:rPr>
        <w:t>104.</w:t>
      </w:r>
    </w:p>
    <w:p w14:paraId="190B2177" w14:textId="77777777" w:rsidR="007927FC" w:rsidRPr="008A106B" w:rsidRDefault="007927FC" w:rsidP="007927FC">
      <w:pPr>
        <w:rPr>
          <w:lang w:val="es-ES"/>
        </w:rPr>
      </w:pPr>
    </w:p>
    <w:p w14:paraId="5B0F9FB4" w14:textId="77777777" w:rsidR="007927FC" w:rsidRPr="008A106B" w:rsidRDefault="007927FC" w:rsidP="007927FC">
      <w:pPr>
        <w:rPr>
          <w:i/>
          <w:iCs/>
          <w:lang w:val="es-ES"/>
        </w:rPr>
      </w:pPr>
      <w:r w:rsidRPr="008A106B">
        <w:rPr>
          <w:i/>
          <w:iCs/>
          <w:lang w:val="es-ES_tradnl"/>
        </w:rPr>
        <w:t>Resultados relacionados con la salud y la calidad de vida</w:t>
      </w:r>
    </w:p>
    <w:p w14:paraId="016EB58E" w14:textId="0144CBA4" w:rsidR="007927FC" w:rsidRPr="008A106B" w:rsidRDefault="007927FC" w:rsidP="007927FC">
      <w:pPr>
        <w:rPr>
          <w:lang w:val="es-ES"/>
        </w:rPr>
      </w:pPr>
      <w:r w:rsidRPr="008A106B">
        <w:rPr>
          <w:lang w:val="es-ES_tradnl"/>
        </w:rPr>
        <w:t>Los pacientes tratados con tocilizumab comunicaron una mejora en todos los resultados notificados (Cuestionario de evaluación de la salud. Índice de Discapacidad (HAQ-DI), Formulario corto 36 (SF-36) y Evaluación funcional del tratamiento de enfermedades crónicas.</w:t>
      </w:r>
      <w:r w:rsidRPr="008A106B">
        <w:rPr>
          <w:lang w:val="es-ES"/>
        </w:rPr>
        <w:t xml:space="preserve"> </w:t>
      </w:r>
      <w:r w:rsidRPr="008A106B">
        <w:rPr>
          <w:lang w:val="es-ES_tradnl"/>
        </w:rPr>
        <w:t xml:space="preserve">Se observaron mejoras estadísticamente significativas en las puntuaciones deHAQ-DI en pacientes tratados con </w:t>
      </w:r>
      <w:r w:rsidR="00DB5D62">
        <w:rPr>
          <w:lang w:val="es-ES_tradnl"/>
        </w:rPr>
        <w:t>tocilizumab</w:t>
      </w:r>
      <w:r w:rsidR="00DB5D62" w:rsidRPr="008A106B">
        <w:rPr>
          <w:lang w:val="es-ES_tradnl"/>
        </w:rPr>
        <w:t xml:space="preserve"> </w:t>
      </w:r>
      <w:r w:rsidRPr="008A106B">
        <w:rPr>
          <w:lang w:val="es-ES_tradnl"/>
        </w:rPr>
        <w:t xml:space="preserve">en comparación con los pacientes tratados con FAMEs. Durante el periodo abierto del </w:t>
      </w:r>
      <w:del w:id="360" w:author="AUTHOR">
        <w:r w:rsidRPr="008A106B" w:rsidDel="006C4AF1">
          <w:rPr>
            <w:lang w:val="es-ES_tradnl"/>
          </w:rPr>
          <w:delText xml:space="preserve">estudio </w:delText>
        </w:r>
      </w:del>
      <w:ins w:id="361" w:author="AUTHOR">
        <w:r w:rsidR="006C4AF1">
          <w:rPr>
            <w:lang w:val="es-ES_tradnl"/>
          </w:rPr>
          <w:t>ensayo</w:t>
        </w:r>
        <w:r w:rsidR="006C4AF1" w:rsidRPr="008A106B">
          <w:rPr>
            <w:lang w:val="es-ES_tradnl"/>
          </w:rPr>
          <w:t xml:space="preserve"> </w:t>
        </w:r>
      </w:ins>
      <w:r w:rsidRPr="008A106B">
        <w:rPr>
          <w:lang w:val="es-ES_tradnl"/>
        </w:rPr>
        <w:t>II, la mejora de la función física se ha mantenido hasta los 2</w:t>
      </w:r>
      <w:r w:rsidR="00DB5D62">
        <w:rPr>
          <w:lang w:val="es-ES_tradnl"/>
        </w:rPr>
        <w:t> </w:t>
      </w:r>
      <w:r w:rsidRPr="008A106B">
        <w:rPr>
          <w:lang w:val="es-ES_tradnl"/>
        </w:rPr>
        <w:t>años. En la semana</w:t>
      </w:r>
      <w:r w:rsidR="00DB5D62">
        <w:rPr>
          <w:lang w:val="es-ES_tradnl"/>
        </w:rPr>
        <w:t> </w:t>
      </w:r>
      <w:r w:rsidRPr="008A106B">
        <w:rPr>
          <w:lang w:val="es-ES_tradnl"/>
        </w:rPr>
        <w:t>52, el cambio medio en HAQ-DI fue de -0</w:t>
      </w:r>
      <w:r w:rsidR="00B31C28">
        <w:rPr>
          <w:lang w:val="es-ES_tradnl"/>
        </w:rPr>
        <w:t>,</w:t>
      </w:r>
      <w:r w:rsidRPr="008A106B">
        <w:rPr>
          <w:lang w:val="es-ES_tradnl"/>
        </w:rPr>
        <w:t>58 en el grupo de tocilizumab 8mg/kg más MTX comparado con -0</w:t>
      </w:r>
      <w:r w:rsidR="00B31C28">
        <w:rPr>
          <w:lang w:val="es-ES_tradnl"/>
        </w:rPr>
        <w:t>,</w:t>
      </w:r>
      <w:r w:rsidRPr="008A106B">
        <w:rPr>
          <w:lang w:val="es-ES_tradnl"/>
        </w:rPr>
        <w:t>39 del grupo placebo más MTX.</w:t>
      </w:r>
      <w:r w:rsidRPr="008A106B">
        <w:rPr>
          <w:lang w:val="es-ES"/>
        </w:rPr>
        <w:t xml:space="preserve"> El cambio medio en HAQ-DI se mantuvo a la </w:t>
      </w:r>
      <w:proofErr w:type="gramStart"/>
      <w:r w:rsidRPr="008A106B">
        <w:rPr>
          <w:lang w:val="es-ES"/>
        </w:rPr>
        <w:t>semana</w:t>
      </w:r>
      <w:r w:rsidR="00205482" w:rsidRPr="00F30AB8">
        <w:rPr>
          <w:rFonts w:eastAsia="MS Mincho"/>
          <w:szCs w:val="22"/>
          <w:lang w:val="es-ES"/>
        </w:rPr>
        <w:t> </w:t>
      </w:r>
      <w:r w:rsidR="00205482" w:rsidRPr="008A106B" w:rsidDel="00205482">
        <w:rPr>
          <w:lang w:val="es-ES"/>
        </w:rPr>
        <w:t xml:space="preserve"> </w:t>
      </w:r>
      <w:r w:rsidRPr="008A106B">
        <w:rPr>
          <w:lang w:val="es-ES"/>
        </w:rPr>
        <w:t>104</w:t>
      </w:r>
      <w:proofErr w:type="gramEnd"/>
      <w:r w:rsidRPr="008A106B">
        <w:rPr>
          <w:lang w:val="es-ES"/>
        </w:rPr>
        <w:t xml:space="preserve"> en el grupo tocilizumab 8 mg/kg más MTX (-0</w:t>
      </w:r>
      <w:r w:rsidR="00B31C28">
        <w:rPr>
          <w:lang w:val="es-ES"/>
        </w:rPr>
        <w:t>,</w:t>
      </w:r>
      <w:r w:rsidRPr="008A106B">
        <w:rPr>
          <w:lang w:val="es-ES"/>
        </w:rPr>
        <w:t>61).</w:t>
      </w:r>
    </w:p>
    <w:p w14:paraId="0F37B10D" w14:textId="77777777" w:rsidR="007927FC" w:rsidRPr="008A106B" w:rsidRDefault="007927FC" w:rsidP="007927FC">
      <w:pPr>
        <w:numPr>
          <w:ilvl w:val="12"/>
          <w:numId w:val="0"/>
        </w:numPr>
        <w:ind w:right="-2"/>
        <w:rPr>
          <w:i/>
          <w:sz w:val="18"/>
          <w:szCs w:val="18"/>
          <w:lang w:val="es-ES"/>
        </w:rPr>
      </w:pPr>
    </w:p>
    <w:p w14:paraId="668FF67F" w14:textId="77777777" w:rsidR="007927FC" w:rsidRPr="008A106B" w:rsidRDefault="007927FC">
      <w:pPr>
        <w:keepNext/>
        <w:numPr>
          <w:ilvl w:val="12"/>
          <w:numId w:val="0"/>
        </w:numPr>
        <w:rPr>
          <w:lang w:val="es-ES"/>
        </w:rPr>
        <w:pPrChange w:id="362" w:author="AUTHOR">
          <w:pPr>
            <w:keepNext/>
            <w:numPr>
              <w:ilvl w:val="12"/>
            </w:numPr>
            <w:ind w:firstLine="561"/>
          </w:pPr>
        </w:pPrChange>
      </w:pPr>
      <w:r w:rsidRPr="008A106B">
        <w:rPr>
          <w:i/>
          <w:iCs/>
          <w:lang w:val="es-ES_tradnl"/>
        </w:rPr>
        <w:t>Niveles de hemoglobina</w:t>
      </w:r>
      <w:r w:rsidRPr="008A106B">
        <w:rPr>
          <w:i/>
          <w:iCs/>
          <w:lang w:val="es-ES"/>
        </w:rPr>
        <w:t xml:space="preserve"> </w:t>
      </w:r>
    </w:p>
    <w:p w14:paraId="3BF04303" w14:textId="62E6ACB9" w:rsidR="007927FC" w:rsidRPr="008A106B" w:rsidRDefault="007927FC" w:rsidP="007927FC">
      <w:pPr>
        <w:numPr>
          <w:ilvl w:val="12"/>
          <w:numId w:val="0"/>
        </w:numPr>
        <w:ind w:right="-2"/>
        <w:rPr>
          <w:lang w:val="es-ES"/>
        </w:rPr>
      </w:pPr>
      <w:r w:rsidRPr="008A106B">
        <w:rPr>
          <w:lang w:val="es-ES_tradnl"/>
        </w:rPr>
        <w:t>Se observaron mejoras estadísticamente significativas en los niveles de hemoglobina con tocilizumab en comparación con los FAMEs (p &lt; 0,0001) en la semana</w:t>
      </w:r>
      <w:r w:rsidR="00DB5D62">
        <w:rPr>
          <w:lang w:val="es-ES_tradnl"/>
        </w:rPr>
        <w:t> </w:t>
      </w:r>
      <w:r w:rsidRPr="008A106B">
        <w:rPr>
          <w:lang w:val="es-ES_tradnl"/>
        </w:rPr>
        <w:t>24. Los niveles medios de hemoglobina aumentaron la semana 2 y permanecieron dentro del intervalo normal hasta la semana</w:t>
      </w:r>
      <w:r w:rsidR="00DB5D62">
        <w:rPr>
          <w:lang w:val="es-ES_tradnl"/>
        </w:rPr>
        <w:t> </w:t>
      </w:r>
      <w:r w:rsidRPr="008A106B">
        <w:rPr>
          <w:lang w:val="es-ES_tradnl"/>
        </w:rPr>
        <w:t>24.</w:t>
      </w:r>
      <w:r w:rsidRPr="008A106B">
        <w:rPr>
          <w:lang w:val="es-ES"/>
        </w:rPr>
        <w:t xml:space="preserve"> </w:t>
      </w:r>
    </w:p>
    <w:p w14:paraId="0B479638" w14:textId="77777777" w:rsidR="007927FC" w:rsidRPr="008A106B" w:rsidRDefault="007927FC" w:rsidP="007927FC">
      <w:pPr>
        <w:rPr>
          <w:i/>
          <w:lang w:val="es-ES"/>
        </w:rPr>
      </w:pPr>
    </w:p>
    <w:p w14:paraId="545AAACC" w14:textId="77777777" w:rsidR="007927FC" w:rsidRPr="008A106B" w:rsidRDefault="007927FC">
      <w:pPr>
        <w:rPr>
          <w:i/>
          <w:lang w:val="es-ES"/>
        </w:rPr>
        <w:pPrChange w:id="363" w:author="AUTHOR">
          <w:pPr>
            <w:ind w:firstLine="561"/>
          </w:pPr>
        </w:pPrChange>
      </w:pPr>
      <w:r w:rsidRPr="008A106B">
        <w:rPr>
          <w:i/>
          <w:lang w:val="es-ES"/>
        </w:rPr>
        <w:t>Tocilizumab versus adalimumab en monoterapia</w:t>
      </w:r>
    </w:p>
    <w:p w14:paraId="355746C0" w14:textId="24372C90" w:rsidR="007927FC" w:rsidRPr="008A106B" w:rsidRDefault="007927FC" w:rsidP="007927FC">
      <w:pPr>
        <w:rPr>
          <w:lang w:val="es-ES"/>
        </w:rPr>
      </w:pPr>
      <w:r w:rsidRPr="008A106B">
        <w:rPr>
          <w:lang w:val="es-ES"/>
        </w:rPr>
        <w:t>E</w:t>
      </w:r>
      <w:r w:rsidR="004B6325">
        <w:rPr>
          <w:lang w:val="es-ES"/>
        </w:rPr>
        <w:t>n e</w:t>
      </w:r>
      <w:r w:rsidRPr="008A106B">
        <w:rPr>
          <w:lang w:val="es-ES"/>
        </w:rPr>
        <w:t xml:space="preserve">l ensayo </w:t>
      </w:r>
      <w:r w:rsidR="00170812">
        <w:rPr>
          <w:lang w:val="es-ES"/>
        </w:rPr>
        <w:t>VI (</w:t>
      </w:r>
      <w:r w:rsidRPr="008A106B">
        <w:rPr>
          <w:lang w:val="es-ES"/>
        </w:rPr>
        <w:t>WA19924</w:t>
      </w:r>
      <w:r w:rsidR="00170812">
        <w:rPr>
          <w:lang w:val="es-ES"/>
        </w:rPr>
        <w:t>)</w:t>
      </w:r>
      <w:r w:rsidRPr="008A106B">
        <w:rPr>
          <w:lang w:val="es-ES"/>
        </w:rPr>
        <w:t>, un ensayo doble ciego de 24</w:t>
      </w:r>
      <w:r w:rsidR="004B4C32">
        <w:rPr>
          <w:lang w:val="es-ES"/>
        </w:rPr>
        <w:t> </w:t>
      </w:r>
      <w:r w:rsidRPr="008A106B">
        <w:rPr>
          <w:lang w:val="es-ES"/>
        </w:rPr>
        <w:t>semanas que comparó tocilizumab en monoterapia con adalimumab en monoterapia,</w:t>
      </w:r>
      <w:r w:rsidR="00897B40">
        <w:rPr>
          <w:lang w:val="es-ES"/>
        </w:rPr>
        <w:t xml:space="preserve"> </w:t>
      </w:r>
      <w:r w:rsidRPr="008A106B">
        <w:rPr>
          <w:lang w:val="es-ES"/>
        </w:rPr>
        <w:t>se evaluó a 326</w:t>
      </w:r>
      <w:r w:rsidR="004B4C32">
        <w:rPr>
          <w:lang w:val="es-ES"/>
        </w:rPr>
        <w:t> </w:t>
      </w:r>
      <w:r w:rsidRPr="008A106B">
        <w:rPr>
          <w:lang w:val="es-ES"/>
        </w:rPr>
        <w:t xml:space="preserve">pacientes con AR que eran intolerantes a MTX o dónde el tratamiento continuado con MTX se consideraba inapropiado (incluyendo respondedores inadecuados a MTX). Los pacientes en el </w:t>
      </w:r>
      <w:del w:id="364" w:author="AUTHOR">
        <w:r w:rsidRPr="008A106B" w:rsidDel="004E273B">
          <w:rPr>
            <w:lang w:val="es-ES"/>
          </w:rPr>
          <w:delText>brazo</w:delText>
        </w:r>
      </w:del>
      <w:ins w:id="365" w:author="AUTHOR">
        <w:r w:rsidR="004E273B">
          <w:rPr>
            <w:lang w:val="es-ES"/>
          </w:rPr>
          <w:t>grupo</w:t>
        </w:r>
      </w:ins>
      <w:r w:rsidRPr="008A106B">
        <w:rPr>
          <w:lang w:val="es-ES"/>
        </w:rPr>
        <w:t xml:space="preserve"> de tocilizumab recibieron una perfusión intravenosa de tocilizumab (8</w:t>
      </w:r>
      <w:r w:rsidR="004B4C32">
        <w:rPr>
          <w:lang w:val="es-ES"/>
        </w:rPr>
        <w:t> </w:t>
      </w:r>
      <w:r w:rsidRPr="008A106B">
        <w:rPr>
          <w:lang w:val="es-ES"/>
        </w:rPr>
        <w:t>mg/kg) cada 4</w:t>
      </w:r>
      <w:r w:rsidR="004B4C32">
        <w:rPr>
          <w:lang w:val="es-ES"/>
        </w:rPr>
        <w:t> </w:t>
      </w:r>
      <w:r w:rsidRPr="008A106B">
        <w:rPr>
          <w:lang w:val="es-ES"/>
        </w:rPr>
        <w:t>semanas (q4w) y una inyección subcutánea de placebo cada 2</w:t>
      </w:r>
      <w:r w:rsidR="004B4C32">
        <w:rPr>
          <w:lang w:val="es-ES"/>
        </w:rPr>
        <w:t> </w:t>
      </w:r>
      <w:r w:rsidRPr="008A106B">
        <w:rPr>
          <w:lang w:val="es-ES"/>
        </w:rPr>
        <w:t xml:space="preserve">semanas (q2w). Los pacientes en el </w:t>
      </w:r>
      <w:del w:id="366" w:author="AUTHOR">
        <w:r w:rsidRPr="008A106B" w:rsidDel="004E273B">
          <w:rPr>
            <w:lang w:val="es-ES"/>
          </w:rPr>
          <w:delText>brazo</w:delText>
        </w:r>
      </w:del>
      <w:ins w:id="367" w:author="AUTHOR">
        <w:r w:rsidR="004E273B">
          <w:rPr>
            <w:lang w:val="es-ES"/>
          </w:rPr>
          <w:t>grupo</w:t>
        </w:r>
      </w:ins>
      <w:r w:rsidRPr="008A106B">
        <w:rPr>
          <w:lang w:val="es-ES"/>
        </w:rPr>
        <w:t xml:space="preserve"> de adalimumab recibieron una inyección </w:t>
      </w:r>
      <w:r w:rsidR="00F86D48" w:rsidRPr="008A106B">
        <w:rPr>
          <w:lang w:val="es-ES"/>
        </w:rPr>
        <w:t>subcutánea</w:t>
      </w:r>
      <w:r w:rsidR="00F86D48" w:rsidRPr="008A106B" w:rsidDel="00F86D48">
        <w:rPr>
          <w:lang w:val="es-ES"/>
        </w:rPr>
        <w:t xml:space="preserve"> </w:t>
      </w:r>
      <w:r w:rsidRPr="008A106B">
        <w:rPr>
          <w:lang w:val="es-ES"/>
        </w:rPr>
        <w:t>de adalimumab (40 mg) cada 2</w:t>
      </w:r>
      <w:r w:rsidR="00F86D48">
        <w:rPr>
          <w:lang w:val="es-ES"/>
        </w:rPr>
        <w:t> </w:t>
      </w:r>
      <w:r w:rsidRPr="008A106B">
        <w:rPr>
          <w:lang w:val="es-ES"/>
        </w:rPr>
        <w:t xml:space="preserve">semanas (q2w) más una perfusión </w:t>
      </w:r>
      <w:r w:rsidR="00F86D48" w:rsidRPr="008A106B">
        <w:rPr>
          <w:lang w:val="es-ES"/>
        </w:rPr>
        <w:t>intravenosa</w:t>
      </w:r>
      <w:r w:rsidR="00F86D48" w:rsidRPr="008A106B" w:rsidDel="00F86D48">
        <w:rPr>
          <w:lang w:val="es-ES"/>
        </w:rPr>
        <w:t xml:space="preserve"> </w:t>
      </w:r>
      <w:r w:rsidRPr="008A106B">
        <w:rPr>
          <w:lang w:val="es-ES"/>
        </w:rPr>
        <w:t>de placebo cada 4</w:t>
      </w:r>
      <w:r w:rsidR="00F86D48">
        <w:rPr>
          <w:lang w:val="es-ES"/>
        </w:rPr>
        <w:t> </w:t>
      </w:r>
      <w:r w:rsidRPr="008A106B">
        <w:rPr>
          <w:lang w:val="es-ES"/>
        </w:rPr>
        <w:t>semanas (q4w).</w:t>
      </w:r>
    </w:p>
    <w:p w14:paraId="70420A24" w14:textId="1374DF0B" w:rsidR="007927FC" w:rsidRPr="008A106B" w:rsidRDefault="007927FC" w:rsidP="007927FC">
      <w:pPr>
        <w:rPr>
          <w:lang w:val="es-ES"/>
        </w:rPr>
      </w:pPr>
      <w:r w:rsidRPr="008A106B">
        <w:rPr>
          <w:lang w:val="es-ES"/>
        </w:rPr>
        <w:t>Se observó un efecto de tratamiento superior, estadísticamente significativo de tocilizumab sobre adalimumab, en el control de la actividad de la enfermedad, desde el valor basal a la semana</w:t>
      </w:r>
      <w:r w:rsidR="00F86D48">
        <w:rPr>
          <w:lang w:val="es-ES"/>
        </w:rPr>
        <w:t> </w:t>
      </w:r>
      <w:r w:rsidRPr="008A106B">
        <w:rPr>
          <w:lang w:val="es-ES"/>
        </w:rPr>
        <w:t xml:space="preserve">24, para la variable </w:t>
      </w:r>
      <w:ins w:id="368" w:author="AUTHOR">
        <w:r w:rsidR="00613A5B">
          <w:rPr>
            <w:lang w:val="es-ES"/>
          </w:rPr>
          <w:t>principal</w:t>
        </w:r>
      </w:ins>
      <w:del w:id="369" w:author="AUTHOR">
        <w:r w:rsidRPr="008A106B" w:rsidDel="00613A5B">
          <w:rPr>
            <w:lang w:val="es-ES"/>
          </w:rPr>
          <w:delText>primaria</w:delText>
        </w:r>
      </w:del>
      <w:r w:rsidRPr="008A106B">
        <w:rPr>
          <w:lang w:val="es-ES"/>
        </w:rPr>
        <w:t xml:space="preserve"> cambio en DAS28 y para todas las variables secundarias (</w:t>
      </w:r>
      <w:r w:rsidR="00852BE8">
        <w:rPr>
          <w:lang w:val="es-ES"/>
        </w:rPr>
        <w:t xml:space="preserve">ver </w:t>
      </w:r>
      <w:r w:rsidRPr="008A106B">
        <w:rPr>
          <w:lang w:val="es-ES"/>
        </w:rPr>
        <w:t>Tabla</w:t>
      </w:r>
      <w:r w:rsidR="00F86D48">
        <w:rPr>
          <w:lang w:val="es-ES"/>
        </w:rPr>
        <w:t> </w:t>
      </w:r>
      <w:r w:rsidR="0085789E">
        <w:rPr>
          <w:lang w:val="es-ES"/>
        </w:rPr>
        <w:t>6</w:t>
      </w:r>
      <w:r w:rsidRPr="008A106B">
        <w:rPr>
          <w:lang w:val="es-ES"/>
        </w:rPr>
        <w:t>).</w:t>
      </w:r>
    </w:p>
    <w:p w14:paraId="308BF17A" w14:textId="77777777" w:rsidR="007927FC" w:rsidRPr="008A106B" w:rsidRDefault="007927FC" w:rsidP="007927FC">
      <w:pPr>
        <w:numPr>
          <w:ilvl w:val="12"/>
          <w:numId w:val="0"/>
        </w:numPr>
        <w:ind w:right="-2"/>
        <w:rPr>
          <w:lang w:val="es-ES"/>
        </w:rPr>
      </w:pPr>
    </w:p>
    <w:p w14:paraId="03BBAC77" w14:textId="77777777" w:rsidR="007927FC" w:rsidRDefault="007927FC" w:rsidP="007927FC">
      <w:pPr>
        <w:keepNext/>
        <w:keepLines/>
        <w:rPr>
          <w:bCs/>
          <w:i/>
          <w:lang w:val="es-ES"/>
        </w:rPr>
      </w:pPr>
      <w:r w:rsidRPr="008A106B">
        <w:rPr>
          <w:i/>
          <w:lang w:val="es-ES"/>
        </w:rPr>
        <w:t>Tabla</w:t>
      </w:r>
      <w:r w:rsidR="00C72A99">
        <w:rPr>
          <w:i/>
          <w:lang w:val="es-ES"/>
        </w:rPr>
        <w:t xml:space="preserve"> </w:t>
      </w:r>
      <w:r w:rsidR="0085789E">
        <w:rPr>
          <w:i/>
          <w:lang w:val="es-ES"/>
        </w:rPr>
        <w:t>6</w:t>
      </w:r>
      <w:r w:rsidRPr="008A106B">
        <w:rPr>
          <w:i/>
          <w:lang w:val="es-ES"/>
        </w:rPr>
        <w:t xml:space="preserve">: Resultados de eficacia para el ensayo </w:t>
      </w:r>
      <w:r w:rsidR="00170812">
        <w:rPr>
          <w:i/>
          <w:lang w:val="es-ES"/>
        </w:rPr>
        <w:t>VI (</w:t>
      </w:r>
      <w:r w:rsidRPr="008A106B">
        <w:rPr>
          <w:bCs/>
          <w:i/>
          <w:lang w:val="es-ES"/>
        </w:rPr>
        <w:t>WA19924</w:t>
      </w:r>
      <w:r w:rsidR="00170812">
        <w:rPr>
          <w:bCs/>
          <w:i/>
          <w:lang w:val="es-ES"/>
        </w:rPr>
        <w:t>)</w:t>
      </w:r>
    </w:p>
    <w:p w14:paraId="51D40E39" w14:textId="77777777" w:rsidR="00D615B3" w:rsidRPr="008A106B" w:rsidRDefault="00D615B3" w:rsidP="007927FC">
      <w:pPr>
        <w:keepNext/>
        <w:keepLines/>
        <w:rPr>
          <w:bCs/>
          <w:i/>
          <w:lang w:val="es-ES"/>
        </w:rPr>
      </w:pPr>
    </w:p>
    <w:tbl>
      <w:tblPr>
        <w:tblW w:w="7951" w:type="dxa"/>
        <w:tblInd w:w="57" w:type="dxa"/>
        <w:tblLayout w:type="fixed"/>
        <w:tblCellMar>
          <w:left w:w="0" w:type="dxa"/>
          <w:right w:w="0" w:type="dxa"/>
        </w:tblCellMar>
        <w:tblLook w:val="04A0" w:firstRow="1" w:lastRow="0" w:firstColumn="1" w:lastColumn="0" w:noHBand="0" w:noVBand="1"/>
      </w:tblPr>
      <w:tblGrid>
        <w:gridCol w:w="3351"/>
        <w:gridCol w:w="1610"/>
        <w:gridCol w:w="1701"/>
        <w:gridCol w:w="1275"/>
        <w:gridCol w:w="14"/>
      </w:tblGrid>
      <w:tr w:rsidR="007927FC" w:rsidRPr="008A106B" w14:paraId="1212145D" w14:textId="77777777" w:rsidTr="001F7A68">
        <w:trPr>
          <w:gridAfter w:val="1"/>
          <w:wAfter w:w="14" w:type="dxa"/>
          <w:cantSplit/>
        </w:trPr>
        <w:tc>
          <w:tcPr>
            <w:tcW w:w="335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F327500" w14:textId="77777777" w:rsidR="007927FC" w:rsidRPr="005A5612" w:rsidRDefault="007927FC" w:rsidP="00FC7454">
            <w:pPr>
              <w:keepNext/>
              <w:keepLines/>
              <w:rPr>
                <w:sz w:val="20"/>
                <w:lang w:val="es-ES" w:eastAsia="zh-TW"/>
              </w:rPr>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5DBF681A" w14:textId="77777777" w:rsidR="007927FC" w:rsidRPr="008A106B" w:rsidRDefault="007927FC" w:rsidP="00FC7454">
            <w:pPr>
              <w:keepNext/>
              <w:keepLines/>
              <w:spacing w:before="50" w:after="50" w:line="240" w:lineRule="exact"/>
              <w:jc w:val="center"/>
              <w:rPr>
                <w:rFonts w:eastAsia="SimSun"/>
                <w:b/>
                <w:sz w:val="16"/>
                <w:lang w:eastAsia="zh-CN"/>
              </w:rPr>
            </w:pPr>
            <w:r w:rsidRPr="008A106B">
              <w:rPr>
                <w:rFonts w:eastAsia="SimSun"/>
                <w:b/>
                <w:sz w:val="16"/>
                <w:lang w:eastAsia="zh-CN"/>
              </w:rPr>
              <w:t>ADA + Placebo (IV)</w:t>
            </w:r>
          </w:p>
          <w:p w14:paraId="130984E4" w14:textId="7ECD0AFD" w:rsidR="007927FC" w:rsidRPr="008A106B" w:rsidRDefault="007927FC" w:rsidP="00FC7454">
            <w:pPr>
              <w:keepNext/>
              <w:keepLines/>
              <w:spacing w:before="50" w:after="50" w:line="240" w:lineRule="exact"/>
              <w:jc w:val="center"/>
              <w:rPr>
                <w:rFonts w:eastAsia="SimSun"/>
                <w:b/>
                <w:sz w:val="16"/>
                <w:lang w:eastAsia="zh-CN"/>
              </w:rPr>
            </w:pPr>
            <w:del w:id="370" w:author="AUTHOR">
              <w:r w:rsidRPr="008A106B" w:rsidDel="003E29DD">
                <w:rPr>
                  <w:rFonts w:eastAsia="SimSun"/>
                  <w:b/>
                  <w:sz w:val="16"/>
                  <w:lang w:eastAsia="zh-CN"/>
                </w:rPr>
                <w:delText xml:space="preserve">N </w:delText>
              </w:r>
            </w:del>
            <w:ins w:id="371" w:author="AUTHOR">
              <w:r w:rsidR="003E29DD">
                <w:rPr>
                  <w:rFonts w:eastAsia="SimSun"/>
                  <w:b/>
                  <w:sz w:val="16"/>
                  <w:lang w:eastAsia="zh-CN"/>
                </w:rPr>
                <w:t>n</w:t>
              </w:r>
              <w:r w:rsidR="003E29DD" w:rsidRPr="008A106B">
                <w:rPr>
                  <w:rFonts w:eastAsia="SimSun"/>
                  <w:b/>
                  <w:sz w:val="16"/>
                  <w:lang w:eastAsia="zh-CN"/>
                </w:rPr>
                <w:t xml:space="preserve"> </w:t>
              </w:r>
            </w:ins>
            <w:r w:rsidRPr="008A106B">
              <w:rPr>
                <w:rFonts w:eastAsia="SimSun"/>
                <w:b/>
                <w:sz w:val="16"/>
                <w:lang w:eastAsia="zh-CN"/>
              </w:rPr>
              <w:t>=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6F3BD154" w14:textId="77777777" w:rsidR="007927FC" w:rsidRPr="008A106B" w:rsidRDefault="007927FC" w:rsidP="00FC7454">
            <w:pPr>
              <w:keepNext/>
              <w:keepLines/>
              <w:spacing w:before="50" w:after="50" w:line="240" w:lineRule="exact"/>
              <w:jc w:val="center"/>
              <w:rPr>
                <w:rFonts w:eastAsia="SimSun"/>
                <w:b/>
                <w:sz w:val="16"/>
                <w:lang w:eastAsia="zh-CN"/>
              </w:rPr>
            </w:pPr>
            <w:r w:rsidRPr="008A106B">
              <w:rPr>
                <w:rFonts w:eastAsia="SimSun"/>
                <w:b/>
                <w:sz w:val="16"/>
                <w:lang w:eastAsia="zh-CN"/>
              </w:rPr>
              <w:t>TCZ + Placebo (SC)</w:t>
            </w:r>
          </w:p>
          <w:p w14:paraId="64DA6DB0" w14:textId="3A22D368" w:rsidR="007927FC" w:rsidRPr="008A106B" w:rsidRDefault="007927FC" w:rsidP="00FC7454">
            <w:pPr>
              <w:keepNext/>
              <w:keepLines/>
              <w:spacing w:before="50" w:after="50" w:line="240" w:lineRule="exact"/>
              <w:jc w:val="center"/>
              <w:rPr>
                <w:rFonts w:eastAsia="SimSun"/>
                <w:b/>
                <w:sz w:val="16"/>
                <w:lang w:eastAsia="zh-CN"/>
              </w:rPr>
            </w:pPr>
            <w:del w:id="372" w:author="AUTHOR">
              <w:r w:rsidRPr="008A106B" w:rsidDel="003E29DD">
                <w:rPr>
                  <w:rFonts w:eastAsia="SimSun"/>
                  <w:b/>
                  <w:sz w:val="16"/>
                  <w:lang w:eastAsia="zh-CN"/>
                </w:rPr>
                <w:delText xml:space="preserve">N </w:delText>
              </w:r>
            </w:del>
            <w:ins w:id="373" w:author="AUTHOR">
              <w:r w:rsidR="003E29DD">
                <w:rPr>
                  <w:rFonts w:eastAsia="SimSun"/>
                  <w:b/>
                  <w:sz w:val="16"/>
                  <w:lang w:eastAsia="zh-CN"/>
                </w:rPr>
                <w:t>n</w:t>
              </w:r>
              <w:r w:rsidR="003E29DD" w:rsidRPr="008A106B">
                <w:rPr>
                  <w:rFonts w:eastAsia="SimSun"/>
                  <w:b/>
                  <w:sz w:val="16"/>
                  <w:lang w:eastAsia="zh-CN"/>
                </w:rPr>
                <w:t xml:space="preserve"> </w:t>
              </w:r>
            </w:ins>
            <w:r w:rsidRPr="008A106B">
              <w:rPr>
                <w:rFonts w:eastAsia="SimSun"/>
                <w:b/>
                <w:sz w:val="16"/>
                <w:lang w:eastAsia="zh-CN"/>
              </w:rPr>
              <w:t>=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2AAEE19D"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Valor-p</w:t>
            </w:r>
            <w:r w:rsidRPr="008A106B">
              <w:rPr>
                <w:rFonts w:eastAsia="SimSun"/>
                <w:b/>
                <w:sz w:val="16"/>
                <w:vertAlign w:val="superscript"/>
                <w:lang w:eastAsia="zh-CN"/>
              </w:rPr>
              <w:t>(a)</w:t>
            </w:r>
          </w:p>
        </w:tc>
      </w:tr>
      <w:tr w:rsidR="007927FC" w:rsidRPr="00541248" w14:paraId="5B4DD9A2" w14:textId="77777777" w:rsidTr="001F7A68">
        <w:trPr>
          <w:cantSplit/>
        </w:trPr>
        <w:tc>
          <w:tcPr>
            <w:tcW w:w="7951" w:type="dxa"/>
            <w:gridSpan w:val="5"/>
            <w:tcBorders>
              <w:top w:val="nil"/>
              <w:left w:val="single" w:sz="4" w:space="0" w:color="auto"/>
              <w:bottom w:val="nil"/>
              <w:right w:val="single" w:sz="8" w:space="0" w:color="auto"/>
            </w:tcBorders>
            <w:tcMar>
              <w:top w:w="0" w:type="dxa"/>
              <w:left w:w="57" w:type="dxa"/>
              <w:bottom w:w="0" w:type="dxa"/>
              <w:right w:w="57" w:type="dxa"/>
            </w:tcMar>
          </w:tcPr>
          <w:p w14:paraId="5AA3DC78" w14:textId="12BBA151" w:rsidR="007927FC" w:rsidRPr="008A106B" w:rsidRDefault="007927FC" w:rsidP="00FC7454">
            <w:pPr>
              <w:keepNext/>
              <w:keepLines/>
              <w:spacing w:before="50" w:after="50" w:line="240" w:lineRule="exact"/>
              <w:rPr>
                <w:rFonts w:eastAsia="SimSun"/>
                <w:sz w:val="16"/>
                <w:lang w:val="es-ES" w:eastAsia="zh-CN"/>
              </w:rPr>
            </w:pPr>
            <w:r w:rsidRPr="008A106B">
              <w:rPr>
                <w:rFonts w:eastAsia="SimSun"/>
                <w:b/>
                <w:sz w:val="16"/>
                <w:lang w:val="es-ES" w:eastAsia="zh-CN"/>
              </w:rPr>
              <w:t xml:space="preserve">Variable </w:t>
            </w:r>
            <w:ins w:id="374" w:author="AUTHOR">
              <w:r w:rsidR="00613A5B" w:rsidRPr="00613A5B">
                <w:rPr>
                  <w:rFonts w:eastAsia="SimSun"/>
                  <w:b/>
                  <w:sz w:val="16"/>
                  <w:lang w:val="es-ES" w:eastAsia="zh-CN"/>
                </w:rPr>
                <w:t>principal</w:t>
              </w:r>
            </w:ins>
            <w:del w:id="375" w:author="AUTHOR">
              <w:r w:rsidRPr="008A106B" w:rsidDel="00613A5B">
                <w:rPr>
                  <w:rFonts w:eastAsia="SimSun"/>
                  <w:b/>
                  <w:sz w:val="16"/>
                  <w:lang w:val="es-ES" w:eastAsia="zh-CN"/>
                </w:rPr>
                <w:delText>primaria</w:delText>
              </w:r>
            </w:del>
            <w:r w:rsidRPr="008A106B">
              <w:rPr>
                <w:rFonts w:eastAsia="SimSun"/>
                <w:b/>
                <w:sz w:val="16"/>
                <w:lang w:val="es-ES" w:eastAsia="zh-CN"/>
              </w:rPr>
              <w:t xml:space="preserve"> – Media ajustada desde el valor basal a la semana 24</w:t>
            </w:r>
          </w:p>
        </w:tc>
      </w:tr>
      <w:tr w:rsidR="007927FC" w:rsidRPr="008A106B" w14:paraId="7FDDF78B" w14:textId="77777777" w:rsidTr="001F7A68">
        <w:trPr>
          <w:gridAfter w:val="1"/>
          <w:wAfter w:w="14" w:type="dxa"/>
          <w:cantSplit/>
        </w:trPr>
        <w:tc>
          <w:tcPr>
            <w:tcW w:w="3351" w:type="dxa"/>
            <w:tcBorders>
              <w:top w:val="single" w:sz="4" w:space="0" w:color="auto"/>
              <w:left w:val="single" w:sz="4" w:space="0" w:color="auto"/>
              <w:bottom w:val="nil"/>
              <w:right w:val="nil"/>
            </w:tcBorders>
            <w:tcMar>
              <w:top w:w="0" w:type="dxa"/>
              <w:left w:w="57" w:type="dxa"/>
              <w:bottom w:w="0" w:type="dxa"/>
              <w:right w:w="57" w:type="dxa"/>
            </w:tcMar>
          </w:tcPr>
          <w:p w14:paraId="54A30739" w14:textId="77777777" w:rsidR="007927FC" w:rsidRPr="008A106B" w:rsidRDefault="007927FC" w:rsidP="00FC7454">
            <w:pPr>
              <w:keepNext/>
              <w:keepLines/>
              <w:spacing w:before="50" w:after="50" w:line="240" w:lineRule="exact"/>
              <w:jc w:val="right"/>
              <w:rPr>
                <w:rFonts w:eastAsia="SimSun"/>
                <w:b/>
                <w:sz w:val="16"/>
                <w:lang w:eastAsia="zh-CN"/>
              </w:rPr>
            </w:pPr>
            <w:r w:rsidRPr="008A106B">
              <w:rPr>
                <w:rFonts w:eastAsia="SimSun"/>
                <w:b/>
                <w:sz w:val="16"/>
                <w:lang w:eastAsia="zh-CN"/>
              </w:rPr>
              <w:t xml:space="preserve">DAS28 (media ajustada) </w:t>
            </w:r>
          </w:p>
        </w:tc>
        <w:tc>
          <w:tcPr>
            <w:tcW w:w="1610" w:type="dxa"/>
            <w:tcBorders>
              <w:top w:val="single" w:sz="4" w:space="0" w:color="auto"/>
              <w:left w:val="nil"/>
              <w:bottom w:val="nil"/>
              <w:right w:val="nil"/>
            </w:tcBorders>
            <w:tcMar>
              <w:top w:w="0" w:type="dxa"/>
              <w:left w:w="57" w:type="dxa"/>
              <w:bottom w:w="0" w:type="dxa"/>
              <w:right w:w="57" w:type="dxa"/>
            </w:tcMar>
          </w:tcPr>
          <w:p w14:paraId="0D58FAB7" w14:textId="77777777" w:rsidR="007927FC" w:rsidRPr="008A106B" w:rsidRDefault="009B1856" w:rsidP="00FC7454">
            <w:pPr>
              <w:keepNext/>
              <w:keepLines/>
              <w:spacing w:before="50" w:after="50" w:line="240" w:lineRule="exact"/>
              <w:jc w:val="center"/>
              <w:rPr>
                <w:rFonts w:eastAsia="SimSun"/>
                <w:b/>
                <w:sz w:val="16"/>
                <w:lang w:val="de-CH" w:eastAsia="zh-CN"/>
              </w:rPr>
            </w:pPr>
            <w:r>
              <w:rPr>
                <w:rFonts w:eastAsia="SimSun"/>
                <w:b/>
                <w:sz w:val="16"/>
                <w:lang w:val="de-CH" w:eastAsia="zh-CN"/>
              </w:rPr>
              <w:t>-1,8</w:t>
            </w:r>
          </w:p>
        </w:tc>
        <w:tc>
          <w:tcPr>
            <w:tcW w:w="1701" w:type="dxa"/>
            <w:tcBorders>
              <w:top w:val="single" w:sz="4" w:space="0" w:color="auto"/>
              <w:left w:val="nil"/>
              <w:bottom w:val="nil"/>
              <w:right w:val="nil"/>
            </w:tcBorders>
            <w:tcMar>
              <w:top w:w="0" w:type="dxa"/>
              <w:left w:w="57" w:type="dxa"/>
              <w:bottom w:w="0" w:type="dxa"/>
              <w:right w:w="57" w:type="dxa"/>
            </w:tcMar>
          </w:tcPr>
          <w:p w14:paraId="2996EC43" w14:textId="77777777" w:rsidR="007927FC" w:rsidRPr="008A106B" w:rsidRDefault="007927FC" w:rsidP="00FC7454">
            <w:pPr>
              <w:keepNext/>
              <w:keepLines/>
              <w:spacing w:before="50" w:after="50" w:line="240" w:lineRule="exact"/>
              <w:jc w:val="center"/>
              <w:rPr>
                <w:rFonts w:eastAsia="SimSun"/>
                <w:b/>
                <w:sz w:val="16"/>
                <w:lang w:val="de-CH" w:eastAsia="zh-CN"/>
              </w:rPr>
            </w:pPr>
            <w:r w:rsidRPr="008A106B">
              <w:rPr>
                <w:rFonts w:eastAsia="SimSun"/>
                <w:b/>
                <w:sz w:val="16"/>
                <w:lang w:val="de-CH"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1DF29F82" w14:textId="77777777" w:rsidR="007927FC" w:rsidRPr="008A106B" w:rsidRDefault="007927FC" w:rsidP="00FC7454">
            <w:pPr>
              <w:keepNext/>
              <w:keepLines/>
              <w:spacing w:before="50" w:after="50" w:line="240" w:lineRule="exact"/>
              <w:jc w:val="center"/>
              <w:rPr>
                <w:rFonts w:eastAsia="SimSun"/>
                <w:b/>
                <w:sz w:val="16"/>
                <w:lang w:val="de-CH" w:eastAsia="zh-CN"/>
              </w:rPr>
            </w:pPr>
          </w:p>
        </w:tc>
      </w:tr>
      <w:tr w:rsidR="007927FC" w:rsidRPr="008A106B" w14:paraId="4647B8EF" w14:textId="77777777" w:rsidTr="001F7A68">
        <w:trPr>
          <w:gridAfter w:val="1"/>
          <w:wAfter w:w="14" w:type="dxa"/>
          <w:cantSplit/>
        </w:trPr>
        <w:tc>
          <w:tcPr>
            <w:tcW w:w="3351" w:type="dxa"/>
            <w:tcBorders>
              <w:top w:val="nil"/>
              <w:left w:val="single" w:sz="4" w:space="0" w:color="auto"/>
              <w:bottom w:val="single" w:sz="4" w:space="0" w:color="auto"/>
              <w:right w:val="nil"/>
            </w:tcBorders>
            <w:tcMar>
              <w:top w:w="0" w:type="dxa"/>
              <w:left w:w="57" w:type="dxa"/>
              <w:bottom w:w="0" w:type="dxa"/>
              <w:right w:w="57" w:type="dxa"/>
            </w:tcMar>
          </w:tcPr>
          <w:p w14:paraId="016E8DFB" w14:textId="77777777" w:rsidR="007927FC" w:rsidRPr="008A106B" w:rsidRDefault="007927FC" w:rsidP="00FC7454">
            <w:pPr>
              <w:keepNext/>
              <w:keepLines/>
              <w:spacing w:before="50" w:after="50" w:line="240" w:lineRule="exact"/>
              <w:jc w:val="right"/>
              <w:rPr>
                <w:rFonts w:eastAsia="SimSun"/>
                <w:b/>
                <w:sz w:val="16"/>
                <w:lang w:val="es-ES" w:eastAsia="zh-CN"/>
              </w:rPr>
            </w:pPr>
            <w:r w:rsidRPr="008A106B">
              <w:rPr>
                <w:rFonts w:eastAsia="SimSun"/>
                <w:b/>
                <w:sz w:val="16"/>
                <w:lang w:val="es-ES" w:eastAsia="zh-CN"/>
              </w:rPr>
              <w:t>Diferencia en la media ajustada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09497AAD" w14:textId="77777777" w:rsidR="007927FC" w:rsidRPr="008A106B" w:rsidRDefault="007927FC" w:rsidP="00FC7454">
            <w:pPr>
              <w:keepNext/>
              <w:keepLines/>
              <w:spacing w:before="50" w:after="50" w:line="240" w:lineRule="exact"/>
              <w:jc w:val="center"/>
              <w:rPr>
                <w:rFonts w:eastAsia="SimSun"/>
                <w:b/>
                <w:sz w:val="16"/>
                <w:lang w:eastAsia="zh-CN"/>
              </w:rPr>
            </w:pPr>
            <w:r w:rsidRPr="008A106B">
              <w:rPr>
                <w:rFonts w:eastAsia="SimSun"/>
                <w:b/>
                <w:sz w:val="16"/>
                <w:lang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2F403EE" w14:textId="77777777" w:rsidR="007927FC" w:rsidRPr="008A106B" w:rsidRDefault="007927FC" w:rsidP="00FC7454">
            <w:pPr>
              <w:keepNext/>
              <w:keepLines/>
              <w:spacing w:before="50" w:after="50" w:line="240" w:lineRule="exact"/>
              <w:jc w:val="center"/>
              <w:rPr>
                <w:rFonts w:eastAsia="SimSun"/>
                <w:b/>
                <w:sz w:val="16"/>
                <w:lang w:eastAsia="zh-CN"/>
              </w:rPr>
            </w:pPr>
            <w:r w:rsidRPr="008A106B">
              <w:rPr>
                <w:rFonts w:eastAsia="SimSun"/>
                <w:b/>
                <w:sz w:val="16"/>
                <w:lang w:eastAsia="zh-CN"/>
              </w:rPr>
              <w:t>&lt;0,0001</w:t>
            </w:r>
          </w:p>
        </w:tc>
      </w:tr>
      <w:tr w:rsidR="007927FC" w:rsidRPr="00541248" w14:paraId="1EF25D07" w14:textId="77777777" w:rsidTr="001F7A68">
        <w:trPr>
          <w:gridAfter w:val="1"/>
          <w:wAfter w:w="14" w:type="dxa"/>
          <w:cantSplit/>
        </w:trPr>
        <w:tc>
          <w:tcPr>
            <w:tcW w:w="793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488E8789" w14:textId="77777777" w:rsidR="007927FC" w:rsidRPr="008A106B" w:rsidRDefault="007927FC" w:rsidP="00FC7454">
            <w:pPr>
              <w:keepNext/>
              <w:keepLines/>
              <w:spacing w:before="50" w:after="50" w:line="240" w:lineRule="exact"/>
              <w:rPr>
                <w:rFonts w:eastAsia="SimSun"/>
                <w:sz w:val="16"/>
                <w:lang w:val="es-ES" w:eastAsia="zh-CN"/>
              </w:rPr>
            </w:pPr>
            <w:r w:rsidRPr="008A106B">
              <w:rPr>
                <w:rFonts w:eastAsia="SimSun"/>
                <w:b/>
                <w:sz w:val="16"/>
                <w:lang w:val="es-ES" w:eastAsia="zh-CN"/>
              </w:rPr>
              <w:t xml:space="preserve">Variables secundarias - Porcentaje de Respondedores en la semana 24 </w:t>
            </w:r>
            <w:r w:rsidRPr="008A106B">
              <w:rPr>
                <w:rFonts w:eastAsia="SimSun"/>
                <w:b/>
                <w:sz w:val="16"/>
                <w:vertAlign w:val="superscript"/>
                <w:lang w:val="es-ES" w:eastAsia="zh-CN"/>
              </w:rPr>
              <w:t>(b)</w:t>
            </w:r>
          </w:p>
        </w:tc>
      </w:tr>
      <w:tr w:rsidR="007927FC" w:rsidRPr="008A106B" w14:paraId="267EB4F7" w14:textId="77777777" w:rsidTr="001F7A68">
        <w:trPr>
          <w:gridAfter w:val="1"/>
          <w:wAfter w:w="14" w:type="dxa"/>
          <w:cantSplit/>
        </w:trPr>
        <w:tc>
          <w:tcPr>
            <w:tcW w:w="3351" w:type="dxa"/>
            <w:tcBorders>
              <w:top w:val="single" w:sz="4" w:space="0" w:color="auto"/>
              <w:left w:val="single" w:sz="4" w:space="0" w:color="auto"/>
              <w:bottom w:val="nil"/>
              <w:right w:val="nil"/>
            </w:tcBorders>
            <w:tcMar>
              <w:top w:w="0" w:type="dxa"/>
              <w:left w:w="57" w:type="dxa"/>
              <w:bottom w:w="0" w:type="dxa"/>
              <w:right w:w="57" w:type="dxa"/>
            </w:tcMar>
          </w:tcPr>
          <w:p w14:paraId="52E7893E" w14:textId="77777777" w:rsidR="007927FC" w:rsidRPr="008A106B" w:rsidRDefault="007927FC" w:rsidP="00A03C16">
            <w:pPr>
              <w:keepNext/>
              <w:keepLines/>
              <w:spacing w:before="50" w:after="50" w:line="240" w:lineRule="exact"/>
              <w:jc w:val="right"/>
              <w:rPr>
                <w:rFonts w:eastAsia="SimSun"/>
                <w:sz w:val="16"/>
                <w:lang w:eastAsia="zh-CN"/>
              </w:rPr>
            </w:pPr>
            <w:r w:rsidRPr="008A106B">
              <w:rPr>
                <w:rFonts w:eastAsia="SimSun"/>
                <w:sz w:val="16"/>
                <w:lang w:eastAsia="zh-CN"/>
              </w:rPr>
              <w:t>DAS28 &lt; 2</w:t>
            </w:r>
            <w:proofErr w:type="gramStart"/>
            <w:r w:rsidRPr="008A106B">
              <w:rPr>
                <w:rFonts w:eastAsia="SimSun"/>
                <w:sz w:val="16"/>
                <w:lang w:eastAsia="zh-CN"/>
              </w:rPr>
              <w:t>,6</w:t>
            </w:r>
            <w:proofErr w:type="gramEnd"/>
            <w:r w:rsidR="00A03C16">
              <w:rPr>
                <w:rFonts w:eastAsia="SimSun"/>
                <w:sz w:val="16"/>
                <w:lang w:eastAsia="zh-CN"/>
              </w:rPr>
              <w:t>;</w:t>
            </w:r>
            <w:r w:rsidRPr="008A106B">
              <w:rPr>
                <w:rFonts w:eastAsia="SimSun"/>
                <w:sz w:val="16"/>
                <w:lang w:eastAsia="zh-CN"/>
              </w:rPr>
              <w:t>n (%)</w:t>
            </w:r>
          </w:p>
        </w:tc>
        <w:tc>
          <w:tcPr>
            <w:tcW w:w="1610" w:type="dxa"/>
            <w:tcBorders>
              <w:top w:val="single" w:sz="4" w:space="0" w:color="auto"/>
              <w:left w:val="nil"/>
              <w:bottom w:val="nil"/>
              <w:right w:val="nil"/>
            </w:tcBorders>
            <w:tcMar>
              <w:top w:w="0" w:type="dxa"/>
              <w:left w:w="57" w:type="dxa"/>
              <w:bottom w:w="0" w:type="dxa"/>
              <w:right w:w="57" w:type="dxa"/>
            </w:tcMar>
          </w:tcPr>
          <w:p w14:paraId="1788F61A"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7C561078"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0CC2C14F"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&lt;0,0001</w:t>
            </w:r>
          </w:p>
        </w:tc>
      </w:tr>
      <w:tr w:rsidR="007927FC" w:rsidRPr="008A106B" w14:paraId="1A77DC74"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65F12339" w14:textId="77777777" w:rsidR="007927FC" w:rsidRPr="008A106B" w:rsidRDefault="007927FC" w:rsidP="00A03C16">
            <w:pPr>
              <w:keepNext/>
              <w:keepLines/>
              <w:spacing w:before="50" w:after="50" w:line="240" w:lineRule="exact"/>
              <w:jc w:val="right"/>
              <w:rPr>
                <w:rFonts w:eastAsia="SimSun"/>
                <w:sz w:val="16"/>
                <w:lang w:eastAsia="zh-CN"/>
              </w:rPr>
            </w:pPr>
            <w:r w:rsidRPr="008A106B">
              <w:rPr>
                <w:rFonts w:eastAsia="SimSun"/>
                <w:sz w:val="16"/>
                <w:lang w:eastAsia="zh-CN"/>
              </w:rPr>
              <w:t>DAS28 ≤ 3</w:t>
            </w:r>
            <w:proofErr w:type="gramStart"/>
            <w:r w:rsidRPr="008A106B">
              <w:rPr>
                <w:rFonts w:eastAsia="SimSun"/>
                <w:sz w:val="16"/>
                <w:lang w:eastAsia="zh-CN"/>
              </w:rPr>
              <w:t>,2</w:t>
            </w:r>
            <w:proofErr w:type="gramEnd"/>
            <w:r w:rsidR="00A03C16">
              <w:rPr>
                <w:rFonts w:eastAsia="SimSun"/>
                <w:sz w:val="16"/>
                <w:lang w:eastAsia="zh-CN"/>
              </w:rPr>
              <w:t>;</w:t>
            </w:r>
            <w:r w:rsidR="00A03C16" w:rsidRPr="008A106B">
              <w:rPr>
                <w:rFonts w:eastAsia="SimSun"/>
                <w:sz w:val="16"/>
                <w:lang w:eastAsia="zh-CN"/>
              </w:rPr>
              <w:t xml:space="preserve"> </w:t>
            </w:r>
            <w:r w:rsidRPr="008A106B">
              <w:rPr>
                <w:rFonts w:eastAsia="SimSun"/>
                <w:sz w:val="16"/>
                <w:lang w:eastAsia="zh-CN"/>
              </w:rPr>
              <w:t xml:space="preserve">n (%) </w:t>
            </w:r>
          </w:p>
        </w:tc>
        <w:tc>
          <w:tcPr>
            <w:tcW w:w="1610" w:type="dxa"/>
            <w:tcMar>
              <w:top w:w="0" w:type="dxa"/>
              <w:left w:w="57" w:type="dxa"/>
              <w:bottom w:w="0" w:type="dxa"/>
              <w:right w:w="57" w:type="dxa"/>
            </w:tcMar>
          </w:tcPr>
          <w:p w14:paraId="6EE12416"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 xml:space="preserve">32 (19,8) </w:t>
            </w:r>
          </w:p>
        </w:tc>
        <w:tc>
          <w:tcPr>
            <w:tcW w:w="1701" w:type="dxa"/>
            <w:tcMar>
              <w:top w:w="0" w:type="dxa"/>
              <w:left w:w="57" w:type="dxa"/>
              <w:bottom w:w="0" w:type="dxa"/>
              <w:right w:w="57" w:type="dxa"/>
            </w:tcMar>
          </w:tcPr>
          <w:p w14:paraId="4E324CCA"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7AB8B154"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&lt;0,0001</w:t>
            </w:r>
          </w:p>
        </w:tc>
      </w:tr>
      <w:tr w:rsidR="007927FC" w:rsidRPr="008A106B" w14:paraId="0A99B389"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03510837" w14:textId="77777777" w:rsidR="007927FC" w:rsidRPr="008A106B" w:rsidRDefault="007927FC" w:rsidP="00FC7454">
            <w:pPr>
              <w:keepNext/>
              <w:keepLines/>
              <w:spacing w:before="50" w:after="50" w:line="240" w:lineRule="exact"/>
              <w:jc w:val="right"/>
              <w:rPr>
                <w:rFonts w:eastAsia="SimSun"/>
                <w:sz w:val="16"/>
                <w:lang w:eastAsia="zh-CN"/>
              </w:rPr>
            </w:pPr>
            <w:r w:rsidRPr="008A106B">
              <w:rPr>
                <w:rFonts w:eastAsia="SimSun"/>
                <w:sz w:val="16"/>
                <w:lang w:eastAsia="zh-CN"/>
              </w:rPr>
              <w:t>ACR20 response, n (%)</w:t>
            </w:r>
          </w:p>
        </w:tc>
        <w:tc>
          <w:tcPr>
            <w:tcW w:w="1610" w:type="dxa"/>
            <w:tcMar>
              <w:top w:w="0" w:type="dxa"/>
              <w:left w:w="57" w:type="dxa"/>
              <w:bottom w:w="0" w:type="dxa"/>
              <w:right w:w="57" w:type="dxa"/>
            </w:tcMar>
          </w:tcPr>
          <w:p w14:paraId="56B4D0B0"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80 (49,4)</w:t>
            </w:r>
          </w:p>
        </w:tc>
        <w:tc>
          <w:tcPr>
            <w:tcW w:w="1701" w:type="dxa"/>
            <w:tcMar>
              <w:top w:w="0" w:type="dxa"/>
              <w:left w:w="57" w:type="dxa"/>
              <w:bottom w:w="0" w:type="dxa"/>
              <w:right w:w="57" w:type="dxa"/>
            </w:tcMar>
          </w:tcPr>
          <w:p w14:paraId="71B6DE4E"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0F7B5C89"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0,0038</w:t>
            </w:r>
          </w:p>
        </w:tc>
      </w:tr>
      <w:tr w:rsidR="007927FC" w:rsidRPr="008A106B" w14:paraId="11C2EB10"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45895859" w14:textId="77777777" w:rsidR="007927FC" w:rsidRPr="008A106B" w:rsidRDefault="007927FC" w:rsidP="00FC7454">
            <w:pPr>
              <w:keepNext/>
              <w:keepLines/>
              <w:spacing w:before="50" w:after="50" w:line="240" w:lineRule="exact"/>
              <w:jc w:val="right"/>
              <w:rPr>
                <w:rFonts w:eastAsia="SimSun"/>
                <w:sz w:val="16"/>
                <w:lang w:eastAsia="zh-CN"/>
              </w:rPr>
            </w:pPr>
            <w:r w:rsidRPr="008A106B">
              <w:rPr>
                <w:rFonts w:eastAsia="SimSun"/>
                <w:sz w:val="16"/>
                <w:lang w:eastAsia="zh-CN"/>
              </w:rPr>
              <w:t>ACR50 response, n (%)</w:t>
            </w:r>
          </w:p>
        </w:tc>
        <w:tc>
          <w:tcPr>
            <w:tcW w:w="1610" w:type="dxa"/>
            <w:tcMar>
              <w:top w:w="0" w:type="dxa"/>
              <w:left w:w="57" w:type="dxa"/>
              <w:bottom w:w="0" w:type="dxa"/>
              <w:right w:w="57" w:type="dxa"/>
            </w:tcMar>
          </w:tcPr>
          <w:p w14:paraId="410F3668"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45 (27,8)</w:t>
            </w:r>
          </w:p>
        </w:tc>
        <w:tc>
          <w:tcPr>
            <w:tcW w:w="1701" w:type="dxa"/>
            <w:tcMar>
              <w:top w:w="0" w:type="dxa"/>
              <w:left w:w="57" w:type="dxa"/>
              <w:bottom w:w="0" w:type="dxa"/>
              <w:right w:w="57" w:type="dxa"/>
            </w:tcMar>
          </w:tcPr>
          <w:p w14:paraId="7FA71915"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487A2AA6"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0,0002</w:t>
            </w:r>
          </w:p>
        </w:tc>
      </w:tr>
      <w:tr w:rsidR="007927FC" w:rsidRPr="008A106B" w14:paraId="3963627B" w14:textId="77777777" w:rsidTr="001F7A68">
        <w:trPr>
          <w:gridAfter w:val="1"/>
          <w:wAfter w:w="14" w:type="dxa"/>
          <w:cantSplit/>
        </w:trPr>
        <w:tc>
          <w:tcPr>
            <w:tcW w:w="3351" w:type="dxa"/>
            <w:tcBorders>
              <w:top w:val="nil"/>
              <w:left w:val="single" w:sz="4" w:space="0" w:color="auto"/>
              <w:bottom w:val="single" w:sz="4" w:space="0" w:color="auto"/>
              <w:right w:val="nil"/>
            </w:tcBorders>
            <w:tcMar>
              <w:top w:w="0" w:type="dxa"/>
              <w:left w:w="57" w:type="dxa"/>
              <w:bottom w:w="0" w:type="dxa"/>
              <w:right w:w="57" w:type="dxa"/>
            </w:tcMar>
          </w:tcPr>
          <w:p w14:paraId="7DC08699" w14:textId="77777777" w:rsidR="007927FC" w:rsidRPr="008A106B" w:rsidRDefault="007927FC" w:rsidP="00FC7454">
            <w:pPr>
              <w:keepNext/>
              <w:keepLines/>
              <w:spacing w:before="50" w:after="50" w:line="240" w:lineRule="exact"/>
              <w:jc w:val="right"/>
              <w:rPr>
                <w:rFonts w:eastAsia="SimSun"/>
                <w:sz w:val="16"/>
                <w:lang w:eastAsia="zh-CN"/>
              </w:rPr>
            </w:pPr>
            <w:r w:rsidRPr="008A106B">
              <w:rPr>
                <w:rFonts w:eastAsia="SimSun"/>
                <w:sz w:val="16"/>
                <w:lang w:eastAsia="zh-CN"/>
              </w:rPr>
              <w:t>ACR70 response, n (%)</w:t>
            </w:r>
          </w:p>
        </w:tc>
        <w:tc>
          <w:tcPr>
            <w:tcW w:w="1610" w:type="dxa"/>
            <w:tcBorders>
              <w:top w:val="nil"/>
              <w:left w:val="nil"/>
              <w:bottom w:val="single" w:sz="4" w:space="0" w:color="auto"/>
              <w:right w:val="nil"/>
            </w:tcBorders>
            <w:tcMar>
              <w:top w:w="0" w:type="dxa"/>
              <w:left w:w="57" w:type="dxa"/>
              <w:bottom w:w="0" w:type="dxa"/>
              <w:right w:w="57" w:type="dxa"/>
            </w:tcMar>
          </w:tcPr>
          <w:p w14:paraId="5DF887DA"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2280A22B"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BDA1BA5" w14:textId="77777777" w:rsidR="007927FC" w:rsidRPr="008A106B" w:rsidRDefault="007927FC" w:rsidP="00FC7454">
            <w:pPr>
              <w:keepNext/>
              <w:keepLines/>
              <w:spacing w:before="50" w:after="50" w:line="240" w:lineRule="exact"/>
              <w:jc w:val="center"/>
              <w:rPr>
                <w:rFonts w:eastAsia="SimSun"/>
                <w:sz w:val="16"/>
                <w:lang w:eastAsia="zh-CN"/>
              </w:rPr>
            </w:pPr>
            <w:r w:rsidRPr="008A106B">
              <w:rPr>
                <w:rFonts w:eastAsia="SimSun"/>
                <w:sz w:val="16"/>
                <w:lang w:eastAsia="zh-CN"/>
              </w:rPr>
              <w:t>0,0023</w:t>
            </w:r>
          </w:p>
        </w:tc>
      </w:tr>
    </w:tbl>
    <w:p w14:paraId="34C5E4D9" w14:textId="77777777" w:rsidR="007927FC" w:rsidRPr="00FF6BAA" w:rsidRDefault="007927FC" w:rsidP="007927FC">
      <w:pPr>
        <w:rPr>
          <w:rFonts w:eastAsia="SimSun"/>
          <w:bCs/>
          <w:i/>
          <w:sz w:val="16"/>
          <w:szCs w:val="16"/>
          <w:lang w:val="es-ES" w:eastAsia="zh-CN"/>
        </w:rPr>
      </w:pPr>
      <w:r w:rsidRPr="00FF6BAA">
        <w:rPr>
          <w:rFonts w:eastAsia="SimSun"/>
          <w:bCs/>
          <w:i/>
          <w:sz w:val="16"/>
          <w:szCs w:val="16"/>
          <w:vertAlign w:val="superscript"/>
          <w:lang w:val="es-ES" w:eastAsia="zh-CN"/>
        </w:rPr>
        <w:t xml:space="preserve">a </w:t>
      </w:r>
      <w:r w:rsidRPr="00FF6BAA">
        <w:rPr>
          <w:rFonts w:eastAsia="SimSun"/>
          <w:bCs/>
          <w:i/>
          <w:sz w:val="16"/>
          <w:szCs w:val="16"/>
          <w:lang w:val="es-ES" w:eastAsia="zh-CN"/>
        </w:rPr>
        <w:t>El valor de p está ajustado por región y duración de AR para todas las variables y adicionalmente todos los valores basales para todas las variables.</w:t>
      </w:r>
    </w:p>
    <w:p w14:paraId="26E91C58" w14:textId="77777777" w:rsidR="007927FC" w:rsidRPr="00FF6BAA" w:rsidRDefault="007927FC" w:rsidP="007927FC">
      <w:pPr>
        <w:rPr>
          <w:rFonts w:eastAsia="SimSun"/>
          <w:bCs/>
          <w:i/>
          <w:sz w:val="16"/>
          <w:szCs w:val="16"/>
          <w:lang w:val="es-ES" w:eastAsia="zh-CN"/>
        </w:rPr>
      </w:pPr>
      <w:r w:rsidRPr="00FF6BAA">
        <w:rPr>
          <w:rFonts w:eastAsia="SimSun"/>
          <w:bCs/>
          <w:i/>
          <w:sz w:val="16"/>
          <w:szCs w:val="16"/>
          <w:vertAlign w:val="superscript"/>
          <w:lang w:val="es-ES" w:eastAsia="zh-CN"/>
        </w:rPr>
        <w:t xml:space="preserve">b </w:t>
      </w:r>
      <w:r w:rsidRPr="00FF6BAA">
        <w:rPr>
          <w:rFonts w:eastAsia="SimSun"/>
          <w:bCs/>
          <w:i/>
          <w:sz w:val="16"/>
          <w:szCs w:val="16"/>
          <w:lang w:val="es-ES" w:eastAsia="zh-CN"/>
        </w:rPr>
        <w:t>Imputación de no respondedores usado para datos que faltan. Multiplicidad controlada usando el procedimiento de Bonferroni-Holm.</w:t>
      </w:r>
    </w:p>
    <w:p w14:paraId="57F128B2" w14:textId="38E4A401" w:rsidR="00F86D48" w:rsidRPr="00F30AB8" w:rsidRDefault="00F86D48" w:rsidP="00F30AB8">
      <w:pPr>
        <w:pStyle w:val="Standard1"/>
        <w:autoSpaceDE/>
        <w:autoSpaceDN/>
        <w:adjustRightInd/>
        <w:rPr>
          <w:rFonts w:eastAsia="SimSun"/>
          <w:bCs/>
          <w:iCs/>
          <w:sz w:val="18"/>
          <w:szCs w:val="18"/>
          <w:lang w:val="es-ES" w:eastAsia="zh-CN"/>
        </w:rPr>
      </w:pPr>
      <w:r w:rsidRPr="00F30AB8">
        <w:rPr>
          <w:rFonts w:ascii="Times New Roman" w:eastAsia="SimSun" w:hAnsi="Times New Roman"/>
          <w:bCs/>
          <w:iCs/>
          <w:sz w:val="18"/>
          <w:szCs w:val="18"/>
          <w:lang w:val="es-ES" w:eastAsia="zh-CN"/>
        </w:rPr>
        <w:t>IV</w:t>
      </w:r>
      <w:ins w:id="376" w:author="AUTHOR">
        <w:r w:rsidR="003E29DD" w:rsidRPr="00467FFD">
          <w:rPr>
            <w:rFonts w:eastAsia="SimSun"/>
            <w:bCs/>
            <w:iCs/>
            <w:sz w:val="18"/>
            <w:szCs w:val="18"/>
            <w:lang w:val="es-ES"/>
            <w:rPrChange w:id="377" w:author="AUTHOR">
              <w:rPr>
                <w:rFonts w:eastAsia="SimSun"/>
                <w:bCs/>
                <w:iCs/>
                <w:sz w:val="18"/>
                <w:szCs w:val="18"/>
                <w:lang w:val="en-GB"/>
              </w:rPr>
            </w:rPrChange>
          </w:rPr>
          <w:t> </w:t>
        </w:r>
      </w:ins>
      <w:del w:id="378" w:author="AUTHOR">
        <w:r w:rsidRPr="00F30AB8" w:rsidDel="003E29DD">
          <w:rPr>
            <w:rFonts w:ascii="Times New Roman" w:eastAsia="SimSun" w:hAnsi="Times New Roman"/>
            <w:bCs/>
            <w:iCs/>
            <w:sz w:val="18"/>
            <w:szCs w:val="18"/>
            <w:lang w:val="es-ES" w:eastAsia="zh-CN"/>
          </w:rPr>
          <w:delText xml:space="preserve"> </w:delText>
        </w:r>
      </w:del>
      <w:ins w:id="379" w:author="AUTHOR">
        <w:r w:rsidR="003E29DD" w:rsidRPr="00F30AB8">
          <w:rPr>
            <w:rFonts w:ascii="Times New Roman" w:eastAsia="SimSun" w:hAnsi="Times New Roman"/>
            <w:bCs/>
            <w:iCs/>
            <w:sz w:val="18"/>
            <w:szCs w:val="18"/>
            <w:lang w:val="es-ES" w:eastAsia="zh-CN"/>
          </w:rPr>
          <w:t xml:space="preserve"> </w:t>
        </w:r>
      </w:ins>
      <w:r w:rsidRPr="00F30AB8">
        <w:rPr>
          <w:rFonts w:ascii="Times New Roman" w:eastAsia="SimSun" w:hAnsi="Times New Roman"/>
          <w:bCs/>
          <w:iCs/>
          <w:sz w:val="18"/>
          <w:szCs w:val="18"/>
          <w:lang w:val="es-ES" w:eastAsia="zh-CN"/>
        </w:rPr>
        <w:t>=</w:t>
      </w:r>
      <w:ins w:id="380" w:author="AUTHOR">
        <w:r w:rsidR="003E29DD" w:rsidRPr="00467FFD">
          <w:rPr>
            <w:rFonts w:eastAsia="SimSun"/>
            <w:bCs/>
            <w:iCs/>
            <w:sz w:val="18"/>
            <w:szCs w:val="18"/>
            <w:lang w:val="es-ES"/>
            <w:rPrChange w:id="381"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382"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intravenosa</w:t>
      </w:r>
    </w:p>
    <w:p w14:paraId="59B30E80" w14:textId="686F7D86" w:rsidR="00F86D48" w:rsidRPr="00F30AB8" w:rsidRDefault="00F86D48" w:rsidP="00F30AB8">
      <w:pPr>
        <w:pStyle w:val="Standard1"/>
        <w:autoSpaceDE/>
        <w:autoSpaceDN/>
        <w:adjustRightInd/>
        <w:rPr>
          <w:rFonts w:eastAsia="SimSun"/>
          <w:bCs/>
          <w:iCs/>
          <w:sz w:val="18"/>
          <w:szCs w:val="18"/>
          <w:lang w:val="es-ES" w:eastAsia="zh-CN"/>
        </w:rPr>
      </w:pPr>
      <w:r w:rsidRPr="00F30AB8">
        <w:rPr>
          <w:rFonts w:ascii="Times New Roman" w:eastAsia="SimSun" w:hAnsi="Times New Roman"/>
          <w:bCs/>
          <w:iCs/>
          <w:sz w:val="18"/>
          <w:szCs w:val="18"/>
          <w:lang w:val="es-ES" w:eastAsia="zh-CN"/>
        </w:rPr>
        <w:t>SC</w:t>
      </w:r>
      <w:ins w:id="383" w:author="AUTHOR">
        <w:r w:rsidR="003E29DD" w:rsidRPr="00467FFD">
          <w:rPr>
            <w:rFonts w:eastAsia="SimSun"/>
            <w:bCs/>
            <w:iCs/>
            <w:sz w:val="18"/>
            <w:szCs w:val="18"/>
            <w:lang w:val="es-ES"/>
            <w:rPrChange w:id="384"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385"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w:t>
      </w:r>
      <w:ins w:id="386" w:author="AUTHOR">
        <w:r w:rsidR="003E29DD" w:rsidRPr="00467FFD">
          <w:rPr>
            <w:rFonts w:eastAsia="SimSun"/>
            <w:bCs/>
            <w:iCs/>
            <w:sz w:val="18"/>
            <w:szCs w:val="18"/>
            <w:lang w:val="es-ES"/>
            <w:rPrChange w:id="387"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388"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subcutanea</w:t>
      </w:r>
    </w:p>
    <w:p w14:paraId="45403C89" w14:textId="4BC37EB3" w:rsidR="00F86D48" w:rsidRPr="00F30AB8" w:rsidRDefault="00F86D48" w:rsidP="00F30AB8">
      <w:pPr>
        <w:pStyle w:val="Standard1"/>
        <w:autoSpaceDE/>
        <w:autoSpaceDN/>
        <w:adjustRightInd/>
        <w:rPr>
          <w:rFonts w:eastAsia="SimSun"/>
          <w:bCs/>
          <w:iCs/>
          <w:sz w:val="18"/>
          <w:szCs w:val="18"/>
          <w:lang w:val="es-ES" w:eastAsia="zh-CN"/>
        </w:rPr>
      </w:pPr>
      <w:r w:rsidRPr="00F30AB8">
        <w:rPr>
          <w:rFonts w:ascii="Times New Roman" w:eastAsia="SimSun" w:hAnsi="Times New Roman"/>
          <w:bCs/>
          <w:iCs/>
          <w:sz w:val="18"/>
          <w:szCs w:val="18"/>
          <w:lang w:val="es-ES" w:eastAsia="zh-CN"/>
        </w:rPr>
        <w:lastRenderedPageBreak/>
        <w:t>TCZ</w:t>
      </w:r>
      <w:ins w:id="389" w:author="AUTHOR">
        <w:r w:rsidR="003E29DD" w:rsidRPr="00467FFD">
          <w:rPr>
            <w:rFonts w:eastAsia="SimSun"/>
            <w:bCs/>
            <w:iCs/>
            <w:sz w:val="18"/>
            <w:szCs w:val="18"/>
            <w:lang w:val="es-ES"/>
            <w:rPrChange w:id="390"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391"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w:t>
      </w:r>
      <w:ins w:id="392" w:author="AUTHOR">
        <w:r w:rsidR="003E29DD" w:rsidRPr="00467FFD">
          <w:rPr>
            <w:rFonts w:eastAsia="SimSun"/>
            <w:bCs/>
            <w:iCs/>
            <w:sz w:val="18"/>
            <w:szCs w:val="18"/>
            <w:lang w:val="es-ES"/>
            <w:rPrChange w:id="393"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394"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tocilizumab</w:t>
      </w:r>
    </w:p>
    <w:p w14:paraId="4C5F2D29" w14:textId="5BD37DE5" w:rsidR="007927FC" w:rsidRPr="00F30AB8" w:rsidRDefault="00F86D48" w:rsidP="00F30AB8">
      <w:pPr>
        <w:pStyle w:val="Standard1"/>
        <w:autoSpaceDE/>
        <w:autoSpaceDN/>
        <w:adjustRightInd/>
        <w:rPr>
          <w:rFonts w:eastAsia="SimSun"/>
          <w:bCs/>
          <w:iCs/>
          <w:sz w:val="18"/>
          <w:szCs w:val="18"/>
          <w:lang w:val="es-ES" w:eastAsia="zh-CN"/>
        </w:rPr>
      </w:pPr>
      <w:r w:rsidRPr="00F30AB8">
        <w:rPr>
          <w:rFonts w:ascii="Times New Roman" w:eastAsia="SimSun" w:hAnsi="Times New Roman"/>
          <w:bCs/>
          <w:iCs/>
          <w:sz w:val="18"/>
          <w:szCs w:val="18"/>
          <w:lang w:val="es-ES" w:eastAsia="zh-CN"/>
        </w:rPr>
        <w:t>ADA</w:t>
      </w:r>
      <w:ins w:id="395" w:author="AUTHOR">
        <w:r w:rsidR="003E29DD" w:rsidRPr="00467FFD">
          <w:rPr>
            <w:rFonts w:eastAsia="SimSun"/>
            <w:bCs/>
            <w:iCs/>
            <w:sz w:val="18"/>
            <w:szCs w:val="18"/>
            <w:lang w:val="es-ES"/>
            <w:rPrChange w:id="396"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397"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w:t>
      </w:r>
      <w:ins w:id="398" w:author="AUTHOR">
        <w:r w:rsidR="003E29DD" w:rsidRPr="00467FFD">
          <w:rPr>
            <w:rFonts w:eastAsia="SimSun"/>
            <w:bCs/>
            <w:iCs/>
            <w:sz w:val="18"/>
            <w:szCs w:val="18"/>
            <w:lang w:val="es-ES"/>
            <w:rPrChange w:id="399" w:author="AUTHOR">
              <w:rPr>
                <w:rFonts w:eastAsia="SimSun"/>
                <w:bCs/>
                <w:iCs/>
                <w:sz w:val="18"/>
                <w:szCs w:val="18"/>
                <w:lang w:val="en-GB"/>
              </w:rPr>
            </w:rPrChange>
          </w:rPr>
          <w:t> </w:t>
        </w:r>
        <w:r w:rsidR="003E29DD" w:rsidRPr="00F30AB8" w:rsidDel="003E29DD">
          <w:rPr>
            <w:rFonts w:ascii="Times New Roman" w:eastAsia="SimSun" w:hAnsi="Times New Roman"/>
            <w:bCs/>
            <w:iCs/>
            <w:sz w:val="18"/>
            <w:szCs w:val="18"/>
            <w:lang w:val="es-ES" w:eastAsia="zh-CN"/>
          </w:rPr>
          <w:t xml:space="preserve"> </w:t>
        </w:r>
      </w:ins>
      <w:del w:id="400" w:author="AUTHOR">
        <w:r w:rsidRPr="00F30AB8" w:rsidDel="003E29DD">
          <w:rPr>
            <w:rFonts w:ascii="Times New Roman" w:eastAsia="SimSun" w:hAnsi="Times New Roman"/>
            <w:bCs/>
            <w:iCs/>
            <w:sz w:val="18"/>
            <w:szCs w:val="18"/>
            <w:lang w:val="es-ES" w:eastAsia="zh-CN"/>
          </w:rPr>
          <w:delText xml:space="preserve"> </w:delText>
        </w:r>
      </w:del>
      <w:r w:rsidRPr="00F30AB8">
        <w:rPr>
          <w:rFonts w:ascii="Times New Roman" w:eastAsia="SimSun" w:hAnsi="Times New Roman"/>
          <w:bCs/>
          <w:iCs/>
          <w:sz w:val="18"/>
          <w:szCs w:val="18"/>
          <w:lang w:val="es-ES" w:eastAsia="zh-CN"/>
        </w:rPr>
        <w:t>adalimumab</w:t>
      </w:r>
    </w:p>
    <w:p w14:paraId="7A544C1E" w14:textId="77777777" w:rsidR="00F86D48" w:rsidRPr="00F30AB8" w:rsidRDefault="00F86D48" w:rsidP="00F30AB8">
      <w:pPr>
        <w:pStyle w:val="Standard1"/>
        <w:autoSpaceDE/>
        <w:autoSpaceDN/>
        <w:adjustRightInd/>
        <w:rPr>
          <w:rFonts w:eastAsia="SimSun"/>
          <w:bCs/>
          <w:iCs/>
          <w:sz w:val="18"/>
          <w:szCs w:val="18"/>
          <w:lang w:val="es-ES" w:eastAsia="zh-CN"/>
        </w:rPr>
      </w:pPr>
    </w:p>
    <w:p w14:paraId="0EF90D04" w14:textId="4AB5DEF8" w:rsidR="007927FC" w:rsidRDefault="007927FC" w:rsidP="00537880">
      <w:pPr>
        <w:keepNext/>
        <w:keepLines/>
        <w:numPr>
          <w:ilvl w:val="12"/>
          <w:numId w:val="0"/>
        </w:numPr>
        <w:rPr>
          <w:lang w:val="es-ES"/>
        </w:rPr>
      </w:pPr>
      <w:r w:rsidRPr="00BC7276">
        <w:rPr>
          <w:lang w:val="es-ES"/>
        </w:rPr>
        <w:t xml:space="preserve">El perfil clínico global de acontecimientos adversos fue similar entre tocilizumab y adalimumab. La proporción de pacientes con acontecimientos adversos graves fue </w:t>
      </w:r>
      <w:r w:rsidR="001A5921" w:rsidRPr="00BC7276">
        <w:rPr>
          <w:lang w:val="es-ES"/>
        </w:rPr>
        <w:t>equilibrada</w:t>
      </w:r>
      <w:r w:rsidRPr="00BC7276">
        <w:rPr>
          <w:lang w:val="es-ES"/>
        </w:rPr>
        <w:t xml:space="preserve"> entre los grupos de tratamiento (tocilizumab 11,7</w:t>
      </w:r>
      <w:r w:rsidR="00F86D48">
        <w:rPr>
          <w:lang w:val="es-ES"/>
        </w:rPr>
        <w:t> </w:t>
      </w:r>
      <w:r w:rsidRPr="00BC7276">
        <w:rPr>
          <w:lang w:val="es-ES"/>
        </w:rPr>
        <w:t>% vs. Adalimumab 9,9</w:t>
      </w:r>
      <w:r w:rsidR="00F86D48">
        <w:rPr>
          <w:lang w:val="es-ES"/>
        </w:rPr>
        <w:t> </w:t>
      </w:r>
      <w:r w:rsidRPr="00BC7276">
        <w:rPr>
          <w:lang w:val="es-ES"/>
        </w:rPr>
        <w:t>%). Las reacciones adversas a medicamentos en el</w:t>
      </w:r>
      <w:r w:rsidRPr="008A106B">
        <w:rPr>
          <w:lang w:val="es-ES"/>
        </w:rPr>
        <w:t xml:space="preserve"> </w:t>
      </w:r>
      <w:del w:id="401" w:author="AUTHOR">
        <w:r w:rsidRPr="00BC7276" w:rsidDel="004E273B">
          <w:rPr>
            <w:lang w:val="es-ES"/>
          </w:rPr>
          <w:delText>brazo</w:delText>
        </w:r>
      </w:del>
      <w:ins w:id="402" w:author="AUTHOR">
        <w:r w:rsidR="004E273B">
          <w:rPr>
            <w:lang w:val="es-ES"/>
          </w:rPr>
          <w:t>grupo</w:t>
        </w:r>
      </w:ins>
      <w:r w:rsidRPr="00BC7276">
        <w:rPr>
          <w:lang w:val="es-ES"/>
        </w:rPr>
        <w:t xml:space="preserve"> de tocilizumab fueron consistentes con el perfil de seguridad conocido de tocilizumab y la frecuencia de las reacciones adversas notificadas fue similar en comparación con la Tabla</w:t>
      </w:r>
      <w:r w:rsidR="00F86D48">
        <w:rPr>
          <w:lang w:val="es-ES"/>
        </w:rPr>
        <w:t> </w:t>
      </w:r>
      <w:r w:rsidRPr="00BC7276">
        <w:rPr>
          <w:lang w:val="es-ES"/>
        </w:rPr>
        <w:t xml:space="preserve">1. Se notificó en el </w:t>
      </w:r>
      <w:del w:id="403" w:author="AUTHOR">
        <w:r w:rsidRPr="00BC7276" w:rsidDel="004E273B">
          <w:rPr>
            <w:lang w:val="es-ES"/>
          </w:rPr>
          <w:delText>brazo</w:delText>
        </w:r>
      </w:del>
      <w:ins w:id="404" w:author="AUTHOR">
        <w:r w:rsidR="004E273B">
          <w:rPr>
            <w:lang w:val="es-ES"/>
          </w:rPr>
          <w:t>grupo</w:t>
        </w:r>
      </w:ins>
      <w:r w:rsidRPr="00BC7276">
        <w:rPr>
          <w:lang w:val="es-ES"/>
        </w:rPr>
        <w:t xml:space="preserve"> de tocilizumab una mayor incidencia de infecciones e infestaciones (48</w:t>
      </w:r>
      <w:r w:rsidR="00F86D48">
        <w:rPr>
          <w:lang w:val="es-ES"/>
        </w:rPr>
        <w:t> </w:t>
      </w:r>
      <w:r w:rsidRPr="00BC7276">
        <w:rPr>
          <w:lang w:val="es-ES"/>
        </w:rPr>
        <w:t>% vs 42</w:t>
      </w:r>
      <w:r w:rsidR="00F86D48">
        <w:rPr>
          <w:lang w:val="es-ES"/>
        </w:rPr>
        <w:t> </w:t>
      </w:r>
      <w:r w:rsidRPr="00BC7276">
        <w:rPr>
          <w:lang w:val="es-ES"/>
        </w:rPr>
        <w:t>%), sin diferencias en la incidencia de infecciones graves (3,1</w:t>
      </w:r>
      <w:r w:rsidR="00F86D48">
        <w:rPr>
          <w:lang w:val="es-ES"/>
        </w:rPr>
        <w:t> </w:t>
      </w:r>
      <w:r w:rsidRPr="00BC7276">
        <w:rPr>
          <w:lang w:val="es-ES"/>
        </w:rPr>
        <w:t xml:space="preserve">%). Ambos tratamientos en </w:t>
      </w:r>
      <w:del w:id="405" w:author="AUTHOR">
        <w:r w:rsidRPr="00BC7276" w:rsidDel="00994C36">
          <w:rPr>
            <w:lang w:val="es-ES"/>
          </w:rPr>
          <w:delText xml:space="preserve">estudio </w:delText>
        </w:r>
      </w:del>
      <w:ins w:id="406" w:author="AUTHOR">
        <w:r w:rsidR="00994C36">
          <w:rPr>
            <w:lang w:val="es-ES"/>
          </w:rPr>
          <w:t>el ensayo</w:t>
        </w:r>
        <w:r w:rsidR="00994C36" w:rsidRPr="00BC7276">
          <w:rPr>
            <w:lang w:val="es-ES"/>
          </w:rPr>
          <w:t xml:space="preserve"> </w:t>
        </w:r>
      </w:ins>
      <w:r w:rsidRPr="00BC7276">
        <w:rPr>
          <w:lang w:val="es-ES"/>
        </w:rPr>
        <w:t>indujeron el mismo patrón de cambios en los parámetros de seguridad del laboratorio (disminución en neutrófilos y recuento de plaquetas, aumento en ALT, AST y lípidos), sin embargo, la magnitud del cambio y la frecuencia de fuertes anomalías fue superior con tocilizumab en comparación con adalimumab. Cuatro pacientes (2,5</w:t>
      </w:r>
      <w:r w:rsidR="00F86D48">
        <w:rPr>
          <w:lang w:val="es-ES"/>
        </w:rPr>
        <w:t> </w:t>
      </w:r>
      <w:r w:rsidRPr="00BC7276">
        <w:rPr>
          <w:lang w:val="es-ES"/>
        </w:rPr>
        <w:t xml:space="preserve">%) en el </w:t>
      </w:r>
      <w:del w:id="407" w:author="AUTHOR">
        <w:r w:rsidRPr="00BC7276" w:rsidDel="004E273B">
          <w:rPr>
            <w:lang w:val="es-ES"/>
          </w:rPr>
          <w:delText>brazo</w:delText>
        </w:r>
      </w:del>
      <w:ins w:id="408" w:author="AUTHOR">
        <w:r w:rsidR="004E273B">
          <w:rPr>
            <w:lang w:val="es-ES"/>
          </w:rPr>
          <w:t>grupo</w:t>
        </w:r>
      </w:ins>
      <w:r w:rsidRPr="00BC7276">
        <w:rPr>
          <w:lang w:val="es-ES"/>
        </w:rPr>
        <w:t xml:space="preserve"> de tocilizumab y dos pacientes (1,2</w:t>
      </w:r>
      <w:r w:rsidR="00087D06">
        <w:rPr>
          <w:lang w:val="es-ES"/>
        </w:rPr>
        <w:t xml:space="preserve"> </w:t>
      </w:r>
      <w:r w:rsidRPr="00BC7276">
        <w:rPr>
          <w:lang w:val="es-ES"/>
        </w:rPr>
        <w:t xml:space="preserve">%) en el </w:t>
      </w:r>
      <w:del w:id="409" w:author="AUTHOR">
        <w:r w:rsidRPr="00BC7276" w:rsidDel="004E273B">
          <w:rPr>
            <w:lang w:val="es-ES"/>
          </w:rPr>
          <w:delText>brazo</w:delText>
        </w:r>
      </w:del>
      <w:ins w:id="410" w:author="AUTHOR">
        <w:r w:rsidR="004E273B">
          <w:rPr>
            <w:lang w:val="es-ES"/>
          </w:rPr>
          <w:t>grupo</w:t>
        </w:r>
      </w:ins>
      <w:r w:rsidRPr="00BC7276">
        <w:rPr>
          <w:lang w:val="es-ES"/>
        </w:rPr>
        <w:t xml:space="preserve"> de adalimumab experimentaron una disminución en el recuento de neutrófilos de grado 3 ó 4 según los Criterios </w:t>
      </w:r>
      <w:ins w:id="411" w:author="AUTHOR">
        <w:r w:rsidR="00EB1877">
          <w:rPr>
            <w:lang w:val="es-ES"/>
          </w:rPr>
          <w:t>Comunes de Toxicidad</w:t>
        </w:r>
      </w:ins>
      <w:del w:id="412" w:author="AUTHOR">
        <w:r w:rsidRPr="00BC7276" w:rsidDel="00EB1877">
          <w:rPr>
            <w:lang w:val="es-ES"/>
          </w:rPr>
          <w:delText>de Toxicidad Común</w:delText>
        </w:r>
      </w:del>
      <w:r w:rsidRPr="00BC7276">
        <w:rPr>
          <w:lang w:val="es-ES"/>
        </w:rPr>
        <w:t xml:space="preserve"> (CTC). Once pacientes (6,8</w:t>
      </w:r>
      <w:r w:rsidR="00087D06">
        <w:rPr>
          <w:lang w:val="es-ES"/>
        </w:rPr>
        <w:t xml:space="preserve"> </w:t>
      </w:r>
      <w:r w:rsidRPr="00BC7276">
        <w:rPr>
          <w:lang w:val="es-ES"/>
        </w:rPr>
        <w:t xml:space="preserve">%) en el </w:t>
      </w:r>
      <w:del w:id="413" w:author="AUTHOR">
        <w:r w:rsidRPr="00BC7276" w:rsidDel="004E273B">
          <w:rPr>
            <w:lang w:val="es-ES"/>
          </w:rPr>
          <w:delText>brazo</w:delText>
        </w:r>
      </w:del>
      <w:ins w:id="414" w:author="AUTHOR">
        <w:r w:rsidR="004E273B">
          <w:rPr>
            <w:lang w:val="es-ES"/>
          </w:rPr>
          <w:t>grupo</w:t>
        </w:r>
      </w:ins>
      <w:r w:rsidRPr="00BC7276">
        <w:rPr>
          <w:lang w:val="es-ES"/>
        </w:rPr>
        <w:t xml:space="preserve"> de tocilizumab y cinco pacientes (3,1</w:t>
      </w:r>
      <w:r w:rsidR="00087D06">
        <w:rPr>
          <w:lang w:val="es-ES"/>
        </w:rPr>
        <w:t xml:space="preserve"> </w:t>
      </w:r>
      <w:r w:rsidRPr="00BC7276">
        <w:rPr>
          <w:lang w:val="es-ES"/>
        </w:rPr>
        <w:t xml:space="preserve">%) en el </w:t>
      </w:r>
      <w:del w:id="415" w:author="AUTHOR">
        <w:r w:rsidRPr="00BC7276" w:rsidDel="004E273B">
          <w:rPr>
            <w:lang w:val="es-ES"/>
          </w:rPr>
          <w:delText>brazo</w:delText>
        </w:r>
      </w:del>
      <w:ins w:id="416" w:author="AUTHOR">
        <w:r w:rsidR="004E273B">
          <w:rPr>
            <w:lang w:val="es-ES"/>
          </w:rPr>
          <w:t>grupo</w:t>
        </w:r>
      </w:ins>
      <w:r w:rsidRPr="00BC7276">
        <w:rPr>
          <w:lang w:val="es-ES"/>
        </w:rPr>
        <w:t xml:space="preserve"> de adalimumab experimentaron un incremento de las ALT de grado 2 o superior según CTC. El incremento medio de LDL desde el valor basal fue 0,64 mmol/</w:t>
      </w:r>
      <w:r w:rsidR="00374CAD">
        <w:rPr>
          <w:lang w:val="es-ES"/>
        </w:rPr>
        <w:t>l</w:t>
      </w:r>
      <w:r w:rsidRPr="00BC7276">
        <w:rPr>
          <w:lang w:val="es-ES"/>
        </w:rPr>
        <w:t xml:space="preserve"> (25 mg/d</w:t>
      </w:r>
      <w:r w:rsidR="00374CAD">
        <w:rPr>
          <w:lang w:val="es-ES"/>
        </w:rPr>
        <w:t>l</w:t>
      </w:r>
      <w:r w:rsidRPr="00BC7276">
        <w:rPr>
          <w:lang w:val="es-ES"/>
        </w:rPr>
        <w:t xml:space="preserve">) para pacientes en el </w:t>
      </w:r>
      <w:del w:id="417" w:author="AUTHOR">
        <w:r w:rsidRPr="00BC7276" w:rsidDel="004E273B">
          <w:rPr>
            <w:lang w:val="es-ES"/>
          </w:rPr>
          <w:delText>brazo</w:delText>
        </w:r>
      </w:del>
      <w:ins w:id="418" w:author="AUTHOR">
        <w:r w:rsidR="004E273B">
          <w:rPr>
            <w:lang w:val="es-ES"/>
          </w:rPr>
          <w:t>grupo</w:t>
        </w:r>
      </w:ins>
      <w:r w:rsidRPr="00BC7276">
        <w:rPr>
          <w:lang w:val="es-ES"/>
        </w:rPr>
        <w:t xml:space="preserve"> de tocilizumab y 0,19 mmol/</w:t>
      </w:r>
      <w:r w:rsidR="00374CAD">
        <w:rPr>
          <w:lang w:val="es-ES"/>
        </w:rPr>
        <w:t>l</w:t>
      </w:r>
      <w:r w:rsidRPr="00BC7276">
        <w:rPr>
          <w:lang w:val="es-ES"/>
        </w:rPr>
        <w:t xml:space="preserve"> (7 mg/d</w:t>
      </w:r>
      <w:r w:rsidR="00374CAD">
        <w:rPr>
          <w:lang w:val="es-ES"/>
        </w:rPr>
        <w:t>l</w:t>
      </w:r>
      <w:r w:rsidRPr="00BC7276">
        <w:rPr>
          <w:lang w:val="es-ES"/>
        </w:rPr>
        <w:t xml:space="preserve">) para pacientes en el </w:t>
      </w:r>
      <w:del w:id="419" w:author="AUTHOR">
        <w:r w:rsidRPr="00BC7276" w:rsidDel="004E273B">
          <w:rPr>
            <w:lang w:val="es-ES"/>
          </w:rPr>
          <w:delText>brazo</w:delText>
        </w:r>
      </w:del>
      <w:ins w:id="420" w:author="AUTHOR">
        <w:r w:rsidR="004E273B">
          <w:rPr>
            <w:lang w:val="es-ES"/>
          </w:rPr>
          <w:t>grupo</w:t>
        </w:r>
      </w:ins>
      <w:r w:rsidRPr="00BC7276">
        <w:rPr>
          <w:lang w:val="es-ES"/>
        </w:rPr>
        <w:t xml:space="preserve"> de adalimumab. La seguridad observada en el </w:t>
      </w:r>
      <w:del w:id="421" w:author="AUTHOR">
        <w:r w:rsidRPr="00BC7276" w:rsidDel="004E273B">
          <w:rPr>
            <w:lang w:val="es-ES"/>
          </w:rPr>
          <w:delText>brazo</w:delText>
        </w:r>
      </w:del>
      <w:ins w:id="422" w:author="AUTHOR">
        <w:r w:rsidR="004E273B">
          <w:rPr>
            <w:lang w:val="es-ES"/>
          </w:rPr>
          <w:t>grupo</w:t>
        </w:r>
      </w:ins>
      <w:r w:rsidRPr="00BC7276">
        <w:rPr>
          <w:lang w:val="es-ES"/>
        </w:rPr>
        <w:t xml:space="preserve"> de tocilizumab fue consistente con el perfil de seguridad conocido de tocilizumab y no se observaron reacciones adversas al medicamento nuevas ni inesperadas (ver </w:t>
      </w:r>
      <w:r w:rsidR="00852BE8">
        <w:rPr>
          <w:lang w:val="es-ES"/>
        </w:rPr>
        <w:t>T</w:t>
      </w:r>
      <w:r w:rsidRPr="00BC7276">
        <w:rPr>
          <w:lang w:val="es-ES"/>
        </w:rPr>
        <w:t>abla</w:t>
      </w:r>
      <w:r w:rsidR="00205482" w:rsidRPr="00F30AB8">
        <w:rPr>
          <w:szCs w:val="22"/>
          <w:lang w:val="es-ES"/>
        </w:rPr>
        <w:t> </w:t>
      </w:r>
      <w:r w:rsidR="00205482" w:rsidRPr="00BC7276" w:rsidDel="00205482">
        <w:rPr>
          <w:lang w:val="es-ES"/>
        </w:rPr>
        <w:t xml:space="preserve"> </w:t>
      </w:r>
      <w:r w:rsidRPr="00BC7276">
        <w:rPr>
          <w:lang w:val="es-ES"/>
        </w:rPr>
        <w:t>1).</w:t>
      </w:r>
    </w:p>
    <w:p w14:paraId="03751E82" w14:textId="77777777" w:rsidR="00170812" w:rsidRDefault="00170812" w:rsidP="007927FC">
      <w:pPr>
        <w:numPr>
          <w:ilvl w:val="12"/>
          <w:numId w:val="0"/>
        </w:numPr>
        <w:ind w:right="-2"/>
        <w:rPr>
          <w:lang w:val="es-ES"/>
        </w:rPr>
      </w:pPr>
    </w:p>
    <w:p w14:paraId="3F2022B7" w14:textId="77777777" w:rsidR="00170812" w:rsidRPr="00467FFD" w:rsidRDefault="00170812">
      <w:pPr>
        <w:jc w:val="both"/>
        <w:rPr>
          <w:i/>
          <w:iCs/>
          <w:lang w:val="es-ES"/>
          <w:rPrChange w:id="423" w:author="AUTHOR">
            <w:rPr>
              <w:lang w:val="es-ES"/>
            </w:rPr>
          </w:rPrChange>
        </w:rPr>
        <w:pPrChange w:id="424" w:author="AUTHOR">
          <w:pPr>
            <w:ind w:firstLine="561"/>
          </w:pPr>
        </w:pPrChange>
      </w:pPr>
      <w:r w:rsidRPr="00467FFD">
        <w:rPr>
          <w:i/>
          <w:iCs/>
          <w:lang w:val="es-ES"/>
          <w:rPrChange w:id="425" w:author="AUTHOR">
            <w:rPr>
              <w:lang w:val="es-ES"/>
            </w:rPr>
          </w:rPrChange>
        </w:rPr>
        <w:t>Pacientes sin tratamiento previo con MTX, AR precoz</w:t>
      </w:r>
    </w:p>
    <w:p w14:paraId="4EE096E1" w14:textId="7188FD96" w:rsidR="00170812" w:rsidRDefault="00170812" w:rsidP="00170812">
      <w:pPr>
        <w:rPr>
          <w:lang w:val="es-ES"/>
        </w:rPr>
      </w:pPr>
      <w:r w:rsidRPr="00E67AA6">
        <w:rPr>
          <w:lang w:val="es-ES"/>
        </w:rPr>
        <w:t>El ensayo VII</w:t>
      </w:r>
      <w:ins w:id="426" w:author="AUTHOR">
        <w:r w:rsidR="00EB1877">
          <w:rPr>
            <w:lang w:val="es-ES"/>
          </w:rPr>
          <w:t xml:space="preserve"> </w:t>
        </w:r>
        <w:r w:rsidR="00EB1877" w:rsidRPr="00EB1877">
          <w:rPr>
            <w:lang w:val="es-ES"/>
          </w:rPr>
          <w:t>(WA19926)</w:t>
        </w:r>
      </w:ins>
      <w:r w:rsidRPr="00E67AA6">
        <w:rPr>
          <w:lang w:val="es-ES"/>
        </w:rPr>
        <w:t xml:space="preserve">, un </w:t>
      </w:r>
      <w:del w:id="427" w:author="AUTHOR">
        <w:r w:rsidDel="00994C36">
          <w:rPr>
            <w:lang w:val="es-ES"/>
          </w:rPr>
          <w:delText>e</w:delText>
        </w:r>
        <w:r w:rsidRPr="00E67AA6" w:rsidDel="00994C36">
          <w:rPr>
            <w:lang w:val="es-ES"/>
          </w:rPr>
          <w:delText xml:space="preserve">studio </w:delText>
        </w:r>
      </w:del>
      <w:ins w:id="428" w:author="AUTHOR">
        <w:r w:rsidR="00994C36">
          <w:rPr>
            <w:lang w:val="es-ES"/>
          </w:rPr>
          <w:t>ensayo</w:t>
        </w:r>
        <w:r w:rsidR="00994C36" w:rsidRPr="00E67AA6">
          <w:rPr>
            <w:lang w:val="es-ES"/>
          </w:rPr>
          <w:t xml:space="preserve"> </w:t>
        </w:r>
      </w:ins>
      <w:r w:rsidRPr="00E67AA6">
        <w:rPr>
          <w:lang w:val="es-ES"/>
        </w:rPr>
        <w:t xml:space="preserve">de 2 años </w:t>
      </w:r>
      <w:r w:rsidR="000911DD">
        <w:rPr>
          <w:lang w:val="es-ES"/>
        </w:rPr>
        <w:t>de duración</w:t>
      </w:r>
      <w:r w:rsidR="00087D06">
        <w:rPr>
          <w:lang w:val="es-ES"/>
        </w:rPr>
        <w:t xml:space="preserve"> con</w:t>
      </w:r>
      <w:r w:rsidRPr="00BF61D3">
        <w:rPr>
          <w:lang w:val="es-ES"/>
        </w:rPr>
        <w:t xml:space="preserve"> el</w:t>
      </w:r>
      <w:r w:rsidRPr="00E67AA6">
        <w:rPr>
          <w:lang w:val="es-ES"/>
        </w:rPr>
        <w:t xml:space="preserve"> análisis pr</w:t>
      </w:r>
      <w:r w:rsidRPr="00BF61D3">
        <w:rPr>
          <w:lang w:val="es-ES"/>
        </w:rPr>
        <w:t>imario previsto en la semana</w:t>
      </w:r>
      <w:r w:rsidR="00205482" w:rsidRPr="00F30AB8">
        <w:rPr>
          <w:szCs w:val="22"/>
          <w:lang w:val="es-ES"/>
        </w:rPr>
        <w:t> </w:t>
      </w:r>
      <w:r w:rsidR="00205482" w:rsidRPr="00BF61D3" w:rsidDel="00205482">
        <w:rPr>
          <w:lang w:val="es-ES"/>
        </w:rPr>
        <w:t xml:space="preserve"> </w:t>
      </w:r>
      <w:r w:rsidRPr="00BF61D3">
        <w:rPr>
          <w:lang w:val="es-ES"/>
        </w:rPr>
        <w:t xml:space="preserve">52, </w:t>
      </w:r>
      <w:r w:rsidRPr="00E67AA6">
        <w:rPr>
          <w:lang w:val="es-ES"/>
        </w:rPr>
        <w:t>evalu</w:t>
      </w:r>
      <w:r w:rsidRPr="00BF61D3">
        <w:rPr>
          <w:lang w:val="es-ES"/>
        </w:rPr>
        <w:t>ó a</w:t>
      </w:r>
      <w:r w:rsidRPr="00E67AA6">
        <w:rPr>
          <w:lang w:val="es-ES"/>
        </w:rPr>
        <w:t xml:space="preserve"> 1162 pacientes adultos </w:t>
      </w:r>
      <w:r w:rsidRPr="00BF61D3">
        <w:rPr>
          <w:lang w:val="es-ES"/>
        </w:rPr>
        <w:t xml:space="preserve">con AR temprana de moderada a </w:t>
      </w:r>
      <w:r>
        <w:rPr>
          <w:lang w:val="es-ES"/>
        </w:rPr>
        <w:t>grave</w:t>
      </w:r>
      <w:r w:rsidRPr="00BF61D3">
        <w:rPr>
          <w:lang w:val="es-ES"/>
        </w:rPr>
        <w:t xml:space="preserve"> </w:t>
      </w:r>
      <w:r w:rsidRPr="00E67AA6">
        <w:rPr>
          <w:lang w:val="es-ES"/>
        </w:rPr>
        <w:t>no</w:t>
      </w:r>
      <w:r w:rsidRPr="00BF61D3">
        <w:rPr>
          <w:lang w:val="es-ES"/>
        </w:rPr>
        <w:t xml:space="preserve"> </w:t>
      </w:r>
      <w:r w:rsidRPr="00E67AA6">
        <w:rPr>
          <w:lang w:val="es-ES"/>
        </w:rPr>
        <w:t>tratados previamente con MTX (duraci</w:t>
      </w:r>
      <w:r w:rsidRPr="00BF61D3">
        <w:rPr>
          <w:lang w:val="es-ES"/>
        </w:rPr>
        <w:t xml:space="preserve">ón media de la enfermedad </w:t>
      </w:r>
      <w:r w:rsidRPr="00BF61D3">
        <w:rPr>
          <w:u w:val="single"/>
          <w:lang w:val="es-ES"/>
        </w:rPr>
        <w:t>≤</w:t>
      </w:r>
      <w:r w:rsidRPr="00BF61D3">
        <w:rPr>
          <w:lang w:val="es-ES"/>
        </w:rPr>
        <w:t xml:space="preserve"> 6</w:t>
      </w:r>
      <w:r w:rsidR="00205482" w:rsidRPr="00F30AB8">
        <w:rPr>
          <w:szCs w:val="22"/>
          <w:lang w:val="es-ES"/>
        </w:rPr>
        <w:t> </w:t>
      </w:r>
      <w:del w:id="429" w:author="AUTHOR">
        <w:r w:rsidR="00205482" w:rsidRPr="00BF61D3" w:rsidDel="00F61C2E">
          <w:rPr>
            <w:lang w:val="es-ES"/>
          </w:rPr>
          <w:delText xml:space="preserve"> </w:delText>
        </w:r>
      </w:del>
      <w:r w:rsidRPr="00BF61D3">
        <w:rPr>
          <w:lang w:val="es-ES"/>
        </w:rPr>
        <w:t>meses). Aproximadamen</w:t>
      </w:r>
      <w:r w:rsidRPr="00E67AA6">
        <w:rPr>
          <w:lang w:val="es-ES"/>
        </w:rPr>
        <w:t xml:space="preserve">te el </w:t>
      </w:r>
      <w:proofErr w:type="gramStart"/>
      <w:r w:rsidRPr="00E67AA6">
        <w:rPr>
          <w:lang w:val="es-ES"/>
        </w:rPr>
        <w:t>20</w:t>
      </w:r>
      <w:ins w:id="430" w:author="AUTHOR">
        <w:r w:rsidR="003E29DD" w:rsidRPr="00467FFD">
          <w:rPr>
            <w:rFonts w:eastAsia="SimSun"/>
            <w:bCs/>
            <w:iCs/>
            <w:sz w:val="18"/>
            <w:szCs w:val="18"/>
            <w:lang w:val="es-ES"/>
            <w:rPrChange w:id="431" w:author="AUTHOR">
              <w:rPr>
                <w:rFonts w:eastAsia="SimSun"/>
                <w:bCs/>
                <w:iCs/>
                <w:sz w:val="18"/>
                <w:szCs w:val="18"/>
                <w:lang w:val="en-GB"/>
              </w:rPr>
            </w:rPrChange>
          </w:rPr>
          <w:t> </w:t>
        </w:r>
        <w:r w:rsidR="003E29DD" w:rsidRPr="00E67AA6">
          <w:rPr>
            <w:lang w:val="es-ES"/>
          </w:rPr>
          <w:t xml:space="preserve"> </w:t>
        </w:r>
      </w:ins>
      <w:r w:rsidRPr="00E67AA6">
        <w:rPr>
          <w:lang w:val="es-ES"/>
        </w:rPr>
        <w:t>%</w:t>
      </w:r>
      <w:proofErr w:type="gramEnd"/>
      <w:r w:rsidRPr="00E67AA6">
        <w:rPr>
          <w:lang w:val="es-ES"/>
        </w:rPr>
        <w:t xml:space="preserve"> de los pacientes habían recibido tratamiento previo con FAMEs distintos </w:t>
      </w:r>
      <w:r>
        <w:rPr>
          <w:lang w:val="es-ES"/>
        </w:rPr>
        <w:t>a</w:t>
      </w:r>
      <w:r w:rsidRPr="00BF61D3">
        <w:rPr>
          <w:lang w:val="es-ES"/>
        </w:rPr>
        <w:t xml:space="preserve"> MTX. Este </w:t>
      </w:r>
      <w:del w:id="432" w:author="AUTHOR">
        <w:r w:rsidRPr="00E67AA6" w:rsidDel="00D920F0">
          <w:rPr>
            <w:lang w:val="es-ES"/>
          </w:rPr>
          <w:delText xml:space="preserve">estudio </w:delText>
        </w:r>
      </w:del>
      <w:ins w:id="433" w:author="AUTHOR">
        <w:r w:rsidR="00D920F0">
          <w:rPr>
            <w:lang w:val="es-ES"/>
          </w:rPr>
          <w:t>ensayo</w:t>
        </w:r>
        <w:r w:rsidR="00D920F0" w:rsidRPr="00E67AA6">
          <w:rPr>
            <w:lang w:val="es-ES"/>
          </w:rPr>
          <w:t xml:space="preserve"> </w:t>
        </w:r>
      </w:ins>
      <w:r w:rsidRPr="00E67AA6">
        <w:rPr>
          <w:lang w:val="es-ES"/>
        </w:rPr>
        <w:t xml:space="preserve">evaluó la eficacia </w:t>
      </w:r>
      <w:r>
        <w:rPr>
          <w:lang w:val="es-ES"/>
        </w:rPr>
        <w:t xml:space="preserve">en </w:t>
      </w:r>
      <w:r w:rsidRPr="00FB335F">
        <w:rPr>
          <w:lang w:val="es-ES"/>
        </w:rPr>
        <w:t>la reducción de los signos y síntomas y la tasa de progresión del daño articular</w:t>
      </w:r>
      <w:r w:rsidRPr="00BF61D3">
        <w:rPr>
          <w:lang w:val="es-ES"/>
        </w:rPr>
        <w:t xml:space="preserve"> de tocilizumab </w:t>
      </w:r>
      <w:r w:rsidR="00E965B3">
        <w:rPr>
          <w:lang w:val="es-ES"/>
        </w:rPr>
        <w:t>intravenoso</w:t>
      </w:r>
      <w:r w:rsidRPr="00BF61D3">
        <w:rPr>
          <w:lang w:val="es-ES"/>
        </w:rPr>
        <w:t xml:space="preserve">  4 u 8 mg/k</w:t>
      </w:r>
      <w:r w:rsidRPr="00E67AA6">
        <w:rPr>
          <w:lang w:val="es-ES"/>
        </w:rPr>
        <w:t>g en combinación con MTX cada 4</w:t>
      </w:r>
      <w:r w:rsidR="00205482" w:rsidRPr="00F30AB8">
        <w:rPr>
          <w:szCs w:val="22"/>
          <w:lang w:val="es-ES"/>
        </w:rPr>
        <w:t> </w:t>
      </w:r>
      <w:r w:rsidR="00205482" w:rsidRPr="00E67AA6" w:rsidDel="00205482">
        <w:rPr>
          <w:lang w:val="es-ES"/>
        </w:rPr>
        <w:t xml:space="preserve"> </w:t>
      </w:r>
      <w:r w:rsidRPr="00E67AA6">
        <w:rPr>
          <w:lang w:val="es-ES"/>
        </w:rPr>
        <w:t xml:space="preserve">semanas, </w:t>
      </w:r>
      <w:r>
        <w:rPr>
          <w:lang w:val="es-ES"/>
        </w:rPr>
        <w:t xml:space="preserve">frente </w:t>
      </w:r>
      <w:r w:rsidRPr="00BF61D3">
        <w:rPr>
          <w:lang w:val="es-ES"/>
        </w:rPr>
        <w:t xml:space="preserve">tocilizumab </w:t>
      </w:r>
      <w:r w:rsidR="00E965B3">
        <w:rPr>
          <w:lang w:val="es-ES"/>
        </w:rPr>
        <w:t>intravenoso</w:t>
      </w:r>
      <w:r w:rsidRPr="00BF61D3">
        <w:rPr>
          <w:lang w:val="es-ES"/>
        </w:rPr>
        <w:t xml:space="preserve"> 8 mg/kg en </w:t>
      </w:r>
      <w:r w:rsidRPr="00E67AA6">
        <w:rPr>
          <w:lang w:val="es-ES"/>
        </w:rPr>
        <w:t xml:space="preserve">monoterapia y </w:t>
      </w:r>
      <w:r>
        <w:rPr>
          <w:lang w:val="es-ES"/>
        </w:rPr>
        <w:t xml:space="preserve">frente a </w:t>
      </w:r>
      <w:r w:rsidRPr="00BF61D3">
        <w:rPr>
          <w:lang w:val="es-ES"/>
        </w:rPr>
        <w:t>MTX en monoterapia</w:t>
      </w:r>
      <w:r>
        <w:rPr>
          <w:lang w:val="es-ES"/>
        </w:rPr>
        <w:t>,</w:t>
      </w:r>
      <w:r w:rsidRPr="00BF61D3">
        <w:rPr>
          <w:lang w:val="es-ES"/>
        </w:rPr>
        <w:t xml:space="preserve"> </w:t>
      </w:r>
      <w:r>
        <w:rPr>
          <w:lang w:val="es-ES"/>
        </w:rPr>
        <w:t>hasta la semana</w:t>
      </w:r>
      <w:r w:rsidR="00205482" w:rsidRPr="00F30AB8">
        <w:rPr>
          <w:szCs w:val="22"/>
          <w:lang w:val="es-ES"/>
        </w:rPr>
        <w:t> </w:t>
      </w:r>
      <w:r w:rsidR="00205482" w:rsidDel="00205482">
        <w:rPr>
          <w:lang w:val="es-ES"/>
        </w:rPr>
        <w:t xml:space="preserve"> </w:t>
      </w:r>
      <w:r w:rsidRPr="00BF61D3">
        <w:rPr>
          <w:lang w:val="es-ES"/>
        </w:rPr>
        <w:t xml:space="preserve">104. La variable </w:t>
      </w:r>
      <w:ins w:id="434" w:author="AUTHOR">
        <w:r w:rsidR="00613A5B" w:rsidRPr="00613A5B">
          <w:rPr>
            <w:lang w:val="es-ES"/>
          </w:rPr>
          <w:t>principal</w:t>
        </w:r>
      </w:ins>
      <w:del w:id="435" w:author="AUTHOR">
        <w:r w:rsidRPr="00BF61D3" w:rsidDel="00613A5B">
          <w:rPr>
            <w:lang w:val="es-ES"/>
          </w:rPr>
          <w:delText>pri</w:delText>
        </w:r>
        <w:r w:rsidDel="00613A5B">
          <w:rPr>
            <w:lang w:val="es-ES"/>
          </w:rPr>
          <w:delText>maria</w:delText>
        </w:r>
      </w:del>
      <w:r w:rsidRPr="00BF61D3">
        <w:rPr>
          <w:lang w:val="es-ES"/>
        </w:rPr>
        <w:t xml:space="preserve"> </w:t>
      </w:r>
      <w:r w:rsidRPr="00E67AA6">
        <w:rPr>
          <w:lang w:val="es-ES"/>
        </w:rPr>
        <w:t>fue la proporción de pacientes que lograron la remisión DAS28 en la semana</w:t>
      </w:r>
      <w:r w:rsidR="00205482" w:rsidRPr="00F30AB8">
        <w:rPr>
          <w:szCs w:val="22"/>
          <w:lang w:val="es-ES"/>
        </w:rPr>
        <w:t> </w:t>
      </w:r>
      <w:r w:rsidR="00205482" w:rsidRPr="00E67AA6" w:rsidDel="00205482">
        <w:rPr>
          <w:lang w:val="es-ES"/>
        </w:rPr>
        <w:t xml:space="preserve"> </w:t>
      </w:r>
      <w:r w:rsidRPr="00E67AA6">
        <w:rPr>
          <w:lang w:val="es-ES"/>
        </w:rPr>
        <w:t>24 (DAS28</w:t>
      </w:r>
      <w:r w:rsidR="00205482" w:rsidRPr="00F30AB8">
        <w:rPr>
          <w:szCs w:val="22"/>
          <w:lang w:val="es-ES"/>
        </w:rPr>
        <w:t> </w:t>
      </w:r>
      <w:r w:rsidR="00205482" w:rsidRPr="00E67AA6" w:rsidDel="00205482">
        <w:rPr>
          <w:lang w:val="es-ES"/>
        </w:rPr>
        <w:t xml:space="preserve"> </w:t>
      </w:r>
      <w:r w:rsidRPr="00E67AA6">
        <w:rPr>
          <w:lang w:val="es-ES"/>
        </w:rPr>
        <w:t>&lt;</w:t>
      </w:r>
      <w:r w:rsidR="00205482" w:rsidRPr="00F30AB8">
        <w:rPr>
          <w:szCs w:val="22"/>
          <w:lang w:val="es-ES"/>
        </w:rPr>
        <w:t> </w:t>
      </w:r>
      <w:r w:rsidR="00205482" w:rsidRPr="00E67AA6" w:rsidDel="00205482">
        <w:rPr>
          <w:lang w:val="es-ES"/>
        </w:rPr>
        <w:t xml:space="preserve"> </w:t>
      </w:r>
      <w:r w:rsidRPr="00E67AA6">
        <w:rPr>
          <w:lang w:val="es-ES"/>
        </w:rPr>
        <w:t xml:space="preserve">2,6). </w:t>
      </w:r>
      <w:r>
        <w:rPr>
          <w:lang w:val="es-ES"/>
        </w:rPr>
        <w:t xml:space="preserve"> La variable principal se alcanz</w:t>
      </w:r>
      <w:r w:rsidR="008828F7">
        <w:rPr>
          <w:lang w:val="es-ES"/>
        </w:rPr>
        <w:t>ó</w:t>
      </w:r>
      <w:r>
        <w:rPr>
          <w:lang w:val="es-ES"/>
        </w:rPr>
        <w:t xml:space="preserve"> con u</w:t>
      </w:r>
      <w:r w:rsidRPr="00BF61D3">
        <w:rPr>
          <w:lang w:val="es-ES"/>
        </w:rPr>
        <w:t xml:space="preserve">na </w:t>
      </w:r>
      <w:r w:rsidR="00305486">
        <w:rPr>
          <w:lang w:val="es-ES"/>
        </w:rPr>
        <w:t>pro</w:t>
      </w:r>
      <w:r w:rsidRPr="00BF61D3">
        <w:rPr>
          <w:lang w:val="es-ES"/>
        </w:rPr>
        <w:t xml:space="preserve">porción significativamente mayor de pacientes </w:t>
      </w:r>
      <w:r w:rsidR="00697510">
        <w:rPr>
          <w:lang w:val="es-ES"/>
        </w:rPr>
        <w:t xml:space="preserve">en </w:t>
      </w:r>
      <w:r>
        <w:rPr>
          <w:lang w:val="es-ES"/>
        </w:rPr>
        <w:t xml:space="preserve">el grupo de </w:t>
      </w:r>
      <w:r w:rsidRPr="00BF61D3">
        <w:rPr>
          <w:lang w:val="es-ES"/>
        </w:rPr>
        <w:t xml:space="preserve">tocilizumab </w:t>
      </w:r>
      <w:proofErr w:type="gramStart"/>
      <w:r w:rsidRPr="00BF61D3">
        <w:rPr>
          <w:lang w:val="es-ES"/>
        </w:rPr>
        <w:t>8</w:t>
      </w:r>
      <w:r w:rsidR="00205482" w:rsidRPr="00F30AB8">
        <w:rPr>
          <w:szCs w:val="22"/>
          <w:lang w:val="es-ES"/>
        </w:rPr>
        <w:t> </w:t>
      </w:r>
      <w:r w:rsidR="00205482" w:rsidRPr="00BF61D3" w:rsidDel="00205482">
        <w:rPr>
          <w:lang w:val="es-ES"/>
        </w:rPr>
        <w:t xml:space="preserve"> </w:t>
      </w:r>
      <w:r w:rsidRPr="00BF61D3">
        <w:rPr>
          <w:lang w:val="es-ES"/>
        </w:rPr>
        <w:t>mg</w:t>
      </w:r>
      <w:proofErr w:type="gramEnd"/>
      <w:r w:rsidRPr="00BF61D3">
        <w:rPr>
          <w:lang w:val="es-ES"/>
        </w:rPr>
        <w:t xml:space="preserve">/kg + MTX y </w:t>
      </w:r>
      <w:r w:rsidR="00697510">
        <w:rPr>
          <w:lang w:val="es-ES"/>
        </w:rPr>
        <w:t xml:space="preserve">en </w:t>
      </w:r>
      <w:r>
        <w:rPr>
          <w:lang w:val="es-ES"/>
        </w:rPr>
        <w:t xml:space="preserve">el grupo de tocilizumab en monoterapia comparado con el grupo de MTX en </w:t>
      </w:r>
      <w:r w:rsidRPr="00E67AA6">
        <w:rPr>
          <w:lang w:val="es-ES"/>
        </w:rPr>
        <w:t>monoterapia</w:t>
      </w:r>
      <w:r w:rsidRPr="00BF61D3">
        <w:rPr>
          <w:lang w:val="es-ES"/>
        </w:rPr>
        <w:t xml:space="preserve">. </w:t>
      </w:r>
      <w:r>
        <w:rPr>
          <w:lang w:val="es-ES"/>
        </w:rPr>
        <w:t xml:space="preserve">El grupo de pacientes tratados con tocilizumab </w:t>
      </w:r>
      <w:proofErr w:type="gramStart"/>
      <w:r>
        <w:rPr>
          <w:lang w:val="es-ES"/>
        </w:rPr>
        <w:t>8</w:t>
      </w:r>
      <w:r w:rsidR="00205482" w:rsidRPr="00F30AB8">
        <w:rPr>
          <w:szCs w:val="22"/>
          <w:lang w:val="es-ES"/>
        </w:rPr>
        <w:t> </w:t>
      </w:r>
      <w:r w:rsidR="00205482">
        <w:rPr>
          <w:lang w:val="es-ES"/>
        </w:rPr>
        <w:t xml:space="preserve"> </w:t>
      </w:r>
      <w:r>
        <w:rPr>
          <w:lang w:val="es-ES"/>
        </w:rPr>
        <w:t>mg</w:t>
      </w:r>
      <w:proofErr w:type="gramEnd"/>
      <w:r>
        <w:rPr>
          <w:lang w:val="es-ES"/>
        </w:rPr>
        <w:t>/kg+MTX tamb</w:t>
      </w:r>
      <w:r w:rsidR="008641D3">
        <w:rPr>
          <w:lang w:val="es-ES"/>
        </w:rPr>
        <w:t>ién mostró</w:t>
      </w:r>
      <w:r>
        <w:rPr>
          <w:lang w:val="es-ES"/>
        </w:rPr>
        <w:t xml:space="preserve"> una diferencia estadísticamente significativa en los resultados de las variables secundarias.</w:t>
      </w:r>
      <w:r w:rsidRPr="00E67AA6">
        <w:rPr>
          <w:lang w:val="es-ES"/>
        </w:rPr>
        <w:t xml:space="preserve"> Se observó una mayor respuesta en todas las variables secundarias para tocilizumab 8</w:t>
      </w:r>
      <w:r w:rsidR="00205482" w:rsidRPr="00F30AB8">
        <w:rPr>
          <w:szCs w:val="22"/>
          <w:lang w:val="es-ES"/>
        </w:rPr>
        <w:t> </w:t>
      </w:r>
      <w:r w:rsidR="00205482" w:rsidRPr="00E67AA6" w:rsidDel="00205482">
        <w:rPr>
          <w:lang w:val="es-ES"/>
        </w:rPr>
        <w:t xml:space="preserve"> </w:t>
      </w:r>
      <w:r w:rsidRPr="00E67AA6">
        <w:rPr>
          <w:lang w:val="es-ES"/>
        </w:rPr>
        <w:t xml:space="preserve">mg/kg </w:t>
      </w:r>
      <w:r>
        <w:rPr>
          <w:lang w:val="es-ES"/>
        </w:rPr>
        <w:t>en monoterap</w:t>
      </w:r>
      <w:r w:rsidR="008641D3">
        <w:rPr>
          <w:lang w:val="es-ES"/>
        </w:rPr>
        <w:t>i</w:t>
      </w:r>
      <w:r>
        <w:rPr>
          <w:lang w:val="es-ES"/>
        </w:rPr>
        <w:t xml:space="preserve">a comparado </w:t>
      </w:r>
      <w:r w:rsidRPr="00BF61D3">
        <w:rPr>
          <w:lang w:val="es-ES"/>
        </w:rPr>
        <w:t>con MTX monoterapia, incluido</w:t>
      </w:r>
      <w:r w:rsidRPr="00E67AA6">
        <w:rPr>
          <w:lang w:val="es-ES"/>
        </w:rPr>
        <w:t xml:space="preserve"> l</w:t>
      </w:r>
      <w:ins w:id="436" w:author="AUTHOR">
        <w:r w:rsidR="00EB1877">
          <w:rPr>
            <w:lang w:val="es-ES"/>
          </w:rPr>
          <w:t>a</w:t>
        </w:r>
      </w:ins>
      <w:del w:id="437" w:author="AUTHOR">
        <w:r w:rsidRPr="00E67AA6" w:rsidDel="00EB1877">
          <w:rPr>
            <w:lang w:val="es-ES"/>
          </w:rPr>
          <w:delText>o</w:delText>
        </w:r>
      </w:del>
      <w:r w:rsidRPr="00E67AA6">
        <w:rPr>
          <w:lang w:val="es-ES"/>
        </w:rPr>
        <w:t xml:space="preserve">s </w:t>
      </w:r>
      <w:del w:id="438" w:author="AUTHOR">
        <w:r w:rsidDel="00EB1877">
          <w:rPr>
            <w:lang w:val="es-ES"/>
          </w:rPr>
          <w:delText xml:space="preserve">resultados </w:delText>
        </w:r>
      </w:del>
      <w:ins w:id="439" w:author="AUTHOR">
        <w:r w:rsidR="00EB1877">
          <w:rPr>
            <w:lang w:val="es-ES"/>
          </w:rPr>
          <w:t xml:space="preserve">variables </w:t>
        </w:r>
      </w:ins>
      <w:del w:id="440" w:author="AUTHOR">
        <w:r w:rsidRPr="00BF61D3" w:rsidDel="00EB1877">
          <w:rPr>
            <w:lang w:val="es-ES"/>
          </w:rPr>
          <w:delText>radiográficos</w:delText>
        </w:r>
      </w:del>
      <w:ins w:id="441" w:author="AUTHOR">
        <w:r w:rsidR="00EB1877" w:rsidRPr="00BF61D3">
          <w:rPr>
            <w:lang w:val="es-ES"/>
          </w:rPr>
          <w:t>radiográfic</w:t>
        </w:r>
        <w:r w:rsidR="00EB1877">
          <w:rPr>
            <w:lang w:val="es-ES"/>
          </w:rPr>
          <w:t>a</w:t>
        </w:r>
        <w:r w:rsidR="00EB1877" w:rsidRPr="00BF61D3">
          <w:rPr>
            <w:lang w:val="es-ES"/>
          </w:rPr>
          <w:t>s</w:t>
        </w:r>
      </w:ins>
      <w:r>
        <w:rPr>
          <w:lang w:val="es-ES"/>
        </w:rPr>
        <w:t xml:space="preserve">. En este </w:t>
      </w:r>
      <w:del w:id="442" w:author="AUTHOR">
        <w:r w:rsidDel="006C4AF1">
          <w:rPr>
            <w:lang w:val="es-ES"/>
          </w:rPr>
          <w:delText>estudio</w:delText>
        </w:r>
      </w:del>
      <w:ins w:id="443" w:author="AUTHOR">
        <w:r w:rsidR="006C4AF1">
          <w:rPr>
            <w:lang w:val="es-ES"/>
          </w:rPr>
          <w:t>ensayo</w:t>
        </w:r>
      </w:ins>
      <w:r>
        <w:rPr>
          <w:lang w:val="es-ES"/>
        </w:rPr>
        <w:t>, se analizó también la remisión ACR/EULAR (Boolean</w:t>
      </w:r>
      <w:ins w:id="444" w:author="AUTHOR">
        <w:r w:rsidR="006B0592">
          <w:rPr>
            <w:lang w:val="es-ES"/>
          </w:rPr>
          <w:t>a</w:t>
        </w:r>
      </w:ins>
      <w:r>
        <w:rPr>
          <w:lang w:val="es-ES"/>
        </w:rPr>
        <w:t xml:space="preserve"> e Index) en las variables exploratorias </w:t>
      </w:r>
      <w:ins w:id="445" w:author="AUTHOR">
        <w:r w:rsidR="00093BA7" w:rsidRPr="00093BA7">
          <w:rPr>
            <w:lang w:val="es-ES"/>
          </w:rPr>
          <w:t>previamente especificadas</w:t>
        </w:r>
        <w:r w:rsidR="00093BA7">
          <w:rPr>
            <w:lang w:val="es-ES"/>
          </w:rPr>
          <w:t xml:space="preserve"> </w:t>
        </w:r>
      </w:ins>
      <w:r>
        <w:rPr>
          <w:lang w:val="es-ES"/>
        </w:rPr>
        <w:t xml:space="preserve">y las respuestas más altas se observaron en los grupos de tocilizumab. </w:t>
      </w:r>
      <w:r w:rsidRPr="00BF61D3">
        <w:rPr>
          <w:lang w:val="es-ES"/>
        </w:rPr>
        <w:t xml:space="preserve">Los resultados del </w:t>
      </w:r>
      <w:del w:id="446" w:author="AUTHOR">
        <w:r w:rsidRPr="00BF61D3" w:rsidDel="006C4AF1">
          <w:rPr>
            <w:lang w:val="es-ES"/>
          </w:rPr>
          <w:delText xml:space="preserve">estudio </w:delText>
        </w:r>
      </w:del>
      <w:ins w:id="447" w:author="AUTHOR">
        <w:r w:rsidR="006C4AF1">
          <w:rPr>
            <w:lang w:val="es-ES"/>
          </w:rPr>
          <w:t>ensayo</w:t>
        </w:r>
        <w:r w:rsidR="006C4AF1" w:rsidRPr="00BF61D3">
          <w:rPr>
            <w:lang w:val="es-ES"/>
          </w:rPr>
          <w:t xml:space="preserve"> </w:t>
        </w:r>
      </w:ins>
      <w:r w:rsidRPr="00BF61D3">
        <w:rPr>
          <w:lang w:val="es-ES"/>
        </w:rPr>
        <w:t>VII se muestran en la Tabla</w:t>
      </w:r>
      <w:r w:rsidR="00E965B3">
        <w:rPr>
          <w:lang w:val="es-ES"/>
        </w:rPr>
        <w:t> </w:t>
      </w:r>
      <w:r w:rsidR="0085789E">
        <w:rPr>
          <w:lang w:val="es-ES"/>
        </w:rPr>
        <w:t>7</w:t>
      </w:r>
      <w:r w:rsidRPr="00BF61D3">
        <w:rPr>
          <w:lang w:val="es-ES"/>
        </w:rPr>
        <w:t>.</w:t>
      </w:r>
    </w:p>
    <w:p w14:paraId="19090BC2" w14:textId="77777777" w:rsidR="00170812" w:rsidRDefault="00170812" w:rsidP="00170812">
      <w:pPr>
        <w:rPr>
          <w:lang w:val="es-ES"/>
        </w:rPr>
      </w:pPr>
    </w:p>
    <w:p w14:paraId="0B14D909" w14:textId="77777777" w:rsidR="00170812" w:rsidRPr="006616E4" w:rsidRDefault="00170812" w:rsidP="00F30AB8">
      <w:pPr>
        <w:keepNext/>
        <w:keepLines/>
        <w:rPr>
          <w:i/>
          <w:lang w:val="es-ES"/>
        </w:rPr>
      </w:pPr>
      <w:r w:rsidRPr="006616E4">
        <w:rPr>
          <w:i/>
          <w:lang w:val="es-ES"/>
        </w:rPr>
        <w:lastRenderedPageBreak/>
        <w:t xml:space="preserve">Tabla </w:t>
      </w:r>
      <w:r w:rsidR="0085789E">
        <w:rPr>
          <w:i/>
          <w:lang w:val="es-ES"/>
        </w:rPr>
        <w:t>7</w:t>
      </w:r>
      <w:r w:rsidRPr="006616E4">
        <w:rPr>
          <w:i/>
          <w:lang w:val="es-ES"/>
        </w:rPr>
        <w:t>:</w:t>
      </w:r>
      <w:r w:rsidRPr="006616E4">
        <w:rPr>
          <w:i/>
          <w:lang w:val="es-ES"/>
        </w:rPr>
        <w:tab/>
        <w:t xml:space="preserve">Resultados de Eficacia para el ensayo VII (WA19926) para pacientes sin tratamiento previo con MTX, AR precoz </w:t>
      </w:r>
    </w:p>
    <w:p w14:paraId="39D6F3A7" w14:textId="77777777" w:rsidR="00170812" w:rsidRDefault="00170812" w:rsidP="00F30AB8">
      <w:pPr>
        <w:keepNext/>
        <w:keepLines/>
        <w:rPr>
          <w:b/>
          <w:lang w:val="es-ES"/>
        </w:rPr>
      </w:pPr>
    </w:p>
    <w:tbl>
      <w:tblPr>
        <w:tblW w:w="9499" w:type="dxa"/>
        <w:tblInd w:w="58" w:type="dxa"/>
        <w:tblLayout w:type="fixed"/>
        <w:tblCellMar>
          <w:left w:w="0" w:type="dxa"/>
          <w:right w:w="0" w:type="dxa"/>
        </w:tblCellMar>
        <w:tblLook w:val="04A0" w:firstRow="1" w:lastRow="0" w:firstColumn="1" w:lastColumn="0" w:noHBand="0" w:noVBand="1"/>
      </w:tblPr>
      <w:tblGrid>
        <w:gridCol w:w="1842"/>
        <w:gridCol w:w="1844"/>
        <w:gridCol w:w="424"/>
        <w:gridCol w:w="1421"/>
        <w:gridCol w:w="1418"/>
        <w:gridCol w:w="1558"/>
        <w:gridCol w:w="992"/>
      </w:tblGrid>
      <w:tr w:rsidR="00170812" w14:paraId="76B93679" w14:textId="77777777" w:rsidTr="006616E4">
        <w:trPr>
          <w:cantSplit/>
        </w:trPr>
        <w:tc>
          <w:tcPr>
            <w:tcW w:w="3686" w:type="dxa"/>
            <w:gridSpan w:val="2"/>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64E2F27" w14:textId="77777777" w:rsidR="00170812" w:rsidRDefault="00170812" w:rsidP="00F30AB8">
            <w:pPr>
              <w:keepNext/>
              <w:keepLines/>
              <w:rPr>
                <w:rFonts w:eastAsia="MS Mincho"/>
                <w:sz w:val="20"/>
                <w:lang w:val="es-ES" w:eastAsia="zh-TW"/>
              </w:rPr>
            </w:pPr>
          </w:p>
          <w:p w14:paraId="0073AAB6" w14:textId="77777777" w:rsidR="00170812" w:rsidRPr="00E67AA6" w:rsidRDefault="00170812" w:rsidP="00F30AB8">
            <w:pPr>
              <w:keepNext/>
              <w:keepLines/>
              <w:rPr>
                <w:rFonts w:eastAsia="MS Mincho"/>
                <w:sz w:val="20"/>
                <w:lang w:val="es-ES" w:eastAsia="zh-TW"/>
              </w:rPr>
            </w:pPr>
          </w:p>
        </w:tc>
        <w:tc>
          <w:tcPr>
            <w:tcW w:w="1845" w:type="dxa"/>
            <w:gridSpan w:val="2"/>
            <w:tcBorders>
              <w:top w:val="single" w:sz="8" w:space="0" w:color="auto"/>
              <w:left w:val="nil"/>
              <w:bottom w:val="single" w:sz="8" w:space="0" w:color="auto"/>
              <w:right w:val="nil"/>
            </w:tcBorders>
            <w:tcMar>
              <w:top w:w="0" w:type="dxa"/>
              <w:left w:w="57" w:type="dxa"/>
              <w:bottom w:w="0" w:type="dxa"/>
              <w:right w:w="57" w:type="dxa"/>
            </w:tcMar>
            <w:vAlign w:val="bottom"/>
          </w:tcPr>
          <w:p w14:paraId="7068BCCA" w14:textId="77777777" w:rsidR="00170812" w:rsidRPr="006616E4" w:rsidRDefault="00170812" w:rsidP="006435E6">
            <w:pPr>
              <w:keepNext/>
              <w:keepLines/>
              <w:spacing w:before="50" w:after="50" w:line="240" w:lineRule="exact"/>
              <w:jc w:val="center"/>
              <w:rPr>
                <w:rFonts w:eastAsia="SimSun"/>
                <w:b/>
                <w:sz w:val="18"/>
                <w:szCs w:val="18"/>
                <w:lang w:val="pt-BR" w:eastAsia="zh-CN"/>
              </w:rPr>
            </w:pPr>
            <w:r w:rsidRPr="006616E4">
              <w:rPr>
                <w:rFonts w:eastAsia="SimSun"/>
                <w:b/>
                <w:sz w:val="18"/>
                <w:szCs w:val="18"/>
                <w:lang w:val="pt-BR" w:eastAsia="zh-CN"/>
              </w:rPr>
              <w:t>TCZ 8 mg/kg + MTX</w:t>
            </w:r>
          </w:p>
          <w:p w14:paraId="7D1F85D2" w14:textId="5116B22F" w:rsidR="00170812" w:rsidRPr="006616E4" w:rsidRDefault="00170812" w:rsidP="006435E6">
            <w:pPr>
              <w:keepNext/>
              <w:keepLines/>
              <w:spacing w:before="50" w:after="50" w:line="240" w:lineRule="exact"/>
              <w:jc w:val="center"/>
              <w:rPr>
                <w:rFonts w:eastAsia="SimSun"/>
                <w:b/>
                <w:sz w:val="18"/>
                <w:szCs w:val="18"/>
                <w:lang w:val="pt-BR" w:eastAsia="zh-CN"/>
              </w:rPr>
            </w:pPr>
            <w:del w:id="448" w:author="AUTHOR">
              <w:r w:rsidRPr="006616E4" w:rsidDel="003E29DD">
                <w:rPr>
                  <w:rFonts w:eastAsia="SimSun"/>
                  <w:b/>
                  <w:sz w:val="18"/>
                  <w:szCs w:val="18"/>
                  <w:lang w:val="pt-BR" w:eastAsia="zh-CN"/>
                </w:rPr>
                <w:delText>N</w:delText>
              </w:r>
            </w:del>
            <w:ins w:id="449" w:author="AUTHOR">
              <w:r w:rsidR="003E29DD">
                <w:rPr>
                  <w:rFonts w:eastAsia="SimSun"/>
                  <w:b/>
                  <w:sz w:val="18"/>
                  <w:szCs w:val="18"/>
                  <w:lang w:val="pt-BR" w:eastAsia="zh-CN"/>
                </w:rPr>
                <w:t>n</w:t>
              </w:r>
              <w:r w:rsidR="003E29DD" w:rsidRPr="00467FFD">
                <w:rPr>
                  <w:rFonts w:eastAsia="SimSun"/>
                  <w:bCs/>
                  <w:iCs/>
                  <w:sz w:val="18"/>
                  <w:szCs w:val="18"/>
                  <w:lang w:val="es-ES"/>
                  <w:rPrChange w:id="450" w:author="AUTHOR">
                    <w:rPr>
                      <w:rFonts w:eastAsia="SimSun"/>
                      <w:bCs/>
                      <w:iCs/>
                      <w:sz w:val="18"/>
                      <w:szCs w:val="18"/>
                      <w:lang w:val="en-GB"/>
                    </w:rPr>
                  </w:rPrChange>
                </w:rPr>
                <w:t> </w:t>
              </w:r>
              <w:r w:rsidR="003E29DD" w:rsidRPr="006616E4">
                <w:rPr>
                  <w:rFonts w:eastAsia="SimSun"/>
                  <w:b/>
                  <w:sz w:val="18"/>
                  <w:szCs w:val="18"/>
                  <w:lang w:val="pt-BR" w:eastAsia="zh-CN"/>
                </w:rPr>
                <w:t xml:space="preserve"> </w:t>
              </w:r>
            </w:ins>
            <w:r w:rsidRPr="006616E4">
              <w:rPr>
                <w:rFonts w:eastAsia="SimSun"/>
                <w:b/>
                <w:sz w:val="18"/>
                <w:szCs w:val="18"/>
                <w:lang w:val="pt-BR" w:eastAsia="zh-CN"/>
              </w:rPr>
              <w:t>=</w:t>
            </w:r>
            <w:ins w:id="451" w:author="AUTHOR">
              <w:r w:rsidR="003E29DD" w:rsidRPr="00467FFD">
                <w:rPr>
                  <w:rFonts w:eastAsia="SimSun"/>
                  <w:bCs/>
                  <w:iCs/>
                  <w:sz w:val="18"/>
                  <w:szCs w:val="18"/>
                  <w:lang w:val="es-ES"/>
                  <w:rPrChange w:id="452" w:author="AUTHOR">
                    <w:rPr>
                      <w:rFonts w:eastAsia="SimSun"/>
                      <w:bCs/>
                      <w:iCs/>
                      <w:sz w:val="18"/>
                      <w:szCs w:val="18"/>
                      <w:lang w:val="en-GB"/>
                    </w:rPr>
                  </w:rPrChange>
                </w:rPr>
                <w:t> </w:t>
              </w:r>
              <w:r w:rsidR="003E29DD" w:rsidRPr="006616E4">
                <w:rPr>
                  <w:rFonts w:eastAsia="SimSun"/>
                  <w:b/>
                  <w:sz w:val="18"/>
                  <w:szCs w:val="18"/>
                  <w:lang w:val="pt-BR" w:eastAsia="zh-CN"/>
                </w:rPr>
                <w:t xml:space="preserve"> </w:t>
              </w:r>
            </w:ins>
            <w:r w:rsidRPr="006616E4">
              <w:rPr>
                <w:rFonts w:eastAsia="SimSun"/>
                <w:b/>
                <w:sz w:val="18"/>
                <w:szCs w:val="18"/>
                <w:lang w:val="pt-BR" w:eastAsia="zh-CN"/>
              </w:rPr>
              <w:t>290</w:t>
            </w:r>
          </w:p>
        </w:tc>
        <w:tc>
          <w:tcPr>
            <w:tcW w:w="1418" w:type="dxa"/>
            <w:tcBorders>
              <w:top w:val="single" w:sz="8" w:space="0" w:color="auto"/>
              <w:left w:val="nil"/>
              <w:bottom w:val="single" w:sz="8" w:space="0" w:color="auto"/>
              <w:right w:val="nil"/>
            </w:tcBorders>
            <w:tcMar>
              <w:top w:w="0" w:type="dxa"/>
              <w:left w:w="57" w:type="dxa"/>
              <w:bottom w:w="0" w:type="dxa"/>
              <w:right w:w="57" w:type="dxa"/>
            </w:tcMar>
            <w:vAlign w:val="bottom"/>
          </w:tcPr>
          <w:p w14:paraId="3D5DB902" w14:textId="77777777" w:rsidR="00170812" w:rsidRPr="006616E4" w:rsidRDefault="00170812" w:rsidP="006435E6">
            <w:pPr>
              <w:keepNext/>
              <w:keepLines/>
              <w:spacing w:before="50" w:after="50" w:line="240" w:lineRule="exact"/>
              <w:jc w:val="center"/>
              <w:rPr>
                <w:rFonts w:eastAsia="SimSun"/>
                <w:b/>
                <w:sz w:val="18"/>
                <w:szCs w:val="18"/>
                <w:lang w:val="pt-BR" w:eastAsia="zh-CN"/>
              </w:rPr>
            </w:pPr>
            <w:r w:rsidRPr="006616E4">
              <w:rPr>
                <w:rFonts w:eastAsia="SimSun"/>
                <w:b/>
                <w:sz w:val="18"/>
                <w:szCs w:val="18"/>
                <w:lang w:val="pt-BR" w:eastAsia="zh-CN"/>
              </w:rPr>
              <w:t>TCZ 8 mg/kg + placebo</w:t>
            </w:r>
          </w:p>
          <w:p w14:paraId="4F8F54F9" w14:textId="0E70B178" w:rsidR="00170812" w:rsidRPr="006616E4" w:rsidRDefault="00170812" w:rsidP="006435E6">
            <w:pPr>
              <w:keepNext/>
              <w:keepLines/>
              <w:spacing w:before="50" w:after="50" w:line="240" w:lineRule="exact"/>
              <w:jc w:val="center"/>
              <w:rPr>
                <w:rFonts w:eastAsia="SimSun"/>
                <w:b/>
                <w:sz w:val="18"/>
                <w:szCs w:val="18"/>
                <w:lang w:val="pt-BR" w:eastAsia="zh-CN"/>
              </w:rPr>
            </w:pPr>
            <w:del w:id="453" w:author="AUTHOR">
              <w:r w:rsidRPr="006616E4" w:rsidDel="003E29DD">
                <w:rPr>
                  <w:rFonts w:eastAsia="SimSun"/>
                  <w:b/>
                  <w:sz w:val="18"/>
                  <w:szCs w:val="18"/>
                  <w:lang w:val="pt-BR" w:eastAsia="zh-CN"/>
                </w:rPr>
                <w:delText>N</w:delText>
              </w:r>
            </w:del>
            <w:ins w:id="454" w:author="AUTHOR">
              <w:r w:rsidR="003E29DD">
                <w:rPr>
                  <w:rFonts w:eastAsia="SimSun"/>
                  <w:b/>
                  <w:sz w:val="18"/>
                  <w:szCs w:val="18"/>
                  <w:lang w:val="pt-BR" w:eastAsia="zh-CN"/>
                </w:rPr>
                <w:t>n</w:t>
              </w:r>
              <w:r w:rsidR="003E29DD" w:rsidRPr="00E52815">
                <w:rPr>
                  <w:rFonts w:eastAsia="SimSun"/>
                  <w:bCs/>
                  <w:iCs/>
                  <w:sz w:val="18"/>
                  <w:szCs w:val="18"/>
                  <w:lang w:val="en-GB"/>
                </w:rPr>
                <w:t> </w:t>
              </w:r>
              <w:r w:rsidR="003E29DD" w:rsidRPr="006616E4">
                <w:rPr>
                  <w:rFonts w:eastAsia="SimSun"/>
                  <w:b/>
                  <w:sz w:val="18"/>
                  <w:szCs w:val="18"/>
                  <w:lang w:val="pt-BR" w:eastAsia="zh-CN"/>
                </w:rPr>
                <w:t xml:space="preserve"> </w:t>
              </w:r>
            </w:ins>
            <w:r w:rsidRPr="006616E4">
              <w:rPr>
                <w:rFonts w:eastAsia="SimSun"/>
                <w:b/>
                <w:sz w:val="18"/>
                <w:szCs w:val="18"/>
                <w:lang w:val="pt-BR" w:eastAsia="zh-CN"/>
              </w:rPr>
              <w:t>=</w:t>
            </w:r>
            <w:ins w:id="455" w:author="AUTHOR">
              <w:r w:rsidR="003E29DD" w:rsidRPr="00E52815">
                <w:rPr>
                  <w:rFonts w:eastAsia="SimSun"/>
                  <w:bCs/>
                  <w:iCs/>
                  <w:sz w:val="18"/>
                  <w:szCs w:val="18"/>
                  <w:lang w:val="en-GB"/>
                </w:rPr>
                <w:t> </w:t>
              </w:r>
              <w:r w:rsidR="003E29DD" w:rsidRPr="006616E4">
                <w:rPr>
                  <w:rFonts w:eastAsia="SimSun"/>
                  <w:b/>
                  <w:sz w:val="18"/>
                  <w:szCs w:val="18"/>
                  <w:lang w:val="pt-BR" w:eastAsia="zh-CN"/>
                </w:rPr>
                <w:t xml:space="preserve"> </w:t>
              </w:r>
            </w:ins>
            <w:r w:rsidRPr="006616E4">
              <w:rPr>
                <w:rFonts w:eastAsia="SimSun"/>
                <w:b/>
                <w:sz w:val="18"/>
                <w:szCs w:val="18"/>
                <w:lang w:val="pt-BR" w:eastAsia="zh-CN"/>
              </w:rPr>
              <w:t>292</w:t>
            </w:r>
          </w:p>
        </w:tc>
        <w:tc>
          <w:tcPr>
            <w:tcW w:w="1558" w:type="dxa"/>
            <w:tcBorders>
              <w:top w:val="single" w:sz="8" w:space="0" w:color="auto"/>
              <w:left w:val="nil"/>
              <w:bottom w:val="single" w:sz="8" w:space="0" w:color="auto"/>
              <w:right w:val="nil"/>
            </w:tcBorders>
          </w:tcPr>
          <w:p w14:paraId="48BBA6BA" w14:textId="77777777" w:rsidR="00170812" w:rsidRPr="006616E4" w:rsidRDefault="00170812" w:rsidP="006435E6">
            <w:pPr>
              <w:keepNext/>
              <w:keepLines/>
              <w:spacing w:before="50" w:after="50" w:line="240" w:lineRule="exact"/>
              <w:jc w:val="center"/>
              <w:rPr>
                <w:rFonts w:eastAsia="SimSun"/>
                <w:b/>
                <w:sz w:val="18"/>
                <w:szCs w:val="18"/>
                <w:lang w:val="pt-BR" w:eastAsia="zh-CN"/>
              </w:rPr>
            </w:pPr>
            <w:r w:rsidRPr="006616E4">
              <w:rPr>
                <w:rFonts w:eastAsia="SimSun"/>
                <w:b/>
                <w:sz w:val="18"/>
                <w:szCs w:val="18"/>
                <w:lang w:val="pt-BR" w:eastAsia="zh-CN"/>
              </w:rPr>
              <w:t>TCZ 4 mg/kg +</w:t>
            </w:r>
            <w:r w:rsidRPr="006616E4">
              <w:rPr>
                <w:rFonts w:eastAsia="SimSun"/>
                <w:b/>
                <w:sz w:val="18"/>
                <w:szCs w:val="18"/>
                <w:lang w:val="pt-BR" w:eastAsia="zh-CN"/>
              </w:rPr>
              <w:br/>
              <w:t>MTX</w:t>
            </w:r>
          </w:p>
          <w:p w14:paraId="61F81857" w14:textId="30440860" w:rsidR="00170812" w:rsidRPr="006616E4" w:rsidRDefault="00170812" w:rsidP="006435E6">
            <w:pPr>
              <w:keepNext/>
              <w:keepLines/>
              <w:spacing w:before="50" w:after="50" w:line="240" w:lineRule="exact"/>
              <w:jc w:val="center"/>
              <w:rPr>
                <w:rFonts w:eastAsia="SimSun"/>
                <w:b/>
                <w:sz w:val="18"/>
                <w:szCs w:val="18"/>
                <w:lang w:val="pt-BR" w:eastAsia="zh-CN"/>
              </w:rPr>
            </w:pPr>
            <w:del w:id="456" w:author="AUTHOR">
              <w:r w:rsidRPr="006616E4" w:rsidDel="003E29DD">
                <w:rPr>
                  <w:rFonts w:eastAsia="SimSun"/>
                  <w:b/>
                  <w:sz w:val="18"/>
                  <w:szCs w:val="18"/>
                  <w:lang w:val="pt-BR" w:eastAsia="zh-CN"/>
                </w:rPr>
                <w:delText>N</w:delText>
              </w:r>
            </w:del>
            <w:ins w:id="457" w:author="AUTHOR">
              <w:r w:rsidR="003E29DD">
                <w:rPr>
                  <w:rFonts w:eastAsia="SimSun"/>
                  <w:b/>
                  <w:sz w:val="18"/>
                  <w:szCs w:val="18"/>
                  <w:lang w:val="pt-BR" w:eastAsia="zh-CN"/>
                </w:rPr>
                <w:t>n</w:t>
              </w:r>
              <w:r w:rsidR="003E29DD" w:rsidRPr="00467FFD">
                <w:rPr>
                  <w:rFonts w:eastAsia="SimSun"/>
                  <w:bCs/>
                  <w:iCs/>
                  <w:sz w:val="18"/>
                  <w:szCs w:val="18"/>
                  <w:lang w:val="pt-BR"/>
                  <w:rPrChange w:id="458" w:author="AUTHOR">
                    <w:rPr>
                      <w:rFonts w:eastAsia="SimSun"/>
                      <w:bCs/>
                      <w:iCs/>
                      <w:sz w:val="18"/>
                      <w:szCs w:val="18"/>
                      <w:lang w:val="en-GB"/>
                    </w:rPr>
                  </w:rPrChange>
                </w:rPr>
                <w:t> </w:t>
              </w:r>
              <w:r w:rsidR="003E29DD" w:rsidRPr="006616E4">
                <w:rPr>
                  <w:rFonts w:eastAsia="SimSun"/>
                  <w:b/>
                  <w:sz w:val="18"/>
                  <w:szCs w:val="18"/>
                  <w:lang w:val="pt-BR" w:eastAsia="zh-CN"/>
                </w:rPr>
                <w:t xml:space="preserve"> </w:t>
              </w:r>
            </w:ins>
            <w:r w:rsidRPr="006616E4">
              <w:rPr>
                <w:rFonts w:eastAsia="SimSun"/>
                <w:b/>
                <w:sz w:val="18"/>
                <w:szCs w:val="18"/>
                <w:lang w:val="pt-BR" w:eastAsia="zh-CN"/>
              </w:rPr>
              <w:t>=</w:t>
            </w:r>
            <w:ins w:id="459" w:author="AUTHOR">
              <w:r w:rsidR="003E29DD" w:rsidRPr="00467FFD">
                <w:rPr>
                  <w:rFonts w:eastAsia="SimSun"/>
                  <w:bCs/>
                  <w:iCs/>
                  <w:sz w:val="18"/>
                  <w:szCs w:val="18"/>
                  <w:lang w:val="pt-BR"/>
                  <w:rPrChange w:id="460" w:author="AUTHOR">
                    <w:rPr>
                      <w:rFonts w:eastAsia="SimSun"/>
                      <w:bCs/>
                      <w:iCs/>
                      <w:sz w:val="18"/>
                      <w:szCs w:val="18"/>
                      <w:lang w:val="en-GB"/>
                    </w:rPr>
                  </w:rPrChange>
                </w:rPr>
                <w:t> </w:t>
              </w:r>
              <w:r w:rsidR="003E29DD" w:rsidRPr="006616E4">
                <w:rPr>
                  <w:rFonts w:eastAsia="SimSun"/>
                  <w:b/>
                  <w:sz w:val="18"/>
                  <w:szCs w:val="18"/>
                  <w:lang w:val="pt-BR" w:eastAsia="zh-CN"/>
                </w:rPr>
                <w:t xml:space="preserve"> </w:t>
              </w:r>
            </w:ins>
            <w:r w:rsidRPr="006616E4">
              <w:rPr>
                <w:rFonts w:eastAsia="SimSun"/>
                <w:b/>
                <w:sz w:val="18"/>
                <w:szCs w:val="18"/>
                <w:lang w:val="pt-BR" w:eastAsia="zh-CN"/>
              </w:rPr>
              <w:t>288</w:t>
            </w:r>
          </w:p>
        </w:tc>
        <w:tc>
          <w:tcPr>
            <w:tcW w:w="992"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05CABB98" w14:textId="77777777" w:rsidR="00170812" w:rsidRDefault="00170812" w:rsidP="00F30AB8">
            <w:pPr>
              <w:keepNext/>
              <w:keepLines/>
              <w:spacing w:before="50" w:after="50" w:line="240" w:lineRule="exact"/>
              <w:jc w:val="center"/>
              <w:rPr>
                <w:rFonts w:eastAsia="SimSun"/>
                <w:b/>
                <w:sz w:val="18"/>
                <w:szCs w:val="18"/>
                <w:lang w:val="en-GB" w:eastAsia="zh-CN"/>
              </w:rPr>
            </w:pPr>
            <w:r>
              <w:rPr>
                <w:rFonts w:eastAsia="SimSun"/>
                <w:b/>
                <w:sz w:val="18"/>
                <w:szCs w:val="18"/>
                <w:lang w:val="en-GB" w:eastAsia="zh-CN"/>
              </w:rPr>
              <w:t>Placebo + MTX</w:t>
            </w:r>
          </w:p>
          <w:p w14:paraId="4D8B5E9B" w14:textId="31F7E20A" w:rsidR="00170812" w:rsidRDefault="00170812" w:rsidP="00F30AB8">
            <w:pPr>
              <w:keepNext/>
              <w:keepLines/>
              <w:spacing w:before="50" w:after="50" w:line="240" w:lineRule="exact"/>
              <w:jc w:val="center"/>
              <w:rPr>
                <w:rFonts w:eastAsia="SimSun"/>
                <w:sz w:val="18"/>
                <w:szCs w:val="18"/>
                <w:lang w:val="en-GB" w:eastAsia="zh-CN"/>
              </w:rPr>
            </w:pPr>
            <w:del w:id="461" w:author="AUTHOR">
              <w:r w:rsidDel="003E29DD">
                <w:rPr>
                  <w:rFonts w:eastAsia="SimSun"/>
                  <w:b/>
                  <w:sz w:val="18"/>
                  <w:szCs w:val="18"/>
                  <w:lang w:val="en-GB" w:eastAsia="zh-CN"/>
                </w:rPr>
                <w:delText>N</w:delText>
              </w:r>
            </w:del>
            <w:ins w:id="462" w:author="AUTHOR">
              <w:r w:rsidR="003E29DD">
                <w:rPr>
                  <w:rFonts w:eastAsia="SimSun"/>
                  <w:b/>
                  <w:sz w:val="18"/>
                  <w:szCs w:val="18"/>
                  <w:lang w:val="en-GB" w:eastAsia="zh-CN"/>
                </w:rPr>
                <w:t>n</w:t>
              </w:r>
              <w:r w:rsidR="003E29DD" w:rsidRPr="00E52815">
                <w:rPr>
                  <w:rFonts w:eastAsia="SimSun"/>
                  <w:bCs/>
                  <w:iCs/>
                  <w:sz w:val="18"/>
                  <w:szCs w:val="18"/>
                  <w:lang w:val="en-GB"/>
                </w:rPr>
                <w:t> </w:t>
              </w:r>
              <w:r w:rsidR="003E29DD">
                <w:rPr>
                  <w:rFonts w:eastAsia="SimSun"/>
                  <w:b/>
                  <w:sz w:val="18"/>
                  <w:szCs w:val="18"/>
                  <w:lang w:val="en-GB" w:eastAsia="zh-CN"/>
                </w:rPr>
                <w:t xml:space="preserve"> </w:t>
              </w:r>
            </w:ins>
            <w:r>
              <w:rPr>
                <w:rFonts w:eastAsia="SimSun"/>
                <w:b/>
                <w:sz w:val="18"/>
                <w:szCs w:val="18"/>
                <w:lang w:val="en-GB" w:eastAsia="zh-CN"/>
              </w:rPr>
              <w:t>=</w:t>
            </w:r>
            <w:ins w:id="463" w:author="AUTHOR">
              <w:r w:rsidR="003E29DD" w:rsidRPr="00E52815">
                <w:rPr>
                  <w:rFonts w:eastAsia="SimSun"/>
                  <w:bCs/>
                  <w:iCs/>
                  <w:sz w:val="18"/>
                  <w:szCs w:val="18"/>
                  <w:lang w:val="en-GB"/>
                </w:rPr>
                <w:t> </w:t>
              </w:r>
              <w:r w:rsidR="003E29DD">
                <w:rPr>
                  <w:rFonts w:eastAsia="SimSun"/>
                  <w:b/>
                  <w:sz w:val="18"/>
                  <w:szCs w:val="18"/>
                  <w:lang w:val="en-GB" w:eastAsia="zh-CN"/>
                </w:rPr>
                <w:t xml:space="preserve"> </w:t>
              </w:r>
            </w:ins>
            <w:r>
              <w:rPr>
                <w:rFonts w:eastAsia="SimSun"/>
                <w:b/>
                <w:sz w:val="18"/>
                <w:szCs w:val="18"/>
                <w:lang w:val="en-GB" w:eastAsia="zh-CN"/>
              </w:rPr>
              <w:t>287</w:t>
            </w:r>
          </w:p>
        </w:tc>
      </w:tr>
      <w:tr w:rsidR="00170812" w14:paraId="70F29446" w14:textId="77777777" w:rsidTr="006616E4">
        <w:trPr>
          <w:cantSplit/>
        </w:trPr>
        <w:tc>
          <w:tcPr>
            <w:tcW w:w="1842" w:type="dxa"/>
            <w:tcBorders>
              <w:top w:val="nil"/>
              <w:left w:val="single" w:sz="4" w:space="0" w:color="auto"/>
              <w:bottom w:val="nil"/>
              <w:right w:val="single" w:sz="8" w:space="0" w:color="auto"/>
            </w:tcBorders>
          </w:tcPr>
          <w:p w14:paraId="3A6BBBD0" w14:textId="77777777" w:rsidR="00170812" w:rsidRDefault="00170812" w:rsidP="00F30AB8">
            <w:pPr>
              <w:keepNext/>
              <w:keepLines/>
              <w:spacing w:before="50" w:after="50" w:line="240" w:lineRule="exact"/>
              <w:rPr>
                <w:rFonts w:eastAsia="SimSun"/>
                <w:b/>
                <w:sz w:val="18"/>
                <w:szCs w:val="18"/>
                <w:lang w:val="en-GB" w:eastAsia="zh-CN"/>
              </w:rPr>
            </w:pPr>
          </w:p>
        </w:tc>
        <w:tc>
          <w:tcPr>
            <w:tcW w:w="7657" w:type="dxa"/>
            <w:gridSpan w:val="6"/>
            <w:tcBorders>
              <w:top w:val="nil"/>
              <w:left w:val="single" w:sz="4" w:space="0" w:color="auto"/>
              <w:bottom w:val="nil"/>
              <w:right w:val="single" w:sz="8" w:space="0" w:color="auto"/>
            </w:tcBorders>
            <w:tcMar>
              <w:top w:w="0" w:type="dxa"/>
              <w:left w:w="57" w:type="dxa"/>
              <w:bottom w:w="0" w:type="dxa"/>
              <w:right w:w="57" w:type="dxa"/>
            </w:tcMar>
          </w:tcPr>
          <w:p w14:paraId="5210FE24" w14:textId="77777777" w:rsidR="00170812" w:rsidRDefault="00170812" w:rsidP="00F30AB8">
            <w:pPr>
              <w:keepNext/>
              <w:keepLines/>
              <w:spacing w:before="50" w:after="50" w:line="240" w:lineRule="exact"/>
              <w:rPr>
                <w:rFonts w:eastAsia="SimSun"/>
                <w:b/>
                <w:sz w:val="18"/>
                <w:szCs w:val="18"/>
                <w:lang w:val="en-GB" w:eastAsia="zh-CN"/>
              </w:rPr>
            </w:pPr>
            <w:r>
              <w:rPr>
                <w:rFonts w:eastAsia="SimSun"/>
                <w:b/>
                <w:sz w:val="18"/>
                <w:szCs w:val="18"/>
                <w:lang w:val="en-GB" w:eastAsia="zh-CN"/>
              </w:rPr>
              <w:t>Variables Primarias</w:t>
            </w:r>
          </w:p>
        </w:tc>
      </w:tr>
      <w:tr w:rsidR="00170812" w14:paraId="27D6AA3B" w14:textId="77777777" w:rsidTr="006616E4">
        <w:trPr>
          <w:cantSplit/>
        </w:trPr>
        <w:tc>
          <w:tcPr>
            <w:tcW w:w="3686" w:type="dxa"/>
            <w:gridSpan w:val="2"/>
            <w:tcBorders>
              <w:top w:val="single" w:sz="4" w:space="0" w:color="auto"/>
              <w:left w:val="single" w:sz="4" w:space="0" w:color="auto"/>
              <w:bottom w:val="nil"/>
              <w:right w:val="nil"/>
            </w:tcBorders>
            <w:tcMar>
              <w:top w:w="0" w:type="dxa"/>
              <w:left w:w="57" w:type="dxa"/>
              <w:bottom w:w="0" w:type="dxa"/>
              <w:right w:w="57" w:type="dxa"/>
            </w:tcMar>
          </w:tcPr>
          <w:p w14:paraId="252F4288" w14:textId="77777777" w:rsidR="00170812" w:rsidRDefault="00170812" w:rsidP="00F30AB8">
            <w:pPr>
              <w:keepNext/>
              <w:keepLines/>
              <w:spacing w:before="50" w:after="50" w:line="240" w:lineRule="exact"/>
              <w:rPr>
                <w:rFonts w:eastAsia="SimSun"/>
                <w:sz w:val="18"/>
                <w:szCs w:val="18"/>
                <w:lang w:val="en-GB" w:eastAsia="zh-CN"/>
              </w:rPr>
            </w:pPr>
            <w:r>
              <w:rPr>
                <w:rFonts w:eastAsia="SimSun"/>
                <w:sz w:val="18"/>
                <w:szCs w:val="18"/>
                <w:lang w:val="en-GB" w:eastAsia="zh-CN"/>
              </w:rPr>
              <w:t xml:space="preserve">Remisión DAS28                        </w:t>
            </w:r>
          </w:p>
        </w:tc>
        <w:tc>
          <w:tcPr>
            <w:tcW w:w="1845" w:type="dxa"/>
            <w:gridSpan w:val="2"/>
            <w:tcBorders>
              <w:top w:val="single" w:sz="4" w:space="0" w:color="auto"/>
              <w:left w:val="nil"/>
              <w:bottom w:val="nil"/>
              <w:right w:val="nil"/>
            </w:tcBorders>
            <w:tcMar>
              <w:top w:w="0" w:type="dxa"/>
              <w:left w:w="57" w:type="dxa"/>
              <w:bottom w:w="0" w:type="dxa"/>
              <w:right w:w="57" w:type="dxa"/>
            </w:tcMar>
          </w:tcPr>
          <w:p w14:paraId="2118340C"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389185A1"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1558" w:type="dxa"/>
            <w:tcBorders>
              <w:top w:val="single" w:sz="4" w:space="0" w:color="auto"/>
              <w:left w:val="nil"/>
              <w:bottom w:val="nil"/>
              <w:right w:val="nil"/>
            </w:tcBorders>
          </w:tcPr>
          <w:p w14:paraId="41C04017"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07677A97" w14:textId="77777777" w:rsidR="00170812" w:rsidRDefault="00170812" w:rsidP="00F30AB8">
            <w:pPr>
              <w:keepNext/>
              <w:keepLines/>
              <w:spacing w:before="50" w:after="50" w:line="240" w:lineRule="exact"/>
              <w:jc w:val="center"/>
              <w:rPr>
                <w:rFonts w:eastAsia="SimSun"/>
                <w:sz w:val="18"/>
                <w:szCs w:val="18"/>
                <w:lang w:val="en-GB" w:eastAsia="zh-CN"/>
              </w:rPr>
            </w:pPr>
          </w:p>
        </w:tc>
      </w:tr>
      <w:tr w:rsidR="00170812" w14:paraId="209AAEC8" w14:textId="77777777" w:rsidTr="006616E4">
        <w:trPr>
          <w:cantSplit/>
        </w:trPr>
        <w:tc>
          <w:tcPr>
            <w:tcW w:w="3686" w:type="dxa"/>
            <w:gridSpan w:val="2"/>
            <w:tcBorders>
              <w:top w:val="nil"/>
              <w:left w:val="single" w:sz="4" w:space="0" w:color="auto"/>
              <w:bottom w:val="single" w:sz="4" w:space="0" w:color="auto"/>
              <w:right w:val="nil"/>
            </w:tcBorders>
            <w:tcMar>
              <w:top w:w="0" w:type="dxa"/>
              <w:left w:w="57" w:type="dxa"/>
              <w:bottom w:w="0" w:type="dxa"/>
              <w:right w:w="57" w:type="dxa"/>
            </w:tcMar>
          </w:tcPr>
          <w:p w14:paraId="714D55D3" w14:textId="77777777" w:rsidR="00170812" w:rsidRDefault="00170812" w:rsidP="00F30AB8">
            <w:pPr>
              <w:keepNext/>
              <w:keepLines/>
              <w:spacing w:before="50" w:after="50" w:line="240" w:lineRule="exact"/>
              <w:ind w:left="1440" w:right="-56"/>
              <w:rPr>
                <w:rFonts w:eastAsia="SimSun"/>
                <w:sz w:val="18"/>
                <w:szCs w:val="18"/>
                <w:lang w:val="en-GB" w:eastAsia="zh-CN"/>
              </w:rPr>
            </w:pPr>
            <w:proofErr w:type="gramStart"/>
            <w:r>
              <w:rPr>
                <w:rFonts w:eastAsia="SimSun"/>
                <w:sz w:val="18"/>
                <w:szCs w:val="18"/>
                <w:lang w:val="en-GB" w:eastAsia="zh-CN"/>
              </w:rPr>
              <w:t>Semana  24</w:t>
            </w:r>
            <w:proofErr w:type="gramEnd"/>
            <w:r>
              <w:rPr>
                <w:rFonts w:eastAsia="SimSun"/>
                <w:sz w:val="18"/>
                <w:szCs w:val="18"/>
                <w:lang w:val="en-GB" w:eastAsia="zh-CN"/>
              </w:rPr>
              <w:t xml:space="preserve">                    n (%)</w:t>
            </w:r>
          </w:p>
        </w:tc>
        <w:tc>
          <w:tcPr>
            <w:tcW w:w="1845" w:type="dxa"/>
            <w:gridSpan w:val="2"/>
            <w:tcBorders>
              <w:top w:val="nil"/>
              <w:left w:val="nil"/>
              <w:bottom w:val="single" w:sz="4" w:space="0" w:color="auto"/>
              <w:right w:val="nil"/>
            </w:tcBorders>
            <w:tcMar>
              <w:top w:w="0" w:type="dxa"/>
              <w:left w:w="57" w:type="dxa"/>
              <w:bottom w:w="0" w:type="dxa"/>
              <w:right w:w="57" w:type="dxa"/>
            </w:tcMar>
          </w:tcPr>
          <w:p w14:paraId="3EE268ED"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130 (44</w:t>
            </w:r>
            <w:r w:rsidR="00305486">
              <w:rPr>
                <w:rFonts w:eastAsia="SimSun"/>
                <w:sz w:val="18"/>
                <w:szCs w:val="18"/>
                <w:lang w:val="en-GB" w:eastAsia="zh-CN"/>
              </w:rPr>
              <w:t>,</w:t>
            </w:r>
            <w:r>
              <w:rPr>
                <w:rFonts w:eastAsia="SimSun"/>
                <w:sz w:val="18"/>
                <w:szCs w:val="18"/>
                <w:lang w:val="en-GB" w:eastAsia="zh-CN"/>
              </w:rPr>
              <w:t>8)***</w:t>
            </w:r>
          </w:p>
        </w:tc>
        <w:tc>
          <w:tcPr>
            <w:tcW w:w="1418" w:type="dxa"/>
            <w:tcBorders>
              <w:top w:val="nil"/>
              <w:left w:val="nil"/>
              <w:bottom w:val="single" w:sz="4" w:space="0" w:color="auto"/>
              <w:right w:val="nil"/>
            </w:tcBorders>
            <w:tcMar>
              <w:top w:w="0" w:type="dxa"/>
              <w:left w:w="57" w:type="dxa"/>
              <w:bottom w:w="0" w:type="dxa"/>
              <w:right w:w="57" w:type="dxa"/>
            </w:tcMar>
          </w:tcPr>
          <w:p w14:paraId="0EE02DE2"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113 (38</w:t>
            </w:r>
            <w:r w:rsidR="00305486">
              <w:rPr>
                <w:rFonts w:eastAsia="SimSun"/>
                <w:sz w:val="18"/>
                <w:szCs w:val="18"/>
                <w:lang w:val="en-GB" w:eastAsia="zh-CN"/>
              </w:rPr>
              <w:t>,</w:t>
            </w:r>
            <w:r>
              <w:rPr>
                <w:rFonts w:eastAsia="SimSun"/>
                <w:sz w:val="18"/>
                <w:szCs w:val="18"/>
                <w:lang w:val="en-GB" w:eastAsia="zh-CN"/>
              </w:rPr>
              <w:t>7)***</w:t>
            </w:r>
          </w:p>
        </w:tc>
        <w:tc>
          <w:tcPr>
            <w:tcW w:w="1558" w:type="dxa"/>
            <w:tcBorders>
              <w:top w:val="nil"/>
              <w:left w:val="nil"/>
              <w:bottom w:val="single" w:sz="4" w:space="0" w:color="auto"/>
              <w:right w:val="nil"/>
            </w:tcBorders>
          </w:tcPr>
          <w:p w14:paraId="494CEC27"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92 (31</w:t>
            </w:r>
            <w:r w:rsidR="00305486">
              <w:rPr>
                <w:rFonts w:eastAsia="SimSun"/>
                <w:sz w:val="18"/>
                <w:szCs w:val="18"/>
                <w:lang w:val="en-GB" w:eastAsia="zh-CN"/>
              </w:rPr>
              <w:t>,</w:t>
            </w:r>
            <w:r>
              <w:rPr>
                <w:rFonts w:eastAsia="SimSun"/>
                <w:sz w:val="18"/>
                <w:szCs w:val="18"/>
                <w:lang w:val="en-GB" w:eastAsia="zh-CN"/>
              </w:rPr>
              <w:t>9)</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270C5EB9"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43 (15</w:t>
            </w:r>
            <w:r w:rsidR="00305486">
              <w:rPr>
                <w:rFonts w:eastAsia="SimSun"/>
                <w:sz w:val="18"/>
                <w:szCs w:val="18"/>
                <w:lang w:val="en-GB" w:eastAsia="zh-CN"/>
              </w:rPr>
              <w:t>,</w:t>
            </w:r>
            <w:r>
              <w:rPr>
                <w:rFonts w:eastAsia="SimSun"/>
                <w:sz w:val="18"/>
                <w:szCs w:val="18"/>
                <w:lang w:val="en-GB" w:eastAsia="zh-CN"/>
              </w:rPr>
              <w:t>0)</w:t>
            </w:r>
          </w:p>
        </w:tc>
      </w:tr>
      <w:tr w:rsidR="00170812" w14:paraId="2AD14D0F" w14:textId="77777777" w:rsidTr="006616E4">
        <w:trPr>
          <w:cantSplit/>
        </w:trPr>
        <w:tc>
          <w:tcPr>
            <w:tcW w:w="1842" w:type="dxa"/>
            <w:tcBorders>
              <w:top w:val="single" w:sz="4" w:space="0" w:color="auto"/>
              <w:left w:val="single" w:sz="4" w:space="0" w:color="auto"/>
              <w:bottom w:val="single" w:sz="4" w:space="0" w:color="auto"/>
              <w:right w:val="single" w:sz="8" w:space="0" w:color="auto"/>
            </w:tcBorders>
          </w:tcPr>
          <w:p w14:paraId="693004BF" w14:textId="77777777" w:rsidR="00170812" w:rsidRDefault="00170812" w:rsidP="00F30AB8">
            <w:pPr>
              <w:keepNext/>
              <w:keepLines/>
              <w:spacing w:before="50" w:after="50" w:line="240" w:lineRule="exact"/>
              <w:rPr>
                <w:rFonts w:eastAsia="SimSun"/>
                <w:b/>
                <w:sz w:val="18"/>
                <w:szCs w:val="18"/>
                <w:lang w:val="en-GB" w:eastAsia="zh-CN"/>
              </w:rPr>
            </w:pPr>
          </w:p>
        </w:tc>
        <w:tc>
          <w:tcPr>
            <w:tcW w:w="7657" w:type="dxa"/>
            <w:gridSpan w:val="6"/>
            <w:tcBorders>
              <w:top w:val="single" w:sz="4" w:space="0" w:color="auto"/>
              <w:left w:val="single" w:sz="4" w:space="0" w:color="auto"/>
              <w:bottom w:val="single" w:sz="4" w:space="0" w:color="auto"/>
              <w:right w:val="single" w:sz="8" w:space="0" w:color="auto"/>
            </w:tcBorders>
            <w:tcMar>
              <w:top w:w="0" w:type="dxa"/>
              <w:left w:w="57" w:type="dxa"/>
              <w:bottom w:w="0" w:type="dxa"/>
              <w:right w:w="57" w:type="dxa"/>
            </w:tcMar>
          </w:tcPr>
          <w:p w14:paraId="72330846" w14:textId="77777777" w:rsidR="00170812" w:rsidRDefault="00170812" w:rsidP="00F30AB8">
            <w:pPr>
              <w:keepNext/>
              <w:keepLines/>
              <w:spacing w:before="50" w:after="50" w:line="240" w:lineRule="exact"/>
              <w:rPr>
                <w:rFonts w:eastAsia="SimSun"/>
                <w:b/>
                <w:sz w:val="18"/>
                <w:szCs w:val="18"/>
                <w:lang w:val="en-GB" w:eastAsia="zh-CN"/>
              </w:rPr>
            </w:pPr>
            <w:r>
              <w:rPr>
                <w:rFonts w:eastAsia="SimSun"/>
                <w:b/>
                <w:sz w:val="18"/>
                <w:szCs w:val="18"/>
                <w:lang w:val="en-GB" w:eastAsia="zh-CN"/>
              </w:rPr>
              <w:t>Variables Secundarias Principales</w:t>
            </w:r>
          </w:p>
        </w:tc>
      </w:tr>
      <w:tr w:rsidR="00170812" w14:paraId="77D3A54F" w14:textId="77777777" w:rsidTr="006616E4">
        <w:trPr>
          <w:cantSplit/>
        </w:trPr>
        <w:tc>
          <w:tcPr>
            <w:tcW w:w="4110" w:type="dxa"/>
            <w:gridSpan w:val="3"/>
            <w:tcBorders>
              <w:top w:val="single" w:sz="4" w:space="0" w:color="auto"/>
              <w:left w:val="single" w:sz="4" w:space="0" w:color="auto"/>
              <w:bottom w:val="nil"/>
              <w:right w:val="nil"/>
            </w:tcBorders>
            <w:tcMar>
              <w:top w:w="0" w:type="dxa"/>
              <w:left w:w="57" w:type="dxa"/>
              <w:bottom w:w="0" w:type="dxa"/>
              <w:right w:w="57" w:type="dxa"/>
            </w:tcMar>
          </w:tcPr>
          <w:p w14:paraId="3A85F405" w14:textId="77777777" w:rsidR="00170812" w:rsidRDefault="00170812" w:rsidP="00F30AB8">
            <w:pPr>
              <w:keepNext/>
              <w:keepLines/>
              <w:spacing w:before="50" w:after="50" w:line="240" w:lineRule="exact"/>
              <w:rPr>
                <w:rFonts w:eastAsia="SimSun"/>
                <w:sz w:val="18"/>
                <w:szCs w:val="18"/>
                <w:lang w:val="en-GB" w:eastAsia="zh-CN"/>
              </w:rPr>
            </w:pPr>
            <w:r>
              <w:rPr>
                <w:rFonts w:eastAsia="SimSun"/>
                <w:sz w:val="18"/>
                <w:szCs w:val="18"/>
                <w:lang w:val="en-GB" w:eastAsia="zh-CN"/>
              </w:rPr>
              <w:t>Remisión DAS 28</w:t>
            </w:r>
          </w:p>
        </w:tc>
        <w:tc>
          <w:tcPr>
            <w:tcW w:w="1417" w:type="dxa"/>
            <w:tcBorders>
              <w:top w:val="single" w:sz="4" w:space="0" w:color="auto"/>
              <w:left w:val="nil"/>
              <w:bottom w:val="nil"/>
              <w:right w:val="nil"/>
            </w:tcBorders>
            <w:tcMar>
              <w:top w:w="0" w:type="dxa"/>
              <w:left w:w="57" w:type="dxa"/>
              <w:bottom w:w="0" w:type="dxa"/>
              <w:right w:w="57" w:type="dxa"/>
            </w:tcMar>
          </w:tcPr>
          <w:p w14:paraId="3FEF26CD"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54B06F26"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1558" w:type="dxa"/>
            <w:tcBorders>
              <w:top w:val="single" w:sz="4" w:space="0" w:color="auto"/>
              <w:left w:val="nil"/>
              <w:bottom w:val="nil"/>
              <w:right w:val="nil"/>
            </w:tcBorders>
          </w:tcPr>
          <w:p w14:paraId="0FA4D522"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4191220A" w14:textId="77777777" w:rsidR="00170812" w:rsidRDefault="00170812" w:rsidP="00F30AB8">
            <w:pPr>
              <w:keepNext/>
              <w:keepLines/>
              <w:spacing w:before="50" w:after="50" w:line="240" w:lineRule="exact"/>
              <w:jc w:val="center"/>
              <w:rPr>
                <w:rFonts w:eastAsia="SimSun"/>
                <w:sz w:val="18"/>
                <w:szCs w:val="18"/>
                <w:lang w:val="en-GB" w:eastAsia="zh-CN"/>
              </w:rPr>
            </w:pPr>
          </w:p>
        </w:tc>
      </w:tr>
      <w:tr w:rsidR="00170812" w14:paraId="337DD93D" w14:textId="77777777" w:rsidTr="006616E4">
        <w:trPr>
          <w:cantSplit/>
        </w:trPr>
        <w:tc>
          <w:tcPr>
            <w:tcW w:w="4110" w:type="dxa"/>
            <w:gridSpan w:val="3"/>
            <w:tcBorders>
              <w:top w:val="nil"/>
              <w:left w:val="single" w:sz="4" w:space="0" w:color="auto"/>
              <w:bottom w:val="single" w:sz="4" w:space="0" w:color="auto"/>
              <w:right w:val="nil"/>
            </w:tcBorders>
            <w:tcMar>
              <w:top w:w="0" w:type="dxa"/>
              <w:left w:w="57" w:type="dxa"/>
              <w:bottom w:w="0" w:type="dxa"/>
              <w:right w:w="57" w:type="dxa"/>
            </w:tcMar>
          </w:tcPr>
          <w:p w14:paraId="0D79B313" w14:textId="5D9CE192" w:rsidR="00170812" w:rsidRDefault="00E965B3" w:rsidP="00F30AB8">
            <w:pPr>
              <w:keepNext/>
              <w:keepLines/>
              <w:spacing w:before="50" w:after="50" w:line="240" w:lineRule="exact"/>
              <w:ind w:left="1440" w:right="-346"/>
              <w:rPr>
                <w:rFonts w:eastAsia="SimSun"/>
                <w:sz w:val="18"/>
                <w:szCs w:val="18"/>
                <w:lang w:val="en-GB" w:eastAsia="zh-CN"/>
              </w:rPr>
            </w:pPr>
            <w:proofErr w:type="gramStart"/>
            <w:r>
              <w:rPr>
                <w:rFonts w:eastAsia="SimSun"/>
                <w:sz w:val="18"/>
                <w:szCs w:val="18"/>
                <w:lang w:val="en-GB" w:eastAsia="zh-CN"/>
              </w:rPr>
              <w:t>s</w:t>
            </w:r>
            <w:r w:rsidR="00170812">
              <w:rPr>
                <w:rFonts w:eastAsia="SimSun"/>
                <w:sz w:val="18"/>
                <w:szCs w:val="18"/>
                <w:lang w:val="en-GB" w:eastAsia="zh-CN"/>
              </w:rPr>
              <w:t>emana</w:t>
            </w:r>
            <w:proofErr w:type="gramEnd"/>
            <w:r w:rsidR="00170812">
              <w:rPr>
                <w:rFonts w:eastAsia="SimSun"/>
                <w:sz w:val="18"/>
                <w:szCs w:val="18"/>
                <w:lang w:val="en-GB" w:eastAsia="zh-CN"/>
              </w:rPr>
              <w:t xml:space="preserve"> 52                      </w:t>
            </w:r>
            <w:del w:id="464" w:author="AUTHOR">
              <w:r w:rsidR="00DE0163" w:rsidDel="00093BA7">
                <w:rPr>
                  <w:rFonts w:eastAsia="SimSun"/>
                  <w:sz w:val="18"/>
                  <w:szCs w:val="18"/>
                  <w:lang w:val="en-GB" w:eastAsia="zh-CN"/>
                </w:rPr>
                <w:delText xml:space="preserve">ACR </w:delText>
              </w:r>
            </w:del>
            <w:r w:rsidR="00170812">
              <w:rPr>
                <w:rFonts w:eastAsia="SimSun"/>
                <w:sz w:val="18"/>
                <w:szCs w:val="18"/>
                <w:lang w:val="en-GB" w:eastAsia="zh-CN"/>
              </w:rPr>
              <w:t>n</w:t>
            </w:r>
            <w:r w:rsidR="00DE0163">
              <w:rPr>
                <w:rFonts w:eastAsia="SimSun"/>
                <w:sz w:val="18"/>
                <w:szCs w:val="18"/>
                <w:lang w:val="en-GB" w:eastAsia="zh-CN"/>
              </w:rPr>
              <w:t xml:space="preserve"> (%)</w:t>
            </w:r>
            <w:r w:rsidR="00170812">
              <w:rPr>
                <w:rFonts w:eastAsia="SimSun"/>
                <w:sz w:val="18"/>
                <w:szCs w:val="18"/>
                <w:lang w:val="en-GB" w:eastAsia="zh-CN"/>
              </w:rPr>
              <w:t xml:space="preserve"> (%)</w:t>
            </w:r>
          </w:p>
        </w:tc>
        <w:tc>
          <w:tcPr>
            <w:tcW w:w="1417" w:type="dxa"/>
            <w:tcBorders>
              <w:top w:val="nil"/>
              <w:left w:val="nil"/>
              <w:bottom w:val="single" w:sz="4" w:space="0" w:color="auto"/>
              <w:right w:val="nil"/>
            </w:tcBorders>
            <w:tcMar>
              <w:top w:w="0" w:type="dxa"/>
              <w:left w:w="57" w:type="dxa"/>
              <w:bottom w:w="0" w:type="dxa"/>
              <w:right w:w="57" w:type="dxa"/>
            </w:tcMar>
          </w:tcPr>
          <w:p w14:paraId="10D79E9F"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142 (49</w:t>
            </w:r>
            <w:r w:rsidR="00305486">
              <w:rPr>
                <w:rFonts w:eastAsia="SimSun"/>
                <w:sz w:val="18"/>
                <w:szCs w:val="18"/>
                <w:lang w:val="en-GB" w:eastAsia="zh-CN"/>
              </w:rPr>
              <w:t>,</w:t>
            </w:r>
            <w:r>
              <w:rPr>
                <w:rFonts w:eastAsia="SimSun"/>
                <w:sz w:val="18"/>
                <w:szCs w:val="18"/>
                <w:lang w:val="en-GB" w:eastAsia="zh-CN"/>
              </w:rPr>
              <w:t>0)***</w:t>
            </w:r>
          </w:p>
        </w:tc>
        <w:tc>
          <w:tcPr>
            <w:tcW w:w="1418" w:type="dxa"/>
            <w:tcBorders>
              <w:top w:val="nil"/>
              <w:left w:val="nil"/>
              <w:bottom w:val="single" w:sz="4" w:space="0" w:color="auto"/>
              <w:right w:val="nil"/>
            </w:tcBorders>
            <w:tcMar>
              <w:top w:w="0" w:type="dxa"/>
              <w:left w:w="57" w:type="dxa"/>
              <w:bottom w:w="0" w:type="dxa"/>
              <w:right w:w="57" w:type="dxa"/>
            </w:tcMar>
          </w:tcPr>
          <w:p w14:paraId="3AECEE83"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115 (39</w:t>
            </w:r>
            <w:r w:rsidR="00305486">
              <w:rPr>
                <w:rFonts w:eastAsia="SimSun"/>
                <w:sz w:val="18"/>
                <w:szCs w:val="18"/>
                <w:lang w:val="en-GB" w:eastAsia="zh-CN"/>
              </w:rPr>
              <w:t>,</w:t>
            </w:r>
            <w:r>
              <w:rPr>
                <w:rFonts w:eastAsia="SimSun"/>
                <w:sz w:val="18"/>
                <w:szCs w:val="18"/>
                <w:lang w:val="en-GB" w:eastAsia="zh-CN"/>
              </w:rPr>
              <w:t>4)</w:t>
            </w:r>
          </w:p>
        </w:tc>
        <w:tc>
          <w:tcPr>
            <w:tcW w:w="1558" w:type="dxa"/>
            <w:tcBorders>
              <w:top w:val="nil"/>
              <w:left w:val="nil"/>
              <w:bottom w:val="single" w:sz="4" w:space="0" w:color="auto"/>
              <w:right w:val="nil"/>
            </w:tcBorders>
          </w:tcPr>
          <w:p w14:paraId="2E86ECA3"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98 (34</w:t>
            </w:r>
            <w:r w:rsidR="00305486">
              <w:rPr>
                <w:rFonts w:eastAsia="SimSun"/>
                <w:sz w:val="18"/>
                <w:szCs w:val="18"/>
                <w:lang w:val="en-GB" w:eastAsia="zh-CN"/>
              </w:rPr>
              <w:t>,</w:t>
            </w:r>
            <w:r>
              <w:rPr>
                <w:rFonts w:eastAsia="SimSun"/>
                <w:sz w:val="18"/>
                <w:szCs w:val="18"/>
                <w:lang w:val="en-GB" w:eastAsia="zh-CN"/>
              </w:rPr>
              <w:t>0)</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0930E2EA"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56 (19</w:t>
            </w:r>
            <w:r w:rsidR="00305486">
              <w:rPr>
                <w:rFonts w:eastAsia="SimSun"/>
                <w:sz w:val="18"/>
                <w:szCs w:val="18"/>
                <w:lang w:val="en-GB" w:eastAsia="zh-CN"/>
              </w:rPr>
              <w:t>,</w:t>
            </w:r>
            <w:r>
              <w:rPr>
                <w:rFonts w:eastAsia="SimSun"/>
                <w:sz w:val="18"/>
                <w:szCs w:val="18"/>
                <w:lang w:val="en-GB" w:eastAsia="zh-CN"/>
              </w:rPr>
              <w:t>5)</w:t>
            </w:r>
          </w:p>
        </w:tc>
      </w:tr>
      <w:tr w:rsidR="00170812" w14:paraId="28379182" w14:textId="77777777" w:rsidTr="006616E4">
        <w:trPr>
          <w:cantSplit/>
        </w:trPr>
        <w:tc>
          <w:tcPr>
            <w:tcW w:w="4110" w:type="dxa"/>
            <w:gridSpan w:val="3"/>
            <w:tcBorders>
              <w:top w:val="single" w:sz="4" w:space="0" w:color="auto"/>
              <w:left w:val="single" w:sz="4" w:space="0" w:color="auto"/>
              <w:bottom w:val="nil"/>
              <w:right w:val="nil"/>
            </w:tcBorders>
            <w:tcMar>
              <w:top w:w="0" w:type="dxa"/>
              <w:left w:w="57" w:type="dxa"/>
              <w:bottom w:w="0" w:type="dxa"/>
              <w:right w:w="57" w:type="dxa"/>
            </w:tcMar>
          </w:tcPr>
          <w:p w14:paraId="7E03D5C5" w14:textId="77777777" w:rsidR="00170812" w:rsidRDefault="00170812" w:rsidP="00F30AB8">
            <w:pPr>
              <w:keepNext/>
              <w:keepLines/>
              <w:spacing w:before="50" w:after="50" w:line="240" w:lineRule="exact"/>
              <w:rPr>
                <w:rFonts w:eastAsia="SimSun"/>
                <w:sz w:val="18"/>
                <w:szCs w:val="18"/>
                <w:lang w:val="en-GB" w:eastAsia="zh-CN"/>
              </w:rPr>
            </w:pPr>
          </w:p>
        </w:tc>
        <w:tc>
          <w:tcPr>
            <w:tcW w:w="1417" w:type="dxa"/>
            <w:tcBorders>
              <w:top w:val="single" w:sz="4" w:space="0" w:color="auto"/>
              <w:left w:val="nil"/>
              <w:bottom w:val="nil"/>
              <w:right w:val="nil"/>
            </w:tcBorders>
            <w:tcMar>
              <w:top w:w="0" w:type="dxa"/>
              <w:left w:w="57" w:type="dxa"/>
              <w:bottom w:w="0" w:type="dxa"/>
              <w:right w:w="57" w:type="dxa"/>
            </w:tcMar>
          </w:tcPr>
          <w:p w14:paraId="742CD3E2"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76C985E6"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1558" w:type="dxa"/>
            <w:tcBorders>
              <w:top w:val="single" w:sz="4" w:space="0" w:color="auto"/>
              <w:left w:val="nil"/>
              <w:bottom w:val="nil"/>
              <w:right w:val="nil"/>
            </w:tcBorders>
          </w:tcPr>
          <w:p w14:paraId="2C22D20D" w14:textId="77777777" w:rsidR="00170812" w:rsidRDefault="00170812" w:rsidP="00F30AB8">
            <w:pPr>
              <w:keepNext/>
              <w:keepLines/>
              <w:spacing w:before="50" w:after="50" w:line="240" w:lineRule="exact"/>
              <w:jc w:val="center"/>
              <w:rPr>
                <w:rFonts w:eastAsia="SimSun"/>
                <w:sz w:val="18"/>
                <w:szCs w:val="18"/>
                <w:lang w:val="en-GB" w:eastAsia="zh-CN"/>
              </w:rPr>
            </w:pPr>
          </w:p>
        </w:tc>
        <w:tc>
          <w:tcPr>
            <w:tcW w:w="992" w:type="dxa"/>
            <w:tcBorders>
              <w:top w:val="single" w:sz="4" w:space="0" w:color="auto"/>
              <w:left w:val="nil"/>
              <w:bottom w:val="nil"/>
              <w:right w:val="single" w:sz="4" w:space="0" w:color="auto"/>
            </w:tcBorders>
            <w:tcMar>
              <w:top w:w="0" w:type="dxa"/>
              <w:left w:w="57" w:type="dxa"/>
              <w:bottom w:w="0" w:type="dxa"/>
              <w:right w:w="57" w:type="dxa"/>
            </w:tcMar>
          </w:tcPr>
          <w:p w14:paraId="4EE0FC30" w14:textId="77777777" w:rsidR="00170812" w:rsidRDefault="00170812" w:rsidP="00F30AB8">
            <w:pPr>
              <w:keepNext/>
              <w:keepLines/>
              <w:spacing w:before="50" w:after="50" w:line="240" w:lineRule="exact"/>
              <w:jc w:val="center"/>
              <w:rPr>
                <w:rFonts w:eastAsia="SimSun"/>
                <w:sz w:val="18"/>
                <w:szCs w:val="18"/>
                <w:lang w:val="en-GB" w:eastAsia="zh-CN"/>
              </w:rPr>
            </w:pPr>
          </w:p>
        </w:tc>
      </w:tr>
      <w:tr w:rsidR="00170812" w14:paraId="6ACFB249"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76D5FA6B" w14:textId="124B15EB" w:rsidR="00170812" w:rsidRDefault="00E965B3" w:rsidP="00F30AB8">
            <w:pPr>
              <w:keepNext/>
              <w:keepLines/>
              <w:tabs>
                <w:tab w:val="left" w:pos="2350"/>
              </w:tabs>
              <w:spacing w:before="50" w:after="50" w:line="240" w:lineRule="exact"/>
              <w:ind w:left="1440"/>
              <w:rPr>
                <w:rFonts w:eastAsia="SimSun"/>
                <w:sz w:val="18"/>
                <w:szCs w:val="18"/>
                <w:lang w:val="en-GB" w:eastAsia="zh-CN"/>
              </w:rPr>
            </w:pPr>
            <w:proofErr w:type="gramStart"/>
            <w:r>
              <w:rPr>
                <w:rFonts w:eastAsia="SimSun"/>
                <w:sz w:val="18"/>
                <w:szCs w:val="18"/>
                <w:lang w:val="en-GB" w:eastAsia="zh-CN"/>
              </w:rPr>
              <w:t>s</w:t>
            </w:r>
            <w:r w:rsidR="00170812">
              <w:rPr>
                <w:rFonts w:eastAsia="SimSun"/>
                <w:sz w:val="18"/>
                <w:szCs w:val="18"/>
                <w:lang w:val="en-GB" w:eastAsia="zh-CN"/>
              </w:rPr>
              <w:t>emana  24</w:t>
            </w:r>
            <w:proofErr w:type="gramEnd"/>
            <w:r w:rsidR="00170812">
              <w:rPr>
                <w:rFonts w:eastAsia="SimSun"/>
                <w:sz w:val="18"/>
                <w:szCs w:val="18"/>
                <w:lang w:val="en-GB" w:eastAsia="zh-CN"/>
              </w:rPr>
              <w:t xml:space="preserve">        </w:t>
            </w:r>
            <w:r w:rsidR="00DE0163">
              <w:rPr>
                <w:rFonts w:eastAsia="SimSun"/>
                <w:sz w:val="18"/>
                <w:szCs w:val="18"/>
                <w:lang w:val="en-GB" w:eastAsia="zh-CN"/>
              </w:rPr>
              <w:t xml:space="preserve">      </w:t>
            </w:r>
            <w:r w:rsidR="00170812">
              <w:rPr>
                <w:rFonts w:eastAsia="SimSun"/>
                <w:sz w:val="18"/>
                <w:szCs w:val="18"/>
                <w:lang w:val="en-GB" w:eastAsia="zh-CN"/>
              </w:rPr>
              <w:t>ACR20, n (%)</w:t>
            </w:r>
          </w:p>
        </w:tc>
        <w:tc>
          <w:tcPr>
            <w:tcW w:w="1417" w:type="dxa"/>
            <w:tcMar>
              <w:top w:w="0" w:type="dxa"/>
              <w:left w:w="57" w:type="dxa"/>
              <w:bottom w:w="0" w:type="dxa"/>
              <w:right w:w="57" w:type="dxa"/>
            </w:tcMar>
          </w:tcPr>
          <w:p w14:paraId="09F4E50B"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216 (74</w:t>
            </w:r>
            <w:r w:rsidR="00305486">
              <w:rPr>
                <w:rFonts w:eastAsia="SimSun"/>
                <w:sz w:val="18"/>
                <w:szCs w:val="18"/>
                <w:lang w:val="en-GB" w:eastAsia="zh-CN"/>
              </w:rPr>
              <w:t>,</w:t>
            </w:r>
            <w:r>
              <w:rPr>
                <w:rFonts w:eastAsia="SimSun"/>
                <w:sz w:val="18"/>
                <w:szCs w:val="18"/>
                <w:lang w:val="en-GB" w:eastAsia="zh-CN"/>
              </w:rPr>
              <w:t>5)*</w:t>
            </w:r>
          </w:p>
        </w:tc>
        <w:tc>
          <w:tcPr>
            <w:tcW w:w="1418" w:type="dxa"/>
            <w:tcMar>
              <w:top w:w="0" w:type="dxa"/>
              <w:left w:w="57" w:type="dxa"/>
              <w:bottom w:w="0" w:type="dxa"/>
              <w:right w:w="57" w:type="dxa"/>
            </w:tcMar>
          </w:tcPr>
          <w:p w14:paraId="13038860"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205 (70</w:t>
            </w:r>
            <w:r w:rsidR="00305486">
              <w:rPr>
                <w:rFonts w:eastAsia="SimSun"/>
                <w:sz w:val="18"/>
                <w:szCs w:val="18"/>
                <w:lang w:val="en-GB" w:eastAsia="zh-CN"/>
              </w:rPr>
              <w:t>,</w:t>
            </w:r>
            <w:r>
              <w:rPr>
                <w:rFonts w:eastAsia="SimSun"/>
                <w:sz w:val="18"/>
                <w:szCs w:val="18"/>
                <w:lang w:val="en-GB" w:eastAsia="zh-CN"/>
              </w:rPr>
              <w:t>2)</w:t>
            </w:r>
          </w:p>
        </w:tc>
        <w:tc>
          <w:tcPr>
            <w:tcW w:w="1558" w:type="dxa"/>
            <w:tcBorders>
              <w:right w:val="nil"/>
            </w:tcBorders>
          </w:tcPr>
          <w:p w14:paraId="09939941"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212 (73</w:t>
            </w:r>
            <w:r w:rsidR="00305486">
              <w:rPr>
                <w:rFonts w:eastAsia="SimSun"/>
                <w:sz w:val="18"/>
                <w:szCs w:val="18"/>
                <w:lang w:val="en-GB" w:eastAsia="zh-CN"/>
              </w:rPr>
              <w:t>,</w:t>
            </w:r>
            <w:r>
              <w:rPr>
                <w:rFonts w:eastAsia="SimSun"/>
                <w:sz w:val="18"/>
                <w:szCs w:val="18"/>
                <w:lang w:val="en-GB" w:eastAsia="zh-CN"/>
              </w:rPr>
              <w:t>6)</w:t>
            </w:r>
          </w:p>
        </w:tc>
        <w:tc>
          <w:tcPr>
            <w:tcW w:w="992" w:type="dxa"/>
            <w:tcBorders>
              <w:top w:val="nil"/>
              <w:left w:val="nil"/>
              <w:bottom w:val="nil"/>
              <w:right w:val="single" w:sz="8" w:space="0" w:color="auto"/>
            </w:tcBorders>
            <w:tcMar>
              <w:top w:w="0" w:type="dxa"/>
              <w:left w:w="57" w:type="dxa"/>
              <w:bottom w:w="0" w:type="dxa"/>
              <w:right w:w="57" w:type="dxa"/>
            </w:tcMar>
          </w:tcPr>
          <w:p w14:paraId="7E6B05F0"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187 (65</w:t>
            </w:r>
            <w:r w:rsidR="00305486">
              <w:rPr>
                <w:rFonts w:eastAsia="SimSun"/>
                <w:sz w:val="18"/>
                <w:szCs w:val="18"/>
                <w:lang w:val="en-GB" w:eastAsia="zh-CN"/>
              </w:rPr>
              <w:t>,</w:t>
            </w:r>
            <w:r>
              <w:rPr>
                <w:rFonts w:eastAsia="SimSun"/>
                <w:sz w:val="18"/>
                <w:szCs w:val="18"/>
                <w:lang w:val="en-GB" w:eastAsia="zh-CN"/>
              </w:rPr>
              <w:t>2)</w:t>
            </w:r>
          </w:p>
        </w:tc>
      </w:tr>
      <w:tr w:rsidR="00170812" w14:paraId="47271799"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3CF77C27" w14:textId="77777777" w:rsidR="00170812" w:rsidRDefault="00170812" w:rsidP="00F30AB8">
            <w:pPr>
              <w:keepNext/>
              <w:keepLines/>
              <w:spacing w:before="50" w:after="50" w:line="240" w:lineRule="exact"/>
              <w:jc w:val="right"/>
              <w:rPr>
                <w:rFonts w:eastAsia="SimSun"/>
                <w:sz w:val="18"/>
                <w:szCs w:val="18"/>
                <w:lang w:val="en-GB" w:eastAsia="zh-CN"/>
              </w:rPr>
            </w:pPr>
            <w:r>
              <w:rPr>
                <w:rFonts w:eastAsia="SimSun"/>
                <w:sz w:val="18"/>
                <w:szCs w:val="18"/>
                <w:lang w:val="en-GB" w:eastAsia="zh-CN"/>
              </w:rPr>
              <w:t>ACR50, n (%)</w:t>
            </w:r>
          </w:p>
        </w:tc>
        <w:tc>
          <w:tcPr>
            <w:tcW w:w="1417" w:type="dxa"/>
            <w:tcMar>
              <w:top w:w="0" w:type="dxa"/>
              <w:left w:w="57" w:type="dxa"/>
              <w:bottom w:w="0" w:type="dxa"/>
              <w:right w:w="57" w:type="dxa"/>
            </w:tcMar>
          </w:tcPr>
          <w:p w14:paraId="7D62B1B7"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165 (56</w:t>
            </w:r>
            <w:r w:rsidR="00305486">
              <w:rPr>
                <w:rFonts w:eastAsia="SimSun"/>
                <w:sz w:val="18"/>
                <w:szCs w:val="18"/>
                <w:lang w:val="en-GB" w:eastAsia="zh-CN"/>
              </w:rPr>
              <w:t>,</w:t>
            </w:r>
            <w:r>
              <w:rPr>
                <w:rFonts w:eastAsia="SimSun"/>
                <w:sz w:val="18"/>
                <w:szCs w:val="18"/>
                <w:lang w:val="en-GB" w:eastAsia="zh-CN"/>
              </w:rPr>
              <w:t>9)**</w:t>
            </w:r>
          </w:p>
        </w:tc>
        <w:tc>
          <w:tcPr>
            <w:tcW w:w="1418" w:type="dxa"/>
            <w:tcMar>
              <w:top w:w="0" w:type="dxa"/>
              <w:left w:w="57" w:type="dxa"/>
              <w:bottom w:w="0" w:type="dxa"/>
              <w:right w:w="57" w:type="dxa"/>
            </w:tcMar>
          </w:tcPr>
          <w:p w14:paraId="4E48B99B"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139 (47</w:t>
            </w:r>
            <w:r w:rsidR="00305486">
              <w:rPr>
                <w:rFonts w:eastAsia="SimSun"/>
                <w:sz w:val="18"/>
                <w:szCs w:val="18"/>
                <w:lang w:val="en-GB" w:eastAsia="zh-CN"/>
              </w:rPr>
              <w:t>,</w:t>
            </w:r>
            <w:r>
              <w:rPr>
                <w:rFonts w:eastAsia="SimSun"/>
                <w:sz w:val="18"/>
                <w:szCs w:val="18"/>
                <w:lang w:val="en-GB" w:eastAsia="zh-CN"/>
              </w:rPr>
              <w:t>6)</w:t>
            </w:r>
          </w:p>
        </w:tc>
        <w:tc>
          <w:tcPr>
            <w:tcW w:w="1558" w:type="dxa"/>
            <w:tcBorders>
              <w:right w:val="nil"/>
            </w:tcBorders>
          </w:tcPr>
          <w:p w14:paraId="5705608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138 (47</w:t>
            </w:r>
            <w:r w:rsidR="00305486">
              <w:rPr>
                <w:rFonts w:eastAsia="SimSun"/>
                <w:sz w:val="18"/>
                <w:szCs w:val="18"/>
                <w:lang w:val="en-GB" w:eastAsia="zh-CN"/>
              </w:rPr>
              <w:t>,</w:t>
            </w:r>
            <w:r>
              <w:rPr>
                <w:rFonts w:eastAsia="SimSun"/>
                <w:sz w:val="18"/>
                <w:szCs w:val="18"/>
                <w:lang w:val="en-GB" w:eastAsia="zh-CN"/>
              </w:rPr>
              <w:t>9)</w:t>
            </w:r>
          </w:p>
        </w:tc>
        <w:tc>
          <w:tcPr>
            <w:tcW w:w="992" w:type="dxa"/>
            <w:tcBorders>
              <w:top w:val="nil"/>
              <w:left w:val="nil"/>
              <w:bottom w:val="nil"/>
              <w:right w:val="single" w:sz="8" w:space="0" w:color="auto"/>
            </w:tcBorders>
            <w:tcMar>
              <w:top w:w="0" w:type="dxa"/>
              <w:left w:w="57" w:type="dxa"/>
              <w:bottom w:w="0" w:type="dxa"/>
              <w:right w:w="57" w:type="dxa"/>
            </w:tcMar>
          </w:tcPr>
          <w:p w14:paraId="0454E021"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124 (43</w:t>
            </w:r>
            <w:r w:rsidR="00305486">
              <w:rPr>
                <w:rFonts w:eastAsia="SimSun"/>
                <w:sz w:val="18"/>
                <w:szCs w:val="18"/>
                <w:lang w:val="en-GB" w:eastAsia="zh-CN"/>
              </w:rPr>
              <w:t>,</w:t>
            </w:r>
            <w:r>
              <w:rPr>
                <w:rFonts w:eastAsia="SimSun"/>
                <w:sz w:val="18"/>
                <w:szCs w:val="18"/>
                <w:lang w:val="en-GB" w:eastAsia="zh-CN"/>
              </w:rPr>
              <w:t>2)</w:t>
            </w:r>
          </w:p>
        </w:tc>
      </w:tr>
      <w:tr w:rsidR="00170812" w14:paraId="5783E63F"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41C1189B" w14:textId="77777777" w:rsidR="00170812" w:rsidRDefault="00170812" w:rsidP="00F30AB8">
            <w:pPr>
              <w:keepNext/>
              <w:keepLines/>
              <w:spacing w:before="50" w:after="50" w:line="240" w:lineRule="exact"/>
              <w:jc w:val="right"/>
              <w:rPr>
                <w:rFonts w:eastAsia="SimSun"/>
                <w:sz w:val="18"/>
                <w:szCs w:val="18"/>
                <w:lang w:val="en-GB" w:eastAsia="zh-CN"/>
              </w:rPr>
            </w:pPr>
            <w:r>
              <w:rPr>
                <w:rFonts w:eastAsia="SimSun"/>
                <w:sz w:val="18"/>
                <w:szCs w:val="18"/>
                <w:lang w:val="en-GB" w:eastAsia="zh-CN"/>
              </w:rPr>
              <w:t>ACR70, n (%)</w:t>
            </w:r>
          </w:p>
        </w:tc>
        <w:tc>
          <w:tcPr>
            <w:tcW w:w="1417" w:type="dxa"/>
            <w:tcMar>
              <w:top w:w="0" w:type="dxa"/>
              <w:left w:w="57" w:type="dxa"/>
              <w:bottom w:w="0" w:type="dxa"/>
              <w:right w:w="57" w:type="dxa"/>
            </w:tcMar>
          </w:tcPr>
          <w:p w14:paraId="27D9CBDA"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112 (38</w:t>
            </w:r>
            <w:r w:rsidR="00305486">
              <w:rPr>
                <w:rFonts w:eastAsia="SimSun"/>
                <w:sz w:val="18"/>
                <w:szCs w:val="18"/>
                <w:lang w:val="en-GB" w:eastAsia="zh-CN"/>
              </w:rPr>
              <w:t>,</w:t>
            </w:r>
            <w:r>
              <w:rPr>
                <w:rFonts w:eastAsia="SimSun"/>
                <w:sz w:val="18"/>
                <w:szCs w:val="18"/>
                <w:lang w:val="en-GB" w:eastAsia="zh-CN"/>
              </w:rPr>
              <w:t>6)**</w:t>
            </w:r>
          </w:p>
        </w:tc>
        <w:tc>
          <w:tcPr>
            <w:tcW w:w="1418" w:type="dxa"/>
            <w:tcMar>
              <w:top w:w="0" w:type="dxa"/>
              <w:left w:w="57" w:type="dxa"/>
              <w:bottom w:w="0" w:type="dxa"/>
              <w:right w:w="57" w:type="dxa"/>
            </w:tcMar>
          </w:tcPr>
          <w:p w14:paraId="696E1FFE"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88 (30</w:t>
            </w:r>
            <w:r w:rsidR="00305486">
              <w:rPr>
                <w:rFonts w:eastAsia="SimSun"/>
                <w:sz w:val="18"/>
                <w:szCs w:val="18"/>
                <w:lang w:val="en-GB" w:eastAsia="zh-CN"/>
              </w:rPr>
              <w:t>,</w:t>
            </w:r>
            <w:r>
              <w:rPr>
                <w:rFonts w:eastAsia="SimSun"/>
                <w:sz w:val="18"/>
                <w:szCs w:val="18"/>
                <w:lang w:val="en-GB" w:eastAsia="zh-CN"/>
              </w:rPr>
              <w:t>1)</w:t>
            </w:r>
          </w:p>
        </w:tc>
        <w:tc>
          <w:tcPr>
            <w:tcW w:w="1558" w:type="dxa"/>
            <w:tcBorders>
              <w:right w:val="nil"/>
            </w:tcBorders>
          </w:tcPr>
          <w:p w14:paraId="40CE3D2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100 (34</w:t>
            </w:r>
            <w:r w:rsidR="00305486">
              <w:rPr>
                <w:rFonts w:eastAsia="SimSun"/>
                <w:sz w:val="18"/>
                <w:szCs w:val="18"/>
                <w:lang w:val="en-GB" w:eastAsia="zh-CN"/>
              </w:rPr>
              <w:t>,</w:t>
            </w:r>
            <w:r>
              <w:rPr>
                <w:rFonts w:eastAsia="SimSun"/>
                <w:sz w:val="18"/>
                <w:szCs w:val="18"/>
                <w:lang w:val="en-GB" w:eastAsia="zh-CN"/>
              </w:rPr>
              <w:t>7)</w:t>
            </w:r>
          </w:p>
        </w:tc>
        <w:tc>
          <w:tcPr>
            <w:tcW w:w="992" w:type="dxa"/>
            <w:tcBorders>
              <w:top w:val="nil"/>
              <w:left w:val="nil"/>
              <w:bottom w:val="nil"/>
              <w:right w:val="single" w:sz="8" w:space="0" w:color="auto"/>
            </w:tcBorders>
            <w:tcMar>
              <w:top w:w="0" w:type="dxa"/>
              <w:left w:w="57" w:type="dxa"/>
              <w:bottom w:w="0" w:type="dxa"/>
              <w:right w:w="57" w:type="dxa"/>
            </w:tcMar>
          </w:tcPr>
          <w:p w14:paraId="430CA788"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73 (25</w:t>
            </w:r>
            <w:r w:rsidR="00305486">
              <w:rPr>
                <w:rFonts w:eastAsia="SimSun"/>
                <w:sz w:val="18"/>
                <w:szCs w:val="18"/>
                <w:lang w:val="en-GB" w:eastAsia="zh-CN"/>
              </w:rPr>
              <w:t>,</w:t>
            </w:r>
            <w:r>
              <w:rPr>
                <w:rFonts w:eastAsia="SimSun"/>
                <w:sz w:val="18"/>
                <w:szCs w:val="18"/>
                <w:lang w:val="en-GB" w:eastAsia="zh-CN"/>
              </w:rPr>
              <w:t>4)</w:t>
            </w:r>
          </w:p>
        </w:tc>
      </w:tr>
      <w:tr w:rsidR="00170812" w14:paraId="27156E7E"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7A24D08E" w14:textId="659497D5" w:rsidR="00170812" w:rsidRDefault="00E965B3" w:rsidP="00F30AB8">
            <w:pPr>
              <w:keepNext/>
              <w:keepLines/>
              <w:spacing w:before="50" w:after="50" w:line="240" w:lineRule="exact"/>
              <w:ind w:left="1440"/>
              <w:rPr>
                <w:rFonts w:eastAsia="SimSun"/>
                <w:sz w:val="18"/>
                <w:szCs w:val="18"/>
                <w:lang w:val="en-GB" w:eastAsia="zh-CN"/>
              </w:rPr>
            </w:pPr>
            <w:proofErr w:type="gramStart"/>
            <w:r>
              <w:rPr>
                <w:rFonts w:eastAsia="SimSun"/>
                <w:sz w:val="18"/>
                <w:szCs w:val="18"/>
                <w:lang w:val="en-GB" w:eastAsia="zh-CN"/>
              </w:rPr>
              <w:t>s</w:t>
            </w:r>
            <w:r w:rsidR="00170812">
              <w:rPr>
                <w:rFonts w:eastAsia="SimSun"/>
                <w:sz w:val="18"/>
                <w:szCs w:val="18"/>
                <w:lang w:val="en-GB" w:eastAsia="zh-CN"/>
              </w:rPr>
              <w:t>emana  52</w:t>
            </w:r>
            <w:proofErr w:type="gramEnd"/>
            <w:r w:rsidR="00170812">
              <w:rPr>
                <w:rFonts w:eastAsia="SimSun"/>
                <w:sz w:val="18"/>
                <w:szCs w:val="18"/>
                <w:lang w:val="en-GB" w:eastAsia="zh-CN"/>
              </w:rPr>
              <w:t xml:space="preserve">        </w:t>
            </w:r>
            <w:r w:rsidR="00DE0163">
              <w:rPr>
                <w:rFonts w:eastAsia="SimSun"/>
                <w:sz w:val="18"/>
                <w:szCs w:val="18"/>
                <w:lang w:val="en-GB" w:eastAsia="zh-CN"/>
              </w:rPr>
              <w:t xml:space="preserve">      </w:t>
            </w:r>
            <w:r w:rsidR="00170812">
              <w:rPr>
                <w:rFonts w:eastAsia="SimSun"/>
                <w:sz w:val="18"/>
                <w:szCs w:val="18"/>
                <w:lang w:val="en-GB" w:eastAsia="zh-CN"/>
              </w:rPr>
              <w:t>ACR20, n (%)</w:t>
            </w:r>
          </w:p>
        </w:tc>
        <w:tc>
          <w:tcPr>
            <w:tcW w:w="1417" w:type="dxa"/>
            <w:tcMar>
              <w:top w:w="0" w:type="dxa"/>
              <w:left w:w="57" w:type="dxa"/>
              <w:bottom w:w="0" w:type="dxa"/>
              <w:right w:w="57" w:type="dxa"/>
            </w:tcMar>
          </w:tcPr>
          <w:p w14:paraId="7161D75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195 (67</w:t>
            </w:r>
            <w:r w:rsidR="00305486">
              <w:rPr>
                <w:rFonts w:eastAsia="SimSun"/>
                <w:sz w:val="18"/>
                <w:szCs w:val="18"/>
                <w:lang w:val="en-GB" w:eastAsia="zh-CN"/>
              </w:rPr>
              <w:t>,</w:t>
            </w:r>
            <w:r>
              <w:rPr>
                <w:rFonts w:eastAsia="SimSun"/>
                <w:sz w:val="18"/>
                <w:szCs w:val="18"/>
                <w:lang w:val="en-GB" w:eastAsia="zh-CN"/>
              </w:rPr>
              <w:t>2)*</w:t>
            </w:r>
          </w:p>
        </w:tc>
        <w:tc>
          <w:tcPr>
            <w:tcW w:w="1418" w:type="dxa"/>
            <w:tcMar>
              <w:top w:w="0" w:type="dxa"/>
              <w:left w:w="57" w:type="dxa"/>
              <w:bottom w:w="0" w:type="dxa"/>
              <w:right w:w="57" w:type="dxa"/>
            </w:tcMar>
          </w:tcPr>
          <w:p w14:paraId="518EF2E8"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184 (63</w:t>
            </w:r>
            <w:r w:rsidR="00305486">
              <w:rPr>
                <w:rFonts w:eastAsia="SimSun"/>
                <w:sz w:val="18"/>
                <w:szCs w:val="18"/>
                <w:lang w:val="en-GB" w:eastAsia="zh-CN"/>
              </w:rPr>
              <w:t>,</w:t>
            </w:r>
            <w:r>
              <w:rPr>
                <w:rFonts w:eastAsia="SimSun"/>
                <w:sz w:val="18"/>
                <w:szCs w:val="18"/>
                <w:lang w:val="en-GB" w:eastAsia="zh-CN"/>
              </w:rPr>
              <w:t>0)</w:t>
            </w:r>
          </w:p>
        </w:tc>
        <w:tc>
          <w:tcPr>
            <w:tcW w:w="1558" w:type="dxa"/>
            <w:tcBorders>
              <w:right w:val="nil"/>
            </w:tcBorders>
          </w:tcPr>
          <w:p w14:paraId="74098113"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181 (62</w:t>
            </w:r>
            <w:r w:rsidR="00305486">
              <w:rPr>
                <w:rFonts w:eastAsia="SimSun"/>
                <w:sz w:val="18"/>
                <w:szCs w:val="18"/>
                <w:lang w:val="en-GB" w:eastAsia="zh-CN"/>
              </w:rPr>
              <w:t>,</w:t>
            </w:r>
            <w:r>
              <w:rPr>
                <w:rFonts w:eastAsia="SimSun"/>
                <w:sz w:val="18"/>
                <w:szCs w:val="18"/>
                <w:lang w:val="en-GB" w:eastAsia="zh-CN"/>
              </w:rPr>
              <w:t>8)</w:t>
            </w:r>
          </w:p>
        </w:tc>
        <w:tc>
          <w:tcPr>
            <w:tcW w:w="992" w:type="dxa"/>
            <w:tcBorders>
              <w:top w:val="nil"/>
              <w:left w:val="nil"/>
              <w:bottom w:val="nil"/>
              <w:right w:val="single" w:sz="8" w:space="0" w:color="auto"/>
            </w:tcBorders>
            <w:tcMar>
              <w:top w:w="0" w:type="dxa"/>
              <w:left w:w="57" w:type="dxa"/>
              <w:bottom w:w="0" w:type="dxa"/>
              <w:right w:w="57" w:type="dxa"/>
            </w:tcMar>
          </w:tcPr>
          <w:p w14:paraId="2BA9AB17"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164 (57</w:t>
            </w:r>
            <w:r w:rsidR="00305486">
              <w:rPr>
                <w:rFonts w:eastAsia="SimSun"/>
                <w:sz w:val="18"/>
                <w:szCs w:val="18"/>
                <w:lang w:val="en-GB" w:eastAsia="zh-CN"/>
              </w:rPr>
              <w:t>,</w:t>
            </w:r>
            <w:r>
              <w:rPr>
                <w:rFonts w:eastAsia="SimSun"/>
                <w:sz w:val="18"/>
                <w:szCs w:val="18"/>
                <w:lang w:val="en-GB" w:eastAsia="zh-CN"/>
              </w:rPr>
              <w:t>1)</w:t>
            </w:r>
          </w:p>
        </w:tc>
      </w:tr>
      <w:tr w:rsidR="00170812" w14:paraId="17DA7734"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7C3CA924" w14:textId="77777777" w:rsidR="00170812" w:rsidRDefault="00170812" w:rsidP="00F30AB8">
            <w:pPr>
              <w:keepNext/>
              <w:keepLines/>
              <w:spacing w:before="50" w:after="50" w:line="240" w:lineRule="exact"/>
              <w:jc w:val="right"/>
              <w:rPr>
                <w:rFonts w:eastAsia="SimSun"/>
                <w:sz w:val="18"/>
                <w:szCs w:val="18"/>
                <w:lang w:val="en-GB" w:eastAsia="zh-CN"/>
              </w:rPr>
            </w:pPr>
            <w:r>
              <w:rPr>
                <w:rFonts w:eastAsia="SimSun"/>
                <w:sz w:val="18"/>
                <w:szCs w:val="18"/>
                <w:lang w:val="en-GB" w:eastAsia="zh-CN"/>
              </w:rPr>
              <w:t>ACR50, n (%)</w:t>
            </w:r>
          </w:p>
        </w:tc>
        <w:tc>
          <w:tcPr>
            <w:tcW w:w="1417" w:type="dxa"/>
            <w:tcMar>
              <w:top w:w="0" w:type="dxa"/>
              <w:left w:w="57" w:type="dxa"/>
              <w:bottom w:w="0" w:type="dxa"/>
              <w:right w:w="57" w:type="dxa"/>
            </w:tcMar>
          </w:tcPr>
          <w:p w14:paraId="3E31D452"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162 (55</w:t>
            </w:r>
            <w:r w:rsidR="00305486">
              <w:rPr>
                <w:rFonts w:eastAsia="SimSun"/>
                <w:sz w:val="18"/>
                <w:szCs w:val="18"/>
                <w:lang w:val="en-GB" w:eastAsia="zh-CN"/>
              </w:rPr>
              <w:t>,</w:t>
            </w:r>
            <w:r>
              <w:rPr>
                <w:rFonts w:eastAsia="SimSun"/>
                <w:sz w:val="18"/>
                <w:szCs w:val="18"/>
                <w:lang w:val="en-GB" w:eastAsia="zh-CN"/>
              </w:rPr>
              <w:t>9)**</w:t>
            </w:r>
          </w:p>
        </w:tc>
        <w:tc>
          <w:tcPr>
            <w:tcW w:w="1418" w:type="dxa"/>
            <w:tcMar>
              <w:top w:w="0" w:type="dxa"/>
              <w:left w:w="57" w:type="dxa"/>
              <w:bottom w:w="0" w:type="dxa"/>
              <w:right w:w="57" w:type="dxa"/>
            </w:tcMar>
          </w:tcPr>
          <w:p w14:paraId="18AB2C93"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144 (49</w:t>
            </w:r>
            <w:r w:rsidR="00305486">
              <w:rPr>
                <w:rFonts w:eastAsia="SimSun"/>
                <w:sz w:val="18"/>
                <w:szCs w:val="18"/>
                <w:lang w:val="en-GB" w:eastAsia="zh-CN"/>
              </w:rPr>
              <w:t>,</w:t>
            </w:r>
            <w:r>
              <w:rPr>
                <w:rFonts w:eastAsia="SimSun"/>
                <w:sz w:val="18"/>
                <w:szCs w:val="18"/>
                <w:lang w:val="en-GB" w:eastAsia="zh-CN"/>
              </w:rPr>
              <w:t>3)</w:t>
            </w:r>
          </w:p>
        </w:tc>
        <w:tc>
          <w:tcPr>
            <w:tcW w:w="1558" w:type="dxa"/>
            <w:tcBorders>
              <w:right w:val="nil"/>
            </w:tcBorders>
          </w:tcPr>
          <w:p w14:paraId="79D9D49F"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151 (52</w:t>
            </w:r>
            <w:r w:rsidR="00305486">
              <w:rPr>
                <w:rFonts w:eastAsia="SimSun"/>
                <w:sz w:val="18"/>
                <w:szCs w:val="18"/>
                <w:lang w:val="en-GB" w:eastAsia="zh-CN"/>
              </w:rPr>
              <w:t>,</w:t>
            </w:r>
            <w:r>
              <w:rPr>
                <w:rFonts w:eastAsia="SimSun"/>
                <w:sz w:val="18"/>
                <w:szCs w:val="18"/>
                <w:lang w:val="en-GB" w:eastAsia="zh-CN"/>
              </w:rPr>
              <w:t>4)</w:t>
            </w:r>
          </w:p>
        </w:tc>
        <w:tc>
          <w:tcPr>
            <w:tcW w:w="992" w:type="dxa"/>
            <w:tcBorders>
              <w:top w:val="nil"/>
              <w:left w:val="nil"/>
              <w:bottom w:val="nil"/>
              <w:right w:val="single" w:sz="8" w:space="0" w:color="auto"/>
            </w:tcBorders>
            <w:tcMar>
              <w:top w:w="0" w:type="dxa"/>
              <w:left w:w="57" w:type="dxa"/>
              <w:bottom w:w="0" w:type="dxa"/>
              <w:right w:w="57" w:type="dxa"/>
            </w:tcMar>
          </w:tcPr>
          <w:p w14:paraId="34BED412"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117 (40</w:t>
            </w:r>
            <w:r w:rsidR="00305486">
              <w:rPr>
                <w:rFonts w:eastAsia="SimSun"/>
                <w:sz w:val="18"/>
                <w:szCs w:val="18"/>
                <w:lang w:val="en-GB" w:eastAsia="zh-CN"/>
              </w:rPr>
              <w:t>,</w:t>
            </w:r>
            <w:r>
              <w:rPr>
                <w:rFonts w:eastAsia="SimSun"/>
                <w:sz w:val="18"/>
                <w:szCs w:val="18"/>
                <w:lang w:val="en-GB" w:eastAsia="zh-CN"/>
              </w:rPr>
              <w:t>8)</w:t>
            </w:r>
          </w:p>
        </w:tc>
      </w:tr>
      <w:tr w:rsidR="00170812" w14:paraId="58A2BDD2" w14:textId="77777777" w:rsidTr="006616E4">
        <w:trPr>
          <w:cantSplit/>
        </w:trPr>
        <w:tc>
          <w:tcPr>
            <w:tcW w:w="4110" w:type="dxa"/>
            <w:gridSpan w:val="3"/>
            <w:tcBorders>
              <w:top w:val="nil"/>
              <w:left w:val="single" w:sz="4" w:space="0" w:color="auto"/>
              <w:bottom w:val="single" w:sz="4" w:space="0" w:color="auto"/>
              <w:right w:val="nil"/>
            </w:tcBorders>
            <w:tcMar>
              <w:top w:w="0" w:type="dxa"/>
              <w:left w:w="57" w:type="dxa"/>
              <w:bottom w:w="0" w:type="dxa"/>
              <w:right w:w="57" w:type="dxa"/>
            </w:tcMar>
          </w:tcPr>
          <w:p w14:paraId="331BD65D" w14:textId="77777777" w:rsidR="00170812" w:rsidRDefault="00170812" w:rsidP="00F30AB8">
            <w:pPr>
              <w:keepNext/>
              <w:keepLines/>
              <w:spacing w:before="50" w:after="50" w:line="240" w:lineRule="exact"/>
              <w:jc w:val="right"/>
              <w:rPr>
                <w:rFonts w:eastAsia="SimSun"/>
                <w:sz w:val="18"/>
                <w:szCs w:val="18"/>
                <w:lang w:val="en-GB" w:eastAsia="zh-CN"/>
              </w:rPr>
            </w:pPr>
            <w:r>
              <w:rPr>
                <w:rFonts w:eastAsia="SimSun"/>
                <w:sz w:val="18"/>
                <w:szCs w:val="18"/>
                <w:lang w:val="en-GB" w:eastAsia="zh-CN"/>
              </w:rPr>
              <w:t>ACR70, n (%)</w:t>
            </w:r>
          </w:p>
        </w:tc>
        <w:tc>
          <w:tcPr>
            <w:tcW w:w="1417" w:type="dxa"/>
            <w:tcBorders>
              <w:top w:val="nil"/>
              <w:left w:val="nil"/>
              <w:bottom w:val="single" w:sz="4" w:space="0" w:color="auto"/>
              <w:right w:val="nil"/>
            </w:tcBorders>
            <w:tcMar>
              <w:top w:w="0" w:type="dxa"/>
              <w:left w:w="57" w:type="dxa"/>
              <w:bottom w:w="0" w:type="dxa"/>
              <w:right w:w="57" w:type="dxa"/>
            </w:tcMar>
          </w:tcPr>
          <w:p w14:paraId="4DFB8AC5"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125 (43</w:t>
            </w:r>
            <w:r w:rsidR="00305486">
              <w:rPr>
                <w:rFonts w:eastAsia="SimSun"/>
                <w:sz w:val="18"/>
                <w:szCs w:val="18"/>
                <w:lang w:val="en-GB" w:eastAsia="zh-CN"/>
              </w:rPr>
              <w:t>,</w:t>
            </w:r>
            <w:r>
              <w:rPr>
                <w:rFonts w:eastAsia="SimSun"/>
                <w:sz w:val="18"/>
                <w:szCs w:val="18"/>
                <w:lang w:val="en-GB" w:eastAsia="zh-CN"/>
              </w:rPr>
              <w:t>1)**</w:t>
            </w:r>
          </w:p>
        </w:tc>
        <w:tc>
          <w:tcPr>
            <w:tcW w:w="1418" w:type="dxa"/>
            <w:tcBorders>
              <w:top w:val="nil"/>
              <w:left w:val="nil"/>
              <w:bottom w:val="single" w:sz="4" w:space="0" w:color="auto"/>
              <w:right w:val="nil"/>
            </w:tcBorders>
            <w:tcMar>
              <w:top w:w="0" w:type="dxa"/>
              <w:left w:w="57" w:type="dxa"/>
              <w:bottom w:w="0" w:type="dxa"/>
              <w:right w:w="57" w:type="dxa"/>
            </w:tcMar>
          </w:tcPr>
          <w:p w14:paraId="4607915D"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105 (36</w:t>
            </w:r>
            <w:r w:rsidR="00305486">
              <w:rPr>
                <w:rFonts w:eastAsia="SimSun"/>
                <w:sz w:val="18"/>
                <w:szCs w:val="18"/>
                <w:lang w:val="en-GB" w:eastAsia="zh-CN"/>
              </w:rPr>
              <w:t>,</w:t>
            </w:r>
            <w:r>
              <w:rPr>
                <w:rFonts w:eastAsia="SimSun"/>
                <w:sz w:val="18"/>
                <w:szCs w:val="18"/>
                <w:lang w:val="en-GB" w:eastAsia="zh-CN"/>
              </w:rPr>
              <w:t>0)</w:t>
            </w:r>
          </w:p>
        </w:tc>
        <w:tc>
          <w:tcPr>
            <w:tcW w:w="1558" w:type="dxa"/>
            <w:tcBorders>
              <w:top w:val="nil"/>
              <w:left w:val="nil"/>
              <w:bottom w:val="single" w:sz="4" w:space="0" w:color="auto"/>
              <w:right w:val="nil"/>
            </w:tcBorders>
          </w:tcPr>
          <w:p w14:paraId="2B6088E9"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107 (37</w:t>
            </w:r>
            <w:r w:rsidR="00305486">
              <w:rPr>
                <w:rFonts w:eastAsia="SimSun"/>
                <w:sz w:val="18"/>
                <w:szCs w:val="18"/>
                <w:lang w:val="en-GB" w:eastAsia="zh-CN"/>
              </w:rPr>
              <w:t>,</w:t>
            </w:r>
            <w:r>
              <w:rPr>
                <w:rFonts w:eastAsia="SimSun"/>
                <w:sz w:val="18"/>
                <w:szCs w:val="18"/>
                <w:lang w:val="en-GB" w:eastAsia="zh-CN"/>
              </w:rPr>
              <w:t>2)</w:t>
            </w:r>
          </w:p>
        </w:tc>
        <w:tc>
          <w:tcPr>
            <w:tcW w:w="992" w:type="dxa"/>
            <w:tcBorders>
              <w:top w:val="nil"/>
              <w:left w:val="nil"/>
              <w:bottom w:val="single" w:sz="4" w:space="0" w:color="auto"/>
              <w:right w:val="single" w:sz="8" w:space="0" w:color="auto"/>
            </w:tcBorders>
            <w:tcMar>
              <w:top w:w="0" w:type="dxa"/>
              <w:left w:w="57" w:type="dxa"/>
              <w:bottom w:w="0" w:type="dxa"/>
              <w:right w:w="57" w:type="dxa"/>
            </w:tcMar>
          </w:tcPr>
          <w:p w14:paraId="31710A3E"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83 (28</w:t>
            </w:r>
            <w:r w:rsidR="00305486">
              <w:rPr>
                <w:rFonts w:eastAsia="SimSun"/>
                <w:sz w:val="18"/>
                <w:szCs w:val="18"/>
                <w:lang w:val="en-GB" w:eastAsia="zh-CN"/>
              </w:rPr>
              <w:t>,</w:t>
            </w:r>
            <w:r>
              <w:rPr>
                <w:rFonts w:eastAsia="SimSun"/>
                <w:sz w:val="18"/>
                <w:szCs w:val="18"/>
                <w:lang w:val="en-GB" w:eastAsia="zh-CN"/>
              </w:rPr>
              <w:t>9)</w:t>
            </w:r>
          </w:p>
        </w:tc>
      </w:tr>
      <w:tr w:rsidR="00170812" w:rsidRPr="00541248" w14:paraId="7343B5EB" w14:textId="77777777" w:rsidTr="006616E4">
        <w:trPr>
          <w:cantSplit/>
        </w:trPr>
        <w:tc>
          <w:tcPr>
            <w:tcW w:w="4110" w:type="dxa"/>
            <w:gridSpan w:val="3"/>
            <w:tcBorders>
              <w:top w:val="single" w:sz="4" w:space="0" w:color="auto"/>
              <w:left w:val="single" w:sz="4" w:space="0" w:color="auto"/>
              <w:bottom w:val="nil"/>
              <w:right w:val="nil"/>
            </w:tcBorders>
            <w:tcMar>
              <w:top w:w="0" w:type="dxa"/>
              <w:left w:w="57" w:type="dxa"/>
              <w:bottom w:w="0" w:type="dxa"/>
              <w:right w:w="57" w:type="dxa"/>
            </w:tcMar>
          </w:tcPr>
          <w:p w14:paraId="7658FE32" w14:textId="5CD40BA6" w:rsidR="00170812" w:rsidRPr="00E67AA6" w:rsidRDefault="00170812" w:rsidP="00F30AB8">
            <w:pPr>
              <w:keepNext/>
              <w:keepLines/>
              <w:spacing w:before="50" w:after="50" w:line="240" w:lineRule="exact"/>
              <w:rPr>
                <w:rFonts w:eastAsia="SimSun"/>
                <w:sz w:val="18"/>
                <w:szCs w:val="18"/>
                <w:lang w:val="es-ES" w:eastAsia="zh-CN"/>
              </w:rPr>
            </w:pPr>
            <w:r w:rsidRPr="00E67AA6">
              <w:rPr>
                <w:rFonts w:eastAsia="SimSun"/>
                <w:sz w:val="18"/>
                <w:szCs w:val="18"/>
                <w:lang w:val="es-ES" w:eastAsia="zh-CN"/>
              </w:rPr>
              <w:t>HAQ-DI (</w:t>
            </w:r>
            <w:ins w:id="465" w:author="AUTHOR">
              <w:r w:rsidR="00DB20BA" w:rsidRPr="00DB20BA">
                <w:rPr>
                  <w:rFonts w:eastAsia="SimSun"/>
                  <w:sz w:val="18"/>
                  <w:szCs w:val="18"/>
                  <w:lang w:val="es-ES" w:eastAsia="zh-CN"/>
                </w:rPr>
                <w:t>cambio promedio ajustado con respecto al inicio</w:t>
              </w:r>
            </w:ins>
            <w:del w:id="466" w:author="AUTHOR">
              <w:r w:rsidRPr="00E67AA6" w:rsidDel="00DB20BA">
                <w:rPr>
                  <w:rFonts w:eastAsia="SimSun"/>
                  <w:sz w:val="18"/>
                  <w:szCs w:val="18"/>
                  <w:lang w:val="es-ES" w:eastAsia="zh-CN"/>
                </w:rPr>
                <w:delText xml:space="preserve">la media ajustada cambia respecto </w:delText>
              </w:r>
              <w:r w:rsidRPr="00BF61D3" w:rsidDel="00DB20BA">
                <w:rPr>
                  <w:rFonts w:eastAsia="SimSun"/>
                  <w:sz w:val="18"/>
                  <w:szCs w:val="18"/>
                  <w:lang w:val="es-ES" w:eastAsia="zh-CN"/>
                </w:rPr>
                <w:delText>a la</w:delText>
              </w:r>
              <w:r w:rsidDel="00DB20BA">
                <w:rPr>
                  <w:rFonts w:eastAsia="SimSun"/>
                  <w:sz w:val="18"/>
                  <w:szCs w:val="18"/>
                  <w:lang w:val="es-ES" w:eastAsia="zh-CN"/>
                </w:rPr>
                <w:delText xml:space="preserve"> </w:delText>
              </w:r>
              <w:r w:rsidRPr="00E67AA6" w:rsidDel="00DB20BA">
                <w:rPr>
                  <w:rFonts w:eastAsia="SimSun"/>
                  <w:sz w:val="18"/>
                  <w:szCs w:val="18"/>
                  <w:lang w:val="es-ES" w:eastAsia="zh-CN"/>
                </w:rPr>
                <w:delText>inicial</w:delText>
              </w:r>
            </w:del>
            <w:r w:rsidRPr="00E67AA6">
              <w:rPr>
                <w:rFonts w:eastAsia="SimSun"/>
                <w:sz w:val="18"/>
                <w:szCs w:val="18"/>
                <w:lang w:val="es-ES" w:eastAsia="zh-CN"/>
              </w:rPr>
              <w:t>)</w:t>
            </w:r>
          </w:p>
        </w:tc>
        <w:tc>
          <w:tcPr>
            <w:tcW w:w="1417" w:type="dxa"/>
            <w:tcBorders>
              <w:top w:val="single" w:sz="4" w:space="0" w:color="auto"/>
              <w:left w:val="nil"/>
              <w:bottom w:val="nil"/>
              <w:right w:val="nil"/>
            </w:tcBorders>
            <w:tcMar>
              <w:top w:w="0" w:type="dxa"/>
              <w:left w:w="57" w:type="dxa"/>
              <w:bottom w:w="0" w:type="dxa"/>
              <w:right w:w="57" w:type="dxa"/>
            </w:tcMar>
          </w:tcPr>
          <w:p w14:paraId="4F1CCD5B" w14:textId="77777777" w:rsidR="00170812" w:rsidRPr="00E67AA6" w:rsidRDefault="00170812" w:rsidP="00F30AB8">
            <w:pPr>
              <w:keepNext/>
              <w:keepLines/>
              <w:spacing w:before="50" w:after="50" w:line="240" w:lineRule="exact"/>
              <w:rPr>
                <w:rFonts w:eastAsia="SimSun"/>
                <w:sz w:val="18"/>
                <w:szCs w:val="18"/>
                <w:lang w:val="es-ES" w:eastAsia="zh-CN"/>
              </w:rPr>
            </w:pPr>
          </w:p>
        </w:tc>
        <w:tc>
          <w:tcPr>
            <w:tcW w:w="1418" w:type="dxa"/>
            <w:tcBorders>
              <w:top w:val="single" w:sz="4" w:space="0" w:color="auto"/>
              <w:left w:val="nil"/>
              <w:bottom w:val="nil"/>
              <w:right w:val="nil"/>
            </w:tcBorders>
            <w:tcMar>
              <w:top w:w="0" w:type="dxa"/>
              <w:left w:w="57" w:type="dxa"/>
              <w:bottom w:w="0" w:type="dxa"/>
              <w:right w:w="57" w:type="dxa"/>
            </w:tcMar>
          </w:tcPr>
          <w:p w14:paraId="1EFF0C61" w14:textId="77777777" w:rsidR="00170812" w:rsidRPr="00E67AA6" w:rsidRDefault="00170812" w:rsidP="00F30AB8">
            <w:pPr>
              <w:keepNext/>
              <w:keepLines/>
              <w:spacing w:before="50" w:after="50" w:line="240" w:lineRule="exact"/>
              <w:rPr>
                <w:rFonts w:eastAsia="SimSun"/>
                <w:sz w:val="18"/>
                <w:szCs w:val="18"/>
                <w:lang w:val="es-ES" w:eastAsia="zh-CN"/>
              </w:rPr>
            </w:pPr>
          </w:p>
        </w:tc>
        <w:tc>
          <w:tcPr>
            <w:tcW w:w="1558" w:type="dxa"/>
            <w:tcBorders>
              <w:top w:val="single" w:sz="4" w:space="0" w:color="auto"/>
              <w:left w:val="nil"/>
              <w:bottom w:val="nil"/>
              <w:right w:val="nil"/>
            </w:tcBorders>
          </w:tcPr>
          <w:p w14:paraId="398AA36E" w14:textId="77777777" w:rsidR="00170812" w:rsidRPr="00E67AA6" w:rsidRDefault="00170812" w:rsidP="00F30AB8">
            <w:pPr>
              <w:keepNext/>
              <w:keepLines/>
              <w:spacing w:before="50" w:after="50" w:line="240" w:lineRule="exact"/>
              <w:rPr>
                <w:rFonts w:eastAsia="SimSun"/>
                <w:sz w:val="18"/>
                <w:szCs w:val="18"/>
                <w:lang w:val="es-ES" w:eastAsia="zh-CN"/>
              </w:rPr>
            </w:pPr>
          </w:p>
        </w:tc>
        <w:tc>
          <w:tcPr>
            <w:tcW w:w="992" w:type="dxa"/>
            <w:tcBorders>
              <w:top w:val="single" w:sz="4" w:space="0" w:color="auto"/>
              <w:left w:val="nil"/>
              <w:bottom w:val="nil"/>
              <w:right w:val="nil"/>
            </w:tcBorders>
            <w:tcMar>
              <w:top w:w="0" w:type="dxa"/>
              <w:left w:w="57" w:type="dxa"/>
              <w:bottom w:w="0" w:type="dxa"/>
              <w:right w:w="57" w:type="dxa"/>
            </w:tcMar>
          </w:tcPr>
          <w:p w14:paraId="16AC83A9" w14:textId="77777777" w:rsidR="00170812" w:rsidRPr="00E67AA6" w:rsidRDefault="00170812" w:rsidP="00F30AB8">
            <w:pPr>
              <w:keepNext/>
              <w:keepLines/>
              <w:spacing w:before="50" w:after="50" w:line="240" w:lineRule="exact"/>
              <w:rPr>
                <w:rFonts w:eastAsia="SimSun"/>
                <w:sz w:val="18"/>
                <w:szCs w:val="18"/>
                <w:lang w:val="es-ES" w:eastAsia="zh-CN"/>
              </w:rPr>
            </w:pPr>
          </w:p>
        </w:tc>
      </w:tr>
      <w:tr w:rsidR="00170812" w14:paraId="72336BF8" w14:textId="77777777" w:rsidTr="006616E4">
        <w:trPr>
          <w:cantSplit/>
        </w:trPr>
        <w:tc>
          <w:tcPr>
            <w:tcW w:w="4110" w:type="dxa"/>
            <w:gridSpan w:val="3"/>
            <w:tcBorders>
              <w:top w:val="nil"/>
              <w:left w:val="single" w:sz="4" w:space="0" w:color="auto"/>
              <w:bottom w:val="single" w:sz="8" w:space="0" w:color="auto"/>
              <w:right w:val="nil"/>
            </w:tcBorders>
            <w:tcMar>
              <w:top w:w="0" w:type="dxa"/>
              <w:left w:w="57" w:type="dxa"/>
              <w:bottom w:w="0" w:type="dxa"/>
              <w:right w:w="57" w:type="dxa"/>
            </w:tcMar>
          </w:tcPr>
          <w:p w14:paraId="07A6FC2C" w14:textId="1091C0D1" w:rsidR="00170812" w:rsidRDefault="00E965B3" w:rsidP="00F30AB8">
            <w:pPr>
              <w:keepNext/>
              <w:keepLines/>
              <w:spacing w:before="50" w:after="50" w:line="240" w:lineRule="exact"/>
              <w:ind w:left="1440"/>
              <w:rPr>
                <w:rFonts w:eastAsia="SimSun"/>
                <w:sz w:val="18"/>
                <w:szCs w:val="18"/>
                <w:lang w:val="en-GB" w:eastAsia="zh-CN"/>
              </w:rPr>
            </w:pPr>
            <w:r>
              <w:rPr>
                <w:rFonts w:eastAsia="SimSun"/>
                <w:sz w:val="18"/>
                <w:szCs w:val="18"/>
                <w:lang w:val="en-GB" w:eastAsia="zh-CN"/>
              </w:rPr>
              <w:t>s</w:t>
            </w:r>
            <w:r w:rsidR="00170812">
              <w:rPr>
                <w:rFonts w:eastAsia="SimSun"/>
                <w:sz w:val="18"/>
                <w:szCs w:val="18"/>
                <w:lang w:val="en-GB" w:eastAsia="zh-CN"/>
              </w:rPr>
              <w:t>emana  52</w:t>
            </w:r>
          </w:p>
        </w:tc>
        <w:tc>
          <w:tcPr>
            <w:tcW w:w="1417" w:type="dxa"/>
            <w:tcBorders>
              <w:top w:val="nil"/>
              <w:left w:val="nil"/>
              <w:bottom w:val="single" w:sz="8" w:space="0" w:color="auto"/>
              <w:right w:val="nil"/>
            </w:tcBorders>
            <w:tcMar>
              <w:top w:w="0" w:type="dxa"/>
              <w:left w:w="57" w:type="dxa"/>
              <w:bottom w:w="0" w:type="dxa"/>
              <w:right w:w="57" w:type="dxa"/>
            </w:tcMar>
          </w:tcPr>
          <w:p w14:paraId="2C24EAF1"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81*</w:t>
            </w:r>
          </w:p>
        </w:tc>
        <w:tc>
          <w:tcPr>
            <w:tcW w:w="1418" w:type="dxa"/>
            <w:tcBorders>
              <w:top w:val="nil"/>
              <w:left w:val="nil"/>
              <w:bottom w:val="single" w:sz="8" w:space="0" w:color="auto"/>
              <w:right w:val="nil"/>
            </w:tcBorders>
            <w:tcMar>
              <w:top w:w="0" w:type="dxa"/>
              <w:left w:w="57" w:type="dxa"/>
              <w:bottom w:w="0" w:type="dxa"/>
              <w:right w:w="57" w:type="dxa"/>
            </w:tcMar>
          </w:tcPr>
          <w:p w14:paraId="1F55F9EB"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67</w:t>
            </w:r>
          </w:p>
        </w:tc>
        <w:tc>
          <w:tcPr>
            <w:tcW w:w="1558" w:type="dxa"/>
            <w:tcBorders>
              <w:top w:val="nil"/>
              <w:left w:val="nil"/>
              <w:bottom w:val="single" w:sz="8" w:space="0" w:color="auto"/>
              <w:right w:val="nil"/>
            </w:tcBorders>
          </w:tcPr>
          <w:p w14:paraId="40616218"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75</w:t>
            </w:r>
          </w:p>
        </w:tc>
        <w:tc>
          <w:tcPr>
            <w:tcW w:w="992" w:type="dxa"/>
            <w:tcBorders>
              <w:top w:val="nil"/>
              <w:left w:val="nil"/>
              <w:bottom w:val="single" w:sz="8" w:space="0" w:color="auto"/>
              <w:right w:val="single" w:sz="8" w:space="0" w:color="auto"/>
            </w:tcBorders>
            <w:tcMar>
              <w:top w:w="0" w:type="dxa"/>
              <w:left w:w="57" w:type="dxa"/>
              <w:bottom w:w="0" w:type="dxa"/>
              <w:right w:w="57" w:type="dxa"/>
            </w:tcMar>
          </w:tcPr>
          <w:p w14:paraId="72FD159F"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64</w:t>
            </w:r>
          </w:p>
        </w:tc>
      </w:tr>
      <w:tr w:rsidR="00170812" w:rsidRPr="00541248" w14:paraId="22A82DDB" w14:textId="77777777" w:rsidTr="006616E4">
        <w:trPr>
          <w:cantSplit/>
        </w:trPr>
        <w:tc>
          <w:tcPr>
            <w:tcW w:w="1842" w:type="dxa"/>
            <w:tcBorders>
              <w:top w:val="single" w:sz="8" w:space="0" w:color="auto"/>
              <w:left w:val="single" w:sz="4" w:space="0" w:color="auto"/>
              <w:bottom w:val="single" w:sz="4" w:space="0" w:color="auto"/>
              <w:right w:val="single" w:sz="8" w:space="0" w:color="auto"/>
            </w:tcBorders>
          </w:tcPr>
          <w:p w14:paraId="39C208FF" w14:textId="77777777" w:rsidR="00170812" w:rsidRDefault="00170812" w:rsidP="00F30AB8">
            <w:pPr>
              <w:keepNext/>
              <w:keepLines/>
              <w:spacing w:before="50" w:after="50" w:line="240" w:lineRule="exact"/>
              <w:rPr>
                <w:rFonts w:eastAsia="SimSun"/>
                <w:b/>
                <w:sz w:val="18"/>
                <w:szCs w:val="18"/>
                <w:lang w:val="en-GB" w:eastAsia="zh-CN"/>
              </w:rPr>
            </w:pPr>
          </w:p>
        </w:tc>
        <w:tc>
          <w:tcPr>
            <w:tcW w:w="7657" w:type="dxa"/>
            <w:gridSpan w:val="6"/>
            <w:tcBorders>
              <w:top w:val="single" w:sz="8" w:space="0" w:color="auto"/>
              <w:left w:val="single" w:sz="4" w:space="0" w:color="auto"/>
              <w:bottom w:val="single" w:sz="4" w:space="0" w:color="auto"/>
              <w:right w:val="single" w:sz="8" w:space="0" w:color="auto"/>
            </w:tcBorders>
            <w:tcMar>
              <w:top w:w="0" w:type="dxa"/>
              <w:left w:w="57" w:type="dxa"/>
              <w:bottom w:w="0" w:type="dxa"/>
              <w:right w:w="57" w:type="dxa"/>
            </w:tcMar>
          </w:tcPr>
          <w:p w14:paraId="63DFFADF" w14:textId="36AEFB14" w:rsidR="00170812" w:rsidRPr="00E67AA6" w:rsidRDefault="00170812" w:rsidP="00F30AB8">
            <w:pPr>
              <w:keepNext/>
              <w:keepLines/>
              <w:spacing w:before="50" w:after="50" w:line="240" w:lineRule="exact"/>
              <w:rPr>
                <w:rFonts w:eastAsia="SimSun"/>
                <w:b/>
                <w:sz w:val="18"/>
                <w:szCs w:val="18"/>
                <w:lang w:val="es-ES" w:eastAsia="zh-CN"/>
              </w:rPr>
            </w:pPr>
            <w:r w:rsidRPr="00E67AA6">
              <w:rPr>
                <w:rFonts w:eastAsia="SimSun"/>
                <w:b/>
                <w:sz w:val="18"/>
                <w:szCs w:val="18"/>
                <w:lang w:val="es-ES" w:eastAsia="zh-CN"/>
              </w:rPr>
              <w:t>Variables Radiográficas  (</w:t>
            </w:r>
            <w:ins w:id="467" w:author="AUTHOR">
              <w:r w:rsidR="00DB20BA" w:rsidRPr="00DB20BA">
                <w:rPr>
                  <w:rFonts w:eastAsia="SimSun"/>
                  <w:b/>
                  <w:sz w:val="18"/>
                  <w:szCs w:val="18"/>
                  <w:lang w:val="es-ES" w:eastAsia="zh-CN"/>
                </w:rPr>
                <w:t>cambio promedio con respecto al inicio</w:t>
              </w:r>
            </w:ins>
            <w:del w:id="468" w:author="AUTHOR">
              <w:r w:rsidRPr="00E67AA6" w:rsidDel="00DB20BA">
                <w:rPr>
                  <w:rFonts w:eastAsia="SimSun"/>
                  <w:b/>
                  <w:sz w:val="18"/>
                  <w:szCs w:val="18"/>
                  <w:lang w:val="es-ES" w:eastAsia="zh-CN"/>
                </w:rPr>
                <w:delText>media ajustada respect</w:delText>
              </w:r>
              <w:r w:rsidDel="00DB20BA">
                <w:rPr>
                  <w:rFonts w:eastAsia="SimSun"/>
                  <w:b/>
                  <w:sz w:val="18"/>
                  <w:szCs w:val="18"/>
                  <w:lang w:val="es-ES" w:eastAsia="zh-CN"/>
                </w:rPr>
                <w:delText>o</w:delText>
              </w:r>
              <w:r w:rsidRPr="00E67AA6" w:rsidDel="00DB20BA">
                <w:rPr>
                  <w:rFonts w:eastAsia="SimSun"/>
                  <w:b/>
                  <w:sz w:val="18"/>
                  <w:szCs w:val="18"/>
                  <w:lang w:val="es-ES" w:eastAsia="zh-CN"/>
                </w:rPr>
                <w:delText xml:space="preserve"> a la inicial</w:delText>
              </w:r>
            </w:del>
            <w:r w:rsidRPr="00E67AA6">
              <w:rPr>
                <w:rFonts w:eastAsia="SimSun"/>
                <w:b/>
                <w:sz w:val="18"/>
                <w:szCs w:val="18"/>
                <w:lang w:val="es-ES" w:eastAsia="zh-CN"/>
              </w:rPr>
              <w:t>)</w:t>
            </w:r>
          </w:p>
        </w:tc>
      </w:tr>
      <w:tr w:rsidR="00170812" w14:paraId="51F2D2F4" w14:textId="77777777" w:rsidTr="006616E4">
        <w:trPr>
          <w:cantSplit/>
        </w:trPr>
        <w:tc>
          <w:tcPr>
            <w:tcW w:w="4110" w:type="dxa"/>
            <w:gridSpan w:val="3"/>
            <w:tcBorders>
              <w:top w:val="single" w:sz="4" w:space="0" w:color="auto"/>
              <w:left w:val="single" w:sz="4" w:space="0" w:color="auto"/>
              <w:bottom w:val="nil"/>
              <w:right w:val="nil"/>
            </w:tcBorders>
            <w:tcMar>
              <w:top w:w="0" w:type="dxa"/>
              <w:left w:w="57" w:type="dxa"/>
              <w:bottom w:w="0" w:type="dxa"/>
              <w:right w:w="57" w:type="dxa"/>
            </w:tcMar>
          </w:tcPr>
          <w:p w14:paraId="28F3F32A" w14:textId="429EBDC2" w:rsidR="00170812" w:rsidRDefault="00E965B3" w:rsidP="00F30AB8">
            <w:pPr>
              <w:keepNext/>
              <w:keepLines/>
              <w:spacing w:before="50" w:after="50" w:line="240" w:lineRule="exact"/>
              <w:ind w:left="1440"/>
              <w:rPr>
                <w:rFonts w:eastAsia="SimSun"/>
                <w:sz w:val="18"/>
                <w:szCs w:val="18"/>
                <w:lang w:val="en-GB" w:eastAsia="zh-CN"/>
              </w:rPr>
            </w:pPr>
            <w:r>
              <w:rPr>
                <w:rFonts w:eastAsia="SimSun"/>
                <w:sz w:val="18"/>
                <w:szCs w:val="18"/>
                <w:lang w:val="en-GB" w:eastAsia="zh-CN"/>
              </w:rPr>
              <w:t>s</w:t>
            </w:r>
            <w:r w:rsidR="00170812">
              <w:rPr>
                <w:rFonts w:eastAsia="SimSun"/>
                <w:sz w:val="18"/>
                <w:szCs w:val="18"/>
                <w:lang w:val="en-GB" w:eastAsia="zh-CN"/>
              </w:rPr>
              <w:t>emana  52                     mTSS</w:t>
            </w:r>
          </w:p>
        </w:tc>
        <w:tc>
          <w:tcPr>
            <w:tcW w:w="1417" w:type="dxa"/>
            <w:tcBorders>
              <w:top w:val="single" w:sz="4" w:space="0" w:color="auto"/>
              <w:left w:val="nil"/>
              <w:bottom w:val="nil"/>
              <w:right w:val="nil"/>
            </w:tcBorders>
            <w:tcMar>
              <w:top w:w="0" w:type="dxa"/>
              <w:left w:w="57" w:type="dxa"/>
              <w:bottom w:w="0" w:type="dxa"/>
              <w:right w:w="57" w:type="dxa"/>
            </w:tcMar>
          </w:tcPr>
          <w:p w14:paraId="31C46C79"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08***</w:t>
            </w:r>
          </w:p>
        </w:tc>
        <w:tc>
          <w:tcPr>
            <w:tcW w:w="1418" w:type="dxa"/>
            <w:tcBorders>
              <w:top w:val="single" w:sz="4" w:space="0" w:color="auto"/>
              <w:left w:val="nil"/>
              <w:bottom w:val="nil"/>
              <w:right w:val="nil"/>
            </w:tcBorders>
            <w:tcMar>
              <w:top w:w="0" w:type="dxa"/>
              <w:left w:w="57" w:type="dxa"/>
              <w:bottom w:w="0" w:type="dxa"/>
              <w:right w:w="57" w:type="dxa"/>
            </w:tcMar>
          </w:tcPr>
          <w:p w14:paraId="57822C1B"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26</w:t>
            </w:r>
          </w:p>
        </w:tc>
        <w:tc>
          <w:tcPr>
            <w:tcW w:w="1558" w:type="dxa"/>
            <w:tcBorders>
              <w:top w:val="single" w:sz="4" w:space="0" w:color="auto"/>
              <w:left w:val="nil"/>
              <w:bottom w:val="nil"/>
              <w:right w:val="nil"/>
            </w:tcBorders>
          </w:tcPr>
          <w:p w14:paraId="37E2F2F5"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42</w:t>
            </w:r>
          </w:p>
        </w:tc>
        <w:tc>
          <w:tcPr>
            <w:tcW w:w="992" w:type="dxa"/>
            <w:tcBorders>
              <w:top w:val="single" w:sz="4" w:space="0" w:color="auto"/>
              <w:left w:val="nil"/>
              <w:bottom w:val="nil"/>
              <w:right w:val="single" w:sz="8" w:space="0" w:color="auto"/>
            </w:tcBorders>
            <w:tcMar>
              <w:top w:w="0" w:type="dxa"/>
              <w:left w:w="57" w:type="dxa"/>
              <w:bottom w:w="0" w:type="dxa"/>
              <w:right w:w="57" w:type="dxa"/>
            </w:tcMar>
          </w:tcPr>
          <w:p w14:paraId="188F711B"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w:t>
            </w:r>
            <w:r w:rsidR="00305486">
              <w:rPr>
                <w:rFonts w:eastAsia="SimSun"/>
                <w:sz w:val="18"/>
                <w:szCs w:val="18"/>
                <w:lang w:val="en-GB" w:eastAsia="zh-CN"/>
              </w:rPr>
              <w:t>,</w:t>
            </w:r>
            <w:r>
              <w:rPr>
                <w:rFonts w:eastAsia="SimSun"/>
                <w:sz w:val="18"/>
                <w:szCs w:val="18"/>
                <w:lang w:val="en-GB" w:eastAsia="zh-CN"/>
              </w:rPr>
              <w:t>14</w:t>
            </w:r>
          </w:p>
        </w:tc>
      </w:tr>
      <w:tr w:rsidR="00170812" w14:paraId="1140B988"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6B93B2AE" w14:textId="77777777" w:rsidR="00170812" w:rsidRDefault="00170812" w:rsidP="00F30AB8">
            <w:pPr>
              <w:keepNext/>
              <w:keepLines/>
              <w:spacing w:before="50" w:after="50" w:line="240" w:lineRule="exact"/>
              <w:jc w:val="right"/>
              <w:rPr>
                <w:rFonts w:eastAsia="SimSun"/>
                <w:sz w:val="18"/>
                <w:szCs w:val="18"/>
                <w:lang w:val="en-GB" w:eastAsia="zh-CN"/>
              </w:rPr>
            </w:pPr>
            <w:r>
              <w:rPr>
                <w:rFonts w:eastAsia="SimSun"/>
                <w:sz w:val="18"/>
                <w:szCs w:val="18"/>
                <w:lang w:val="en-GB" w:eastAsia="zh-CN"/>
              </w:rPr>
              <w:t>Puntuación de  Erosión</w:t>
            </w:r>
          </w:p>
        </w:tc>
        <w:tc>
          <w:tcPr>
            <w:tcW w:w="1417" w:type="dxa"/>
            <w:tcMar>
              <w:top w:w="0" w:type="dxa"/>
              <w:left w:w="57" w:type="dxa"/>
              <w:bottom w:w="0" w:type="dxa"/>
              <w:right w:w="57" w:type="dxa"/>
            </w:tcMar>
          </w:tcPr>
          <w:p w14:paraId="1C3AA77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05**</w:t>
            </w:r>
          </w:p>
        </w:tc>
        <w:tc>
          <w:tcPr>
            <w:tcW w:w="1418" w:type="dxa"/>
            <w:tcMar>
              <w:top w:w="0" w:type="dxa"/>
              <w:left w:w="57" w:type="dxa"/>
              <w:bottom w:w="0" w:type="dxa"/>
              <w:right w:w="57" w:type="dxa"/>
            </w:tcMar>
          </w:tcPr>
          <w:p w14:paraId="1137233A"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15</w:t>
            </w:r>
          </w:p>
        </w:tc>
        <w:tc>
          <w:tcPr>
            <w:tcW w:w="1558" w:type="dxa"/>
            <w:tcBorders>
              <w:right w:val="nil"/>
            </w:tcBorders>
          </w:tcPr>
          <w:p w14:paraId="0B4F14E2"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25</w:t>
            </w:r>
          </w:p>
        </w:tc>
        <w:tc>
          <w:tcPr>
            <w:tcW w:w="992" w:type="dxa"/>
            <w:tcBorders>
              <w:top w:val="nil"/>
              <w:left w:val="nil"/>
              <w:bottom w:val="nil"/>
              <w:right w:val="single" w:sz="8" w:space="0" w:color="auto"/>
            </w:tcBorders>
            <w:tcMar>
              <w:top w:w="0" w:type="dxa"/>
              <w:left w:w="57" w:type="dxa"/>
              <w:bottom w:w="0" w:type="dxa"/>
              <w:right w:w="57" w:type="dxa"/>
            </w:tcMar>
          </w:tcPr>
          <w:p w14:paraId="73E0C70A"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63</w:t>
            </w:r>
          </w:p>
        </w:tc>
      </w:tr>
      <w:tr w:rsidR="00170812" w14:paraId="6001F3DE"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7B1A4349" w14:textId="77777777" w:rsidR="00170812" w:rsidRDefault="00170812" w:rsidP="00F30AB8">
            <w:pPr>
              <w:keepNext/>
              <w:keepLines/>
              <w:spacing w:before="50" w:after="50" w:line="240" w:lineRule="exact"/>
              <w:jc w:val="right"/>
              <w:rPr>
                <w:rFonts w:eastAsia="SimSun"/>
                <w:sz w:val="18"/>
                <w:szCs w:val="18"/>
                <w:lang w:val="en-GB" w:eastAsia="zh-CN"/>
              </w:rPr>
            </w:pPr>
            <w:r>
              <w:rPr>
                <w:rFonts w:eastAsia="SimSun"/>
                <w:sz w:val="18"/>
                <w:szCs w:val="18"/>
                <w:lang w:val="en-GB" w:eastAsia="zh-CN"/>
              </w:rPr>
              <w:t>JSN</w:t>
            </w:r>
          </w:p>
        </w:tc>
        <w:tc>
          <w:tcPr>
            <w:tcW w:w="1417" w:type="dxa"/>
            <w:tcMar>
              <w:top w:w="0" w:type="dxa"/>
              <w:left w:w="57" w:type="dxa"/>
              <w:bottom w:w="0" w:type="dxa"/>
              <w:right w:w="57" w:type="dxa"/>
            </w:tcMar>
          </w:tcPr>
          <w:p w14:paraId="39944028"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03</w:t>
            </w:r>
          </w:p>
        </w:tc>
        <w:tc>
          <w:tcPr>
            <w:tcW w:w="1418" w:type="dxa"/>
            <w:tcMar>
              <w:top w:w="0" w:type="dxa"/>
              <w:left w:w="57" w:type="dxa"/>
              <w:bottom w:w="0" w:type="dxa"/>
              <w:right w:w="57" w:type="dxa"/>
            </w:tcMar>
          </w:tcPr>
          <w:p w14:paraId="076E0318"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11</w:t>
            </w:r>
          </w:p>
        </w:tc>
        <w:tc>
          <w:tcPr>
            <w:tcW w:w="1558" w:type="dxa"/>
            <w:tcBorders>
              <w:right w:val="nil"/>
            </w:tcBorders>
          </w:tcPr>
          <w:p w14:paraId="22796AEA"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17</w:t>
            </w:r>
          </w:p>
        </w:tc>
        <w:tc>
          <w:tcPr>
            <w:tcW w:w="992" w:type="dxa"/>
            <w:tcBorders>
              <w:top w:val="nil"/>
              <w:left w:val="nil"/>
              <w:bottom w:val="nil"/>
              <w:right w:val="single" w:sz="8" w:space="0" w:color="auto"/>
            </w:tcBorders>
            <w:tcMar>
              <w:top w:w="0" w:type="dxa"/>
              <w:left w:w="57" w:type="dxa"/>
              <w:bottom w:w="0" w:type="dxa"/>
              <w:right w:w="57" w:type="dxa"/>
            </w:tcMar>
          </w:tcPr>
          <w:p w14:paraId="27075984"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0</w:t>
            </w:r>
            <w:r w:rsidR="00305486">
              <w:rPr>
                <w:rFonts w:eastAsia="SimSun"/>
                <w:sz w:val="18"/>
                <w:szCs w:val="18"/>
                <w:lang w:val="en-GB" w:eastAsia="zh-CN"/>
              </w:rPr>
              <w:t>,</w:t>
            </w:r>
            <w:r>
              <w:rPr>
                <w:rFonts w:eastAsia="SimSun"/>
                <w:sz w:val="18"/>
                <w:szCs w:val="18"/>
                <w:lang w:val="en-GB" w:eastAsia="zh-CN"/>
              </w:rPr>
              <w:t>51</w:t>
            </w:r>
          </w:p>
        </w:tc>
      </w:tr>
      <w:tr w:rsidR="00170812" w14:paraId="4E1D35F0"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45F58076" w14:textId="1CDBCD32" w:rsidR="00170812" w:rsidRPr="00E67AA6" w:rsidRDefault="00170812" w:rsidP="00F30AB8">
            <w:pPr>
              <w:keepNext/>
              <w:keepLines/>
              <w:spacing w:before="50" w:after="50" w:line="240" w:lineRule="exact"/>
              <w:jc w:val="right"/>
              <w:rPr>
                <w:rFonts w:eastAsia="SimSun"/>
                <w:sz w:val="18"/>
                <w:szCs w:val="18"/>
                <w:lang w:val="es-ES" w:eastAsia="zh-CN"/>
              </w:rPr>
            </w:pPr>
            <w:del w:id="469" w:author="AUTHOR">
              <w:r w:rsidRPr="00E67AA6" w:rsidDel="006B0592">
                <w:rPr>
                  <w:rFonts w:eastAsia="SimSun"/>
                  <w:sz w:val="18"/>
                  <w:szCs w:val="18"/>
                  <w:lang w:val="es-ES" w:eastAsia="zh-CN"/>
                </w:rPr>
                <w:delText>No</w:delText>
              </w:r>
            </w:del>
            <w:ins w:id="470" w:author="AUTHOR">
              <w:r w:rsidR="006B0592">
                <w:rPr>
                  <w:rFonts w:eastAsia="SimSun"/>
                  <w:sz w:val="18"/>
                  <w:szCs w:val="18"/>
                  <w:lang w:val="es-ES" w:eastAsia="zh-CN"/>
                </w:rPr>
                <w:t>Sin</w:t>
              </w:r>
            </w:ins>
            <w:r w:rsidRPr="00E67AA6">
              <w:rPr>
                <w:rFonts w:eastAsia="SimSun"/>
                <w:sz w:val="18"/>
                <w:szCs w:val="18"/>
                <w:lang w:val="es-ES" w:eastAsia="zh-CN"/>
              </w:rPr>
              <w:t xml:space="preserve"> </w:t>
            </w:r>
            <w:r w:rsidRPr="00BF61D3">
              <w:rPr>
                <w:rFonts w:eastAsia="SimSun"/>
                <w:sz w:val="18"/>
                <w:szCs w:val="18"/>
                <w:lang w:val="es-ES" w:eastAsia="zh-CN"/>
              </w:rPr>
              <w:t>progre</w:t>
            </w:r>
            <w:r w:rsidRPr="00E67AA6">
              <w:rPr>
                <w:rFonts w:eastAsia="SimSun"/>
                <w:sz w:val="18"/>
                <w:szCs w:val="18"/>
                <w:lang w:val="es-ES" w:eastAsia="zh-CN"/>
              </w:rPr>
              <w:t>sion radiográfica n (%) (cambi</w:t>
            </w:r>
            <w:r>
              <w:rPr>
                <w:rFonts w:eastAsia="SimSun"/>
                <w:sz w:val="18"/>
                <w:szCs w:val="18"/>
                <w:lang w:val="es-ES" w:eastAsia="zh-CN"/>
              </w:rPr>
              <w:t>os</w:t>
            </w:r>
            <w:r w:rsidRPr="00E67AA6">
              <w:rPr>
                <w:rFonts w:eastAsia="SimSun"/>
                <w:sz w:val="18"/>
                <w:szCs w:val="18"/>
                <w:lang w:val="es-ES" w:eastAsia="zh-CN"/>
              </w:rPr>
              <w:t xml:space="preserve"> respect</w:t>
            </w:r>
            <w:r>
              <w:rPr>
                <w:rFonts w:eastAsia="SimSun"/>
                <w:sz w:val="18"/>
                <w:szCs w:val="18"/>
                <w:lang w:val="es-ES" w:eastAsia="zh-CN"/>
              </w:rPr>
              <w:t>o</w:t>
            </w:r>
            <w:r w:rsidRPr="00E67AA6">
              <w:rPr>
                <w:rFonts w:eastAsia="SimSun"/>
                <w:sz w:val="18"/>
                <w:szCs w:val="18"/>
                <w:lang w:val="es-ES" w:eastAsia="zh-CN"/>
              </w:rPr>
              <w:t xml:space="preserve"> al inicial en  mTSS of ≤0) </w:t>
            </w:r>
          </w:p>
        </w:tc>
        <w:tc>
          <w:tcPr>
            <w:tcW w:w="1417" w:type="dxa"/>
            <w:tcMar>
              <w:top w:w="0" w:type="dxa"/>
              <w:left w:w="57" w:type="dxa"/>
              <w:bottom w:w="0" w:type="dxa"/>
              <w:right w:w="57" w:type="dxa"/>
            </w:tcMar>
          </w:tcPr>
          <w:p w14:paraId="764E0F8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226 (83)</w:t>
            </w:r>
            <w:r w:rsidRPr="005A5612">
              <w:rPr>
                <w:rFonts w:cs="Arial"/>
                <w:b/>
                <w:sz w:val="20"/>
                <w:vertAlign w:val="superscript"/>
                <w:lang w:eastAsia="en-US"/>
              </w:rPr>
              <w:t>‡</w:t>
            </w:r>
          </w:p>
        </w:tc>
        <w:tc>
          <w:tcPr>
            <w:tcW w:w="1418" w:type="dxa"/>
            <w:tcMar>
              <w:top w:w="0" w:type="dxa"/>
              <w:left w:w="57" w:type="dxa"/>
              <w:bottom w:w="0" w:type="dxa"/>
              <w:right w:w="57" w:type="dxa"/>
            </w:tcMar>
          </w:tcPr>
          <w:p w14:paraId="2BB66DA9"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226 (82)</w:t>
            </w:r>
            <w:r w:rsidRPr="005A5612">
              <w:rPr>
                <w:rFonts w:cs="Arial"/>
                <w:b/>
                <w:sz w:val="20"/>
                <w:vertAlign w:val="superscript"/>
                <w:lang w:eastAsia="en-US"/>
              </w:rPr>
              <w:t>‡</w:t>
            </w:r>
          </w:p>
        </w:tc>
        <w:tc>
          <w:tcPr>
            <w:tcW w:w="1558" w:type="dxa"/>
            <w:tcBorders>
              <w:right w:val="nil"/>
            </w:tcBorders>
          </w:tcPr>
          <w:p w14:paraId="1099A81E"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211 (79)</w:t>
            </w:r>
          </w:p>
        </w:tc>
        <w:tc>
          <w:tcPr>
            <w:tcW w:w="992" w:type="dxa"/>
            <w:tcBorders>
              <w:top w:val="nil"/>
              <w:left w:val="nil"/>
              <w:bottom w:val="nil"/>
              <w:right w:val="single" w:sz="8" w:space="0" w:color="auto"/>
            </w:tcBorders>
            <w:tcMar>
              <w:top w:w="0" w:type="dxa"/>
              <w:left w:w="57" w:type="dxa"/>
              <w:bottom w:w="0" w:type="dxa"/>
              <w:right w:w="57" w:type="dxa"/>
            </w:tcMar>
          </w:tcPr>
          <w:p w14:paraId="71D33174"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194 (73)</w:t>
            </w:r>
          </w:p>
        </w:tc>
      </w:tr>
      <w:tr w:rsidR="00170812" w14:paraId="5FC5E40D" w14:textId="77777777" w:rsidTr="006616E4">
        <w:trPr>
          <w:cantSplit/>
        </w:trPr>
        <w:tc>
          <w:tcPr>
            <w:tcW w:w="1842" w:type="dxa"/>
            <w:tcBorders>
              <w:top w:val="single" w:sz="8" w:space="0" w:color="auto"/>
              <w:left w:val="single" w:sz="4" w:space="0" w:color="auto"/>
              <w:bottom w:val="single" w:sz="8" w:space="0" w:color="auto"/>
              <w:right w:val="single" w:sz="8" w:space="0" w:color="auto"/>
            </w:tcBorders>
          </w:tcPr>
          <w:p w14:paraId="51AB0956" w14:textId="77777777" w:rsidR="00170812" w:rsidRDefault="00170812" w:rsidP="00F30AB8">
            <w:pPr>
              <w:keepNext/>
              <w:keepLines/>
              <w:spacing w:before="50" w:after="50" w:line="240" w:lineRule="exact"/>
              <w:rPr>
                <w:rFonts w:eastAsia="SimSun"/>
                <w:b/>
                <w:sz w:val="18"/>
                <w:szCs w:val="18"/>
                <w:lang w:val="en-GB" w:eastAsia="zh-CN"/>
              </w:rPr>
            </w:pPr>
          </w:p>
        </w:tc>
        <w:tc>
          <w:tcPr>
            <w:tcW w:w="7657" w:type="dxa"/>
            <w:gridSpan w:val="6"/>
            <w:tcBorders>
              <w:top w:val="single" w:sz="8" w:space="0" w:color="auto"/>
              <w:left w:val="single" w:sz="4" w:space="0" w:color="auto"/>
              <w:bottom w:val="single" w:sz="8" w:space="0" w:color="auto"/>
              <w:right w:val="single" w:sz="8" w:space="0" w:color="auto"/>
            </w:tcBorders>
            <w:tcMar>
              <w:top w:w="0" w:type="dxa"/>
              <w:left w:w="57" w:type="dxa"/>
              <w:bottom w:w="0" w:type="dxa"/>
              <w:right w:w="57" w:type="dxa"/>
            </w:tcMar>
          </w:tcPr>
          <w:p w14:paraId="2991F738" w14:textId="77777777" w:rsidR="00170812" w:rsidRDefault="00170812" w:rsidP="00F30AB8">
            <w:pPr>
              <w:keepNext/>
              <w:keepLines/>
              <w:spacing w:before="50" w:after="50" w:line="240" w:lineRule="exact"/>
              <w:rPr>
                <w:rFonts w:eastAsia="SimSun"/>
                <w:b/>
                <w:sz w:val="18"/>
                <w:szCs w:val="18"/>
                <w:lang w:val="en-GB" w:eastAsia="zh-CN"/>
              </w:rPr>
            </w:pPr>
            <w:r>
              <w:rPr>
                <w:rFonts w:eastAsia="SimSun"/>
                <w:b/>
                <w:sz w:val="18"/>
                <w:szCs w:val="18"/>
                <w:lang w:val="en-GB" w:eastAsia="zh-CN"/>
              </w:rPr>
              <w:t>Variables Exploratorias</w:t>
            </w:r>
          </w:p>
        </w:tc>
      </w:tr>
      <w:tr w:rsidR="00170812" w14:paraId="352DE248"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tcPr>
          <w:p w14:paraId="45CAB637" w14:textId="42DB5D1C" w:rsidR="00170812" w:rsidRPr="00E67AA6" w:rsidRDefault="00E965B3" w:rsidP="00F30AB8">
            <w:pPr>
              <w:keepNext/>
              <w:keepLines/>
              <w:spacing w:before="50" w:after="50" w:line="240" w:lineRule="exact"/>
              <w:jc w:val="center"/>
              <w:rPr>
                <w:rFonts w:eastAsia="SimSun"/>
                <w:sz w:val="18"/>
                <w:szCs w:val="18"/>
                <w:lang w:val="es-ES" w:eastAsia="zh-CN"/>
              </w:rPr>
            </w:pPr>
            <w:r>
              <w:rPr>
                <w:rFonts w:eastAsia="SimSun"/>
                <w:sz w:val="18"/>
                <w:szCs w:val="18"/>
                <w:lang w:val="es-ES" w:eastAsia="zh-CN"/>
              </w:rPr>
              <w:t>s</w:t>
            </w:r>
            <w:r w:rsidR="00170812" w:rsidRPr="00E67AA6">
              <w:rPr>
                <w:rFonts w:eastAsia="SimSun"/>
                <w:sz w:val="18"/>
                <w:szCs w:val="18"/>
                <w:lang w:val="es-ES" w:eastAsia="zh-CN"/>
              </w:rPr>
              <w:t>emana 24: ACR/EULAR Remisión Boolean</w:t>
            </w:r>
            <w:ins w:id="471" w:author="AUTHOR">
              <w:r w:rsidR="006B0592">
                <w:rPr>
                  <w:rFonts w:eastAsia="SimSun"/>
                  <w:sz w:val="18"/>
                  <w:szCs w:val="18"/>
                  <w:lang w:val="es-ES" w:eastAsia="zh-CN"/>
                </w:rPr>
                <w:t>a</w:t>
              </w:r>
            </w:ins>
            <w:r w:rsidR="00170812" w:rsidRPr="00E67AA6">
              <w:rPr>
                <w:rFonts w:eastAsia="SimSun"/>
                <w:sz w:val="18"/>
                <w:szCs w:val="18"/>
                <w:lang w:val="es-ES" w:eastAsia="zh-CN"/>
              </w:rPr>
              <w:t>, n (%)</w:t>
            </w:r>
          </w:p>
        </w:tc>
        <w:tc>
          <w:tcPr>
            <w:tcW w:w="1417" w:type="dxa"/>
            <w:tcMar>
              <w:top w:w="0" w:type="dxa"/>
              <w:left w:w="57" w:type="dxa"/>
              <w:bottom w:w="0" w:type="dxa"/>
              <w:right w:w="57" w:type="dxa"/>
            </w:tcMar>
            <w:vAlign w:val="center"/>
          </w:tcPr>
          <w:p w14:paraId="0CBD409D"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47 (18</w:t>
            </w:r>
            <w:r w:rsidR="00305486">
              <w:rPr>
                <w:rFonts w:eastAsia="SimSun"/>
                <w:sz w:val="18"/>
                <w:szCs w:val="18"/>
                <w:lang w:val="en-GB" w:eastAsia="zh-CN"/>
              </w:rPr>
              <w:t>,</w:t>
            </w:r>
            <w:r>
              <w:rPr>
                <w:rFonts w:eastAsia="SimSun"/>
                <w:sz w:val="18"/>
                <w:szCs w:val="18"/>
                <w:lang w:val="en-GB" w:eastAsia="zh-CN"/>
              </w:rPr>
              <w:t>4)</w:t>
            </w:r>
            <w:r w:rsidRPr="005A5612">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5364785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38 (14</w:t>
            </w:r>
            <w:r w:rsidR="00305486">
              <w:rPr>
                <w:rFonts w:eastAsia="SimSun"/>
                <w:sz w:val="18"/>
                <w:szCs w:val="18"/>
                <w:lang w:val="en-GB" w:eastAsia="zh-CN"/>
              </w:rPr>
              <w:t>,</w:t>
            </w:r>
            <w:r>
              <w:rPr>
                <w:rFonts w:eastAsia="SimSun"/>
                <w:sz w:val="18"/>
                <w:szCs w:val="18"/>
                <w:lang w:val="en-GB" w:eastAsia="zh-CN"/>
              </w:rPr>
              <w:t>2)</w:t>
            </w:r>
          </w:p>
        </w:tc>
        <w:tc>
          <w:tcPr>
            <w:tcW w:w="1558" w:type="dxa"/>
            <w:tcBorders>
              <w:right w:val="nil"/>
            </w:tcBorders>
          </w:tcPr>
          <w:p w14:paraId="50696903"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43 (16</w:t>
            </w:r>
            <w:r w:rsidR="00305486">
              <w:rPr>
                <w:rFonts w:eastAsia="SimSun"/>
                <w:sz w:val="18"/>
                <w:szCs w:val="18"/>
                <w:lang w:val="en-GB" w:eastAsia="zh-CN"/>
              </w:rPr>
              <w:t>,</w:t>
            </w:r>
            <w:r>
              <w:rPr>
                <w:rFonts w:eastAsia="SimSun"/>
                <w:sz w:val="18"/>
                <w:szCs w:val="18"/>
                <w:lang w:val="en-GB" w:eastAsia="zh-CN"/>
              </w:rPr>
              <w:t>7)</w:t>
            </w:r>
            <w:r w:rsidRPr="005A5612">
              <w:rPr>
                <w:rFonts w:cs="Arial"/>
                <w:b/>
                <w:sz w:val="20"/>
                <w:vertAlign w:val="superscript"/>
                <w:lang w:eastAsia="en-US"/>
              </w:rPr>
              <w:t xml:space="preserve"> ‡</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76EE75E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25 (10</w:t>
            </w:r>
            <w:r w:rsidR="00305486">
              <w:rPr>
                <w:rFonts w:eastAsia="SimSun"/>
                <w:sz w:val="18"/>
                <w:szCs w:val="18"/>
                <w:lang w:val="en-GB" w:eastAsia="zh-CN"/>
              </w:rPr>
              <w:t>,</w:t>
            </w:r>
            <w:r>
              <w:rPr>
                <w:rFonts w:eastAsia="SimSun"/>
                <w:sz w:val="18"/>
                <w:szCs w:val="18"/>
                <w:lang w:val="en-GB" w:eastAsia="zh-CN"/>
              </w:rPr>
              <w:t>0)</w:t>
            </w:r>
          </w:p>
        </w:tc>
      </w:tr>
      <w:tr w:rsidR="00170812" w14:paraId="184D07D6"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vAlign w:val="center"/>
          </w:tcPr>
          <w:p w14:paraId="3C4EA306" w14:textId="2A29DF6E" w:rsidR="00170812" w:rsidRPr="00E67AA6" w:rsidRDefault="00170812" w:rsidP="00F30AB8">
            <w:pPr>
              <w:keepNext/>
              <w:keepLines/>
              <w:spacing w:before="50" w:after="50" w:line="240" w:lineRule="exact"/>
              <w:jc w:val="right"/>
              <w:rPr>
                <w:rFonts w:eastAsia="SimSun"/>
                <w:sz w:val="18"/>
                <w:szCs w:val="18"/>
                <w:lang w:val="es-ES" w:eastAsia="zh-CN"/>
              </w:rPr>
            </w:pPr>
            <w:r w:rsidRPr="00E67AA6">
              <w:rPr>
                <w:rFonts w:eastAsia="SimSun"/>
                <w:sz w:val="18"/>
                <w:szCs w:val="18"/>
                <w:lang w:val="es-ES" w:eastAsia="zh-CN"/>
              </w:rPr>
              <w:t xml:space="preserve">      ACR/EULAR </w:t>
            </w:r>
            <w:ins w:id="472" w:author="AUTHOR">
              <w:r w:rsidR="006B0592" w:rsidRPr="006B0592">
                <w:rPr>
                  <w:rFonts w:eastAsia="SimSun"/>
                  <w:sz w:val="18"/>
                  <w:szCs w:val="18"/>
                  <w:lang w:val="es-ES" w:eastAsia="zh-CN"/>
                </w:rPr>
                <w:t xml:space="preserve"> Índice de</w:t>
              </w:r>
              <w:r w:rsidR="006B0592">
                <w:rPr>
                  <w:rFonts w:eastAsia="SimSun"/>
                  <w:sz w:val="18"/>
                  <w:szCs w:val="18"/>
                  <w:lang w:val="es-ES" w:eastAsia="zh-CN"/>
                </w:rPr>
                <w:t xml:space="preserve"> r</w:t>
              </w:r>
            </w:ins>
            <w:del w:id="473" w:author="AUTHOR">
              <w:r w:rsidRPr="00E67AA6" w:rsidDel="006B0592">
                <w:rPr>
                  <w:rFonts w:eastAsia="SimSun"/>
                  <w:sz w:val="18"/>
                  <w:szCs w:val="18"/>
                  <w:lang w:val="es-ES" w:eastAsia="zh-CN"/>
                </w:rPr>
                <w:delText>R</w:delText>
              </w:r>
            </w:del>
            <w:r w:rsidRPr="00E67AA6">
              <w:rPr>
                <w:rFonts w:eastAsia="SimSun"/>
                <w:sz w:val="18"/>
                <w:szCs w:val="18"/>
                <w:lang w:val="es-ES" w:eastAsia="zh-CN"/>
              </w:rPr>
              <w:t>emisión</w:t>
            </w:r>
            <w:del w:id="474" w:author="AUTHOR">
              <w:r w:rsidRPr="00E67AA6" w:rsidDel="006B0592">
                <w:rPr>
                  <w:rFonts w:eastAsia="SimSun"/>
                  <w:sz w:val="18"/>
                  <w:szCs w:val="18"/>
                  <w:lang w:val="es-ES" w:eastAsia="zh-CN"/>
                </w:rPr>
                <w:delText xml:space="preserve"> Index</w:delText>
              </w:r>
            </w:del>
            <w:r w:rsidRPr="00E67AA6">
              <w:rPr>
                <w:rFonts w:eastAsia="SimSun"/>
                <w:sz w:val="18"/>
                <w:szCs w:val="18"/>
                <w:lang w:val="es-ES" w:eastAsia="zh-CN"/>
              </w:rPr>
              <w:t>, n (%)</w:t>
            </w:r>
          </w:p>
        </w:tc>
        <w:tc>
          <w:tcPr>
            <w:tcW w:w="1417" w:type="dxa"/>
            <w:tcMar>
              <w:top w:w="0" w:type="dxa"/>
              <w:left w:w="57" w:type="dxa"/>
              <w:bottom w:w="0" w:type="dxa"/>
              <w:right w:w="57" w:type="dxa"/>
            </w:tcMar>
            <w:vAlign w:val="center"/>
          </w:tcPr>
          <w:p w14:paraId="2FD0DFDE"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73 (28</w:t>
            </w:r>
            <w:r w:rsidR="00305486">
              <w:rPr>
                <w:rFonts w:eastAsia="SimSun"/>
                <w:sz w:val="18"/>
                <w:szCs w:val="18"/>
                <w:lang w:val="en-GB" w:eastAsia="zh-CN"/>
              </w:rPr>
              <w:t>,</w:t>
            </w:r>
            <w:r>
              <w:rPr>
                <w:rFonts w:eastAsia="SimSun"/>
                <w:sz w:val="18"/>
                <w:szCs w:val="18"/>
                <w:lang w:val="en-GB" w:eastAsia="zh-CN"/>
              </w:rPr>
              <w:t>5)</w:t>
            </w:r>
            <w:r w:rsidRPr="005A5612">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7B291472"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60 (22</w:t>
            </w:r>
            <w:r w:rsidR="00305486">
              <w:rPr>
                <w:rFonts w:eastAsia="SimSun"/>
                <w:sz w:val="18"/>
                <w:szCs w:val="18"/>
                <w:lang w:val="en-GB" w:eastAsia="zh-CN"/>
              </w:rPr>
              <w:t>,</w:t>
            </w:r>
            <w:r>
              <w:rPr>
                <w:rFonts w:eastAsia="SimSun"/>
                <w:sz w:val="18"/>
                <w:szCs w:val="18"/>
                <w:lang w:val="en-GB" w:eastAsia="zh-CN"/>
              </w:rPr>
              <w:t>6)</w:t>
            </w:r>
          </w:p>
        </w:tc>
        <w:tc>
          <w:tcPr>
            <w:tcW w:w="1558" w:type="dxa"/>
            <w:tcBorders>
              <w:right w:val="nil"/>
            </w:tcBorders>
          </w:tcPr>
          <w:p w14:paraId="72026095"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58 (22</w:t>
            </w:r>
            <w:r w:rsidR="00305486">
              <w:rPr>
                <w:rFonts w:eastAsia="SimSun"/>
                <w:sz w:val="18"/>
                <w:szCs w:val="18"/>
                <w:lang w:val="en-GB" w:eastAsia="zh-CN"/>
              </w:rPr>
              <w:t>,</w:t>
            </w:r>
            <w:r>
              <w:rPr>
                <w:rFonts w:eastAsia="SimSun"/>
                <w:sz w:val="18"/>
                <w:szCs w:val="18"/>
                <w:lang w:val="en-GB" w:eastAsia="zh-CN"/>
              </w:rPr>
              <w:t>6)</w:t>
            </w:r>
          </w:p>
        </w:tc>
        <w:tc>
          <w:tcPr>
            <w:tcW w:w="992" w:type="dxa"/>
            <w:tcBorders>
              <w:top w:val="nil"/>
              <w:left w:val="nil"/>
              <w:bottom w:val="nil"/>
              <w:right w:val="single" w:sz="8" w:space="0" w:color="auto"/>
            </w:tcBorders>
            <w:tcMar>
              <w:top w:w="0" w:type="dxa"/>
              <w:left w:w="57" w:type="dxa"/>
              <w:bottom w:w="0" w:type="dxa"/>
              <w:right w:w="57" w:type="dxa"/>
            </w:tcMar>
            <w:vAlign w:val="center"/>
          </w:tcPr>
          <w:p w14:paraId="6040280B"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41 (16</w:t>
            </w:r>
            <w:r w:rsidR="00305486">
              <w:rPr>
                <w:rFonts w:eastAsia="SimSun"/>
                <w:sz w:val="18"/>
                <w:szCs w:val="18"/>
                <w:lang w:val="en-GB" w:eastAsia="zh-CN"/>
              </w:rPr>
              <w:t>,</w:t>
            </w:r>
            <w:r>
              <w:rPr>
                <w:rFonts w:eastAsia="SimSun"/>
                <w:sz w:val="18"/>
                <w:szCs w:val="18"/>
                <w:lang w:val="en-GB" w:eastAsia="zh-CN"/>
              </w:rPr>
              <w:t>4)</w:t>
            </w:r>
          </w:p>
        </w:tc>
      </w:tr>
      <w:tr w:rsidR="00170812" w14:paraId="3BE78C17" w14:textId="77777777" w:rsidTr="006616E4">
        <w:trPr>
          <w:cantSplit/>
        </w:trPr>
        <w:tc>
          <w:tcPr>
            <w:tcW w:w="4110" w:type="dxa"/>
            <w:gridSpan w:val="3"/>
            <w:tcBorders>
              <w:top w:val="nil"/>
              <w:left w:val="single" w:sz="4" w:space="0" w:color="auto"/>
              <w:bottom w:val="nil"/>
              <w:right w:val="nil"/>
            </w:tcBorders>
            <w:tcMar>
              <w:top w:w="0" w:type="dxa"/>
              <w:left w:w="57" w:type="dxa"/>
              <w:bottom w:w="0" w:type="dxa"/>
              <w:right w:w="57" w:type="dxa"/>
            </w:tcMar>
            <w:vAlign w:val="center"/>
          </w:tcPr>
          <w:p w14:paraId="5E326E6A" w14:textId="38711023" w:rsidR="00170812" w:rsidRPr="00E67AA6" w:rsidRDefault="00E965B3" w:rsidP="00F30AB8">
            <w:pPr>
              <w:keepNext/>
              <w:keepLines/>
              <w:spacing w:before="50" w:after="50" w:line="240" w:lineRule="exact"/>
              <w:jc w:val="center"/>
              <w:rPr>
                <w:rFonts w:eastAsia="SimSun"/>
                <w:sz w:val="18"/>
                <w:szCs w:val="18"/>
                <w:lang w:val="es-ES" w:eastAsia="zh-CN"/>
              </w:rPr>
            </w:pPr>
            <w:r>
              <w:rPr>
                <w:rFonts w:eastAsia="SimSun"/>
                <w:sz w:val="18"/>
                <w:szCs w:val="18"/>
                <w:lang w:val="es-ES" w:eastAsia="zh-CN"/>
              </w:rPr>
              <w:t>s</w:t>
            </w:r>
            <w:r w:rsidR="00170812" w:rsidRPr="00E67AA6">
              <w:rPr>
                <w:rFonts w:eastAsia="SimSun"/>
                <w:sz w:val="18"/>
                <w:szCs w:val="18"/>
                <w:lang w:val="es-ES" w:eastAsia="zh-CN"/>
              </w:rPr>
              <w:t>emana 52: ACR/EULAR Remisión Boolean</w:t>
            </w:r>
            <w:ins w:id="475" w:author="AUTHOR">
              <w:r w:rsidR="006B0592">
                <w:rPr>
                  <w:rFonts w:eastAsia="SimSun"/>
                  <w:sz w:val="18"/>
                  <w:szCs w:val="18"/>
                  <w:lang w:val="es-ES" w:eastAsia="zh-CN"/>
                </w:rPr>
                <w:t>a</w:t>
              </w:r>
            </w:ins>
            <w:r w:rsidR="00170812" w:rsidRPr="00E67AA6">
              <w:rPr>
                <w:rFonts w:eastAsia="SimSun"/>
                <w:sz w:val="18"/>
                <w:szCs w:val="18"/>
                <w:lang w:val="es-ES" w:eastAsia="zh-CN"/>
              </w:rPr>
              <w:t>, n (%)</w:t>
            </w:r>
          </w:p>
        </w:tc>
        <w:tc>
          <w:tcPr>
            <w:tcW w:w="1417" w:type="dxa"/>
            <w:tcMar>
              <w:top w:w="0" w:type="dxa"/>
              <w:left w:w="57" w:type="dxa"/>
              <w:bottom w:w="0" w:type="dxa"/>
              <w:right w:w="57" w:type="dxa"/>
            </w:tcMar>
            <w:vAlign w:val="center"/>
          </w:tcPr>
          <w:p w14:paraId="4FC2B1E6"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59 (25</w:t>
            </w:r>
            <w:r w:rsidR="00305486">
              <w:rPr>
                <w:rFonts w:eastAsia="SimSun"/>
                <w:sz w:val="18"/>
                <w:szCs w:val="18"/>
                <w:lang w:val="en-GB" w:eastAsia="zh-CN"/>
              </w:rPr>
              <w:t>,</w:t>
            </w:r>
            <w:r>
              <w:rPr>
                <w:rFonts w:eastAsia="SimSun"/>
                <w:sz w:val="18"/>
                <w:szCs w:val="18"/>
                <w:lang w:val="en-GB" w:eastAsia="zh-CN"/>
              </w:rPr>
              <w:t>7)</w:t>
            </w:r>
            <w:r w:rsidRPr="005A5612">
              <w:rPr>
                <w:rFonts w:cs="Arial"/>
                <w:b/>
                <w:sz w:val="20"/>
                <w:vertAlign w:val="superscript"/>
                <w:lang w:eastAsia="en-US"/>
              </w:rPr>
              <w:t xml:space="preserve"> ‡</w:t>
            </w:r>
          </w:p>
        </w:tc>
        <w:tc>
          <w:tcPr>
            <w:tcW w:w="1418" w:type="dxa"/>
            <w:tcMar>
              <w:top w:w="0" w:type="dxa"/>
              <w:left w:w="57" w:type="dxa"/>
              <w:bottom w:w="0" w:type="dxa"/>
              <w:right w:w="57" w:type="dxa"/>
            </w:tcMar>
            <w:vAlign w:val="center"/>
          </w:tcPr>
          <w:p w14:paraId="7B2F92C7"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43 (18</w:t>
            </w:r>
            <w:r w:rsidR="00305486">
              <w:rPr>
                <w:rFonts w:eastAsia="SimSun"/>
                <w:sz w:val="18"/>
                <w:szCs w:val="18"/>
                <w:lang w:val="en-GB" w:eastAsia="zh-CN"/>
              </w:rPr>
              <w:t>,</w:t>
            </w:r>
            <w:r>
              <w:rPr>
                <w:rFonts w:eastAsia="SimSun"/>
                <w:sz w:val="18"/>
                <w:szCs w:val="18"/>
                <w:lang w:val="en-GB" w:eastAsia="zh-CN"/>
              </w:rPr>
              <w:t>7)</w:t>
            </w:r>
          </w:p>
        </w:tc>
        <w:tc>
          <w:tcPr>
            <w:tcW w:w="1558" w:type="dxa"/>
            <w:tcBorders>
              <w:right w:val="nil"/>
            </w:tcBorders>
          </w:tcPr>
          <w:p w14:paraId="6B1ECE68"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48 (21</w:t>
            </w:r>
            <w:r w:rsidR="00305486">
              <w:rPr>
                <w:rFonts w:eastAsia="SimSun"/>
                <w:sz w:val="18"/>
                <w:szCs w:val="18"/>
                <w:lang w:val="en-GB" w:eastAsia="zh-CN"/>
              </w:rPr>
              <w:t>,</w:t>
            </w:r>
            <w:r>
              <w:rPr>
                <w:rFonts w:eastAsia="SimSun"/>
                <w:sz w:val="18"/>
                <w:szCs w:val="18"/>
                <w:lang w:val="en-GB" w:eastAsia="zh-CN"/>
              </w:rPr>
              <w:t>1)</w:t>
            </w:r>
          </w:p>
        </w:tc>
        <w:tc>
          <w:tcPr>
            <w:tcW w:w="992" w:type="dxa"/>
            <w:tcBorders>
              <w:top w:val="nil"/>
              <w:left w:val="nil"/>
              <w:bottom w:val="nil"/>
              <w:right w:val="single" w:sz="4" w:space="0" w:color="auto"/>
            </w:tcBorders>
            <w:tcMar>
              <w:top w:w="0" w:type="dxa"/>
              <w:left w:w="57" w:type="dxa"/>
              <w:bottom w:w="0" w:type="dxa"/>
              <w:right w:w="57" w:type="dxa"/>
            </w:tcMar>
            <w:vAlign w:val="center"/>
          </w:tcPr>
          <w:p w14:paraId="17E15E33"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34 (15</w:t>
            </w:r>
            <w:r w:rsidR="00305486">
              <w:rPr>
                <w:rFonts w:eastAsia="SimSun"/>
                <w:sz w:val="18"/>
                <w:szCs w:val="18"/>
                <w:lang w:val="en-GB" w:eastAsia="zh-CN"/>
              </w:rPr>
              <w:t>,</w:t>
            </w:r>
            <w:r>
              <w:rPr>
                <w:rFonts w:eastAsia="SimSun"/>
                <w:sz w:val="18"/>
                <w:szCs w:val="18"/>
                <w:lang w:val="en-GB" w:eastAsia="zh-CN"/>
              </w:rPr>
              <w:t>5)</w:t>
            </w:r>
          </w:p>
        </w:tc>
      </w:tr>
      <w:tr w:rsidR="00170812" w14:paraId="41914362" w14:textId="77777777" w:rsidTr="006616E4">
        <w:trPr>
          <w:cantSplit/>
        </w:trPr>
        <w:tc>
          <w:tcPr>
            <w:tcW w:w="4110" w:type="dxa"/>
            <w:gridSpan w:val="3"/>
            <w:tcBorders>
              <w:top w:val="nil"/>
              <w:left w:val="single" w:sz="4" w:space="0" w:color="auto"/>
              <w:bottom w:val="single" w:sz="4" w:space="0" w:color="auto"/>
              <w:right w:val="nil"/>
            </w:tcBorders>
            <w:tcMar>
              <w:top w:w="0" w:type="dxa"/>
              <w:left w:w="57" w:type="dxa"/>
              <w:bottom w:w="0" w:type="dxa"/>
              <w:right w:w="57" w:type="dxa"/>
            </w:tcMar>
            <w:vAlign w:val="center"/>
          </w:tcPr>
          <w:p w14:paraId="3CF625B9" w14:textId="1A7E2F26" w:rsidR="00170812" w:rsidRPr="00E67AA6" w:rsidRDefault="00170812" w:rsidP="00F30AB8">
            <w:pPr>
              <w:keepNext/>
              <w:keepLines/>
              <w:spacing w:before="50" w:after="50" w:line="240" w:lineRule="exact"/>
              <w:jc w:val="right"/>
              <w:rPr>
                <w:rFonts w:eastAsia="SimSun"/>
                <w:sz w:val="18"/>
                <w:szCs w:val="18"/>
                <w:lang w:val="es-ES" w:eastAsia="zh-CN"/>
              </w:rPr>
            </w:pPr>
            <w:r w:rsidRPr="00E67AA6">
              <w:rPr>
                <w:rFonts w:eastAsia="SimSun"/>
                <w:sz w:val="18"/>
                <w:szCs w:val="18"/>
                <w:lang w:val="es-ES" w:eastAsia="zh-CN"/>
              </w:rPr>
              <w:t xml:space="preserve">                    ACR/EULAR </w:t>
            </w:r>
            <w:ins w:id="476" w:author="AUTHOR">
              <w:r w:rsidR="006B0592" w:rsidRPr="006B0592">
                <w:rPr>
                  <w:rFonts w:eastAsia="SimSun"/>
                  <w:sz w:val="18"/>
                  <w:szCs w:val="18"/>
                  <w:lang w:val="es-ES" w:eastAsia="zh-CN"/>
                </w:rPr>
                <w:t>Índice de</w:t>
              </w:r>
              <w:r w:rsidR="006B0592" w:rsidRPr="00E67AA6">
                <w:rPr>
                  <w:rFonts w:eastAsia="SimSun"/>
                  <w:sz w:val="18"/>
                  <w:szCs w:val="18"/>
                  <w:lang w:val="es-ES" w:eastAsia="zh-CN"/>
                </w:rPr>
                <w:t xml:space="preserve"> </w:t>
              </w:r>
              <w:r w:rsidR="006B0592">
                <w:rPr>
                  <w:rFonts w:eastAsia="SimSun"/>
                  <w:sz w:val="18"/>
                  <w:szCs w:val="18"/>
                  <w:lang w:val="es-ES" w:eastAsia="zh-CN"/>
                </w:rPr>
                <w:t>r</w:t>
              </w:r>
            </w:ins>
            <w:del w:id="477" w:author="AUTHOR">
              <w:r w:rsidRPr="00E67AA6" w:rsidDel="006B0592">
                <w:rPr>
                  <w:rFonts w:eastAsia="SimSun"/>
                  <w:sz w:val="18"/>
                  <w:szCs w:val="18"/>
                  <w:lang w:val="es-ES" w:eastAsia="zh-CN"/>
                </w:rPr>
                <w:delText>R</w:delText>
              </w:r>
            </w:del>
            <w:r w:rsidRPr="00E67AA6">
              <w:rPr>
                <w:rFonts w:eastAsia="SimSun"/>
                <w:sz w:val="18"/>
                <w:szCs w:val="18"/>
                <w:lang w:val="es-ES" w:eastAsia="zh-CN"/>
              </w:rPr>
              <w:t>emisión</w:t>
            </w:r>
            <w:del w:id="478" w:author="AUTHOR">
              <w:r w:rsidRPr="00E67AA6" w:rsidDel="006B0592">
                <w:rPr>
                  <w:rFonts w:eastAsia="SimSun"/>
                  <w:sz w:val="18"/>
                  <w:szCs w:val="18"/>
                  <w:lang w:val="es-ES" w:eastAsia="zh-CN"/>
                </w:rPr>
                <w:delText xml:space="preserve"> Index</w:delText>
              </w:r>
            </w:del>
            <w:r w:rsidRPr="00E67AA6">
              <w:rPr>
                <w:rFonts w:eastAsia="SimSun"/>
                <w:sz w:val="18"/>
                <w:szCs w:val="18"/>
                <w:lang w:val="es-ES" w:eastAsia="zh-CN"/>
              </w:rPr>
              <w:t>, n (%)</w:t>
            </w:r>
          </w:p>
        </w:tc>
        <w:tc>
          <w:tcPr>
            <w:tcW w:w="1417" w:type="dxa"/>
            <w:tcBorders>
              <w:top w:val="nil"/>
              <w:left w:val="nil"/>
              <w:bottom w:val="single" w:sz="4" w:space="0" w:color="auto"/>
              <w:right w:val="nil"/>
            </w:tcBorders>
            <w:tcMar>
              <w:top w:w="0" w:type="dxa"/>
              <w:left w:w="57" w:type="dxa"/>
              <w:bottom w:w="0" w:type="dxa"/>
              <w:right w:w="57" w:type="dxa"/>
            </w:tcMar>
            <w:vAlign w:val="center"/>
          </w:tcPr>
          <w:p w14:paraId="4A11FC1A"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83 (36</w:t>
            </w:r>
            <w:r w:rsidR="00305486">
              <w:rPr>
                <w:rFonts w:eastAsia="SimSun"/>
                <w:sz w:val="18"/>
                <w:szCs w:val="18"/>
                <w:lang w:val="en-GB" w:eastAsia="zh-CN"/>
              </w:rPr>
              <w:t>,</w:t>
            </w:r>
            <w:r>
              <w:rPr>
                <w:rFonts w:eastAsia="SimSun"/>
                <w:sz w:val="18"/>
                <w:szCs w:val="18"/>
                <w:lang w:val="en-GB" w:eastAsia="zh-CN"/>
              </w:rPr>
              <w:t>1)</w:t>
            </w:r>
            <w:r w:rsidRPr="005A5612">
              <w:rPr>
                <w:rFonts w:cs="Arial"/>
                <w:b/>
                <w:sz w:val="20"/>
                <w:vertAlign w:val="superscript"/>
                <w:lang w:eastAsia="en-US"/>
              </w:rPr>
              <w:t xml:space="preserve"> ‡</w:t>
            </w:r>
          </w:p>
        </w:tc>
        <w:tc>
          <w:tcPr>
            <w:tcW w:w="1418" w:type="dxa"/>
            <w:tcBorders>
              <w:top w:val="nil"/>
              <w:left w:val="nil"/>
              <w:bottom w:val="single" w:sz="4" w:space="0" w:color="auto"/>
              <w:right w:val="nil"/>
            </w:tcBorders>
            <w:tcMar>
              <w:top w:w="0" w:type="dxa"/>
              <w:left w:w="57" w:type="dxa"/>
              <w:bottom w:w="0" w:type="dxa"/>
              <w:right w:w="57" w:type="dxa"/>
            </w:tcMar>
            <w:vAlign w:val="center"/>
          </w:tcPr>
          <w:p w14:paraId="2F015FBE"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69 (30</w:t>
            </w:r>
            <w:r w:rsidR="00305486">
              <w:rPr>
                <w:rFonts w:eastAsia="SimSun"/>
                <w:sz w:val="18"/>
                <w:szCs w:val="18"/>
                <w:lang w:val="en-GB" w:eastAsia="zh-CN"/>
              </w:rPr>
              <w:t>,</w:t>
            </w:r>
            <w:r>
              <w:rPr>
                <w:rFonts w:eastAsia="SimSun"/>
                <w:sz w:val="18"/>
                <w:szCs w:val="18"/>
                <w:lang w:val="en-GB" w:eastAsia="zh-CN"/>
              </w:rPr>
              <w:t>0)</w:t>
            </w:r>
          </w:p>
        </w:tc>
        <w:tc>
          <w:tcPr>
            <w:tcW w:w="1558" w:type="dxa"/>
            <w:tcBorders>
              <w:top w:val="nil"/>
              <w:left w:val="nil"/>
              <w:bottom w:val="single" w:sz="4" w:space="0" w:color="auto"/>
              <w:right w:val="nil"/>
            </w:tcBorders>
          </w:tcPr>
          <w:p w14:paraId="62C2BDE2"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66 (29</w:t>
            </w:r>
            <w:r w:rsidR="00305486">
              <w:rPr>
                <w:rFonts w:eastAsia="SimSun"/>
                <w:sz w:val="18"/>
                <w:szCs w:val="18"/>
                <w:lang w:val="en-GB" w:eastAsia="zh-CN"/>
              </w:rPr>
              <w:t>,</w:t>
            </w:r>
            <w:r>
              <w:rPr>
                <w:rFonts w:eastAsia="SimSun"/>
                <w:sz w:val="18"/>
                <w:szCs w:val="18"/>
                <w:lang w:val="en-GB" w:eastAsia="zh-CN"/>
              </w:rPr>
              <w:t>3)</w:t>
            </w:r>
          </w:p>
        </w:tc>
        <w:tc>
          <w:tcPr>
            <w:tcW w:w="992" w:type="dxa"/>
            <w:tcBorders>
              <w:top w:val="nil"/>
              <w:left w:val="nil"/>
              <w:bottom w:val="single" w:sz="4" w:space="0" w:color="auto"/>
              <w:right w:val="single" w:sz="8" w:space="0" w:color="auto"/>
            </w:tcBorders>
            <w:tcMar>
              <w:top w:w="0" w:type="dxa"/>
              <w:left w:w="57" w:type="dxa"/>
              <w:bottom w:w="0" w:type="dxa"/>
              <w:right w:w="57" w:type="dxa"/>
            </w:tcMar>
            <w:vAlign w:val="center"/>
          </w:tcPr>
          <w:p w14:paraId="63FB7A57" w14:textId="77777777" w:rsidR="00170812" w:rsidRDefault="00170812" w:rsidP="00F30AB8">
            <w:pPr>
              <w:keepNext/>
              <w:keepLines/>
              <w:spacing w:before="50" w:after="50" w:line="240" w:lineRule="exact"/>
              <w:jc w:val="center"/>
              <w:rPr>
                <w:rFonts w:eastAsia="SimSun"/>
                <w:sz w:val="18"/>
                <w:szCs w:val="18"/>
                <w:lang w:val="en-GB" w:eastAsia="zh-CN"/>
              </w:rPr>
            </w:pPr>
            <w:r>
              <w:rPr>
                <w:rFonts w:eastAsia="SimSun"/>
                <w:sz w:val="18"/>
                <w:szCs w:val="18"/>
                <w:lang w:val="en-GB" w:eastAsia="zh-CN"/>
              </w:rPr>
              <w:t>49 (22</w:t>
            </w:r>
            <w:r w:rsidR="00305486">
              <w:rPr>
                <w:rFonts w:eastAsia="SimSun"/>
                <w:sz w:val="18"/>
                <w:szCs w:val="18"/>
                <w:lang w:val="en-GB" w:eastAsia="zh-CN"/>
              </w:rPr>
              <w:t>,</w:t>
            </w:r>
            <w:r>
              <w:rPr>
                <w:rFonts w:eastAsia="SimSun"/>
                <w:sz w:val="18"/>
                <w:szCs w:val="18"/>
                <w:lang w:val="en-GB" w:eastAsia="zh-CN"/>
              </w:rPr>
              <w:t>4)</w:t>
            </w:r>
          </w:p>
        </w:tc>
      </w:tr>
    </w:tbl>
    <w:p w14:paraId="7CD2D007" w14:textId="77777777" w:rsidR="00B27D08" w:rsidRPr="00B27D08" w:rsidRDefault="00B27D08" w:rsidP="00F30AB8">
      <w:pPr>
        <w:keepNext/>
        <w:keepLines/>
        <w:rPr>
          <w:i/>
          <w:sz w:val="18"/>
          <w:szCs w:val="18"/>
          <w:lang w:val="en-GB"/>
        </w:rPr>
      </w:pPr>
      <w:proofErr w:type="gramStart"/>
      <w:r w:rsidRPr="00B27D08">
        <w:rPr>
          <w:i/>
          <w:sz w:val="18"/>
          <w:szCs w:val="18"/>
          <w:lang w:val="en-GB"/>
        </w:rPr>
        <w:t>mTSS</w:t>
      </w:r>
      <w:proofErr w:type="gramEnd"/>
      <w:r w:rsidRPr="00B27D08">
        <w:rPr>
          <w:i/>
          <w:sz w:val="18"/>
          <w:szCs w:val="18"/>
          <w:lang w:val="en-GB"/>
        </w:rPr>
        <w:tab/>
      </w:r>
      <w:r w:rsidRPr="00B27D08">
        <w:rPr>
          <w:i/>
          <w:sz w:val="18"/>
          <w:szCs w:val="18"/>
          <w:lang w:val="en-GB"/>
        </w:rPr>
        <w:tab/>
        <w:t>- Indice Total Sharp modificado</w:t>
      </w:r>
    </w:p>
    <w:p w14:paraId="3E839D0C" w14:textId="77777777" w:rsidR="00B27D08" w:rsidRDefault="00B27D08" w:rsidP="00F30AB8">
      <w:pPr>
        <w:keepNext/>
        <w:keepLines/>
        <w:rPr>
          <w:i/>
          <w:sz w:val="18"/>
          <w:szCs w:val="18"/>
          <w:lang w:val="en-GB"/>
        </w:rPr>
      </w:pPr>
      <w:r w:rsidRPr="00B27D08">
        <w:rPr>
          <w:i/>
          <w:sz w:val="18"/>
          <w:szCs w:val="18"/>
          <w:lang w:val="en-GB"/>
        </w:rPr>
        <w:t>JSN</w:t>
      </w:r>
      <w:r w:rsidRPr="00B27D08">
        <w:rPr>
          <w:i/>
          <w:sz w:val="18"/>
          <w:szCs w:val="18"/>
          <w:lang w:val="en-GB"/>
        </w:rPr>
        <w:tab/>
      </w:r>
      <w:r w:rsidRPr="00B27D08">
        <w:rPr>
          <w:i/>
          <w:sz w:val="18"/>
          <w:szCs w:val="18"/>
          <w:lang w:val="en-GB"/>
        </w:rPr>
        <w:tab/>
        <w:t>- Estrechamiento del espacio articular</w:t>
      </w:r>
    </w:p>
    <w:p w14:paraId="5A2C9C9D" w14:textId="77777777" w:rsidR="00E965B3" w:rsidRPr="009F01D1" w:rsidRDefault="00E965B3" w:rsidP="00F30AB8">
      <w:pPr>
        <w:pStyle w:val="Standard1"/>
        <w:keepNext/>
        <w:keepLines/>
        <w:autoSpaceDE/>
        <w:autoSpaceDN/>
        <w:adjustRightInd/>
        <w:rPr>
          <w:rFonts w:ascii="Times New Roman" w:eastAsia="Times New Roman" w:hAnsi="Times New Roman"/>
          <w:iCs/>
          <w:sz w:val="18"/>
          <w:szCs w:val="18"/>
          <w:lang w:val="en-GB" w:eastAsia="ja-JP"/>
        </w:rPr>
      </w:pPr>
      <w:r w:rsidRPr="009F01D1">
        <w:rPr>
          <w:rFonts w:ascii="Times New Roman" w:eastAsia="Times New Roman" w:hAnsi="Times New Roman"/>
          <w:iCs/>
          <w:sz w:val="18"/>
          <w:szCs w:val="18"/>
          <w:lang w:val="en-GB" w:eastAsia="ja-JP"/>
        </w:rPr>
        <w:t>TCZ – tocilizumab</w:t>
      </w:r>
    </w:p>
    <w:p w14:paraId="7C812945" w14:textId="77777777" w:rsidR="00E965B3" w:rsidRPr="009F01D1" w:rsidRDefault="00E965B3" w:rsidP="00F30AB8">
      <w:pPr>
        <w:pStyle w:val="Standard1"/>
        <w:keepNext/>
        <w:keepLines/>
        <w:autoSpaceDE/>
        <w:autoSpaceDN/>
        <w:adjustRightInd/>
        <w:rPr>
          <w:rFonts w:ascii="Times New Roman" w:eastAsia="Times New Roman" w:hAnsi="Times New Roman"/>
          <w:iCs/>
          <w:sz w:val="18"/>
          <w:szCs w:val="18"/>
          <w:lang w:val="en-GB" w:eastAsia="ja-JP"/>
        </w:rPr>
      </w:pPr>
      <w:r w:rsidRPr="009F01D1">
        <w:rPr>
          <w:rFonts w:ascii="Times New Roman" w:eastAsia="Times New Roman" w:hAnsi="Times New Roman"/>
          <w:iCs/>
          <w:sz w:val="18"/>
          <w:szCs w:val="18"/>
          <w:lang w:val="en-GB" w:eastAsia="ja-JP"/>
        </w:rPr>
        <w:t xml:space="preserve">MTX – </w:t>
      </w:r>
      <w:r w:rsidRPr="00376697">
        <w:rPr>
          <w:rFonts w:ascii="Times New Roman" w:eastAsia="Times New Roman" w:hAnsi="Times New Roman"/>
          <w:iCs/>
          <w:sz w:val="18"/>
          <w:szCs w:val="18"/>
          <w:lang w:val="en-GB" w:eastAsia="ja-JP"/>
        </w:rPr>
        <w:t>methotrexato</w:t>
      </w:r>
    </w:p>
    <w:p w14:paraId="02192E09" w14:textId="77777777" w:rsidR="00E965B3" w:rsidRPr="009F01D1" w:rsidRDefault="00E965B3" w:rsidP="00F30AB8">
      <w:pPr>
        <w:pStyle w:val="Standard1"/>
        <w:keepNext/>
        <w:keepLines/>
        <w:autoSpaceDE/>
        <w:autoSpaceDN/>
        <w:adjustRightInd/>
        <w:rPr>
          <w:rFonts w:ascii="Times New Roman" w:eastAsia="Times New Roman" w:hAnsi="Times New Roman"/>
          <w:iCs/>
          <w:sz w:val="18"/>
          <w:szCs w:val="18"/>
          <w:lang w:val="en-GB" w:eastAsia="ja-JP"/>
        </w:rPr>
      </w:pPr>
      <w:r w:rsidRPr="009F01D1">
        <w:rPr>
          <w:rFonts w:ascii="Times New Roman" w:eastAsia="Times New Roman" w:hAnsi="Times New Roman"/>
          <w:iCs/>
          <w:sz w:val="18"/>
          <w:szCs w:val="18"/>
          <w:lang w:val="en-GB" w:eastAsia="ja-JP"/>
        </w:rPr>
        <w:t>ACR - American College of Rheumatology (ACR) criteria</w:t>
      </w:r>
    </w:p>
    <w:p w14:paraId="155F18B3" w14:textId="77777777" w:rsidR="008C1D59" w:rsidRPr="00F32072" w:rsidRDefault="008C1D59" w:rsidP="00F30AB8">
      <w:pPr>
        <w:keepNext/>
        <w:keepLines/>
        <w:rPr>
          <w:sz w:val="18"/>
          <w:szCs w:val="18"/>
          <w:lang w:val="es-ES" w:eastAsia="en-US"/>
        </w:rPr>
      </w:pPr>
      <w:r w:rsidRPr="00F32072">
        <w:rPr>
          <w:sz w:val="18"/>
          <w:szCs w:val="18"/>
          <w:lang w:val="es-ES" w:eastAsia="en-US"/>
        </w:rPr>
        <w:t>Todas las comparaciones de eficacia vs Placebo + MTX. ***p≤0</w:t>
      </w:r>
      <w:r w:rsidR="00305486">
        <w:rPr>
          <w:sz w:val="18"/>
          <w:szCs w:val="18"/>
          <w:lang w:val="es-ES" w:eastAsia="en-US"/>
        </w:rPr>
        <w:t>,</w:t>
      </w:r>
      <w:r w:rsidRPr="00F32072">
        <w:rPr>
          <w:sz w:val="18"/>
          <w:szCs w:val="18"/>
          <w:lang w:val="es-ES" w:eastAsia="en-US"/>
        </w:rPr>
        <w:t>0001; **p&lt;0</w:t>
      </w:r>
      <w:r w:rsidR="00305486">
        <w:rPr>
          <w:sz w:val="18"/>
          <w:szCs w:val="18"/>
          <w:lang w:val="es-ES" w:eastAsia="en-US"/>
        </w:rPr>
        <w:t>,</w:t>
      </w:r>
      <w:r w:rsidRPr="00F32072">
        <w:rPr>
          <w:sz w:val="18"/>
          <w:szCs w:val="18"/>
          <w:lang w:val="es-ES" w:eastAsia="en-US"/>
        </w:rPr>
        <w:t>001; *p&lt;0</w:t>
      </w:r>
      <w:r w:rsidR="00305486">
        <w:rPr>
          <w:sz w:val="18"/>
          <w:szCs w:val="18"/>
          <w:lang w:val="es-ES" w:eastAsia="en-US"/>
        </w:rPr>
        <w:t>,</w:t>
      </w:r>
      <w:r w:rsidRPr="00F32072">
        <w:rPr>
          <w:sz w:val="18"/>
          <w:szCs w:val="18"/>
          <w:lang w:val="es-ES" w:eastAsia="en-US"/>
        </w:rPr>
        <w:t xml:space="preserve">05; </w:t>
      </w:r>
    </w:p>
    <w:p w14:paraId="7C434B50" w14:textId="77777777" w:rsidR="00170812" w:rsidRDefault="008C1D59" w:rsidP="00F32072">
      <w:pPr>
        <w:rPr>
          <w:sz w:val="18"/>
          <w:szCs w:val="18"/>
          <w:lang w:val="es-ES" w:eastAsia="en-US"/>
        </w:rPr>
      </w:pPr>
      <w:r w:rsidRPr="00F32072">
        <w:rPr>
          <w:sz w:val="18"/>
          <w:szCs w:val="18"/>
          <w:lang w:val="es-ES" w:eastAsia="en-US"/>
        </w:rPr>
        <w:t>‡p &lt; 0</w:t>
      </w:r>
      <w:r w:rsidR="00305486">
        <w:rPr>
          <w:sz w:val="18"/>
          <w:szCs w:val="18"/>
          <w:lang w:val="es-ES" w:eastAsia="en-US"/>
        </w:rPr>
        <w:t>,</w:t>
      </w:r>
      <w:r w:rsidRPr="00F32072">
        <w:rPr>
          <w:sz w:val="18"/>
          <w:szCs w:val="18"/>
          <w:lang w:val="es-ES" w:eastAsia="en-US"/>
        </w:rPr>
        <w:t>05 vs. Placebo + MTX, la variable fue exploratoria (no incluida en la jerarquia del test estadístico, por lo que no ha sido controlada por la multiplicidad)</w:t>
      </w:r>
    </w:p>
    <w:p w14:paraId="3CAD366C" w14:textId="77777777" w:rsidR="00E965B3" w:rsidRDefault="00E965B3" w:rsidP="00F32072">
      <w:pPr>
        <w:rPr>
          <w:sz w:val="18"/>
          <w:szCs w:val="18"/>
          <w:lang w:val="es-ES" w:eastAsia="en-US"/>
        </w:rPr>
      </w:pPr>
    </w:p>
    <w:p w14:paraId="5C0D9889" w14:textId="77777777" w:rsidR="00B653FC" w:rsidDel="00D33DBC" w:rsidRDefault="00B653FC" w:rsidP="00F30AB8">
      <w:pPr>
        <w:keepNext/>
        <w:keepLines/>
        <w:numPr>
          <w:ilvl w:val="12"/>
          <w:numId w:val="0"/>
        </w:numPr>
        <w:rPr>
          <w:del w:id="479" w:author="AUTHOR"/>
          <w:i/>
          <w:u w:val="single"/>
          <w:lang w:val="es-ES"/>
        </w:rPr>
      </w:pPr>
      <w:r w:rsidRPr="00F30AB8">
        <w:rPr>
          <w:i/>
          <w:u w:val="single"/>
          <w:lang w:val="es-ES"/>
        </w:rPr>
        <w:lastRenderedPageBreak/>
        <w:t>COVID-19</w:t>
      </w:r>
    </w:p>
    <w:p w14:paraId="10A1AEAB" w14:textId="77777777" w:rsidR="00E965B3" w:rsidRPr="00F30AB8" w:rsidRDefault="00E965B3" w:rsidP="00F30AB8">
      <w:pPr>
        <w:keepNext/>
        <w:keepLines/>
        <w:numPr>
          <w:ilvl w:val="12"/>
          <w:numId w:val="0"/>
        </w:numPr>
        <w:rPr>
          <w:i/>
          <w:u w:val="single"/>
          <w:lang w:val="es-ES"/>
        </w:rPr>
      </w:pPr>
    </w:p>
    <w:p w14:paraId="25B68301" w14:textId="77777777" w:rsidR="00B653FC" w:rsidRPr="00467FFD" w:rsidRDefault="00B653FC" w:rsidP="00F30AB8">
      <w:pPr>
        <w:keepNext/>
        <w:keepLines/>
        <w:numPr>
          <w:ilvl w:val="12"/>
          <w:numId w:val="0"/>
        </w:numPr>
        <w:rPr>
          <w:i/>
          <w:iCs/>
          <w:lang w:val="es-ES"/>
          <w:rPrChange w:id="480" w:author="AUTHOR">
            <w:rPr>
              <w:lang w:val="es-ES"/>
            </w:rPr>
          </w:rPrChange>
        </w:rPr>
      </w:pPr>
      <w:r w:rsidRPr="00467FFD">
        <w:rPr>
          <w:i/>
          <w:iCs/>
          <w:lang w:val="es-ES"/>
          <w:rPrChange w:id="481" w:author="AUTHOR">
            <w:rPr>
              <w:lang w:val="es-ES"/>
            </w:rPr>
          </w:rPrChange>
        </w:rPr>
        <w:t>Eficacia clínica</w:t>
      </w:r>
    </w:p>
    <w:p w14:paraId="73AF249F" w14:textId="4A935187" w:rsidR="00B653FC" w:rsidRPr="00F30AB8" w:rsidRDefault="00B653FC" w:rsidP="00F30AB8">
      <w:pPr>
        <w:keepNext/>
        <w:keepLines/>
        <w:numPr>
          <w:ilvl w:val="12"/>
          <w:numId w:val="0"/>
        </w:numPr>
        <w:ind w:right="-2"/>
        <w:rPr>
          <w:lang w:val="es-ES"/>
        </w:rPr>
      </w:pPr>
      <w:r w:rsidRPr="00F30AB8">
        <w:rPr>
          <w:lang w:val="es-ES"/>
        </w:rPr>
        <w:t xml:space="preserve">RECOVERY (Evaluación aleatoria de la terapia COVID-19) </w:t>
      </w:r>
      <w:del w:id="482" w:author="AUTHOR">
        <w:r w:rsidRPr="00F30AB8" w:rsidDel="00A93547">
          <w:rPr>
            <w:lang w:val="es-ES"/>
          </w:rPr>
          <w:delText xml:space="preserve">Estudio </w:delText>
        </w:r>
      </w:del>
      <w:ins w:id="483" w:author="AUTHOR">
        <w:r w:rsidR="00A93547">
          <w:rPr>
            <w:lang w:val="es-ES"/>
          </w:rPr>
          <w:t>ensayo</w:t>
        </w:r>
        <w:r w:rsidR="00A93547" w:rsidRPr="00F30AB8">
          <w:rPr>
            <w:lang w:val="es-ES"/>
          </w:rPr>
          <w:t xml:space="preserve"> </w:t>
        </w:r>
      </w:ins>
      <w:r w:rsidRPr="00F30AB8">
        <w:rPr>
          <w:lang w:val="es-ES"/>
        </w:rPr>
        <w:t>de grupo colaborativo en adultos hospitalizados con diagnóstico de COVID-19</w:t>
      </w:r>
    </w:p>
    <w:p w14:paraId="211CE1BF" w14:textId="77777777" w:rsidR="00B64B25" w:rsidRPr="004B67DA" w:rsidRDefault="00B64B25" w:rsidP="00B653FC">
      <w:pPr>
        <w:keepNext/>
        <w:keepLines/>
        <w:widowControl w:val="0"/>
        <w:numPr>
          <w:ilvl w:val="12"/>
          <w:numId w:val="0"/>
        </w:numPr>
        <w:ind w:right="-2"/>
        <w:rPr>
          <w:b/>
          <w:lang w:val="es-ES"/>
        </w:rPr>
      </w:pPr>
    </w:p>
    <w:p w14:paraId="6C0D2B22" w14:textId="239B7E26" w:rsidR="00E9402A" w:rsidRDefault="00B653FC" w:rsidP="00B653FC">
      <w:pPr>
        <w:keepNext/>
        <w:keepLines/>
        <w:widowControl w:val="0"/>
        <w:numPr>
          <w:ilvl w:val="12"/>
          <w:numId w:val="0"/>
        </w:numPr>
        <w:ind w:right="-2"/>
        <w:rPr>
          <w:lang w:val="es-ES"/>
        </w:rPr>
      </w:pPr>
      <w:r w:rsidRPr="00B653FC">
        <w:rPr>
          <w:lang w:val="es-ES"/>
        </w:rPr>
        <w:t xml:space="preserve">RECOVERY fue un gran </w:t>
      </w:r>
      <w:del w:id="484" w:author="AUTHOR">
        <w:r w:rsidRPr="00B653FC" w:rsidDel="00A93547">
          <w:rPr>
            <w:lang w:val="es-ES"/>
          </w:rPr>
          <w:delText xml:space="preserve">estudio </w:delText>
        </w:r>
      </w:del>
      <w:ins w:id="485" w:author="AUTHOR">
        <w:r w:rsidR="00A93547">
          <w:rPr>
            <w:lang w:val="es-ES"/>
          </w:rPr>
          <w:t>ensayo</w:t>
        </w:r>
        <w:r w:rsidR="00A93547" w:rsidRPr="00B653FC">
          <w:rPr>
            <w:lang w:val="es-ES"/>
          </w:rPr>
          <w:t xml:space="preserve"> </w:t>
        </w:r>
      </w:ins>
      <w:r w:rsidRPr="00B653FC">
        <w:rPr>
          <w:lang w:val="es-ES"/>
        </w:rPr>
        <w:t xml:space="preserve">de plataforma multicéntrico, aleatorizado, controlado, abierto, realizado en el Reino Unido para evaluar la eficacia y seguridad de posibles tratamientos en pacientes adultos hospitalizados con COVID-19 grave. Todos los pacientes elegibles recibieron </w:t>
      </w:r>
      <w:r>
        <w:rPr>
          <w:lang w:val="es-ES"/>
        </w:rPr>
        <w:t>la atención</w:t>
      </w:r>
      <w:r w:rsidRPr="00B653FC">
        <w:rPr>
          <w:lang w:val="es-ES"/>
        </w:rPr>
        <w:t xml:space="preserve"> habitual y se sometieron a una aleatorización inicial (principal). Los pacientes elegibles para el ensayo tenían </w:t>
      </w:r>
      <w:r>
        <w:rPr>
          <w:lang w:val="es-ES"/>
        </w:rPr>
        <w:t>sosp</w:t>
      </w:r>
      <w:del w:id="486" w:author="AUTHOR">
        <w:r w:rsidDel="00142879">
          <w:rPr>
            <w:lang w:val="es-ES"/>
          </w:rPr>
          <w:delText>r</w:delText>
        </w:r>
      </w:del>
      <w:r>
        <w:rPr>
          <w:lang w:val="es-ES"/>
        </w:rPr>
        <w:t>echas clínicas o confirmación</w:t>
      </w:r>
      <w:r w:rsidRPr="00B653FC">
        <w:rPr>
          <w:lang w:val="es-ES"/>
        </w:rPr>
        <w:t xml:space="preserve"> por </w:t>
      </w:r>
      <w:r>
        <w:rPr>
          <w:lang w:val="es-ES"/>
        </w:rPr>
        <w:t xml:space="preserve">el </w:t>
      </w:r>
      <w:r w:rsidRPr="00B653FC">
        <w:rPr>
          <w:lang w:val="es-ES"/>
        </w:rPr>
        <w:t>laboratorio</w:t>
      </w:r>
      <w:r>
        <w:rPr>
          <w:lang w:val="es-ES"/>
        </w:rPr>
        <w:t xml:space="preserve"> de </w:t>
      </w:r>
      <w:r w:rsidRPr="00B653FC">
        <w:rPr>
          <w:lang w:val="es-ES"/>
        </w:rPr>
        <w:t>infección por SARS-CoV-2 y no tenían contraindicaciones médicas para ninguno de los tratamientos.</w:t>
      </w:r>
      <w:r w:rsidR="00B64B25">
        <w:rPr>
          <w:lang w:val="es-ES"/>
        </w:rPr>
        <w:t>Todos l</w:t>
      </w:r>
      <w:r w:rsidRPr="00B653FC">
        <w:rPr>
          <w:lang w:val="es-ES"/>
        </w:rPr>
        <w:t>os pacientes con evidencia clínica de COVID-19 progresivo (definido como saturación de oxígeno &lt;92%</w:t>
      </w:r>
      <w:r w:rsidR="002F78DA">
        <w:rPr>
          <w:lang w:val="es-ES"/>
        </w:rPr>
        <w:t xml:space="preserve"> en</w:t>
      </w:r>
      <w:r w:rsidRPr="00B653FC">
        <w:rPr>
          <w:lang w:val="es-ES"/>
        </w:rPr>
        <w:t xml:space="preserve"> aire ambiente o recibiendo oxigenotera</w:t>
      </w:r>
      <w:r w:rsidR="002F78DA">
        <w:rPr>
          <w:lang w:val="es-ES"/>
        </w:rPr>
        <w:t>pia, y PCR ≥</w:t>
      </w:r>
      <w:r w:rsidR="00205482" w:rsidRPr="00F30AB8">
        <w:rPr>
          <w:szCs w:val="22"/>
          <w:lang w:val="es-ES"/>
        </w:rPr>
        <w:t> </w:t>
      </w:r>
      <w:r w:rsidR="00205482" w:rsidDel="00205482">
        <w:rPr>
          <w:lang w:val="es-ES"/>
        </w:rPr>
        <w:t xml:space="preserve"> </w:t>
      </w:r>
      <w:r w:rsidR="002F78DA">
        <w:rPr>
          <w:lang w:val="es-ES"/>
        </w:rPr>
        <w:t>75</w:t>
      </w:r>
      <w:r w:rsidR="00205482" w:rsidRPr="00F30AB8">
        <w:rPr>
          <w:szCs w:val="22"/>
          <w:lang w:val="es-ES"/>
        </w:rPr>
        <w:t> </w:t>
      </w:r>
      <w:r w:rsidR="00205482" w:rsidDel="00205482">
        <w:rPr>
          <w:lang w:val="es-ES"/>
        </w:rPr>
        <w:t xml:space="preserve"> </w:t>
      </w:r>
      <w:r w:rsidR="002F78DA">
        <w:rPr>
          <w:lang w:val="es-ES"/>
        </w:rPr>
        <w:t xml:space="preserve">mg/l) se calificaron para pasar a </w:t>
      </w:r>
      <w:r w:rsidRPr="00B653FC">
        <w:rPr>
          <w:lang w:val="es-ES"/>
        </w:rPr>
        <w:t>una segunda aleat</w:t>
      </w:r>
      <w:r>
        <w:rPr>
          <w:lang w:val="es-ES"/>
        </w:rPr>
        <w:t xml:space="preserve">orización para recibir </w:t>
      </w:r>
      <w:r w:rsidRPr="00B653FC">
        <w:rPr>
          <w:lang w:val="es-ES"/>
        </w:rPr>
        <w:t xml:space="preserve">tocilizumab intravenoso o </w:t>
      </w:r>
      <w:r>
        <w:rPr>
          <w:lang w:val="es-ES"/>
        </w:rPr>
        <w:t xml:space="preserve">únicamente </w:t>
      </w:r>
      <w:r w:rsidRPr="00B653FC">
        <w:rPr>
          <w:lang w:val="es-ES"/>
        </w:rPr>
        <w:t>la atención habitual.</w:t>
      </w:r>
    </w:p>
    <w:p w14:paraId="503CB3E2" w14:textId="77777777" w:rsidR="00B653FC" w:rsidRDefault="00B653FC" w:rsidP="00B653FC">
      <w:pPr>
        <w:keepNext/>
        <w:keepLines/>
        <w:widowControl w:val="0"/>
        <w:numPr>
          <w:ilvl w:val="12"/>
          <w:numId w:val="0"/>
        </w:numPr>
        <w:ind w:right="-2"/>
        <w:rPr>
          <w:lang w:val="es-ES"/>
        </w:rPr>
      </w:pPr>
    </w:p>
    <w:p w14:paraId="43CDBABF" w14:textId="595921C5" w:rsidR="002F78DA" w:rsidRDefault="002F78DA" w:rsidP="002F78DA">
      <w:pPr>
        <w:keepNext/>
        <w:keepLines/>
        <w:widowControl w:val="0"/>
        <w:numPr>
          <w:ilvl w:val="12"/>
          <w:numId w:val="0"/>
        </w:numPr>
        <w:ind w:right="-2"/>
        <w:rPr>
          <w:lang w:val="es-ES"/>
        </w:rPr>
      </w:pPr>
      <w:r w:rsidRPr="002F78DA">
        <w:rPr>
          <w:lang w:val="es-ES"/>
        </w:rPr>
        <w:t xml:space="preserve">Se realizaron análisis de eficacia en la población </w:t>
      </w:r>
      <w:r>
        <w:rPr>
          <w:lang w:val="es-ES"/>
        </w:rPr>
        <w:t>con</w:t>
      </w:r>
      <w:r w:rsidRPr="002F78DA">
        <w:rPr>
          <w:lang w:val="es-ES"/>
        </w:rPr>
        <w:t xml:space="preserve"> intención</w:t>
      </w:r>
      <w:r w:rsidR="00F267E4">
        <w:rPr>
          <w:lang w:val="es-ES"/>
        </w:rPr>
        <w:t xml:space="preserve"> de</w:t>
      </w:r>
      <w:r w:rsidR="00B64B25">
        <w:rPr>
          <w:lang w:val="es-ES"/>
        </w:rPr>
        <w:t xml:space="preserve"> tratar (ITT)</w:t>
      </w:r>
      <w:r w:rsidRPr="002F78DA">
        <w:rPr>
          <w:lang w:val="es-ES"/>
        </w:rPr>
        <w:t xml:space="preserve"> que comprendía 4</w:t>
      </w:r>
      <w:r w:rsidR="00B64B25">
        <w:rPr>
          <w:lang w:val="es-ES"/>
        </w:rPr>
        <w:t>.</w:t>
      </w:r>
      <w:r w:rsidRPr="002F78DA">
        <w:rPr>
          <w:lang w:val="es-ES"/>
        </w:rPr>
        <w:t>116 pacientes</w:t>
      </w:r>
      <w:r w:rsidR="00B64B25">
        <w:rPr>
          <w:lang w:val="es-ES"/>
        </w:rPr>
        <w:t>,</w:t>
      </w:r>
      <w:r w:rsidRPr="002F78DA">
        <w:rPr>
          <w:lang w:val="es-ES"/>
        </w:rPr>
        <w:t xml:space="preserve"> que fueron aleatorizados</w:t>
      </w:r>
      <w:r w:rsidR="00B64B25">
        <w:rPr>
          <w:lang w:val="es-ES"/>
        </w:rPr>
        <w:t>:</w:t>
      </w:r>
      <w:r w:rsidRPr="002F78DA">
        <w:rPr>
          <w:lang w:val="es-ES"/>
        </w:rPr>
        <w:t xml:space="preserve">  </w:t>
      </w:r>
      <w:proofErr w:type="gramStart"/>
      <w:r w:rsidRPr="002F78DA">
        <w:rPr>
          <w:lang w:val="es-ES"/>
        </w:rPr>
        <w:t>2022</w:t>
      </w:r>
      <w:r w:rsidR="00205482" w:rsidRPr="00F30AB8">
        <w:rPr>
          <w:szCs w:val="22"/>
          <w:lang w:val="es-ES"/>
        </w:rPr>
        <w:t> </w:t>
      </w:r>
      <w:r w:rsidR="00205482" w:rsidRPr="002F78DA" w:rsidDel="00205482">
        <w:rPr>
          <w:lang w:val="es-ES"/>
        </w:rPr>
        <w:t xml:space="preserve"> </w:t>
      </w:r>
      <w:r w:rsidRPr="002F78DA">
        <w:rPr>
          <w:lang w:val="es-ES"/>
        </w:rPr>
        <w:t>pacientes</w:t>
      </w:r>
      <w:proofErr w:type="gramEnd"/>
      <w:r w:rsidRPr="002F78DA">
        <w:rPr>
          <w:lang w:val="es-ES"/>
        </w:rPr>
        <w:t xml:space="preserve"> en el </w:t>
      </w:r>
      <w:r w:rsidR="00B64B25">
        <w:rPr>
          <w:lang w:val="es-ES"/>
        </w:rPr>
        <w:t>grupo</w:t>
      </w:r>
      <w:r w:rsidRPr="002F78DA">
        <w:rPr>
          <w:lang w:val="es-ES"/>
        </w:rPr>
        <w:t xml:space="preserve"> de</w:t>
      </w:r>
      <w:r w:rsidR="00B64B25">
        <w:rPr>
          <w:lang w:val="es-ES"/>
        </w:rPr>
        <w:t xml:space="preserve"> tocilizumab +</w:t>
      </w:r>
      <w:r w:rsidRPr="002F78DA">
        <w:rPr>
          <w:lang w:val="es-ES"/>
        </w:rPr>
        <w:t xml:space="preserve"> at</w:t>
      </w:r>
      <w:r>
        <w:rPr>
          <w:lang w:val="es-ES"/>
        </w:rPr>
        <w:t xml:space="preserve">ención </w:t>
      </w:r>
      <w:r w:rsidR="00B64B25">
        <w:rPr>
          <w:lang w:val="es-ES"/>
        </w:rPr>
        <w:t>habitual</w:t>
      </w:r>
      <w:ins w:id="487" w:author="AUTHOR">
        <w:r w:rsidR="00142879">
          <w:rPr>
            <w:lang w:val="es-ES"/>
          </w:rPr>
          <w:t xml:space="preserve"> </w:t>
        </w:r>
      </w:ins>
      <w:r w:rsidRPr="002F78DA">
        <w:rPr>
          <w:lang w:val="es-ES"/>
        </w:rPr>
        <w:t>y 2094 pacientes en el</w:t>
      </w:r>
      <w:r>
        <w:rPr>
          <w:lang w:val="es-ES"/>
        </w:rPr>
        <w:t xml:space="preserve"> </w:t>
      </w:r>
      <w:r w:rsidR="00B64B25">
        <w:rPr>
          <w:lang w:val="es-ES"/>
        </w:rPr>
        <w:t>grupo</w:t>
      </w:r>
      <w:r>
        <w:rPr>
          <w:lang w:val="es-ES"/>
        </w:rPr>
        <w:t xml:space="preserve"> de atención habitual únicamente</w:t>
      </w:r>
      <w:r w:rsidRPr="002F78DA">
        <w:rPr>
          <w:lang w:val="es-ES"/>
        </w:rPr>
        <w:t xml:space="preserve">. Las características demográficas y de enfermedad basales de la población </w:t>
      </w:r>
      <w:r>
        <w:rPr>
          <w:lang w:val="es-ES"/>
        </w:rPr>
        <w:t>con</w:t>
      </w:r>
      <w:r w:rsidRPr="002F78DA">
        <w:rPr>
          <w:lang w:val="es-ES"/>
        </w:rPr>
        <w:t xml:space="preserve"> </w:t>
      </w:r>
      <w:r w:rsidR="00B64B25">
        <w:rPr>
          <w:lang w:val="es-ES"/>
        </w:rPr>
        <w:t>ITT</w:t>
      </w:r>
      <w:r w:rsidRPr="002F78DA">
        <w:rPr>
          <w:lang w:val="es-ES"/>
        </w:rPr>
        <w:t xml:space="preserve"> estaban bien </w:t>
      </w:r>
      <w:r w:rsidR="00D87738">
        <w:rPr>
          <w:lang w:val="es-ES"/>
        </w:rPr>
        <w:t>equilibradas</w:t>
      </w:r>
      <w:r w:rsidR="00B64B25" w:rsidRPr="002F78DA">
        <w:rPr>
          <w:lang w:val="es-ES"/>
        </w:rPr>
        <w:t xml:space="preserve"> </w:t>
      </w:r>
      <w:r w:rsidR="00B64B25">
        <w:rPr>
          <w:lang w:val="es-ES"/>
        </w:rPr>
        <w:t>en</w:t>
      </w:r>
      <w:r w:rsidRPr="002F78DA">
        <w:rPr>
          <w:lang w:val="es-ES"/>
        </w:rPr>
        <w:t xml:space="preserve"> los </w:t>
      </w:r>
      <w:r w:rsidR="00B64B25">
        <w:rPr>
          <w:lang w:val="es-ES"/>
        </w:rPr>
        <w:t>grupos</w:t>
      </w:r>
      <w:r w:rsidRPr="002F78DA">
        <w:rPr>
          <w:lang w:val="es-ES"/>
        </w:rPr>
        <w:t xml:space="preserve"> de tratamiento. La edad media de los participantes fue de 63,</w:t>
      </w:r>
      <w:proofErr w:type="gramStart"/>
      <w:r w:rsidRPr="002F78DA">
        <w:rPr>
          <w:lang w:val="es-ES"/>
        </w:rPr>
        <w:t>6</w:t>
      </w:r>
      <w:r w:rsidR="00205482" w:rsidRPr="00F30AB8">
        <w:rPr>
          <w:szCs w:val="22"/>
          <w:lang w:val="es-ES"/>
        </w:rPr>
        <w:t> </w:t>
      </w:r>
      <w:r w:rsidR="00205482" w:rsidRPr="002F78DA" w:rsidDel="00205482">
        <w:rPr>
          <w:lang w:val="es-ES"/>
        </w:rPr>
        <w:t xml:space="preserve"> </w:t>
      </w:r>
      <w:r w:rsidRPr="002F78DA">
        <w:rPr>
          <w:lang w:val="es-ES"/>
        </w:rPr>
        <w:t>años</w:t>
      </w:r>
      <w:proofErr w:type="gramEnd"/>
      <w:r w:rsidRPr="002F78DA">
        <w:rPr>
          <w:lang w:val="es-ES"/>
        </w:rPr>
        <w:t xml:space="preserve"> (desviación estándar [DE] 13,6 años). La mayoría de los pacientes eran hombres (67%) y blancos (76%). </w:t>
      </w:r>
      <w:del w:id="488" w:author="AUTHOR">
        <w:r w:rsidRPr="002F78DA" w:rsidDel="00E126C4">
          <w:rPr>
            <w:lang w:val="es-ES"/>
          </w:rPr>
          <w:delText xml:space="preserve">El </w:delText>
        </w:r>
      </w:del>
      <w:ins w:id="489" w:author="AUTHOR">
        <w:r w:rsidR="00E126C4">
          <w:rPr>
            <w:lang w:val="es-ES"/>
          </w:rPr>
          <w:t xml:space="preserve">La mediana de </w:t>
        </w:r>
      </w:ins>
      <w:r w:rsidRPr="002F78DA">
        <w:rPr>
          <w:lang w:val="es-ES"/>
        </w:rPr>
        <w:t xml:space="preserve">nivel </w:t>
      </w:r>
      <w:del w:id="490" w:author="AUTHOR">
        <w:r w:rsidRPr="002F78DA" w:rsidDel="00E126C4">
          <w:rPr>
            <w:lang w:val="es-ES"/>
          </w:rPr>
          <w:delText>medio</w:delText>
        </w:r>
        <w:r w:rsidDel="00E126C4">
          <w:rPr>
            <w:lang w:val="es-ES"/>
          </w:rPr>
          <w:delText xml:space="preserve"> </w:delText>
        </w:r>
      </w:del>
      <w:r>
        <w:rPr>
          <w:lang w:val="es-ES"/>
        </w:rPr>
        <w:t>(rango) de PCR fue de 143</w:t>
      </w:r>
      <w:r w:rsidR="00205482" w:rsidRPr="00F30AB8">
        <w:rPr>
          <w:szCs w:val="22"/>
          <w:lang w:val="es-ES"/>
        </w:rPr>
        <w:t> </w:t>
      </w:r>
      <w:r w:rsidR="00205482" w:rsidDel="00205482">
        <w:rPr>
          <w:lang w:val="es-ES"/>
        </w:rPr>
        <w:t xml:space="preserve"> </w:t>
      </w:r>
      <w:r>
        <w:rPr>
          <w:lang w:val="es-ES"/>
        </w:rPr>
        <w:t>mg/l</w:t>
      </w:r>
      <w:r w:rsidRPr="002F78DA">
        <w:rPr>
          <w:lang w:val="es-ES"/>
        </w:rPr>
        <w:t xml:space="preserve"> (75-982).</w:t>
      </w:r>
    </w:p>
    <w:p w14:paraId="4681FC77" w14:textId="77777777" w:rsidR="002F78DA" w:rsidRPr="002F78DA" w:rsidRDefault="002F78DA" w:rsidP="002F78DA">
      <w:pPr>
        <w:keepNext/>
        <w:keepLines/>
        <w:widowControl w:val="0"/>
        <w:numPr>
          <w:ilvl w:val="12"/>
          <w:numId w:val="0"/>
        </w:numPr>
        <w:ind w:right="-2"/>
        <w:rPr>
          <w:lang w:val="es-ES"/>
        </w:rPr>
      </w:pPr>
    </w:p>
    <w:p w14:paraId="03BF3B39" w14:textId="72A1BB78" w:rsidR="00B653FC" w:rsidRDefault="002F78DA" w:rsidP="002F78DA">
      <w:pPr>
        <w:keepNext/>
        <w:keepLines/>
        <w:widowControl w:val="0"/>
        <w:numPr>
          <w:ilvl w:val="12"/>
          <w:numId w:val="0"/>
        </w:numPr>
        <w:ind w:right="-2"/>
        <w:rPr>
          <w:lang w:val="es-ES"/>
        </w:rPr>
      </w:pPr>
      <w:r w:rsidRPr="002F78DA">
        <w:rPr>
          <w:lang w:val="es-ES"/>
        </w:rPr>
        <w:t>Al inicio del estudio, el 0,2</w:t>
      </w:r>
      <w:ins w:id="491" w:author="AUTHOR">
        <w:r w:rsidR="003E29DD" w:rsidRPr="00467FFD">
          <w:rPr>
            <w:rFonts w:eastAsia="SimSun"/>
            <w:bCs/>
            <w:iCs/>
            <w:sz w:val="18"/>
            <w:szCs w:val="18"/>
            <w:lang w:val="es-ES"/>
            <w:rPrChange w:id="492" w:author="AUTHOR">
              <w:rPr>
                <w:rFonts w:eastAsia="SimSun"/>
                <w:bCs/>
                <w:iCs/>
                <w:sz w:val="18"/>
                <w:szCs w:val="18"/>
                <w:lang w:val="en-GB"/>
              </w:rPr>
            </w:rPrChange>
          </w:rPr>
          <w:t> </w:t>
        </w:r>
        <w:r w:rsidR="003E29DD" w:rsidRPr="002F78DA">
          <w:rPr>
            <w:lang w:val="es-ES"/>
          </w:rPr>
          <w:t xml:space="preserve"> </w:t>
        </w:r>
      </w:ins>
      <w:r w:rsidRPr="002F78DA">
        <w:rPr>
          <w:lang w:val="es-ES"/>
        </w:rPr>
        <w:t>% (n</w:t>
      </w:r>
      <w:ins w:id="493" w:author="AUTHOR">
        <w:r w:rsidR="003E29DD" w:rsidRPr="00467FFD">
          <w:rPr>
            <w:rFonts w:eastAsia="SimSun"/>
            <w:bCs/>
            <w:iCs/>
            <w:sz w:val="18"/>
            <w:szCs w:val="18"/>
            <w:lang w:val="es-ES"/>
            <w:rPrChange w:id="494" w:author="AUTHOR">
              <w:rPr>
                <w:rFonts w:eastAsia="SimSun"/>
                <w:bCs/>
                <w:iCs/>
                <w:sz w:val="18"/>
                <w:szCs w:val="18"/>
                <w:lang w:val="en-GB"/>
              </w:rPr>
            </w:rPrChange>
          </w:rPr>
          <w:t> </w:t>
        </w:r>
        <w:r w:rsidR="003E29DD" w:rsidRPr="002F78DA" w:rsidDel="003E29DD">
          <w:rPr>
            <w:lang w:val="es-ES"/>
          </w:rPr>
          <w:t xml:space="preserve"> </w:t>
        </w:r>
      </w:ins>
      <w:del w:id="495" w:author="AUTHOR">
        <w:r w:rsidRPr="002F78DA" w:rsidDel="003E29DD">
          <w:rPr>
            <w:lang w:val="es-ES"/>
          </w:rPr>
          <w:delText xml:space="preserve"> </w:delText>
        </w:r>
      </w:del>
      <w:r w:rsidRPr="002F78DA">
        <w:rPr>
          <w:lang w:val="es-ES"/>
        </w:rPr>
        <w:t>=</w:t>
      </w:r>
      <w:ins w:id="496" w:author="AUTHOR">
        <w:r w:rsidR="003E29DD" w:rsidRPr="00467FFD">
          <w:rPr>
            <w:rFonts w:eastAsia="SimSun"/>
            <w:bCs/>
            <w:iCs/>
            <w:sz w:val="18"/>
            <w:szCs w:val="18"/>
            <w:lang w:val="es-ES"/>
            <w:rPrChange w:id="497" w:author="AUTHOR">
              <w:rPr>
                <w:rFonts w:eastAsia="SimSun"/>
                <w:bCs/>
                <w:iCs/>
                <w:sz w:val="18"/>
                <w:szCs w:val="18"/>
                <w:lang w:val="en-GB"/>
              </w:rPr>
            </w:rPrChange>
          </w:rPr>
          <w:t> </w:t>
        </w:r>
        <w:r w:rsidR="003E29DD" w:rsidRPr="002F78DA" w:rsidDel="003E29DD">
          <w:rPr>
            <w:lang w:val="es-ES"/>
          </w:rPr>
          <w:t xml:space="preserve"> </w:t>
        </w:r>
      </w:ins>
      <w:del w:id="498" w:author="AUTHOR">
        <w:r w:rsidRPr="002F78DA" w:rsidDel="003E29DD">
          <w:rPr>
            <w:lang w:val="es-ES"/>
          </w:rPr>
          <w:delText xml:space="preserve"> </w:delText>
        </w:r>
      </w:del>
      <w:r w:rsidRPr="002F78DA">
        <w:rPr>
          <w:lang w:val="es-ES"/>
        </w:rPr>
        <w:t xml:space="preserve">9) de los pacientes no recibían </w:t>
      </w:r>
      <w:r>
        <w:rPr>
          <w:lang w:val="es-ES"/>
        </w:rPr>
        <w:t>suplemento de oxígeno</w:t>
      </w:r>
      <w:r w:rsidRPr="002F78DA">
        <w:rPr>
          <w:lang w:val="es-ES"/>
        </w:rPr>
        <w:t>, el 45% de los pacientes requirió oxígeno de bajo flujo, el 41</w:t>
      </w:r>
      <w:ins w:id="499" w:author="AUTHOR">
        <w:r w:rsidR="003E29DD" w:rsidRPr="00467FFD">
          <w:rPr>
            <w:rFonts w:eastAsia="SimSun"/>
            <w:bCs/>
            <w:iCs/>
            <w:sz w:val="18"/>
            <w:szCs w:val="18"/>
            <w:lang w:val="es-ES"/>
            <w:rPrChange w:id="500" w:author="AUTHOR">
              <w:rPr>
                <w:rFonts w:eastAsia="SimSun"/>
                <w:bCs/>
                <w:iCs/>
                <w:sz w:val="18"/>
                <w:szCs w:val="18"/>
                <w:lang w:val="en-GB"/>
              </w:rPr>
            </w:rPrChange>
          </w:rPr>
          <w:t> </w:t>
        </w:r>
        <w:r w:rsidR="003E29DD" w:rsidRPr="002F78DA">
          <w:rPr>
            <w:lang w:val="es-ES"/>
          </w:rPr>
          <w:t xml:space="preserve"> </w:t>
        </w:r>
      </w:ins>
      <w:r w:rsidRPr="002F78DA">
        <w:rPr>
          <w:lang w:val="es-ES"/>
        </w:rPr>
        <w:t>% de los pacientes requirió ventilación no invasiva u oxígeno de alto flujo y el 14% de los pacientes requiri</w:t>
      </w:r>
      <w:r>
        <w:rPr>
          <w:lang w:val="es-ES"/>
        </w:rPr>
        <w:t>ó ventilación mecánica invasiva</w:t>
      </w:r>
      <w:r w:rsidRPr="002F78DA">
        <w:rPr>
          <w:lang w:val="es-ES"/>
        </w:rPr>
        <w:t xml:space="preserve">; </w:t>
      </w:r>
      <w:del w:id="501" w:author="AUTHOR">
        <w:r w:rsidRPr="002F78DA" w:rsidDel="00E126C4">
          <w:rPr>
            <w:lang w:val="es-ES"/>
          </w:rPr>
          <w:delText xml:space="preserve">Se </w:delText>
        </w:r>
      </w:del>
      <w:ins w:id="502" w:author="AUTHOR">
        <w:r w:rsidR="00E126C4">
          <w:rPr>
            <w:lang w:val="es-ES"/>
          </w:rPr>
          <w:t>s</w:t>
        </w:r>
        <w:r w:rsidR="00E126C4" w:rsidRPr="002F78DA">
          <w:rPr>
            <w:lang w:val="es-ES"/>
          </w:rPr>
          <w:t xml:space="preserve">e </w:t>
        </w:r>
      </w:ins>
      <w:r w:rsidRPr="002F78DA">
        <w:rPr>
          <w:lang w:val="es-ES"/>
        </w:rPr>
        <w:t>informó que el 82</w:t>
      </w:r>
      <w:ins w:id="503" w:author="AUTHOR">
        <w:r w:rsidR="003E29DD" w:rsidRPr="00467FFD">
          <w:rPr>
            <w:rFonts w:eastAsia="SimSun"/>
            <w:bCs/>
            <w:iCs/>
            <w:sz w:val="18"/>
            <w:szCs w:val="18"/>
            <w:lang w:val="es-ES"/>
            <w:rPrChange w:id="504" w:author="AUTHOR">
              <w:rPr>
                <w:rFonts w:eastAsia="SimSun"/>
                <w:bCs/>
                <w:iCs/>
                <w:sz w:val="18"/>
                <w:szCs w:val="18"/>
                <w:lang w:val="en-GB"/>
              </w:rPr>
            </w:rPrChange>
          </w:rPr>
          <w:t> </w:t>
        </w:r>
        <w:r w:rsidR="003E29DD" w:rsidRPr="002F78DA">
          <w:rPr>
            <w:lang w:val="es-ES"/>
          </w:rPr>
          <w:t xml:space="preserve"> </w:t>
        </w:r>
      </w:ins>
      <w:r w:rsidRPr="002F78DA">
        <w:rPr>
          <w:lang w:val="es-ES"/>
        </w:rPr>
        <w:t>% recibían corticosteroides sistémicos (definidos como pacientes que iniciaron el tratamiento con corticosteroides sistémicos antes o en el momento de la aleatorización). Las comorbilidades más frecuentes fueron diabetes (28,</w:t>
      </w:r>
      <w:proofErr w:type="gramStart"/>
      <w:r w:rsidRPr="002F78DA">
        <w:rPr>
          <w:lang w:val="es-ES"/>
        </w:rPr>
        <w:t>4</w:t>
      </w:r>
      <w:ins w:id="505" w:author="AUTHOR">
        <w:r w:rsidR="003E29DD" w:rsidRPr="00467FFD">
          <w:rPr>
            <w:rFonts w:eastAsia="SimSun"/>
            <w:bCs/>
            <w:iCs/>
            <w:sz w:val="18"/>
            <w:szCs w:val="18"/>
            <w:lang w:val="es-ES"/>
            <w:rPrChange w:id="506" w:author="AUTHOR">
              <w:rPr>
                <w:rFonts w:eastAsia="SimSun"/>
                <w:bCs/>
                <w:iCs/>
                <w:sz w:val="18"/>
                <w:szCs w:val="18"/>
                <w:lang w:val="en-GB"/>
              </w:rPr>
            </w:rPrChange>
          </w:rPr>
          <w:t> </w:t>
        </w:r>
        <w:r w:rsidR="003E29DD" w:rsidRPr="002F78DA">
          <w:rPr>
            <w:lang w:val="es-ES"/>
          </w:rPr>
          <w:t xml:space="preserve"> </w:t>
        </w:r>
      </w:ins>
      <w:r w:rsidRPr="002F78DA">
        <w:rPr>
          <w:lang w:val="es-ES"/>
        </w:rPr>
        <w:t>%)</w:t>
      </w:r>
      <w:proofErr w:type="gramEnd"/>
      <w:r w:rsidRPr="002F78DA">
        <w:rPr>
          <w:lang w:val="es-ES"/>
        </w:rPr>
        <w:t>, cardiopatía (22,6</w:t>
      </w:r>
      <w:ins w:id="507" w:author="AUTHOR">
        <w:r w:rsidR="003E29DD" w:rsidRPr="00467FFD">
          <w:rPr>
            <w:rFonts w:eastAsia="SimSun"/>
            <w:bCs/>
            <w:iCs/>
            <w:sz w:val="18"/>
            <w:szCs w:val="18"/>
            <w:lang w:val="es-ES"/>
            <w:rPrChange w:id="508" w:author="AUTHOR">
              <w:rPr>
                <w:rFonts w:eastAsia="SimSun"/>
                <w:bCs/>
                <w:iCs/>
                <w:sz w:val="18"/>
                <w:szCs w:val="18"/>
                <w:lang w:val="en-GB"/>
              </w:rPr>
            </w:rPrChange>
          </w:rPr>
          <w:t> </w:t>
        </w:r>
        <w:r w:rsidR="003E29DD" w:rsidRPr="002F78DA">
          <w:rPr>
            <w:lang w:val="es-ES"/>
          </w:rPr>
          <w:t xml:space="preserve"> </w:t>
        </w:r>
      </w:ins>
      <w:r w:rsidRPr="002F78DA">
        <w:rPr>
          <w:lang w:val="es-ES"/>
        </w:rPr>
        <w:t>%) y enfermedad pulmonar crónica (23,3</w:t>
      </w:r>
      <w:ins w:id="509" w:author="AUTHOR">
        <w:r w:rsidR="003E29DD" w:rsidRPr="00467FFD">
          <w:rPr>
            <w:rFonts w:eastAsia="SimSun"/>
            <w:bCs/>
            <w:iCs/>
            <w:sz w:val="18"/>
            <w:szCs w:val="18"/>
            <w:lang w:val="es-ES"/>
            <w:rPrChange w:id="510" w:author="AUTHOR">
              <w:rPr>
                <w:rFonts w:eastAsia="SimSun"/>
                <w:bCs/>
                <w:iCs/>
                <w:sz w:val="18"/>
                <w:szCs w:val="18"/>
                <w:lang w:val="en-GB"/>
              </w:rPr>
            </w:rPrChange>
          </w:rPr>
          <w:t> </w:t>
        </w:r>
        <w:r w:rsidR="003E29DD" w:rsidRPr="002F78DA">
          <w:rPr>
            <w:lang w:val="es-ES"/>
          </w:rPr>
          <w:t xml:space="preserve"> </w:t>
        </w:r>
      </w:ins>
      <w:r w:rsidRPr="002F78DA">
        <w:rPr>
          <w:lang w:val="es-ES"/>
        </w:rPr>
        <w:t>%).</w:t>
      </w:r>
    </w:p>
    <w:p w14:paraId="5A4FB2F3" w14:textId="77777777" w:rsidR="002F78DA" w:rsidRDefault="002F78DA" w:rsidP="002F78DA">
      <w:pPr>
        <w:keepNext/>
        <w:keepLines/>
        <w:widowControl w:val="0"/>
        <w:numPr>
          <w:ilvl w:val="12"/>
          <w:numId w:val="0"/>
        </w:numPr>
        <w:ind w:right="-2"/>
        <w:rPr>
          <w:lang w:val="es-ES"/>
        </w:rPr>
      </w:pPr>
    </w:p>
    <w:p w14:paraId="3E910BCA" w14:textId="58CA0E66" w:rsidR="002F78DA" w:rsidRDefault="003924BA" w:rsidP="002F78DA">
      <w:pPr>
        <w:keepNext/>
        <w:keepLines/>
        <w:widowControl w:val="0"/>
        <w:numPr>
          <w:ilvl w:val="12"/>
          <w:numId w:val="0"/>
        </w:numPr>
        <w:ind w:right="-2"/>
        <w:rPr>
          <w:lang w:val="es-ES"/>
        </w:rPr>
      </w:pPr>
      <w:r>
        <w:rPr>
          <w:lang w:val="es-ES"/>
        </w:rPr>
        <w:t>L</w:t>
      </w:r>
      <w:r w:rsidR="00395D98">
        <w:rPr>
          <w:lang w:val="es-ES"/>
        </w:rPr>
        <w:t xml:space="preserve">a </w:t>
      </w:r>
      <w:proofErr w:type="gramStart"/>
      <w:r w:rsidR="00395D98">
        <w:rPr>
          <w:lang w:val="es-ES"/>
        </w:rPr>
        <w:t xml:space="preserve">variable </w:t>
      </w:r>
      <w:r w:rsidR="002F78DA" w:rsidRPr="002F78DA">
        <w:rPr>
          <w:lang w:val="es-ES"/>
        </w:rPr>
        <w:t xml:space="preserve"> primari</w:t>
      </w:r>
      <w:r w:rsidR="00395D98">
        <w:rPr>
          <w:lang w:val="es-ES"/>
        </w:rPr>
        <w:t>a</w:t>
      </w:r>
      <w:proofErr w:type="gramEnd"/>
      <w:r w:rsidR="002F78DA" w:rsidRPr="002F78DA">
        <w:rPr>
          <w:lang w:val="es-ES"/>
        </w:rPr>
        <w:t xml:space="preserve"> fue el tiempo hasta la muerte hasta el día 28. El </w:t>
      </w:r>
      <w:r w:rsidR="00B64B25" w:rsidRPr="004B67DA">
        <w:rPr>
          <w:szCs w:val="22"/>
          <w:lang w:val="es-ES"/>
        </w:rPr>
        <w:t xml:space="preserve">hazard ratio </w:t>
      </w:r>
      <w:r w:rsidR="002F78DA" w:rsidRPr="002F78DA">
        <w:rPr>
          <w:lang w:val="es-ES"/>
        </w:rPr>
        <w:t xml:space="preserve">que comparó el </w:t>
      </w:r>
      <w:r w:rsidR="00B64B25">
        <w:rPr>
          <w:lang w:val="es-ES"/>
        </w:rPr>
        <w:t>grupo de tociliz</w:t>
      </w:r>
      <w:ins w:id="511" w:author="AUTHOR">
        <w:r w:rsidR="00E126C4">
          <w:rPr>
            <w:lang w:val="es-ES"/>
          </w:rPr>
          <w:t>u</w:t>
        </w:r>
      </w:ins>
      <w:r w:rsidR="00B64B25">
        <w:rPr>
          <w:lang w:val="es-ES"/>
        </w:rPr>
        <w:t>mab</w:t>
      </w:r>
      <w:ins w:id="512" w:author="AUTHOR">
        <w:r w:rsidR="003E29DD" w:rsidRPr="00467FFD">
          <w:rPr>
            <w:rFonts w:eastAsia="SimSun"/>
            <w:bCs/>
            <w:iCs/>
            <w:sz w:val="18"/>
            <w:szCs w:val="18"/>
            <w:lang w:val="es-ES"/>
            <w:rPrChange w:id="513" w:author="AUTHOR">
              <w:rPr>
                <w:rFonts w:eastAsia="SimSun"/>
                <w:bCs/>
                <w:iCs/>
                <w:sz w:val="18"/>
                <w:szCs w:val="18"/>
                <w:lang w:val="en-GB"/>
              </w:rPr>
            </w:rPrChange>
          </w:rPr>
          <w:t> </w:t>
        </w:r>
        <w:r w:rsidR="003E29DD" w:rsidDel="003E29DD">
          <w:rPr>
            <w:lang w:val="es-ES"/>
          </w:rPr>
          <w:t xml:space="preserve"> </w:t>
        </w:r>
      </w:ins>
      <w:del w:id="514" w:author="AUTHOR">
        <w:r w:rsidR="00B64B25" w:rsidDel="003E29DD">
          <w:rPr>
            <w:lang w:val="es-ES"/>
          </w:rPr>
          <w:delText xml:space="preserve"> </w:delText>
        </w:r>
      </w:del>
      <w:r w:rsidR="00B64B25">
        <w:rPr>
          <w:lang w:val="es-ES"/>
        </w:rPr>
        <w:t>+</w:t>
      </w:r>
      <w:ins w:id="515" w:author="AUTHOR">
        <w:r w:rsidR="003E29DD" w:rsidRPr="00467FFD">
          <w:rPr>
            <w:rFonts w:eastAsia="SimSun"/>
            <w:bCs/>
            <w:iCs/>
            <w:sz w:val="18"/>
            <w:szCs w:val="18"/>
            <w:lang w:val="es-ES"/>
            <w:rPrChange w:id="516" w:author="AUTHOR">
              <w:rPr>
                <w:rFonts w:eastAsia="SimSun"/>
                <w:bCs/>
                <w:iCs/>
                <w:sz w:val="18"/>
                <w:szCs w:val="18"/>
                <w:lang w:val="en-GB"/>
              </w:rPr>
            </w:rPrChange>
          </w:rPr>
          <w:t> </w:t>
        </w:r>
        <w:r w:rsidR="003E29DD" w:rsidDel="003E29DD">
          <w:rPr>
            <w:lang w:val="es-ES"/>
          </w:rPr>
          <w:t xml:space="preserve"> </w:t>
        </w:r>
      </w:ins>
      <w:del w:id="517" w:author="AUTHOR">
        <w:r w:rsidR="00B64B25" w:rsidDel="003E29DD">
          <w:rPr>
            <w:lang w:val="es-ES"/>
          </w:rPr>
          <w:delText xml:space="preserve"> </w:delText>
        </w:r>
        <w:r w:rsidR="002F78DA" w:rsidRPr="002F78DA" w:rsidDel="003E29DD">
          <w:rPr>
            <w:lang w:val="es-ES"/>
          </w:rPr>
          <w:delText xml:space="preserve"> </w:delText>
        </w:r>
      </w:del>
      <w:r w:rsidR="002F78DA" w:rsidRPr="002F78DA">
        <w:rPr>
          <w:lang w:val="es-ES"/>
        </w:rPr>
        <w:t xml:space="preserve">atención habitual  con el </w:t>
      </w:r>
      <w:r w:rsidR="00B64B25">
        <w:rPr>
          <w:lang w:val="es-ES"/>
        </w:rPr>
        <w:t>grupo</w:t>
      </w:r>
      <w:r w:rsidR="002F78DA" w:rsidRPr="002F78DA">
        <w:rPr>
          <w:lang w:val="es-ES"/>
        </w:rPr>
        <w:t xml:space="preserve"> de atención habitual sola fu</w:t>
      </w:r>
      <w:r w:rsidR="00B64B25">
        <w:rPr>
          <w:lang w:val="es-ES"/>
        </w:rPr>
        <w:t>é</w:t>
      </w:r>
      <w:r w:rsidR="002F78DA" w:rsidRPr="002F78DA">
        <w:rPr>
          <w:lang w:val="es-ES"/>
        </w:rPr>
        <w:t xml:space="preserve"> de 0,85 (IC del 95%: 0,76 a 0,94), un resultado estadísticamente significativo (p</w:t>
      </w:r>
      <w:ins w:id="518" w:author="AUTHOR">
        <w:r w:rsidR="003E29DD" w:rsidRPr="00467FFD">
          <w:rPr>
            <w:rFonts w:eastAsia="SimSun"/>
            <w:bCs/>
            <w:iCs/>
            <w:sz w:val="18"/>
            <w:szCs w:val="18"/>
            <w:lang w:val="es-ES"/>
            <w:rPrChange w:id="519" w:author="AUTHOR">
              <w:rPr>
                <w:rFonts w:eastAsia="SimSun"/>
                <w:bCs/>
                <w:iCs/>
                <w:sz w:val="18"/>
                <w:szCs w:val="18"/>
                <w:lang w:val="en-GB"/>
              </w:rPr>
            </w:rPrChange>
          </w:rPr>
          <w:t> </w:t>
        </w:r>
        <w:r w:rsidR="003E29DD" w:rsidRPr="002F78DA" w:rsidDel="003E29DD">
          <w:rPr>
            <w:lang w:val="es-ES"/>
          </w:rPr>
          <w:t xml:space="preserve"> </w:t>
        </w:r>
      </w:ins>
      <w:del w:id="520" w:author="AUTHOR">
        <w:r w:rsidR="002F78DA" w:rsidRPr="002F78DA" w:rsidDel="003E29DD">
          <w:rPr>
            <w:lang w:val="es-ES"/>
          </w:rPr>
          <w:delText xml:space="preserve"> </w:delText>
        </w:r>
      </w:del>
      <w:r w:rsidR="002F78DA" w:rsidRPr="002F78DA">
        <w:rPr>
          <w:lang w:val="es-ES"/>
        </w:rPr>
        <w:t>=</w:t>
      </w:r>
      <w:ins w:id="521" w:author="AUTHOR">
        <w:r w:rsidR="003E29DD" w:rsidRPr="00467FFD">
          <w:rPr>
            <w:rFonts w:eastAsia="SimSun"/>
            <w:bCs/>
            <w:iCs/>
            <w:sz w:val="18"/>
            <w:szCs w:val="18"/>
            <w:lang w:val="es-ES"/>
            <w:rPrChange w:id="522" w:author="AUTHOR">
              <w:rPr>
                <w:rFonts w:eastAsia="SimSun"/>
                <w:bCs/>
                <w:iCs/>
                <w:sz w:val="18"/>
                <w:szCs w:val="18"/>
                <w:lang w:val="en-GB"/>
              </w:rPr>
            </w:rPrChange>
          </w:rPr>
          <w:t> </w:t>
        </w:r>
        <w:r w:rsidR="003E29DD" w:rsidRPr="002F78DA" w:rsidDel="003E29DD">
          <w:rPr>
            <w:lang w:val="es-ES"/>
          </w:rPr>
          <w:t xml:space="preserve"> </w:t>
        </w:r>
      </w:ins>
      <w:del w:id="523" w:author="AUTHOR">
        <w:r w:rsidR="002F78DA" w:rsidRPr="002F78DA" w:rsidDel="003E29DD">
          <w:rPr>
            <w:lang w:val="es-ES"/>
          </w:rPr>
          <w:delText xml:space="preserve"> </w:delText>
        </w:r>
      </w:del>
      <w:r w:rsidR="002F78DA" w:rsidRPr="002F78DA">
        <w:rPr>
          <w:lang w:val="es-ES"/>
        </w:rPr>
        <w:t xml:space="preserve">0,0028). Se estimó que las probabilidades de morir </w:t>
      </w:r>
      <w:r w:rsidR="00B64B25">
        <w:rPr>
          <w:lang w:val="es-ES"/>
        </w:rPr>
        <w:t>en</w:t>
      </w:r>
      <w:r w:rsidR="002F78DA" w:rsidRPr="002F78DA">
        <w:rPr>
          <w:lang w:val="es-ES"/>
        </w:rPr>
        <w:t xml:space="preserve"> el día 28 eran del 30,</w:t>
      </w:r>
      <w:proofErr w:type="gramStart"/>
      <w:r w:rsidR="002F78DA" w:rsidRPr="002F78DA">
        <w:rPr>
          <w:lang w:val="es-ES"/>
        </w:rPr>
        <w:t>7</w:t>
      </w:r>
      <w:ins w:id="524" w:author="AUTHOR">
        <w:r w:rsidR="003E29DD" w:rsidRPr="00467FFD">
          <w:rPr>
            <w:rFonts w:eastAsia="SimSun"/>
            <w:bCs/>
            <w:iCs/>
            <w:sz w:val="18"/>
            <w:szCs w:val="18"/>
            <w:lang w:val="es-ES"/>
            <w:rPrChange w:id="525" w:author="AUTHOR">
              <w:rPr>
                <w:rFonts w:eastAsia="SimSun"/>
                <w:bCs/>
                <w:iCs/>
                <w:sz w:val="18"/>
                <w:szCs w:val="18"/>
                <w:lang w:val="en-GB"/>
              </w:rPr>
            </w:rPrChange>
          </w:rPr>
          <w:t> </w:t>
        </w:r>
        <w:r w:rsidR="003E29DD" w:rsidRPr="002F78DA">
          <w:rPr>
            <w:lang w:val="es-ES"/>
          </w:rPr>
          <w:t xml:space="preserve"> </w:t>
        </w:r>
      </w:ins>
      <w:r w:rsidR="002F78DA" w:rsidRPr="002F78DA">
        <w:rPr>
          <w:lang w:val="es-ES"/>
        </w:rPr>
        <w:t>%</w:t>
      </w:r>
      <w:proofErr w:type="gramEnd"/>
      <w:r w:rsidR="002F78DA" w:rsidRPr="002F78DA">
        <w:rPr>
          <w:lang w:val="es-ES"/>
        </w:rPr>
        <w:t xml:space="preserve"> y el 34,9</w:t>
      </w:r>
      <w:ins w:id="526" w:author="AUTHOR">
        <w:r w:rsidR="003E29DD" w:rsidRPr="00467FFD">
          <w:rPr>
            <w:rFonts w:eastAsia="SimSun"/>
            <w:bCs/>
            <w:iCs/>
            <w:sz w:val="18"/>
            <w:szCs w:val="18"/>
            <w:lang w:val="es-ES"/>
            <w:rPrChange w:id="527" w:author="AUTHOR">
              <w:rPr>
                <w:rFonts w:eastAsia="SimSun"/>
                <w:bCs/>
                <w:iCs/>
                <w:sz w:val="18"/>
                <w:szCs w:val="18"/>
                <w:lang w:val="en-GB"/>
              </w:rPr>
            </w:rPrChange>
          </w:rPr>
          <w:t> </w:t>
        </w:r>
        <w:r w:rsidR="003E29DD" w:rsidRPr="002F78DA">
          <w:rPr>
            <w:lang w:val="es-ES"/>
          </w:rPr>
          <w:t xml:space="preserve"> </w:t>
        </w:r>
      </w:ins>
      <w:r w:rsidR="002F78DA" w:rsidRPr="002F78DA">
        <w:rPr>
          <w:lang w:val="es-ES"/>
        </w:rPr>
        <w:t xml:space="preserve">% en los </w:t>
      </w:r>
      <w:r w:rsidR="00B64B25">
        <w:rPr>
          <w:lang w:val="es-ES"/>
        </w:rPr>
        <w:t>grupos</w:t>
      </w:r>
      <w:r w:rsidR="002F78DA" w:rsidRPr="002F78DA">
        <w:rPr>
          <w:lang w:val="es-ES"/>
        </w:rPr>
        <w:t xml:space="preserve"> de tocilizumab y de atención habitual, respectivamente. La diferencia de riesgo se estimó en -4,</w:t>
      </w:r>
      <w:proofErr w:type="gramStart"/>
      <w:r w:rsidR="002F78DA" w:rsidRPr="002F78DA">
        <w:rPr>
          <w:lang w:val="es-ES"/>
        </w:rPr>
        <w:t>1</w:t>
      </w:r>
      <w:ins w:id="528" w:author="AUTHOR">
        <w:r w:rsidR="003E29DD" w:rsidRPr="00467FFD">
          <w:rPr>
            <w:rFonts w:eastAsia="SimSun"/>
            <w:bCs/>
            <w:iCs/>
            <w:sz w:val="18"/>
            <w:szCs w:val="18"/>
            <w:lang w:val="es-ES"/>
            <w:rPrChange w:id="529" w:author="AUTHOR">
              <w:rPr>
                <w:rFonts w:eastAsia="SimSun"/>
                <w:bCs/>
                <w:iCs/>
                <w:sz w:val="18"/>
                <w:szCs w:val="18"/>
                <w:lang w:val="en-GB"/>
              </w:rPr>
            </w:rPrChange>
          </w:rPr>
          <w:t> </w:t>
        </w:r>
        <w:r w:rsidR="003E29DD" w:rsidRPr="002F78DA">
          <w:rPr>
            <w:lang w:val="es-ES"/>
          </w:rPr>
          <w:t xml:space="preserve"> </w:t>
        </w:r>
      </w:ins>
      <w:r w:rsidR="002F78DA" w:rsidRPr="002F78DA">
        <w:rPr>
          <w:lang w:val="es-ES"/>
        </w:rPr>
        <w:t>%</w:t>
      </w:r>
      <w:proofErr w:type="gramEnd"/>
      <w:r w:rsidR="002F78DA" w:rsidRPr="002F78DA">
        <w:rPr>
          <w:lang w:val="es-ES"/>
        </w:rPr>
        <w:t xml:space="preserve"> (IC del 95</w:t>
      </w:r>
      <w:ins w:id="530" w:author="AUTHOR">
        <w:r w:rsidR="003E29DD" w:rsidRPr="00467FFD">
          <w:rPr>
            <w:rFonts w:eastAsia="SimSun"/>
            <w:bCs/>
            <w:iCs/>
            <w:sz w:val="18"/>
            <w:szCs w:val="18"/>
            <w:lang w:val="es-ES"/>
            <w:rPrChange w:id="531" w:author="AUTHOR">
              <w:rPr>
                <w:rFonts w:eastAsia="SimSun"/>
                <w:bCs/>
                <w:iCs/>
                <w:sz w:val="18"/>
                <w:szCs w:val="18"/>
                <w:lang w:val="en-GB"/>
              </w:rPr>
            </w:rPrChange>
          </w:rPr>
          <w:t> </w:t>
        </w:r>
        <w:r w:rsidR="003E29DD" w:rsidRPr="002F78DA">
          <w:rPr>
            <w:lang w:val="es-ES"/>
          </w:rPr>
          <w:t xml:space="preserve"> </w:t>
        </w:r>
      </w:ins>
      <w:r w:rsidR="002F78DA" w:rsidRPr="002F78DA">
        <w:rPr>
          <w:lang w:val="es-ES"/>
        </w:rPr>
        <w:t>%: -7,0</w:t>
      </w:r>
      <w:ins w:id="532" w:author="AUTHOR">
        <w:r w:rsidR="003E29DD" w:rsidRPr="00467FFD">
          <w:rPr>
            <w:rFonts w:eastAsia="SimSun"/>
            <w:bCs/>
            <w:iCs/>
            <w:sz w:val="18"/>
            <w:szCs w:val="18"/>
            <w:lang w:val="es-ES"/>
            <w:rPrChange w:id="533" w:author="AUTHOR">
              <w:rPr>
                <w:rFonts w:eastAsia="SimSun"/>
                <w:bCs/>
                <w:iCs/>
                <w:sz w:val="18"/>
                <w:szCs w:val="18"/>
                <w:lang w:val="en-GB"/>
              </w:rPr>
            </w:rPrChange>
          </w:rPr>
          <w:t> </w:t>
        </w:r>
        <w:r w:rsidR="003E29DD" w:rsidRPr="002F78DA">
          <w:rPr>
            <w:lang w:val="es-ES"/>
          </w:rPr>
          <w:t xml:space="preserve"> </w:t>
        </w:r>
      </w:ins>
      <w:r w:rsidR="002F78DA" w:rsidRPr="002F78DA">
        <w:rPr>
          <w:lang w:val="es-ES"/>
        </w:rPr>
        <w:t>% a -1,</w:t>
      </w:r>
      <w:ins w:id="534" w:author="AUTHOR">
        <w:r w:rsidR="003E29DD" w:rsidRPr="00467FFD">
          <w:rPr>
            <w:rFonts w:eastAsia="SimSun"/>
            <w:bCs/>
            <w:iCs/>
            <w:sz w:val="18"/>
            <w:szCs w:val="18"/>
            <w:lang w:val="es-ES"/>
            <w:rPrChange w:id="535" w:author="AUTHOR">
              <w:rPr>
                <w:rFonts w:eastAsia="SimSun"/>
                <w:bCs/>
                <w:iCs/>
                <w:sz w:val="18"/>
                <w:szCs w:val="18"/>
                <w:lang w:val="en-GB"/>
              </w:rPr>
            </w:rPrChange>
          </w:rPr>
          <w:t xml:space="preserve">  </w:t>
        </w:r>
        <w:r w:rsidR="003E29DD" w:rsidRPr="002F78DA">
          <w:rPr>
            <w:lang w:val="es-ES"/>
          </w:rPr>
          <w:t xml:space="preserve"> </w:t>
        </w:r>
      </w:ins>
      <w:r w:rsidR="002F78DA" w:rsidRPr="002F78DA">
        <w:rPr>
          <w:lang w:val="es-ES"/>
        </w:rPr>
        <w:t xml:space="preserve">3%), de acuerdo con el análisis primario. La razón de riesgo entre el subgrupo preespecificado de pacientes que recibieron corticosteroides sistémicos al inicio fue de 0,79 (IC del 95%: 0,70 a 0,89), y para el subgrupo preespecificado que no recibió corticosteroides sistémicos al inicio fue de 1,16 (IC del </w:t>
      </w:r>
      <w:proofErr w:type="gramStart"/>
      <w:r w:rsidR="002F78DA" w:rsidRPr="002F78DA">
        <w:rPr>
          <w:lang w:val="es-ES"/>
        </w:rPr>
        <w:t>95</w:t>
      </w:r>
      <w:ins w:id="536" w:author="AUTHOR">
        <w:r w:rsidR="003E29DD" w:rsidRPr="00467FFD">
          <w:rPr>
            <w:rFonts w:eastAsia="SimSun"/>
            <w:bCs/>
            <w:iCs/>
            <w:sz w:val="18"/>
            <w:szCs w:val="18"/>
            <w:lang w:val="es-ES"/>
            <w:rPrChange w:id="537" w:author="AUTHOR">
              <w:rPr>
                <w:rFonts w:eastAsia="SimSun"/>
                <w:bCs/>
                <w:iCs/>
                <w:sz w:val="18"/>
                <w:szCs w:val="18"/>
                <w:lang w:val="en-GB"/>
              </w:rPr>
            </w:rPrChange>
          </w:rPr>
          <w:t> </w:t>
        </w:r>
        <w:r w:rsidR="003E29DD" w:rsidRPr="002F78DA">
          <w:rPr>
            <w:lang w:val="es-ES"/>
          </w:rPr>
          <w:t xml:space="preserve"> </w:t>
        </w:r>
      </w:ins>
      <w:r w:rsidR="002F78DA" w:rsidRPr="002F78DA">
        <w:rPr>
          <w:lang w:val="es-ES"/>
        </w:rPr>
        <w:t>%</w:t>
      </w:r>
      <w:proofErr w:type="gramEnd"/>
      <w:r w:rsidR="002F78DA" w:rsidRPr="002F78DA">
        <w:rPr>
          <w:lang w:val="es-ES"/>
        </w:rPr>
        <w:t>: 0,91 a 0,89). 1,48).</w:t>
      </w:r>
    </w:p>
    <w:p w14:paraId="5D7E135B" w14:textId="77777777" w:rsidR="002F78DA" w:rsidRDefault="002F78DA" w:rsidP="002F78DA">
      <w:pPr>
        <w:keepNext/>
        <w:keepLines/>
        <w:widowControl w:val="0"/>
        <w:numPr>
          <w:ilvl w:val="12"/>
          <w:numId w:val="0"/>
        </w:numPr>
        <w:ind w:right="-2"/>
        <w:rPr>
          <w:lang w:val="es-ES"/>
        </w:rPr>
      </w:pPr>
    </w:p>
    <w:p w14:paraId="48B97522" w14:textId="49732737" w:rsidR="002F78DA" w:rsidRDefault="002F78DA" w:rsidP="002F78DA">
      <w:pPr>
        <w:keepNext/>
        <w:keepLines/>
        <w:widowControl w:val="0"/>
        <w:numPr>
          <w:ilvl w:val="12"/>
          <w:numId w:val="0"/>
        </w:numPr>
        <w:ind w:right="-2"/>
        <w:rPr>
          <w:lang w:val="es-ES"/>
        </w:rPr>
      </w:pPr>
      <w:r w:rsidRPr="002F78DA">
        <w:rPr>
          <w:lang w:val="es-ES"/>
        </w:rPr>
        <w:t>La mediana de tiempo hasta el alta hospitalaria fue de 19</w:t>
      </w:r>
      <w:r w:rsidR="00205482" w:rsidRPr="00F30AB8">
        <w:rPr>
          <w:szCs w:val="22"/>
          <w:lang w:val="es-ES"/>
        </w:rPr>
        <w:t> </w:t>
      </w:r>
      <w:r w:rsidR="00205482" w:rsidRPr="002F78DA" w:rsidDel="00205482">
        <w:rPr>
          <w:lang w:val="es-ES"/>
        </w:rPr>
        <w:t xml:space="preserve"> </w:t>
      </w:r>
      <w:r w:rsidRPr="002F78DA">
        <w:rPr>
          <w:lang w:val="es-ES"/>
        </w:rPr>
        <w:t xml:space="preserve">días en el </w:t>
      </w:r>
      <w:del w:id="538" w:author="AUTHOR">
        <w:r w:rsidRPr="002F78DA" w:rsidDel="004E273B">
          <w:rPr>
            <w:lang w:val="es-ES"/>
          </w:rPr>
          <w:delText>brazo</w:delText>
        </w:r>
      </w:del>
      <w:ins w:id="539" w:author="AUTHOR">
        <w:r w:rsidR="004E273B">
          <w:rPr>
            <w:lang w:val="es-ES"/>
          </w:rPr>
          <w:t>grupo</w:t>
        </w:r>
      </w:ins>
      <w:r w:rsidRPr="002F78DA">
        <w:rPr>
          <w:lang w:val="es-ES"/>
        </w:rPr>
        <w:t xml:space="preserve"> de tocilizumab + atención habitual y</w:t>
      </w:r>
      <w:r>
        <w:rPr>
          <w:lang w:val="es-ES"/>
        </w:rPr>
        <w:t xml:space="preserve"> </w:t>
      </w:r>
      <w:r w:rsidRPr="002F78DA">
        <w:rPr>
          <w:lang w:val="es-ES"/>
        </w:rPr>
        <w:t xml:space="preserve">&gt; 28 días en el </w:t>
      </w:r>
      <w:del w:id="540" w:author="AUTHOR">
        <w:r w:rsidRPr="002F78DA" w:rsidDel="004E273B">
          <w:rPr>
            <w:lang w:val="es-ES"/>
          </w:rPr>
          <w:delText>brazo</w:delText>
        </w:r>
      </w:del>
      <w:ins w:id="541" w:author="AUTHOR">
        <w:r w:rsidR="004E273B">
          <w:rPr>
            <w:lang w:val="es-ES"/>
          </w:rPr>
          <w:t>grupo</w:t>
        </w:r>
      </w:ins>
      <w:r w:rsidRPr="002F78DA">
        <w:rPr>
          <w:lang w:val="es-ES"/>
        </w:rPr>
        <w:t xml:space="preserve"> de </w:t>
      </w:r>
      <w:del w:id="542" w:author="AUTHOR">
        <w:r w:rsidRPr="002F78DA" w:rsidDel="004E273B">
          <w:rPr>
            <w:lang w:val="es-ES"/>
          </w:rPr>
          <w:delText xml:space="preserve">atención </w:delText>
        </w:r>
      </w:del>
      <w:ins w:id="543" w:author="AUTHOR">
        <w:r w:rsidR="004E273B">
          <w:rPr>
            <w:lang w:val="es-ES"/>
          </w:rPr>
          <w:t>tratamiento</w:t>
        </w:r>
        <w:r w:rsidR="004E273B" w:rsidRPr="002F78DA">
          <w:rPr>
            <w:lang w:val="es-ES"/>
          </w:rPr>
          <w:t xml:space="preserve"> </w:t>
        </w:r>
      </w:ins>
      <w:r w:rsidRPr="002F78DA">
        <w:rPr>
          <w:lang w:val="es-ES"/>
        </w:rPr>
        <w:t>habitual (</w:t>
      </w:r>
      <w:r w:rsidR="00A03A05" w:rsidRPr="00563A59">
        <w:rPr>
          <w:szCs w:val="22"/>
          <w:lang w:val="es-ES"/>
        </w:rPr>
        <w:t xml:space="preserve">hazard ratio </w:t>
      </w:r>
      <w:r w:rsidRPr="002F78DA">
        <w:rPr>
          <w:lang w:val="es-ES"/>
        </w:rPr>
        <w:t>[IC del 95%] = 1,22 [1,12 a 1,33]).</w:t>
      </w:r>
    </w:p>
    <w:p w14:paraId="0DCF627C" w14:textId="77777777" w:rsidR="002F78DA" w:rsidRPr="002F78DA" w:rsidRDefault="002F78DA" w:rsidP="002F78DA">
      <w:pPr>
        <w:keepNext/>
        <w:keepLines/>
        <w:widowControl w:val="0"/>
        <w:numPr>
          <w:ilvl w:val="12"/>
          <w:numId w:val="0"/>
        </w:numPr>
        <w:ind w:right="-2"/>
        <w:rPr>
          <w:lang w:val="es-ES"/>
        </w:rPr>
      </w:pPr>
    </w:p>
    <w:p w14:paraId="6801ED4F" w14:textId="61091943" w:rsidR="002F78DA" w:rsidRDefault="002F78DA" w:rsidP="002F78DA">
      <w:pPr>
        <w:keepNext/>
        <w:keepLines/>
        <w:widowControl w:val="0"/>
        <w:numPr>
          <w:ilvl w:val="12"/>
          <w:numId w:val="0"/>
        </w:numPr>
        <w:ind w:right="-2"/>
        <w:rPr>
          <w:lang w:val="es-ES"/>
        </w:rPr>
      </w:pPr>
      <w:r w:rsidRPr="002F78DA">
        <w:rPr>
          <w:lang w:val="es-ES"/>
        </w:rPr>
        <w:t>Entre los pacientes que no requirieron ventilación mecánica invasiva al inicio del estudio, la proporción de pacientes que requirieron ventilación mecánica o fallecieron el día 28 fue del 35% (619/1754) en el gr</w:t>
      </w:r>
      <w:r>
        <w:rPr>
          <w:lang w:val="es-ES"/>
        </w:rPr>
        <w:t>upo de tratamiento</w:t>
      </w:r>
      <w:r w:rsidR="00B64B25">
        <w:rPr>
          <w:lang w:val="es-ES"/>
        </w:rPr>
        <w:t xml:space="preserve"> tocilizumab</w:t>
      </w:r>
      <w:r>
        <w:rPr>
          <w:lang w:val="es-ES"/>
        </w:rPr>
        <w:t xml:space="preserve"> + </w:t>
      </w:r>
      <w:r w:rsidR="00B64B25">
        <w:rPr>
          <w:lang w:val="es-ES"/>
        </w:rPr>
        <w:t>atención habitual</w:t>
      </w:r>
      <w:r>
        <w:rPr>
          <w:lang w:val="es-ES"/>
        </w:rPr>
        <w:t xml:space="preserve"> y</w:t>
      </w:r>
      <w:r w:rsidRPr="002F78DA">
        <w:rPr>
          <w:lang w:val="es-ES"/>
        </w:rPr>
        <w:t xml:space="preserve"> del 42% (754/1800) en el</w:t>
      </w:r>
      <w:r>
        <w:rPr>
          <w:lang w:val="es-ES"/>
        </w:rPr>
        <w:t xml:space="preserve"> </w:t>
      </w:r>
      <w:del w:id="544" w:author="AUTHOR">
        <w:r w:rsidDel="004E273B">
          <w:rPr>
            <w:lang w:val="es-ES"/>
          </w:rPr>
          <w:delText xml:space="preserve">brazo </w:delText>
        </w:r>
      </w:del>
      <w:ins w:id="545" w:author="AUTHOR">
        <w:r w:rsidR="004E273B">
          <w:rPr>
            <w:lang w:val="es-ES"/>
          </w:rPr>
          <w:t xml:space="preserve">grupo </w:t>
        </w:r>
      </w:ins>
      <w:r>
        <w:rPr>
          <w:lang w:val="es-ES"/>
        </w:rPr>
        <w:t>de</w:t>
      </w:r>
      <w:r w:rsidRPr="002F78DA">
        <w:rPr>
          <w:lang w:val="es-ES"/>
        </w:rPr>
        <w:t xml:space="preserve"> tratamiento habitual solo (</w:t>
      </w:r>
      <w:del w:id="546" w:author="AUTHOR">
        <w:r w:rsidR="00A03A05" w:rsidRPr="00563A59" w:rsidDel="00E126C4">
          <w:rPr>
            <w:szCs w:val="22"/>
            <w:lang w:val="es-ES"/>
          </w:rPr>
          <w:delText xml:space="preserve">hazard </w:delText>
        </w:r>
      </w:del>
      <w:ins w:id="547" w:author="AUTHOR">
        <w:r w:rsidR="00E126C4" w:rsidRPr="00467FFD">
          <w:rPr>
            <w:i/>
            <w:iCs/>
            <w:szCs w:val="22"/>
            <w:lang w:val="es-ES"/>
            <w:rPrChange w:id="548" w:author="AUTHOR">
              <w:rPr>
                <w:szCs w:val="22"/>
                <w:lang w:val="es-ES"/>
              </w:rPr>
            </w:rPrChange>
          </w:rPr>
          <w:t>risk</w:t>
        </w:r>
        <w:r w:rsidR="00E126C4" w:rsidRPr="00563A59">
          <w:rPr>
            <w:szCs w:val="22"/>
            <w:lang w:val="es-ES"/>
          </w:rPr>
          <w:t xml:space="preserve"> </w:t>
        </w:r>
      </w:ins>
      <w:r w:rsidR="00A03A05" w:rsidRPr="00563A59">
        <w:rPr>
          <w:szCs w:val="22"/>
          <w:lang w:val="es-ES"/>
        </w:rPr>
        <w:t xml:space="preserve">ratio </w:t>
      </w:r>
      <w:r w:rsidRPr="002F78DA">
        <w:rPr>
          <w:lang w:val="es-ES"/>
        </w:rPr>
        <w:t>[IC del 95%]</w:t>
      </w:r>
      <w:ins w:id="549" w:author="AUTHOR">
        <w:r w:rsidR="003E29DD" w:rsidRPr="00467FFD">
          <w:rPr>
            <w:rFonts w:eastAsia="SimSun"/>
            <w:bCs/>
            <w:iCs/>
            <w:sz w:val="18"/>
            <w:szCs w:val="18"/>
            <w:lang w:val="es-ES"/>
            <w:rPrChange w:id="550" w:author="AUTHOR">
              <w:rPr>
                <w:rFonts w:eastAsia="SimSun"/>
                <w:bCs/>
                <w:iCs/>
                <w:sz w:val="18"/>
                <w:szCs w:val="18"/>
                <w:lang w:val="en-GB"/>
              </w:rPr>
            </w:rPrChange>
          </w:rPr>
          <w:t> </w:t>
        </w:r>
        <w:r w:rsidR="003E29DD" w:rsidRPr="002F78DA" w:rsidDel="003E29DD">
          <w:rPr>
            <w:lang w:val="es-ES"/>
          </w:rPr>
          <w:t xml:space="preserve"> </w:t>
        </w:r>
      </w:ins>
      <w:del w:id="551" w:author="AUTHOR">
        <w:r w:rsidRPr="002F78DA" w:rsidDel="003E29DD">
          <w:rPr>
            <w:lang w:val="es-ES"/>
          </w:rPr>
          <w:delText xml:space="preserve"> </w:delText>
        </w:r>
      </w:del>
      <w:r w:rsidRPr="002F78DA">
        <w:rPr>
          <w:lang w:val="es-ES"/>
        </w:rPr>
        <w:t>=</w:t>
      </w:r>
      <w:ins w:id="552" w:author="AUTHOR">
        <w:r w:rsidR="003E29DD" w:rsidRPr="00467FFD">
          <w:rPr>
            <w:rFonts w:eastAsia="SimSun"/>
            <w:bCs/>
            <w:iCs/>
            <w:sz w:val="18"/>
            <w:szCs w:val="18"/>
            <w:lang w:val="es-ES"/>
            <w:rPrChange w:id="553" w:author="AUTHOR">
              <w:rPr>
                <w:rFonts w:eastAsia="SimSun"/>
                <w:bCs/>
                <w:iCs/>
                <w:sz w:val="18"/>
                <w:szCs w:val="18"/>
                <w:lang w:val="en-GB"/>
              </w:rPr>
            </w:rPrChange>
          </w:rPr>
          <w:t> </w:t>
        </w:r>
        <w:r w:rsidR="003E29DD" w:rsidRPr="002F78DA" w:rsidDel="003E29DD">
          <w:rPr>
            <w:lang w:val="es-ES"/>
          </w:rPr>
          <w:t xml:space="preserve"> </w:t>
        </w:r>
      </w:ins>
      <w:del w:id="554" w:author="AUTHOR">
        <w:r w:rsidRPr="002F78DA" w:rsidDel="003E29DD">
          <w:rPr>
            <w:lang w:val="es-ES"/>
          </w:rPr>
          <w:delText xml:space="preserve"> </w:delText>
        </w:r>
      </w:del>
      <w:r w:rsidRPr="002F78DA">
        <w:rPr>
          <w:lang w:val="es-ES"/>
        </w:rPr>
        <w:t>0,84, [0,77 a 0,92] p &lt;0,0001).</w:t>
      </w:r>
    </w:p>
    <w:p w14:paraId="2CF9EDBB" w14:textId="77777777" w:rsidR="000F26EF" w:rsidRPr="00E9402A" w:rsidRDefault="000F26EF" w:rsidP="002F78DA">
      <w:pPr>
        <w:keepNext/>
        <w:keepLines/>
        <w:widowControl w:val="0"/>
        <w:numPr>
          <w:ilvl w:val="12"/>
          <w:numId w:val="0"/>
        </w:numPr>
        <w:ind w:right="-2"/>
        <w:rPr>
          <w:lang w:val="es-ES"/>
        </w:rPr>
      </w:pPr>
    </w:p>
    <w:p w14:paraId="0B21E658" w14:textId="77777777" w:rsidR="00E965B3" w:rsidRPr="00467FFD" w:rsidRDefault="007927FC" w:rsidP="00E965B3">
      <w:pPr>
        <w:keepNext/>
        <w:keepLines/>
        <w:widowControl w:val="0"/>
        <w:numPr>
          <w:ilvl w:val="12"/>
          <w:numId w:val="0"/>
        </w:numPr>
        <w:rPr>
          <w:u w:val="single"/>
          <w:lang w:val="es-ES"/>
          <w:rPrChange w:id="555" w:author="AUTHOR">
            <w:rPr>
              <w:lang w:val="es-ES"/>
            </w:rPr>
          </w:rPrChange>
        </w:rPr>
      </w:pPr>
      <w:r w:rsidRPr="00467FFD">
        <w:rPr>
          <w:u w:val="single"/>
          <w:lang w:val="es-ES"/>
          <w:rPrChange w:id="556" w:author="AUTHOR">
            <w:rPr>
              <w:lang w:val="es-ES"/>
            </w:rPr>
          </w:rPrChange>
        </w:rPr>
        <w:t xml:space="preserve">Población pediátrica </w:t>
      </w:r>
      <w:r w:rsidR="00E965B3" w:rsidRPr="00467FFD">
        <w:rPr>
          <w:u w:val="single"/>
          <w:lang w:val="es-ES"/>
          <w:rPrChange w:id="557" w:author="AUTHOR">
            <w:rPr>
              <w:lang w:val="es-ES"/>
            </w:rPr>
          </w:rPrChange>
        </w:rPr>
        <w:t>con AIJs</w:t>
      </w:r>
    </w:p>
    <w:p w14:paraId="2E8E756B" w14:textId="63D9805C" w:rsidR="007927FC" w:rsidRPr="00A03C16" w:rsidDel="00A93547" w:rsidRDefault="007927FC" w:rsidP="00291BAC">
      <w:pPr>
        <w:keepNext/>
        <w:keepLines/>
        <w:widowControl w:val="0"/>
        <w:numPr>
          <w:ilvl w:val="12"/>
          <w:numId w:val="0"/>
        </w:numPr>
        <w:ind w:right="-2"/>
        <w:rPr>
          <w:del w:id="558" w:author="AUTHOR"/>
          <w:lang w:val="es-ES"/>
        </w:rPr>
      </w:pPr>
    </w:p>
    <w:p w14:paraId="400EB596" w14:textId="77777777" w:rsidR="007927FC" w:rsidDel="00D33DBC" w:rsidRDefault="007927FC" w:rsidP="00291BAC">
      <w:pPr>
        <w:keepNext/>
        <w:keepLines/>
        <w:widowControl w:val="0"/>
        <w:numPr>
          <w:ilvl w:val="12"/>
          <w:numId w:val="0"/>
        </w:numPr>
        <w:rPr>
          <w:del w:id="559" w:author="AUTHOR"/>
          <w:i/>
          <w:lang w:val="es-ES"/>
        </w:rPr>
      </w:pPr>
      <w:r w:rsidRPr="00F30AB8">
        <w:rPr>
          <w:i/>
          <w:lang w:val="es-ES"/>
        </w:rPr>
        <w:t>Eficacia clínica</w:t>
      </w:r>
    </w:p>
    <w:p w14:paraId="0F591D94" w14:textId="77777777" w:rsidR="00E965B3" w:rsidRPr="00F30AB8" w:rsidRDefault="00E965B3" w:rsidP="00291BAC">
      <w:pPr>
        <w:keepNext/>
        <w:keepLines/>
        <w:widowControl w:val="0"/>
        <w:numPr>
          <w:ilvl w:val="12"/>
          <w:numId w:val="0"/>
        </w:numPr>
        <w:rPr>
          <w:i/>
          <w:lang w:val="es-ES"/>
        </w:rPr>
      </w:pPr>
    </w:p>
    <w:p w14:paraId="68D06153" w14:textId="1675A869" w:rsidR="007927FC" w:rsidRPr="008A106B" w:rsidRDefault="007927FC" w:rsidP="007927FC">
      <w:pPr>
        <w:numPr>
          <w:ilvl w:val="12"/>
          <w:numId w:val="0"/>
        </w:numPr>
        <w:ind w:right="-2"/>
        <w:rPr>
          <w:lang w:val="es-ES"/>
        </w:rPr>
      </w:pPr>
      <w:r w:rsidRPr="008A106B">
        <w:rPr>
          <w:lang w:val="es-ES"/>
        </w:rPr>
        <w:lastRenderedPageBreak/>
        <w:t>La eficacia de tocilizumab para el tratamiento de AIJs activa fue evaluada en un ensayo de 12</w:t>
      </w:r>
      <w:r w:rsidR="00205482" w:rsidRPr="00F30AB8">
        <w:rPr>
          <w:szCs w:val="22"/>
          <w:lang w:val="es-ES"/>
        </w:rPr>
        <w:t> </w:t>
      </w:r>
      <w:r w:rsidR="00205482" w:rsidRPr="008A106B" w:rsidDel="00205482">
        <w:rPr>
          <w:lang w:val="es-ES"/>
        </w:rPr>
        <w:t xml:space="preserve"> </w:t>
      </w:r>
      <w:r w:rsidRPr="008A106B">
        <w:rPr>
          <w:lang w:val="es-ES"/>
        </w:rPr>
        <w:t xml:space="preserve">semanas de duración, aleatorizado, doble ciego, controlado con placebo, con grupos paralelos y de dos </w:t>
      </w:r>
      <w:del w:id="560" w:author="AUTHOR">
        <w:r w:rsidRPr="008A106B" w:rsidDel="004E273B">
          <w:rPr>
            <w:lang w:val="es-ES"/>
          </w:rPr>
          <w:delText>brazo</w:delText>
        </w:r>
      </w:del>
      <w:ins w:id="561" w:author="AUTHOR">
        <w:r w:rsidR="004E273B">
          <w:rPr>
            <w:lang w:val="es-ES"/>
          </w:rPr>
          <w:t>grupo</w:t>
        </w:r>
      </w:ins>
      <w:r w:rsidRPr="008A106B">
        <w:rPr>
          <w:lang w:val="es-ES"/>
        </w:rPr>
        <w:t xml:space="preserve">s. Los pacientes incluidos en el ensayo tenían una duración de la enfermedad de al menos </w:t>
      </w:r>
      <w:proofErr w:type="gramStart"/>
      <w:r w:rsidRPr="008A106B">
        <w:rPr>
          <w:lang w:val="es-ES"/>
        </w:rPr>
        <w:t>6</w:t>
      </w:r>
      <w:r w:rsidR="00205482" w:rsidRPr="00F30AB8">
        <w:rPr>
          <w:szCs w:val="22"/>
          <w:lang w:val="es-ES"/>
        </w:rPr>
        <w:t> </w:t>
      </w:r>
      <w:r w:rsidR="00205482" w:rsidRPr="008A106B" w:rsidDel="00205482">
        <w:rPr>
          <w:lang w:val="es-ES"/>
        </w:rPr>
        <w:t xml:space="preserve"> </w:t>
      </w:r>
      <w:r w:rsidRPr="008A106B">
        <w:rPr>
          <w:lang w:val="es-ES"/>
        </w:rPr>
        <w:t>meses</w:t>
      </w:r>
      <w:proofErr w:type="gramEnd"/>
      <w:r w:rsidRPr="008A106B">
        <w:rPr>
          <w:lang w:val="es-ES"/>
        </w:rPr>
        <w:t xml:space="preserve"> de enfermedad activa, pero sin haber experimentado un brote agudo que requiriese una dosis de corticosteroides de más de 0,5 mg/kg de prednisona o equivalente. No se ha investigado la eficacia para el tratamiento del síndrome de activación de los macrófagos</w:t>
      </w:r>
      <w:r w:rsidR="00E965B3">
        <w:rPr>
          <w:lang w:val="es-ES"/>
        </w:rPr>
        <w:t xml:space="preserve"> </w:t>
      </w:r>
      <w:r w:rsidR="007F538F">
        <w:rPr>
          <w:lang w:val="es-ES"/>
        </w:rPr>
        <w:t>(SAM)</w:t>
      </w:r>
      <w:r w:rsidRPr="008A106B">
        <w:rPr>
          <w:lang w:val="es-ES"/>
        </w:rPr>
        <w:t>.</w:t>
      </w:r>
    </w:p>
    <w:p w14:paraId="1D328D96" w14:textId="77777777" w:rsidR="007927FC" w:rsidRPr="008A106B" w:rsidRDefault="007927FC" w:rsidP="007927FC">
      <w:pPr>
        <w:numPr>
          <w:ilvl w:val="12"/>
          <w:numId w:val="0"/>
        </w:numPr>
        <w:ind w:right="-2"/>
        <w:rPr>
          <w:lang w:val="es-ES"/>
        </w:rPr>
      </w:pPr>
    </w:p>
    <w:p w14:paraId="376E8491" w14:textId="365A2827" w:rsidR="007927FC" w:rsidRPr="008A106B" w:rsidRDefault="007927FC" w:rsidP="007927FC">
      <w:pPr>
        <w:numPr>
          <w:ilvl w:val="12"/>
          <w:numId w:val="0"/>
        </w:numPr>
        <w:ind w:right="-2"/>
        <w:rPr>
          <w:lang w:val="es-ES"/>
        </w:rPr>
      </w:pPr>
      <w:r w:rsidRPr="008A106B">
        <w:rPr>
          <w:lang w:val="es-ES"/>
        </w:rPr>
        <w:t>Los pacientes (tratados con o sin metotrexato) fueron aleatorizados (tocilizumab: placebo</w:t>
      </w:r>
      <w:ins w:id="562" w:author="AUTHOR">
        <w:r w:rsidR="003E29DD" w:rsidRPr="00467FFD">
          <w:rPr>
            <w:rFonts w:eastAsia="SimSun"/>
            <w:bCs/>
            <w:iCs/>
            <w:sz w:val="18"/>
            <w:szCs w:val="18"/>
            <w:lang w:val="es-ES"/>
            <w:rPrChange w:id="563" w:author="AUTHOR">
              <w:rPr>
                <w:rFonts w:eastAsia="SimSun"/>
                <w:bCs/>
                <w:iCs/>
                <w:sz w:val="18"/>
                <w:szCs w:val="18"/>
                <w:lang w:val="en-GB"/>
              </w:rPr>
            </w:rPrChange>
          </w:rPr>
          <w:t> </w:t>
        </w:r>
        <w:r w:rsidR="003E29DD" w:rsidRPr="008A106B" w:rsidDel="003E29DD">
          <w:rPr>
            <w:lang w:val="es-ES"/>
          </w:rPr>
          <w:t xml:space="preserve"> </w:t>
        </w:r>
      </w:ins>
      <w:del w:id="564" w:author="AUTHOR">
        <w:r w:rsidRPr="008A106B" w:rsidDel="003E29DD">
          <w:rPr>
            <w:lang w:val="es-ES"/>
          </w:rPr>
          <w:delText xml:space="preserve"> </w:delText>
        </w:r>
      </w:del>
      <w:r w:rsidRPr="008A106B">
        <w:rPr>
          <w:lang w:val="es-ES"/>
        </w:rPr>
        <w:t>=</w:t>
      </w:r>
      <w:ins w:id="565" w:author="AUTHOR">
        <w:r w:rsidR="003E29DD" w:rsidRPr="00467FFD">
          <w:rPr>
            <w:rFonts w:eastAsia="SimSun"/>
            <w:bCs/>
            <w:iCs/>
            <w:sz w:val="18"/>
            <w:szCs w:val="18"/>
            <w:lang w:val="es-ES"/>
            <w:rPrChange w:id="566" w:author="AUTHOR">
              <w:rPr>
                <w:rFonts w:eastAsia="SimSun"/>
                <w:bCs/>
                <w:iCs/>
                <w:sz w:val="18"/>
                <w:szCs w:val="18"/>
                <w:lang w:val="en-GB"/>
              </w:rPr>
            </w:rPrChange>
          </w:rPr>
          <w:t> </w:t>
        </w:r>
        <w:r w:rsidR="003E29DD" w:rsidRPr="008A106B" w:rsidDel="003E29DD">
          <w:rPr>
            <w:lang w:val="es-ES"/>
          </w:rPr>
          <w:t xml:space="preserve"> </w:t>
        </w:r>
      </w:ins>
      <w:del w:id="567" w:author="AUTHOR">
        <w:r w:rsidRPr="008A106B" w:rsidDel="003E29DD">
          <w:rPr>
            <w:lang w:val="es-ES"/>
          </w:rPr>
          <w:delText xml:space="preserve"> </w:delText>
        </w:r>
      </w:del>
      <w:r w:rsidRPr="008A106B">
        <w:rPr>
          <w:lang w:val="es-ES"/>
        </w:rPr>
        <w:t xml:space="preserve">2:1) </w:t>
      </w:r>
      <w:ins w:id="568" w:author="AUTHOR">
        <w:r w:rsidR="007D725B">
          <w:rPr>
            <w:lang w:val="es-ES"/>
          </w:rPr>
          <w:t>en uno de los dos grupos de tratamiento</w:t>
        </w:r>
      </w:ins>
      <w:del w:id="569" w:author="AUTHOR">
        <w:r w:rsidRPr="008A106B" w:rsidDel="007D725B">
          <w:rPr>
            <w:lang w:val="es-ES"/>
          </w:rPr>
          <w:delText>para recibir tocilizumab a dos dosis</w:delText>
        </w:r>
      </w:del>
      <w:r w:rsidRPr="008A106B">
        <w:rPr>
          <w:lang w:val="es-ES"/>
        </w:rPr>
        <w:t>, 75</w:t>
      </w:r>
      <w:r w:rsidR="00205482" w:rsidRPr="00F30AB8">
        <w:rPr>
          <w:szCs w:val="22"/>
          <w:lang w:val="es-ES"/>
        </w:rPr>
        <w:t> </w:t>
      </w:r>
      <w:r w:rsidR="00205482" w:rsidRPr="008A106B" w:rsidDel="00205482">
        <w:rPr>
          <w:lang w:val="es-ES"/>
        </w:rPr>
        <w:t xml:space="preserve"> </w:t>
      </w:r>
      <w:r w:rsidRPr="008A106B">
        <w:rPr>
          <w:lang w:val="es-ES"/>
        </w:rPr>
        <w:t>pacientes recibieron perfusiones de tocilizumab cada dos semanas, 8</w:t>
      </w:r>
      <w:r w:rsidR="00205482" w:rsidRPr="00F30AB8">
        <w:rPr>
          <w:szCs w:val="22"/>
          <w:lang w:val="es-ES"/>
        </w:rPr>
        <w:t> </w:t>
      </w:r>
      <w:r w:rsidR="00205482" w:rsidRPr="008A106B" w:rsidDel="00205482">
        <w:rPr>
          <w:lang w:val="es-ES"/>
        </w:rPr>
        <w:t xml:space="preserve"> </w:t>
      </w:r>
      <w:r w:rsidRPr="008A106B">
        <w:rPr>
          <w:lang w:val="es-ES"/>
        </w:rPr>
        <w:t>mg/kg para pacientes ≥</w:t>
      </w:r>
      <w:r w:rsidR="00205482" w:rsidRPr="00F30AB8">
        <w:rPr>
          <w:szCs w:val="22"/>
          <w:lang w:val="es-ES"/>
        </w:rPr>
        <w:t> </w:t>
      </w:r>
      <w:del w:id="570" w:author="AUTHOR">
        <w:r w:rsidR="00205482" w:rsidRPr="008A106B" w:rsidDel="003E29DD">
          <w:rPr>
            <w:lang w:val="es-ES"/>
          </w:rPr>
          <w:delText xml:space="preserve"> </w:delText>
        </w:r>
      </w:del>
      <w:r w:rsidRPr="008A106B">
        <w:rPr>
          <w:lang w:val="es-ES"/>
        </w:rPr>
        <w:t>30</w:t>
      </w:r>
      <w:r w:rsidR="00205482" w:rsidRPr="00F30AB8">
        <w:rPr>
          <w:szCs w:val="22"/>
          <w:lang w:val="es-ES"/>
        </w:rPr>
        <w:t> </w:t>
      </w:r>
      <w:del w:id="571" w:author="AUTHOR">
        <w:r w:rsidR="00205482" w:rsidRPr="008A106B" w:rsidDel="003E29DD">
          <w:rPr>
            <w:lang w:val="es-ES"/>
          </w:rPr>
          <w:delText xml:space="preserve"> </w:delText>
        </w:r>
      </w:del>
      <w:r w:rsidRPr="008A106B">
        <w:rPr>
          <w:lang w:val="es-ES"/>
        </w:rPr>
        <w:t>kg o 12</w:t>
      </w:r>
      <w:r w:rsidR="00205482" w:rsidRPr="00F30AB8">
        <w:rPr>
          <w:szCs w:val="22"/>
          <w:lang w:val="es-ES"/>
        </w:rPr>
        <w:t> </w:t>
      </w:r>
      <w:del w:id="572" w:author="AUTHOR">
        <w:r w:rsidR="00205482" w:rsidRPr="008A106B" w:rsidDel="003E29DD">
          <w:rPr>
            <w:lang w:val="es-ES"/>
          </w:rPr>
          <w:delText xml:space="preserve"> </w:delText>
        </w:r>
      </w:del>
      <w:r w:rsidRPr="008A106B">
        <w:rPr>
          <w:lang w:val="es-ES"/>
        </w:rPr>
        <w:t>mg/kg para pacientes con</w:t>
      </w:r>
      <w:ins w:id="573" w:author="AUTHOR">
        <w:r w:rsidR="003E29DD" w:rsidRPr="00467FFD">
          <w:rPr>
            <w:rFonts w:eastAsia="SimSun"/>
            <w:bCs/>
            <w:iCs/>
            <w:sz w:val="18"/>
            <w:szCs w:val="18"/>
            <w:lang w:val="es-ES"/>
            <w:rPrChange w:id="574" w:author="AUTHOR">
              <w:rPr>
                <w:rFonts w:eastAsia="SimSun"/>
                <w:bCs/>
                <w:iCs/>
                <w:sz w:val="18"/>
                <w:szCs w:val="18"/>
                <w:lang w:val="en-GB"/>
              </w:rPr>
            </w:rPrChange>
          </w:rPr>
          <w:t> </w:t>
        </w:r>
        <w:r w:rsidR="003E29DD" w:rsidRPr="008A106B" w:rsidDel="003E29DD">
          <w:rPr>
            <w:lang w:val="es-ES"/>
          </w:rPr>
          <w:t xml:space="preserve"> </w:t>
        </w:r>
      </w:ins>
      <w:del w:id="575" w:author="AUTHOR">
        <w:r w:rsidRPr="008A106B" w:rsidDel="003E29DD">
          <w:rPr>
            <w:lang w:val="es-ES"/>
          </w:rPr>
          <w:delText xml:space="preserve"> </w:delText>
        </w:r>
      </w:del>
      <w:r w:rsidRPr="008A106B">
        <w:rPr>
          <w:lang w:val="es-ES"/>
        </w:rPr>
        <w:t>&lt;</w:t>
      </w:r>
      <w:r w:rsidR="00205482" w:rsidRPr="00F30AB8">
        <w:rPr>
          <w:szCs w:val="22"/>
          <w:lang w:val="es-ES"/>
        </w:rPr>
        <w:t> </w:t>
      </w:r>
      <w:del w:id="576" w:author="AUTHOR">
        <w:r w:rsidR="00205482" w:rsidRPr="008A106B" w:rsidDel="003E29DD">
          <w:rPr>
            <w:lang w:val="es-ES"/>
          </w:rPr>
          <w:delText xml:space="preserve"> </w:delText>
        </w:r>
      </w:del>
      <w:r w:rsidRPr="008A106B">
        <w:rPr>
          <w:lang w:val="es-ES"/>
        </w:rPr>
        <w:t>30</w:t>
      </w:r>
      <w:r w:rsidR="00205482" w:rsidRPr="00F30AB8">
        <w:rPr>
          <w:szCs w:val="22"/>
          <w:lang w:val="es-ES"/>
        </w:rPr>
        <w:t> </w:t>
      </w:r>
      <w:del w:id="577" w:author="AUTHOR">
        <w:r w:rsidR="00205482" w:rsidRPr="008A106B" w:rsidDel="003E29DD">
          <w:rPr>
            <w:lang w:val="es-ES"/>
          </w:rPr>
          <w:delText xml:space="preserve"> </w:delText>
        </w:r>
      </w:del>
      <w:r w:rsidRPr="008A106B">
        <w:rPr>
          <w:lang w:val="es-ES"/>
        </w:rPr>
        <w:t>kg y 37</w:t>
      </w:r>
      <w:r w:rsidR="00205482" w:rsidRPr="00F30AB8">
        <w:rPr>
          <w:szCs w:val="22"/>
          <w:lang w:val="es-ES"/>
        </w:rPr>
        <w:t> </w:t>
      </w:r>
      <w:r w:rsidR="00205482" w:rsidRPr="008A106B" w:rsidDel="00205482">
        <w:rPr>
          <w:lang w:val="es-ES"/>
        </w:rPr>
        <w:t xml:space="preserve"> </w:t>
      </w:r>
      <w:r w:rsidRPr="008A106B">
        <w:rPr>
          <w:lang w:val="es-ES"/>
        </w:rPr>
        <w:t>pacientes fueron asignados a recibir placebo cada dos semanas. Se permitió la disminución de corticosteroides desde la semana</w:t>
      </w:r>
      <w:r w:rsidR="00205482" w:rsidRPr="00F30AB8">
        <w:rPr>
          <w:szCs w:val="22"/>
          <w:lang w:val="es-ES"/>
        </w:rPr>
        <w:t> </w:t>
      </w:r>
      <w:r w:rsidR="00205482" w:rsidRPr="008A106B" w:rsidDel="00205482">
        <w:rPr>
          <w:lang w:val="es-ES"/>
        </w:rPr>
        <w:t xml:space="preserve"> </w:t>
      </w:r>
      <w:r w:rsidRPr="008A106B">
        <w:rPr>
          <w:lang w:val="es-ES"/>
        </w:rPr>
        <w:t xml:space="preserve">6 para pacientes que </w:t>
      </w:r>
      <w:del w:id="578" w:author="AUTHOR">
        <w:r w:rsidRPr="008A106B" w:rsidDel="007D725B">
          <w:rPr>
            <w:lang w:val="es-ES"/>
          </w:rPr>
          <w:delText xml:space="preserve">mejoraron </w:delText>
        </w:r>
      </w:del>
      <w:ins w:id="579" w:author="AUTHOR">
        <w:r w:rsidR="007D725B">
          <w:rPr>
            <w:lang w:val="es-ES"/>
          </w:rPr>
          <w:t>alcanzaron</w:t>
        </w:r>
        <w:r w:rsidR="007D725B" w:rsidRPr="008A106B">
          <w:rPr>
            <w:lang w:val="es-ES"/>
          </w:rPr>
          <w:t xml:space="preserve"> </w:t>
        </w:r>
      </w:ins>
      <w:del w:id="580" w:author="AUTHOR">
        <w:r w:rsidRPr="008A106B" w:rsidDel="007D725B">
          <w:rPr>
            <w:lang w:val="es-ES"/>
          </w:rPr>
          <w:delText xml:space="preserve">su </w:delText>
        </w:r>
      </w:del>
      <w:ins w:id="581" w:author="AUTHOR">
        <w:r w:rsidR="007D725B">
          <w:rPr>
            <w:lang w:val="es-ES"/>
          </w:rPr>
          <w:t>una</w:t>
        </w:r>
        <w:r w:rsidR="007D725B" w:rsidRPr="008A106B">
          <w:rPr>
            <w:lang w:val="es-ES"/>
          </w:rPr>
          <w:t xml:space="preserve"> </w:t>
        </w:r>
      </w:ins>
      <w:r w:rsidRPr="008A106B">
        <w:rPr>
          <w:lang w:val="es-ES"/>
        </w:rPr>
        <w:t>respuesta ACR</w:t>
      </w:r>
      <w:r w:rsidR="00205482" w:rsidRPr="00F30AB8">
        <w:rPr>
          <w:szCs w:val="22"/>
          <w:lang w:val="es-ES"/>
        </w:rPr>
        <w:t> </w:t>
      </w:r>
      <w:r w:rsidR="00205482" w:rsidRPr="008A106B" w:rsidDel="00205482">
        <w:rPr>
          <w:lang w:val="es-ES"/>
        </w:rPr>
        <w:t xml:space="preserve"> </w:t>
      </w:r>
      <w:r w:rsidRPr="008A106B">
        <w:rPr>
          <w:lang w:val="es-ES"/>
        </w:rPr>
        <w:t xml:space="preserve">70 de su AIJ. Después de </w:t>
      </w:r>
      <w:proofErr w:type="gramStart"/>
      <w:r w:rsidRPr="008A106B">
        <w:rPr>
          <w:lang w:val="es-ES"/>
        </w:rPr>
        <w:t>12</w:t>
      </w:r>
      <w:r w:rsidR="00205482" w:rsidRPr="00F30AB8">
        <w:rPr>
          <w:szCs w:val="22"/>
          <w:lang w:val="es-ES"/>
        </w:rPr>
        <w:t> </w:t>
      </w:r>
      <w:r w:rsidR="00205482" w:rsidRPr="008A106B" w:rsidDel="00205482">
        <w:rPr>
          <w:lang w:val="es-ES"/>
        </w:rPr>
        <w:t xml:space="preserve"> </w:t>
      </w:r>
      <w:r w:rsidRPr="008A106B">
        <w:rPr>
          <w:lang w:val="es-ES"/>
        </w:rPr>
        <w:t>semanas</w:t>
      </w:r>
      <w:proofErr w:type="gramEnd"/>
      <w:r w:rsidRPr="008A106B">
        <w:rPr>
          <w:lang w:val="es-ES"/>
        </w:rPr>
        <w:t xml:space="preserve"> o en el momento de escapar, debido a un empeoramiento de la enfermedad, los pacientes fueron tratados en </w:t>
      </w:r>
      <w:r w:rsidR="008D605B">
        <w:rPr>
          <w:lang w:val="es-ES"/>
        </w:rPr>
        <w:t xml:space="preserve">la </w:t>
      </w:r>
      <w:r w:rsidRPr="008A106B">
        <w:rPr>
          <w:lang w:val="es-ES"/>
        </w:rPr>
        <w:t>fase abierta de extensión con la dosificación apropiada para su peso.</w:t>
      </w:r>
    </w:p>
    <w:p w14:paraId="25E076AF" w14:textId="77777777" w:rsidR="007927FC" w:rsidRPr="008A106B" w:rsidRDefault="007927FC" w:rsidP="007927FC">
      <w:pPr>
        <w:numPr>
          <w:ilvl w:val="12"/>
          <w:numId w:val="0"/>
        </w:numPr>
        <w:ind w:right="-2"/>
        <w:rPr>
          <w:lang w:val="es-ES"/>
        </w:rPr>
      </w:pPr>
    </w:p>
    <w:p w14:paraId="2F35E068" w14:textId="77777777" w:rsidR="007927FC" w:rsidRPr="008A106B" w:rsidRDefault="007927FC" w:rsidP="007927FC">
      <w:pPr>
        <w:numPr>
          <w:ilvl w:val="12"/>
          <w:numId w:val="0"/>
        </w:numPr>
        <w:ind w:right="-2"/>
        <w:rPr>
          <w:i/>
          <w:lang w:val="es-ES"/>
        </w:rPr>
      </w:pPr>
      <w:r w:rsidRPr="008A106B">
        <w:rPr>
          <w:i/>
          <w:lang w:val="es-ES"/>
        </w:rPr>
        <w:t>Respuesta clínica</w:t>
      </w:r>
    </w:p>
    <w:p w14:paraId="40EEBE89" w14:textId="57AE9A65" w:rsidR="007927FC" w:rsidRPr="008A106B" w:rsidRDefault="007927FC" w:rsidP="007927FC">
      <w:pPr>
        <w:numPr>
          <w:ilvl w:val="12"/>
          <w:numId w:val="0"/>
        </w:numPr>
        <w:ind w:right="-2"/>
        <w:rPr>
          <w:bCs/>
          <w:lang w:val="es-ES"/>
        </w:rPr>
      </w:pPr>
      <w:del w:id="582" w:author="AUTHOR">
        <w:r w:rsidRPr="008A106B" w:rsidDel="00E11790">
          <w:rPr>
            <w:bCs/>
            <w:lang w:val="es-ES"/>
          </w:rPr>
          <w:delText>El objetivo primario</w:delText>
        </w:r>
      </w:del>
      <w:ins w:id="583" w:author="AUTHOR">
        <w:r w:rsidR="00E11790">
          <w:rPr>
            <w:bCs/>
            <w:lang w:val="es-ES"/>
          </w:rPr>
          <w:t>La variable principal</w:t>
        </w:r>
      </w:ins>
      <w:r w:rsidRPr="008A106B">
        <w:rPr>
          <w:bCs/>
          <w:lang w:val="es-ES"/>
        </w:rPr>
        <w:t xml:space="preserve"> fue la proporción de pacientes con al menos un 30</w:t>
      </w:r>
      <w:r w:rsidR="008D605B">
        <w:rPr>
          <w:bCs/>
          <w:lang w:val="es-ES"/>
        </w:rPr>
        <w:t xml:space="preserve"> </w:t>
      </w:r>
      <w:r w:rsidRPr="008A106B">
        <w:rPr>
          <w:bCs/>
          <w:lang w:val="es-ES"/>
        </w:rPr>
        <w:t>% de mejoría en el</w:t>
      </w:r>
      <w:del w:id="584" w:author="AUTHOR">
        <w:r w:rsidRPr="008A106B" w:rsidDel="00C407C4">
          <w:rPr>
            <w:bCs/>
            <w:lang w:val="es-ES"/>
          </w:rPr>
          <w:delText xml:space="preserve"> JIA</w:delText>
        </w:r>
      </w:del>
      <w:r w:rsidRPr="008A106B">
        <w:rPr>
          <w:bCs/>
          <w:lang w:val="es-ES"/>
        </w:rPr>
        <w:t xml:space="preserve"> ACR </w:t>
      </w:r>
      <w:ins w:id="585" w:author="AUTHOR">
        <w:r w:rsidR="00C407C4">
          <w:rPr>
            <w:bCs/>
            <w:lang w:val="es-ES"/>
          </w:rPr>
          <w:t xml:space="preserve">en </w:t>
        </w:r>
        <w:r w:rsidR="00C407C4">
          <w:rPr>
            <w:i/>
            <w:lang w:val="es-ES"/>
          </w:rPr>
          <w:t>AIJ</w:t>
        </w:r>
        <w:r w:rsidR="00C407C4" w:rsidRPr="008A106B">
          <w:rPr>
            <w:bCs/>
            <w:lang w:val="es-ES"/>
          </w:rPr>
          <w:t xml:space="preserve"> </w:t>
        </w:r>
      </w:ins>
      <w:r w:rsidRPr="008A106B">
        <w:rPr>
          <w:bCs/>
          <w:lang w:val="es-ES"/>
        </w:rPr>
        <w:t>(respuesta ACR</w:t>
      </w:r>
      <w:r w:rsidR="00205482" w:rsidRPr="00F30AB8">
        <w:rPr>
          <w:szCs w:val="22"/>
          <w:lang w:val="es-ES"/>
        </w:rPr>
        <w:t> </w:t>
      </w:r>
      <w:r w:rsidR="00205482" w:rsidRPr="008A106B" w:rsidDel="00205482">
        <w:rPr>
          <w:bCs/>
          <w:lang w:val="es-ES"/>
        </w:rPr>
        <w:t xml:space="preserve"> </w:t>
      </w:r>
      <w:r w:rsidRPr="008A106B">
        <w:rPr>
          <w:bCs/>
          <w:lang w:val="es-ES"/>
        </w:rPr>
        <w:t>30 en AIJ) en la semana</w:t>
      </w:r>
      <w:r w:rsidR="00205482" w:rsidRPr="00F30AB8">
        <w:rPr>
          <w:szCs w:val="22"/>
          <w:lang w:val="es-ES"/>
        </w:rPr>
        <w:t> </w:t>
      </w:r>
      <w:r w:rsidR="00205482" w:rsidRPr="008A106B" w:rsidDel="00205482">
        <w:rPr>
          <w:bCs/>
          <w:lang w:val="es-ES"/>
        </w:rPr>
        <w:t xml:space="preserve"> </w:t>
      </w:r>
      <w:r w:rsidRPr="008A106B">
        <w:rPr>
          <w:bCs/>
          <w:lang w:val="es-ES"/>
        </w:rPr>
        <w:t xml:space="preserve">12 y sin fiebre (registro de temperatura </w:t>
      </w:r>
      <w:del w:id="586" w:author="AUTHOR">
        <w:r w:rsidRPr="008A106B" w:rsidDel="00613A5B">
          <w:rPr>
            <w:bCs/>
            <w:lang w:val="es-ES"/>
          </w:rPr>
          <w:delText xml:space="preserve">no </w:delText>
        </w:r>
      </w:del>
      <w:r w:rsidRPr="008A106B">
        <w:rPr>
          <w:bCs/>
          <w:u w:val="single"/>
          <w:lang w:val="es-ES"/>
        </w:rPr>
        <w:t>&gt;</w:t>
      </w:r>
      <w:r w:rsidR="00205482" w:rsidRPr="00F30AB8">
        <w:rPr>
          <w:szCs w:val="22"/>
          <w:lang w:val="es-ES"/>
        </w:rPr>
        <w:t> </w:t>
      </w:r>
      <w:r w:rsidR="00205482" w:rsidRPr="008A106B" w:rsidDel="00205482">
        <w:rPr>
          <w:bCs/>
          <w:lang w:val="es-ES"/>
        </w:rPr>
        <w:t xml:space="preserve"> </w:t>
      </w:r>
      <w:r w:rsidRPr="008A106B">
        <w:rPr>
          <w:bCs/>
          <w:lang w:val="es-ES"/>
        </w:rPr>
        <w:t>37.5</w:t>
      </w:r>
      <w:r w:rsidR="00205482" w:rsidRPr="00F30AB8">
        <w:rPr>
          <w:szCs w:val="22"/>
          <w:lang w:val="es-ES"/>
        </w:rPr>
        <w:t> </w:t>
      </w:r>
      <w:r w:rsidR="00205482" w:rsidRPr="008A106B">
        <w:rPr>
          <w:bCs/>
          <w:lang w:val="es-ES"/>
        </w:rPr>
        <w:t xml:space="preserve"> </w:t>
      </w:r>
      <w:r w:rsidRPr="008A106B">
        <w:rPr>
          <w:bCs/>
          <w:lang w:val="es-ES"/>
        </w:rPr>
        <w:t>ºC en los últimos 7</w:t>
      </w:r>
      <w:r w:rsidR="00205482" w:rsidRPr="00F30AB8">
        <w:rPr>
          <w:szCs w:val="22"/>
          <w:lang w:val="es-ES"/>
        </w:rPr>
        <w:t> </w:t>
      </w:r>
      <w:del w:id="587" w:author="AUTHOR">
        <w:r w:rsidR="00205482" w:rsidRPr="008A106B" w:rsidDel="003E29DD">
          <w:rPr>
            <w:bCs/>
            <w:lang w:val="es-ES"/>
          </w:rPr>
          <w:delText xml:space="preserve"> </w:delText>
        </w:r>
      </w:del>
      <w:r w:rsidRPr="008A106B">
        <w:rPr>
          <w:bCs/>
          <w:lang w:val="es-ES"/>
        </w:rPr>
        <w:t>días). El 85</w:t>
      </w:r>
      <w:r w:rsidR="008D605B">
        <w:rPr>
          <w:bCs/>
          <w:lang w:val="es-ES"/>
        </w:rPr>
        <w:t xml:space="preserve"> </w:t>
      </w:r>
      <w:r w:rsidRPr="008A106B">
        <w:rPr>
          <w:bCs/>
          <w:lang w:val="es-ES"/>
        </w:rPr>
        <w:t xml:space="preserve">% de los pacientes tratados con tocilizumab (64/75) y el </w:t>
      </w:r>
      <w:r w:rsidRPr="006616E4">
        <w:rPr>
          <w:bCs/>
          <w:shd w:val="clear" w:color="auto" w:fill="FFFFFF"/>
          <w:lang w:val="es-ES"/>
        </w:rPr>
        <w:t>24</w:t>
      </w:r>
      <w:ins w:id="588" w:author="AUTHOR">
        <w:r w:rsidR="00613A5B">
          <w:rPr>
            <w:bCs/>
            <w:shd w:val="clear" w:color="auto" w:fill="FFFFFF"/>
            <w:lang w:val="es-ES"/>
          </w:rPr>
          <w:t>,3</w:t>
        </w:r>
      </w:ins>
      <w:r w:rsidR="008D605B" w:rsidRPr="006616E4">
        <w:rPr>
          <w:bCs/>
          <w:shd w:val="clear" w:color="auto" w:fill="FFFFFF"/>
          <w:lang w:val="es-ES"/>
        </w:rPr>
        <w:t xml:space="preserve"> </w:t>
      </w:r>
      <w:r w:rsidRPr="006616E4">
        <w:rPr>
          <w:bCs/>
          <w:shd w:val="clear" w:color="auto" w:fill="FFFFFF"/>
          <w:lang w:val="es-ES"/>
        </w:rPr>
        <w:t>%</w:t>
      </w:r>
      <w:r w:rsidRPr="008A106B">
        <w:rPr>
          <w:bCs/>
          <w:lang w:val="es-ES"/>
        </w:rPr>
        <w:t xml:space="preserve"> de los pacientes tratados con placebo alcanzaron este objetivo. Esta</w:t>
      </w:r>
      <w:r w:rsidR="001A5921">
        <w:rPr>
          <w:bCs/>
          <w:lang w:val="es-ES"/>
        </w:rPr>
        <w:t>s</w:t>
      </w:r>
      <w:r w:rsidRPr="008A106B">
        <w:rPr>
          <w:bCs/>
          <w:lang w:val="es-ES"/>
        </w:rPr>
        <w:t xml:space="preserve"> proporciones fueron significativamente diferentes (p&lt;0,0001)</w:t>
      </w:r>
    </w:p>
    <w:p w14:paraId="221075EC" w14:textId="77777777" w:rsidR="007927FC" w:rsidRPr="008A106B" w:rsidRDefault="007927FC" w:rsidP="007927FC">
      <w:pPr>
        <w:numPr>
          <w:ilvl w:val="12"/>
          <w:numId w:val="0"/>
        </w:numPr>
        <w:ind w:right="-2"/>
        <w:rPr>
          <w:bCs/>
          <w:u w:val="single"/>
          <w:lang w:val="es-ES"/>
        </w:rPr>
      </w:pPr>
    </w:p>
    <w:p w14:paraId="6C88A4A4" w14:textId="5072A711" w:rsidR="007927FC" w:rsidRPr="008A106B" w:rsidRDefault="007927FC" w:rsidP="007927FC">
      <w:pPr>
        <w:numPr>
          <w:ilvl w:val="12"/>
          <w:numId w:val="0"/>
        </w:numPr>
        <w:ind w:right="-2"/>
        <w:rPr>
          <w:bCs/>
          <w:lang w:val="es-ES"/>
        </w:rPr>
      </w:pPr>
      <w:r w:rsidRPr="008A106B">
        <w:rPr>
          <w:bCs/>
          <w:lang w:val="es-ES"/>
        </w:rPr>
        <w:t xml:space="preserve">El porcentaje de pacientes que </w:t>
      </w:r>
      <w:del w:id="589" w:author="AUTHOR">
        <w:r w:rsidRPr="008A106B" w:rsidDel="00613A5B">
          <w:rPr>
            <w:bCs/>
            <w:lang w:val="es-ES"/>
          </w:rPr>
          <w:delText xml:space="preserve">mejoró </w:delText>
        </w:r>
      </w:del>
      <w:ins w:id="590" w:author="AUTHOR">
        <w:r w:rsidR="00613A5B">
          <w:rPr>
            <w:bCs/>
            <w:lang w:val="es-ES"/>
          </w:rPr>
          <w:t>alcanzaron respuestas</w:t>
        </w:r>
      </w:ins>
      <w:del w:id="591" w:author="AUTHOR">
        <w:r w:rsidRPr="008A106B" w:rsidDel="00613A5B">
          <w:rPr>
            <w:bCs/>
            <w:lang w:val="es-ES"/>
          </w:rPr>
          <w:delText>el</w:delText>
        </w:r>
      </w:del>
      <w:r w:rsidRPr="008A106B">
        <w:rPr>
          <w:bCs/>
          <w:lang w:val="es-ES"/>
        </w:rPr>
        <w:t xml:space="preserve"> ACR</w:t>
      </w:r>
      <w:r w:rsidR="00205482" w:rsidRPr="00F30AB8">
        <w:rPr>
          <w:szCs w:val="22"/>
          <w:lang w:val="es-ES"/>
        </w:rPr>
        <w:t> </w:t>
      </w:r>
      <w:r w:rsidR="00205482" w:rsidRPr="008A106B" w:rsidDel="00205482">
        <w:rPr>
          <w:bCs/>
          <w:lang w:val="es-ES"/>
        </w:rPr>
        <w:t xml:space="preserve"> </w:t>
      </w:r>
      <w:del w:id="592" w:author="AUTHOR">
        <w:r w:rsidRPr="008A106B" w:rsidDel="00613A5B">
          <w:rPr>
            <w:bCs/>
            <w:lang w:val="es-ES"/>
          </w:rPr>
          <w:delText xml:space="preserve">AIJ </w:delText>
        </w:r>
      </w:del>
      <w:r w:rsidRPr="008A106B">
        <w:rPr>
          <w:bCs/>
          <w:lang w:val="es-ES"/>
        </w:rPr>
        <w:t xml:space="preserve">30, 50, 70, 90 </w:t>
      </w:r>
      <w:ins w:id="593" w:author="AUTHOR">
        <w:r w:rsidR="00613A5B">
          <w:rPr>
            <w:bCs/>
            <w:lang w:val="es-ES"/>
          </w:rPr>
          <w:t xml:space="preserve">en </w:t>
        </w:r>
        <w:r w:rsidR="00613A5B" w:rsidRPr="008A106B">
          <w:rPr>
            <w:bCs/>
            <w:lang w:val="es-ES"/>
          </w:rPr>
          <w:t xml:space="preserve">AIJ </w:t>
        </w:r>
      </w:ins>
      <w:r w:rsidRPr="008A106B">
        <w:rPr>
          <w:bCs/>
          <w:lang w:val="es-ES"/>
        </w:rPr>
        <w:t xml:space="preserve">se muestra en la </w:t>
      </w:r>
      <w:r w:rsidR="00205482">
        <w:rPr>
          <w:bCs/>
          <w:lang w:val="es-ES"/>
        </w:rPr>
        <w:t>T</w:t>
      </w:r>
      <w:r w:rsidRPr="008A106B">
        <w:rPr>
          <w:bCs/>
          <w:lang w:val="es-ES"/>
        </w:rPr>
        <w:t>abla</w:t>
      </w:r>
      <w:r w:rsidR="00205482" w:rsidRPr="00F30AB8">
        <w:rPr>
          <w:szCs w:val="22"/>
          <w:lang w:val="es-ES"/>
        </w:rPr>
        <w:t> </w:t>
      </w:r>
      <w:r w:rsidR="00205482" w:rsidRPr="008A106B" w:rsidDel="00205482">
        <w:rPr>
          <w:bCs/>
          <w:lang w:val="es-ES"/>
        </w:rPr>
        <w:t xml:space="preserve"> </w:t>
      </w:r>
      <w:r w:rsidR="00D50156">
        <w:rPr>
          <w:bCs/>
          <w:lang w:val="es-ES"/>
        </w:rPr>
        <w:t>8</w:t>
      </w:r>
    </w:p>
    <w:p w14:paraId="51211379" w14:textId="77777777" w:rsidR="007927FC" w:rsidRPr="008A106B" w:rsidRDefault="007927FC" w:rsidP="007927FC">
      <w:pPr>
        <w:numPr>
          <w:ilvl w:val="12"/>
          <w:numId w:val="0"/>
        </w:numPr>
        <w:ind w:right="-2"/>
        <w:rPr>
          <w:bCs/>
          <w:u w:val="single"/>
          <w:lang w:val="es-ES"/>
        </w:rPr>
      </w:pPr>
    </w:p>
    <w:p w14:paraId="7CF4F85F" w14:textId="386848A3" w:rsidR="007927FC" w:rsidRDefault="007927FC" w:rsidP="007927FC">
      <w:pPr>
        <w:keepNext/>
        <w:numPr>
          <w:ilvl w:val="12"/>
          <w:numId w:val="0"/>
        </w:numPr>
        <w:ind w:right="-2"/>
        <w:rPr>
          <w:i/>
          <w:szCs w:val="22"/>
          <w:lang w:val="es-ES"/>
        </w:rPr>
      </w:pPr>
      <w:r w:rsidRPr="008A106B">
        <w:rPr>
          <w:i/>
          <w:szCs w:val="22"/>
          <w:lang w:val="es-ES"/>
        </w:rPr>
        <w:t xml:space="preserve">Tabla </w:t>
      </w:r>
      <w:r w:rsidR="00D50156">
        <w:rPr>
          <w:i/>
          <w:szCs w:val="22"/>
          <w:lang w:val="es-ES"/>
        </w:rPr>
        <w:t>8</w:t>
      </w:r>
      <w:r w:rsidRPr="008A106B">
        <w:rPr>
          <w:i/>
          <w:szCs w:val="22"/>
          <w:lang w:val="es-ES"/>
        </w:rPr>
        <w:t xml:space="preserve">. </w:t>
      </w:r>
      <w:ins w:id="594" w:author="AUTHOR">
        <w:r w:rsidR="00613A5B" w:rsidRPr="00613A5B">
          <w:rPr>
            <w:i/>
            <w:szCs w:val="22"/>
            <w:lang w:val="es-ES"/>
          </w:rPr>
          <w:t>Tasas de respuesta</w:t>
        </w:r>
      </w:ins>
      <w:del w:id="595" w:author="AUTHOR">
        <w:r w:rsidRPr="008A106B" w:rsidDel="00613A5B">
          <w:rPr>
            <w:i/>
            <w:szCs w:val="22"/>
            <w:lang w:val="es-ES"/>
          </w:rPr>
          <w:delText>Respuestas</w:delText>
        </w:r>
      </w:del>
      <w:r w:rsidRPr="008A106B">
        <w:rPr>
          <w:i/>
          <w:szCs w:val="22"/>
          <w:lang w:val="es-ES"/>
        </w:rPr>
        <w:t xml:space="preserve"> ACR en AIJ rangos a las 12 semanas (% pacientes)</w:t>
      </w:r>
    </w:p>
    <w:p w14:paraId="5CE95889" w14:textId="77777777" w:rsidR="00D615B3" w:rsidRPr="008A106B" w:rsidRDefault="00D615B3" w:rsidP="007927FC">
      <w:pPr>
        <w:keepNext/>
        <w:numPr>
          <w:ilvl w:val="12"/>
          <w:numId w:val="0"/>
        </w:numPr>
        <w:ind w:right="-2"/>
        <w:rPr>
          <w:i/>
          <w:szCs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409"/>
        <w:gridCol w:w="3261"/>
      </w:tblGrid>
      <w:tr w:rsidR="007927FC" w:rsidRPr="005A5612" w14:paraId="470B6C36" w14:textId="77777777" w:rsidTr="00FC7454">
        <w:tc>
          <w:tcPr>
            <w:tcW w:w="2235" w:type="dxa"/>
          </w:tcPr>
          <w:p w14:paraId="7EF65BB4" w14:textId="39971FD4" w:rsidR="007927FC" w:rsidRPr="005A5612" w:rsidRDefault="00613A5B" w:rsidP="00FC7454">
            <w:pPr>
              <w:pStyle w:val="TextTi12"/>
              <w:spacing w:after="0" w:line="240" w:lineRule="auto"/>
              <w:rPr>
                <w:sz w:val="22"/>
                <w:szCs w:val="22"/>
                <w:lang w:val="en-GB"/>
              </w:rPr>
            </w:pPr>
            <w:ins w:id="596" w:author="AUTHOR">
              <w:r w:rsidRPr="00613A5B">
                <w:rPr>
                  <w:b/>
                  <w:bCs/>
                  <w:color w:val="000000"/>
                  <w:sz w:val="22"/>
                  <w:szCs w:val="22"/>
                  <w:lang w:val="en-GB" w:eastAsia="ja-JP"/>
                </w:rPr>
                <w:t>Tasa de respuesta</w:t>
              </w:r>
            </w:ins>
            <w:del w:id="597" w:author="AUTHOR">
              <w:r w:rsidR="007927FC" w:rsidRPr="005A5612" w:rsidDel="00613A5B">
                <w:rPr>
                  <w:b/>
                  <w:bCs/>
                  <w:color w:val="000000"/>
                  <w:sz w:val="22"/>
                  <w:szCs w:val="22"/>
                  <w:lang w:val="en-GB" w:eastAsia="ja-JP"/>
                </w:rPr>
                <w:delText xml:space="preserve">Respuesta </w:delText>
              </w:r>
              <w:r w:rsidR="00C8792E" w:rsidDel="00613A5B">
                <w:rPr>
                  <w:b/>
                  <w:bCs/>
                  <w:color w:val="000000"/>
                  <w:sz w:val="22"/>
                  <w:szCs w:val="22"/>
                  <w:lang w:val="en-GB" w:eastAsia="ja-JP"/>
                </w:rPr>
                <w:delText>r</w:delText>
              </w:r>
              <w:r w:rsidR="007927FC" w:rsidRPr="005A5612" w:rsidDel="00613A5B">
                <w:rPr>
                  <w:b/>
                  <w:bCs/>
                  <w:color w:val="000000"/>
                  <w:sz w:val="22"/>
                  <w:szCs w:val="22"/>
                  <w:lang w:val="en-GB" w:eastAsia="ja-JP"/>
                </w:rPr>
                <w:delText>ango</w:delText>
              </w:r>
            </w:del>
          </w:p>
        </w:tc>
        <w:tc>
          <w:tcPr>
            <w:tcW w:w="2409" w:type="dxa"/>
          </w:tcPr>
          <w:p w14:paraId="4C2903B9" w14:textId="77777777" w:rsidR="007927FC" w:rsidRPr="005A5612" w:rsidRDefault="007927FC" w:rsidP="00FC7454">
            <w:pPr>
              <w:pStyle w:val="TextTi12"/>
              <w:spacing w:after="0" w:line="240" w:lineRule="auto"/>
              <w:jc w:val="center"/>
              <w:rPr>
                <w:b/>
                <w:sz w:val="22"/>
                <w:szCs w:val="22"/>
                <w:lang w:val="en-GB"/>
              </w:rPr>
            </w:pPr>
            <w:r w:rsidRPr="005A5612">
              <w:rPr>
                <w:b/>
                <w:sz w:val="22"/>
                <w:szCs w:val="22"/>
                <w:lang w:val="en-GB"/>
              </w:rPr>
              <w:t>Tocilizumab</w:t>
            </w:r>
          </w:p>
          <w:p w14:paraId="5C80A972" w14:textId="7F771871" w:rsidR="007927FC" w:rsidRPr="005A5612" w:rsidRDefault="007927FC" w:rsidP="00FC7454">
            <w:pPr>
              <w:pStyle w:val="TextTi12"/>
              <w:spacing w:after="0" w:line="240" w:lineRule="auto"/>
              <w:jc w:val="center"/>
              <w:rPr>
                <w:b/>
                <w:sz w:val="22"/>
                <w:szCs w:val="22"/>
                <w:lang w:val="en-GB"/>
              </w:rPr>
            </w:pPr>
            <w:del w:id="598" w:author="AUTHOR">
              <w:r w:rsidRPr="005A5612" w:rsidDel="003E29DD">
                <w:rPr>
                  <w:b/>
                  <w:sz w:val="22"/>
                  <w:szCs w:val="22"/>
                  <w:lang w:val="en-GB"/>
                </w:rPr>
                <w:delText xml:space="preserve">N </w:delText>
              </w:r>
            </w:del>
            <w:ins w:id="599" w:author="AUTHOR">
              <w:r w:rsidR="003E29DD">
                <w:rPr>
                  <w:b/>
                  <w:sz w:val="22"/>
                  <w:szCs w:val="22"/>
                  <w:lang w:val="en-GB"/>
                </w:rPr>
                <w:t>n</w:t>
              </w:r>
              <w:r w:rsidR="003E29DD" w:rsidRPr="005A5612">
                <w:rPr>
                  <w:b/>
                  <w:sz w:val="22"/>
                  <w:szCs w:val="22"/>
                  <w:lang w:val="en-GB"/>
                </w:rPr>
                <w:t xml:space="preserve"> </w:t>
              </w:r>
            </w:ins>
            <w:r w:rsidRPr="005A5612">
              <w:rPr>
                <w:b/>
                <w:sz w:val="22"/>
                <w:szCs w:val="22"/>
                <w:lang w:val="en-GB"/>
              </w:rPr>
              <w:t>= 75</w:t>
            </w:r>
          </w:p>
        </w:tc>
        <w:tc>
          <w:tcPr>
            <w:tcW w:w="3261" w:type="dxa"/>
          </w:tcPr>
          <w:p w14:paraId="4EF16111" w14:textId="77777777" w:rsidR="007927FC" w:rsidRPr="005A5612" w:rsidRDefault="007927FC" w:rsidP="00FC7454">
            <w:pPr>
              <w:pStyle w:val="TextTi12"/>
              <w:spacing w:after="0" w:line="240" w:lineRule="auto"/>
              <w:jc w:val="center"/>
              <w:rPr>
                <w:b/>
                <w:sz w:val="22"/>
                <w:szCs w:val="22"/>
                <w:lang w:val="en-GB"/>
              </w:rPr>
            </w:pPr>
            <w:r w:rsidRPr="005A5612">
              <w:rPr>
                <w:b/>
                <w:sz w:val="22"/>
                <w:szCs w:val="22"/>
                <w:lang w:val="en-GB"/>
              </w:rPr>
              <w:t>Placebo</w:t>
            </w:r>
          </w:p>
          <w:p w14:paraId="1D259D2C" w14:textId="1FA5491D" w:rsidR="007927FC" w:rsidRPr="005A5612" w:rsidRDefault="007927FC" w:rsidP="00FC7454">
            <w:pPr>
              <w:pStyle w:val="TextTi12"/>
              <w:spacing w:after="0" w:line="240" w:lineRule="auto"/>
              <w:jc w:val="center"/>
              <w:rPr>
                <w:b/>
                <w:sz w:val="22"/>
                <w:szCs w:val="22"/>
                <w:lang w:val="en-GB"/>
              </w:rPr>
            </w:pPr>
            <w:del w:id="600" w:author="AUTHOR">
              <w:r w:rsidRPr="005A5612" w:rsidDel="003E29DD">
                <w:rPr>
                  <w:b/>
                  <w:sz w:val="22"/>
                  <w:szCs w:val="22"/>
                  <w:lang w:val="en-GB"/>
                </w:rPr>
                <w:delText xml:space="preserve">N </w:delText>
              </w:r>
            </w:del>
            <w:ins w:id="601" w:author="AUTHOR">
              <w:r w:rsidR="003E29DD">
                <w:rPr>
                  <w:b/>
                  <w:sz w:val="22"/>
                  <w:szCs w:val="22"/>
                  <w:lang w:val="en-GB"/>
                </w:rPr>
                <w:t>n</w:t>
              </w:r>
              <w:r w:rsidR="003E29DD" w:rsidRPr="005A5612">
                <w:rPr>
                  <w:b/>
                  <w:sz w:val="22"/>
                  <w:szCs w:val="22"/>
                  <w:lang w:val="en-GB"/>
                </w:rPr>
                <w:t xml:space="preserve"> </w:t>
              </w:r>
            </w:ins>
            <w:r w:rsidRPr="005A5612">
              <w:rPr>
                <w:b/>
                <w:sz w:val="22"/>
                <w:szCs w:val="22"/>
                <w:lang w:val="en-GB"/>
              </w:rPr>
              <w:t>= 37</w:t>
            </w:r>
          </w:p>
        </w:tc>
      </w:tr>
      <w:tr w:rsidR="007927FC" w:rsidRPr="005A5612" w14:paraId="3E7A6D01" w14:textId="77777777" w:rsidTr="00FC7454">
        <w:tc>
          <w:tcPr>
            <w:tcW w:w="2235" w:type="dxa"/>
          </w:tcPr>
          <w:p w14:paraId="1C433B8C" w14:textId="32A666CE" w:rsidR="007927FC" w:rsidRPr="005A5612" w:rsidRDefault="007927FC" w:rsidP="00FC7454">
            <w:pPr>
              <w:pStyle w:val="TextTi12"/>
              <w:spacing w:after="0" w:line="240" w:lineRule="auto"/>
              <w:rPr>
                <w:sz w:val="22"/>
                <w:szCs w:val="22"/>
                <w:lang w:val="en-GB"/>
              </w:rPr>
            </w:pPr>
            <w:r w:rsidRPr="005A5612">
              <w:rPr>
                <w:sz w:val="22"/>
                <w:szCs w:val="22"/>
                <w:lang w:val="en-GB"/>
              </w:rPr>
              <w:t>AIJ  ACR</w:t>
            </w:r>
            <w:r w:rsidR="00205482">
              <w:rPr>
                <w:szCs w:val="22"/>
                <w:lang w:val="en-GB"/>
              </w:rPr>
              <w:t> </w:t>
            </w:r>
            <w:r w:rsidR="00205482" w:rsidRPr="005A5612" w:rsidDel="00205482">
              <w:rPr>
                <w:sz w:val="22"/>
                <w:szCs w:val="22"/>
                <w:lang w:val="en-GB"/>
              </w:rPr>
              <w:t xml:space="preserve"> </w:t>
            </w:r>
            <w:r w:rsidRPr="005A5612">
              <w:rPr>
                <w:sz w:val="22"/>
                <w:szCs w:val="22"/>
                <w:lang w:val="en-GB"/>
              </w:rPr>
              <w:t>30</w:t>
            </w:r>
          </w:p>
        </w:tc>
        <w:tc>
          <w:tcPr>
            <w:tcW w:w="2409" w:type="dxa"/>
          </w:tcPr>
          <w:p w14:paraId="5A501ADC" w14:textId="7801A88D" w:rsidR="007927FC" w:rsidRPr="005A5612" w:rsidRDefault="007927FC" w:rsidP="008D605B">
            <w:pPr>
              <w:pStyle w:val="TextTi12"/>
              <w:spacing w:after="0" w:line="240" w:lineRule="auto"/>
              <w:jc w:val="center"/>
              <w:rPr>
                <w:sz w:val="22"/>
                <w:szCs w:val="22"/>
                <w:lang w:val="en-GB"/>
              </w:rPr>
            </w:pPr>
            <w:r w:rsidRPr="005A5612">
              <w:rPr>
                <w:sz w:val="22"/>
                <w:szCs w:val="22"/>
                <w:lang w:val="en-GB"/>
              </w:rPr>
              <w:t>90</w:t>
            </w:r>
            <w:r w:rsidR="008D605B">
              <w:rPr>
                <w:sz w:val="22"/>
                <w:szCs w:val="22"/>
                <w:lang w:val="en-GB"/>
              </w:rPr>
              <w:t>,</w:t>
            </w:r>
            <w:r w:rsidRPr="005A5612">
              <w:rPr>
                <w:sz w:val="22"/>
                <w:szCs w:val="22"/>
                <w:lang w:val="en-GB"/>
              </w:rPr>
              <w:t>7</w:t>
            </w:r>
            <w:ins w:id="602" w:author="AUTHOR">
              <w:r w:rsidR="003E29DD" w:rsidRPr="00E52815">
                <w:rPr>
                  <w:rFonts w:eastAsia="SimSun"/>
                  <w:bCs/>
                  <w:iCs/>
                  <w:sz w:val="18"/>
                  <w:szCs w:val="18"/>
                  <w:lang w:val="en-GB"/>
                </w:rPr>
                <w:t> </w:t>
              </w:r>
              <w:r w:rsidR="003E29DD" w:rsidDel="003E29DD">
                <w:rPr>
                  <w:sz w:val="22"/>
                  <w:szCs w:val="22"/>
                  <w:lang w:val="en-GB"/>
                </w:rPr>
                <w:t xml:space="preserve"> </w:t>
              </w:r>
            </w:ins>
            <w:del w:id="603" w:author="AUTHOR">
              <w:r w:rsidR="008D605B" w:rsidDel="003E29DD">
                <w:rPr>
                  <w:sz w:val="22"/>
                  <w:szCs w:val="22"/>
                  <w:lang w:val="en-GB"/>
                </w:rPr>
                <w:delText xml:space="preserve"> </w:delText>
              </w:r>
            </w:del>
            <w:r w:rsidRPr="005A5612">
              <w:rPr>
                <w:sz w:val="22"/>
                <w:szCs w:val="22"/>
                <w:lang w:val="en-GB"/>
              </w:rPr>
              <w:t>%</w:t>
            </w:r>
            <w:r w:rsidRPr="005A5612">
              <w:rPr>
                <w:sz w:val="22"/>
                <w:szCs w:val="22"/>
                <w:vertAlign w:val="superscript"/>
                <w:lang w:val="en-GB"/>
              </w:rPr>
              <w:t>1</w:t>
            </w:r>
          </w:p>
        </w:tc>
        <w:tc>
          <w:tcPr>
            <w:tcW w:w="3261" w:type="dxa"/>
          </w:tcPr>
          <w:p w14:paraId="4E23622E" w14:textId="2AF37044" w:rsidR="007927FC" w:rsidRPr="005A5612" w:rsidRDefault="007927FC" w:rsidP="008D605B">
            <w:pPr>
              <w:pStyle w:val="TextTi12"/>
              <w:spacing w:after="0" w:line="240" w:lineRule="auto"/>
              <w:jc w:val="center"/>
              <w:rPr>
                <w:sz w:val="22"/>
                <w:szCs w:val="22"/>
                <w:lang w:val="en-GB"/>
              </w:rPr>
            </w:pPr>
            <w:r w:rsidRPr="005A5612">
              <w:rPr>
                <w:sz w:val="22"/>
                <w:szCs w:val="22"/>
                <w:lang w:val="en-GB"/>
              </w:rPr>
              <w:t>24</w:t>
            </w:r>
            <w:r w:rsidR="008D605B">
              <w:rPr>
                <w:sz w:val="22"/>
                <w:szCs w:val="22"/>
                <w:lang w:val="en-GB"/>
              </w:rPr>
              <w:t>,</w:t>
            </w:r>
            <w:r w:rsidRPr="005A5612">
              <w:rPr>
                <w:sz w:val="22"/>
                <w:szCs w:val="22"/>
                <w:lang w:val="en-GB"/>
              </w:rPr>
              <w:t>3</w:t>
            </w:r>
            <w:ins w:id="604" w:author="AUTHOR">
              <w:r w:rsidR="003E29DD" w:rsidRPr="00E52815">
                <w:rPr>
                  <w:rFonts w:eastAsia="SimSun"/>
                  <w:bCs/>
                  <w:iCs/>
                  <w:sz w:val="18"/>
                  <w:szCs w:val="18"/>
                  <w:lang w:val="en-GB"/>
                </w:rPr>
                <w:t> </w:t>
              </w:r>
              <w:r w:rsidR="003E29DD" w:rsidDel="003E29DD">
                <w:rPr>
                  <w:sz w:val="22"/>
                  <w:szCs w:val="22"/>
                  <w:lang w:val="en-GB"/>
                </w:rPr>
                <w:t xml:space="preserve"> </w:t>
              </w:r>
            </w:ins>
            <w:del w:id="605" w:author="AUTHOR">
              <w:r w:rsidR="008D605B" w:rsidDel="003E29DD">
                <w:rPr>
                  <w:sz w:val="22"/>
                  <w:szCs w:val="22"/>
                  <w:lang w:val="en-GB"/>
                </w:rPr>
                <w:delText xml:space="preserve"> </w:delText>
              </w:r>
            </w:del>
            <w:r w:rsidRPr="005A5612">
              <w:rPr>
                <w:sz w:val="22"/>
                <w:szCs w:val="22"/>
                <w:lang w:val="en-GB"/>
              </w:rPr>
              <w:t>%</w:t>
            </w:r>
          </w:p>
        </w:tc>
      </w:tr>
      <w:tr w:rsidR="007927FC" w:rsidRPr="005A5612" w14:paraId="7D82C049" w14:textId="77777777" w:rsidTr="00FC7454">
        <w:tc>
          <w:tcPr>
            <w:tcW w:w="2235" w:type="dxa"/>
          </w:tcPr>
          <w:p w14:paraId="79B4A796" w14:textId="34C2AC00" w:rsidR="007927FC" w:rsidRPr="005A5612" w:rsidRDefault="007927FC" w:rsidP="00FC7454">
            <w:pPr>
              <w:pStyle w:val="TextTi12"/>
              <w:spacing w:after="0" w:line="240" w:lineRule="auto"/>
              <w:rPr>
                <w:sz w:val="22"/>
                <w:szCs w:val="22"/>
                <w:lang w:val="en-GB"/>
              </w:rPr>
            </w:pPr>
            <w:r w:rsidRPr="005A5612">
              <w:rPr>
                <w:sz w:val="22"/>
                <w:szCs w:val="22"/>
                <w:lang w:val="en-GB"/>
              </w:rPr>
              <w:t>AIJ ACR</w:t>
            </w:r>
            <w:r w:rsidR="00205482">
              <w:rPr>
                <w:szCs w:val="22"/>
                <w:lang w:val="en-GB"/>
              </w:rPr>
              <w:t> </w:t>
            </w:r>
            <w:r w:rsidR="00205482" w:rsidRPr="005A5612" w:rsidDel="00205482">
              <w:rPr>
                <w:sz w:val="22"/>
                <w:szCs w:val="22"/>
                <w:lang w:val="en-GB"/>
              </w:rPr>
              <w:t xml:space="preserve"> </w:t>
            </w:r>
            <w:r w:rsidRPr="005A5612">
              <w:rPr>
                <w:sz w:val="22"/>
                <w:szCs w:val="22"/>
                <w:lang w:val="en-GB"/>
              </w:rPr>
              <w:t>50</w:t>
            </w:r>
          </w:p>
        </w:tc>
        <w:tc>
          <w:tcPr>
            <w:tcW w:w="2409" w:type="dxa"/>
          </w:tcPr>
          <w:p w14:paraId="228E18BC" w14:textId="232D3F76" w:rsidR="007927FC" w:rsidRPr="005A5612" w:rsidRDefault="007927FC" w:rsidP="008D605B">
            <w:pPr>
              <w:pStyle w:val="TextTi12"/>
              <w:spacing w:after="0" w:line="240" w:lineRule="auto"/>
              <w:jc w:val="center"/>
              <w:rPr>
                <w:sz w:val="22"/>
                <w:szCs w:val="22"/>
                <w:lang w:val="en-GB"/>
              </w:rPr>
            </w:pPr>
            <w:r w:rsidRPr="005A5612">
              <w:rPr>
                <w:sz w:val="22"/>
                <w:szCs w:val="22"/>
                <w:lang w:val="en-GB"/>
              </w:rPr>
              <w:t>85</w:t>
            </w:r>
            <w:r w:rsidR="008D605B">
              <w:rPr>
                <w:sz w:val="22"/>
                <w:szCs w:val="22"/>
                <w:lang w:val="en-GB"/>
              </w:rPr>
              <w:t>,</w:t>
            </w:r>
            <w:r w:rsidRPr="005A5612">
              <w:rPr>
                <w:sz w:val="22"/>
                <w:szCs w:val="22"/>
                <w:lang w:val="en-GB"/>
              </w:rPr>
              <w:t>3</w:t>
            </w:r>
            <w:ins w:id="606" w:author="AUTHOR">
              <w:r w:rsidR="003E29DD" w:rsidRPr="00E52815">
                <w:rPr>
                  <w:rFonts w:eastAsia="SimSun"/>
                  <w:bCs/>
                  <w:iCs/>
                  <w:sz w:val="18"/>
                  <w:szCs w:val="18"/>
                  <w:lang w:val="en-GB"/>
                </w:rPr>
                <w:t> </w:t>
              </w:r>
              <w:r w:rsidR="003E29DD" w:rsidDel="003E29DD">
                <w:rPr>
                  <w:sz w:val="22"/>
                  <w:szCs w:val="22"/>
                  <w:lang w:val="en-GB"/>
                </w:rPr>
                <w:t xml:space="preserve"> </w:t>
              </w:r>
            </w:ins>
            <w:del w:id="607" w:author="AUTHOR">
              <w:r w:rsidR="008D605B" w:rsidDel="003E29DD">
                <w:rPr>
                  <w:sz w:val="22"/>
                  <w:szCs w:val="22"/>
                  <w:lang w:val="en-GB"/>
                </w:rPr>
                <w:delText xml:space="preserve"> </w:delText>
              </w:r>
            </w:del>
            <w:r w:rsidRPr="005A5612">
              <w:rPr>
                <w:sz w:val="22"/>
                <w:szCs w:val="22"/>
                <w:lang w:val="en-GB"/>
              </w:rPr>
              <w:t>%</w:t>
            </w:r>
            <w:r w:rsidRPr="005A5612">
              <w:rPr>
                <w:sz w:val="22"/>
                <w:szCs w:val="22"/>
                <w:vertAlign w:val="superscript"/>
                <w:lang w:val="en-GB"/>
              </w:rPr>
              <w:t>1</w:t>
            </w:r>
          </w:p>
        </w:tc>
        <w:tc>
          <w:tcPr>
            <w:tcW w:w="3261" w:type="dxa"/>
          </w:tcPr>
          <w:p w14:paraId="4057A5DC" w14:textId="1D4CEC8C" w:rsidR="007927FC" w:rsidRPr="005A5612" w:rsidRDefault="007927FC" w:rsidP="008D605B">
            <w:pPr>
              <w:pStyle w:val="TextTi12"/>
              <w:spacing w:after="0" w:line="240" w:lineRule="auto"/>
              <w:jc w:val="center"/>
              <w:rPr>
                <w:sz w:val="22"/>
                <w:szCs w:val="22"/>
                <w:lang w:val="en-GB"/>
              </w:rPr>
            </w:pPr>
            <w:r w:rsidRPr="005A5612">
              <w:rPr>
                <w:sz w:val="22"/>
                <w:szCs w:val="22"/>
                <w:lang w:val="en-GB"/>
              </w:rPr>
              <w:t>10</w:t>
            </w:r>
            <w:r w:rsidR="008D605B">
              <w:rPr>
                <w:sz w:val="22"/>
                <w:szCs w:val="22"/>
                <w:lang w:val="en-GB"/>
              </w:rPr>
              <w:t>,</w:t>
            </w:r>
            <w:r w:rsidRPr="005A5612">
              <w:rPr>
                <w:sz w:val="22"/>
                <w:szCs w:val="22"/>
                <w:lang w:val="en-GB"/>
              </w:rPr>
              <w:t>8</w:t>
            </w:r>
            <w:ins w:id="608" w:author="AUTHOR">
              <w:r w:rsidR="003E29DD" w:rsidRPr="00E52815">
                <w:rPr>
                  <w:rFonts w:eastAsia="SimSun"/>
                  <w:bCs/>
                  <w:iCs/>
                  <w:sz w:val="18"/>
                  <w:szCs w:val="18"/>
                  <w:lang w:val="en-GB"/>
                </w:rPr>
                <w:t> </w:t>
              </w:r>
              <w:r w:rsidR="003E29DD" w:rsidDel="003E29DD">
                <w:rPr>
                  <w:sz w:val="22"/>
                  <w:szCs w:val="22"/>
                  <w:lang w:val="en-GB"/>
                </w:rPr>
                <w:t xml:space="preserve"> </w:t>
              </w:r>
            </w:ins>
            <w:del w:id="609" w:author="AUTHOR">
              <w:r w:rsidR="008D605B" w:rsidDel="003E29DD">
                <w:rPr>
                  <w:sz w:val="22"/>
                  <w:szCs w:val="22"/>
                  <w:lang w:val="en-GB"/>
                </w:rPr>
                <w:delText xml:space="preserve"> </w:delText>
              </w:r>
            </w:del>
            <w:r w:rsidRPr="005A5612">
              <w:rPr>
                <w:sz w:val="22"/>
                <w:szCs w:val="22"/>
                <w:lang w:val="en-GB"/>
              </w:rPr>
              <w:t>%</w:t>
            </w:r>
          </w:p>
        </w:tc>
      </w:tr>
      <w:tr w:rsidR="007927FC" w:rsidRPr="005A5612" w14:paraId="49DC6B9C" w14:textId="77777777" w:rsidTr="00FC7454">
        <w:tc>
          <w:tcPr>
            <w:tcW w:w="2235" w:type="dxa"/>
          </w:tcPr>
          <w:p w14:paraId="1C17A8C8" w14:textId="2B4D5A90" w:rsidR="007927FC" w:rsidRPr="005A5612" w:rsidRDefault="007927FC" w:rsidP="00FC7454">
            <w:pPr>
              <w:pStyle w:val="TextTi12"/>
              <w:spacing w:after="0" w:line="240" w:lineRule="auto"/>
              <w:rPr>
                <w:sz w:val="22"/>
                <w:szCs w:val="22"/>
                <w:lang w:val="en-GB"/>
              </w:rPr>
            </w:pPr>
            <w:r w:rsidRPr="005A5612">
              <w:rPr>
                <w:sz w:val="22"/>
                <w:szCs w:val="22"/>
                <w:lang w:val="en-GB"/>
              </w:rPr>
              <w:t>AIJ ACR</w:t>
            </w:r>
            <w:r w:rsidR="00205482">
              <w:rPr>
                <w:szCs w:val="22"/>
                <w:lang w:val="en-GB"/>
              </w:rPr>
              <w:t> </w:t>
            </w:r>
            <w:r w:rsidR="00205482" w:rsidRPr="005A5612" w:rsidDel="00205482">
              <w:rPr>
                <w:sz w:val="22"/>
                <w:szCs w:val="22"/>
                <w:lang w:val="en-GB"/>
              </w:rPr>
              <w:t xml:space="preserve"> </w:t>
            </w:r>
            <w:r w:rsidRPr="005A5612">
              <w:rPr>
                <w:sz w:val="22"/>
                <w:szCs w:val="22"/>
                <w:lang w:val="en-GB"/>
              </w:rPr>
              <w:t>70</w:t>
            </w:r>
          </w:p>
        </w:tc>
        <w:tc>
          <w:tcPr>
            <w:tcW w:w="2409" w:type="dxa"/>
          </w:tcPr>
          <w:p w14:paraId="52B2C8A9" w14:textId="2D3825DD" w:rsidR="007927FC" w:rsidRPr="005A5612" w:rsidRDefault="007927FC" w:rsidP="008D605B">
            <w:pPr>
              <w:pStyle w:val="TextTi12"/>
              <w:spacing w:after="0" w:line="240" w:lineRule="auto"/>
              <w:jc w:val="center"/>
              <w:rPr>
                <w:sz w:val="22"/>
                <w:szCs w:val="22"/>
                <w:lang w:val="en-GB"/>
              </w:rPr>
            </w:pPr>
            <w:r w:rsidRPr="005A5612">
              <w:rPr>
                <w:sz w:val="22"/>
                <w:szCs w:val="22"/>
                <w:lang w:val="en-GB"/>
              </w:rPr>
              <w:t>70</w:t>
            </w:r>
            <w:r w:rsidR="008D605B">
              <w:rPr>
                <w:sz w:val="22"/>
                <w:szCs w:val="22"/>
                <w:lang w:val="en-GB"/>
              </w:rPr>
              <w:t>,</w:t>
            </w:r>
            <w:del w:id="610" w:author="AUTHOR">
              <w:r w:rsidRPr="005A5612" w:rsidDel="003E29DD">
                <w:rPr>
                  <w:sz w:val="22"/>
                  <w:szCs w:val="22"/>
                  <w:lang w:val="en-GB"/>
                </w:rPr>
                <w:delText>7</w:delText>
              </w:r>
              <w:r w:rsidR="008D605B" w:rsidDel="003E29DD">
                <w:rPr>
                  <w:sz w:val="22"/>
                  <w:szCs w:val="22"/>
                  <w:lang w:val="en-GB"/>
                </w:rPr>
                <w:delText xml:space="preserve"> </w:delText>
              </w:r>
            </w:del>
            <w:ins w:id="611" w:author="AUTHOR">
              <w:r w:rsidR="003E29DD" w:rsidRPr="005A5612">
                <w:rPr>
                  <w:sz w:val="22"/>
                  <w:szCs w:val="22"/>
                  <w:lang w:val="en-GB"/>
                </w:rPr>
                <w:t>7</w:t>
              </w:r>
              <w:r w:rsidR="003E29DD">
                <w:rPr>
                  <w:sz w:val="22"/>
                  <w:szCs w:val="22"/>
                  <w:lang w:val="en-GB"/>
                </w:rPr>
                <w:t>v</w:t>
              </w:r>
              <w:r w:rsidR="003E29DD" w:rsidRPr="00E52815">
                <w:rPr>
                  <w:rFonts w:eastAsia="SimSun"/>
                  <w:bCs/>
                  <w:iCs/>
                  <w:sz w:val="18"/>
                  <w:szCs w:val="18"/>
                  <w:lang w:val="en-GB"/>
                </w:rPr>
                <w:t> </w:t>
              </w:r>
              <w:r w:rsidR="003E29DD" w:rsidRPr="005A5612">
                <w:rPr>
                  <w:sz w:val="22"/>
                  <w:szCs w:val="22"/>
                  <w:lang w:val="en-GB"/>
                </w:rPr>
                <w:t xml:space="preserve"> </w:t>
              </w:r>
            </w:ins>
            <w:r w:rsidRPr="005A5612">
              <w:rPr>
                <w:sz w:val="22"/>
                <w:szCs w:val="22"/>
                <w:lang w:val="en-GB"/>
              </w:rPr>
              <w:t>%</w:t>
            </w:r>
            <w:r w:rsidRPr="005A5612">
              <w:rPr>
                <w:sz w:val="22"/>
                <w:szCs w:val="22"/>
                <w:vertAlign w:val="superscript"/>
                <w:lang w:val="en-GB"/>
              </w:rPr>
              <w:t>1</w:t>
            </w:r>
          </w:p>
        </w:tc>
        <w:tc>
          <w:tcPr>
            <w:tcW w:w="3261" w:type="dxa"/>
          </w:tcPr>
          <w:p w14:paraId="2FC8EA97" w14:textId="0D249E28" w:rsidR="007927FC" w:rsidRPr="005A5612" w:rsidRDefault="007927FC" w:rsidP="008D605B">
            <w:pPr>
              <w:pStyle w:val="TextTi12"/>
              <w:spacing w:after="0" w:line="240" w:lineRule="auto"/>
              <w:jc w:val="center"/>
              <w:rPr>
                <w:sz w:val="22"/>
                <w:szCs w:val="22"/>
                <w:lang w:val="en-GB"/>
              </w:rPr>
            </w:pPr>
            <w:r w:rsidRPr="005A5612">
              <w:rPr>
                <w:sz w:val="22"/>
                <w:szCs w:val="22"/>
                <w:lang w:val="en-GB"/>
              </w:rPr>
              <w:t>8</w:t>
            </w:r>
            <w:r w:rsidR="008D605B">
              <w:rPr>
                <w:sz w:val="22"/>
                <w:szCs w:val="22"/>
                <w:lang w:val="en-GB"/>
              </w:rPr>
              <w:t>,</w:t>
            </w:r>
            <w:r w:rsidRPr="005A5612">
              <w:rPr>
                <w:sz w:val="22"/>
                <w:szCs w:val="22"/>
                <w:lang w:val="en-GB"/>
              </w:rPr>
              <w:t>1</w:t>
            </w:r>
            <w:ins w:id="612" w:author="AUTHOR">
              <w:r w:rsidR="003E29DD" w:rsidRPr="00E52815">
                <w:rPr>
                  <w:rFonts w:eastAsia="SimSun"/>
                  <w:bCs/>
                  <w:iCs/>
                  <w:sz w:val="18"/>
                  <w:szCs w:val="18"/>
                  <w:lang w:val="en-GB"/>
                </w:rPr>
                <w:t> </w:t>
              </w:r>
              <w:r w:rsidR="003E29DD" w:rsidDel="003E29DD">
                <w:rPr>
                  <w:sz w:val="22"/>
                  <w:szCs w:val="22"/>
                  <w:lang w:val="en-GB"/>
                </w:rPr>
                <w:t xml:space="preserve"> </w:t>
              </w:r>
            </w:ins>
            <w:del w:id="613" w:author="AUTHOR">
              <w:r w:rsidR="008D605B" w:rsidDel="003E29DD">
                <w:rPr>
                  <w:sz w:val="22"/>
                  <w:szCs w:val="22"/>
                  <w:lang w:val="en-GB"/>
                </w:rPr>
                <w:delText xml:space="preserve"> </w:delText>
              </w:r>
            </w:del>
            <w:r w:rsidRPr="005A5612">
              <w:rPr>
                <w:sz w:val="22"/>
                <w:szCs w:val="22"/>
                <w:lang w:val="en-GB"/>
              </w:rPr>
              <w:t>%</w:t>
            </w:r>
          </w:p>
        </w:tc>
      </w:tr>
      <w:tr w:rsidR="007927FC" w:rsidRPr="005A5612" w14:paraId="5B81E9E3" w14:textId="77777777" w:rsidTr="00FC7454">
        <w:tc>
          <w:tcPr>
            <w:tcW w:w="2235" w:type="dxa"/>
          </w:tcPr>
          <w:p w14:paraId="281927D3" w14:textId="519802A1" w:rsidR="007927FC" w:rsidRPr="005A5612" w:rsidRDefault="007927FC" w:rsidP="00FC7454">
            <w:pPr>
              <w:pStyle w:val="TextTi12"/>
              <w:spacing w:after="0" w:line="240" w:lineRule="auto"/>
              <w:rPr>
                <w:sz w:val="22"/>
                <w:szCs w:val="22"/>
                <w:lang w:val="en-GB"/>
              </w:rPr>
            </w:pPr>
            <w:r w:rsidRPr="005A5612">
              <w:rPr>
                <w:sz w:val="22"/>
                <w:szCs w:val="22"/>
                <w:lang w:val="en-GB"/>
              </w:rPr>
              <w:t>AIJ ACR</w:t>
            </w:r>
            <w:r w:rsidR="00205482">
              <w:rPr>
                <w:szCs w:val="22"/>
                <w:lang w:val="en-GB"/>
              </w:rPr>
              <w:t> </w:t>
            </w:r>
            <w:r w:rsidR="00205482" w:rsidRPr="005A5612" w:rsidDel="00205482">
              <w:rPr>
                <w:sz w:val="22"/>
                <w:szCs w:val="22"/>
                <w:lang w:val="en-GB"/>
              </w:rPr>
              <w:t xml:space="preserve"> </w:t>
            </w:r>
            <w:r w:rsidRPr="005A5612">
              <w:rPr>
                <w:sz w:val="22"/>
                <w:szCs w:val="22"/>
                <w:lang w:val="en-GB"/>
              </w:rPr>
              <w:t>90</w:t>
            </w:r>
          </w:p>
        </w:tc>
        <w:tc>
          <w:tcPr>
            <w:tcW w:w="2409" w:type="dxa"/>
          </w:tcPr>
          <w:p w14:paraId="68198F8F" w14:textId="5709B3E4" w:rsidR="007927FC" w:rsidRPr="005A5612" w:rsidRDefault="007927FC" w:rsidP="008D605B">
            <w:pPr>
              <w:pStyle w:val="TextTi12"/>
              <w:spacing w:after="0" w:line="240" w:lineRule="auto"/>
              <w:jc w:val="center"/>
              <w:rPr>
                <w:sz w:val="22"/>
                <w:szCs w:val="22"/>
                <w:lang w:val="en-GB"/>
              </w:rPr>
            </w:pPr>
            <w:r w:rsidRPr="005A5612">
              <w:rPr>
                <w:sz w:val="22"/>
                <w:szCs w:val="22"/>
                <w:lang w:val="en-GB"/>
              </w:rPr>
              <w:t>37</w:t>
            </w:r>
            <w:r w:rsidR="008D605B">
              <w:rPr>
                <w:sz w:val="22"/>
                <w:szCs w:val="22"/>
                <w:lang w:val="en-GB"/>
              </w:rPr>
              <w:t>,</w:t>
            </w:r>
            <w:r w:rsidRPr="005A5612">
              <w:rPr>
                <w:sz w:val="22"/>
                <w:szCs w:val="22"/>
                <w:lang w:val="en-GB"/>
              </w:rPr>
              <w:t>3</w:t>
            </w:r>
            <w:ins w:id="614" w:author="AUTHOR">
              <w:r w:rsidR="003E29DD" w:rsidRPr="00E52815">
                <w:rPr>
                  <w:rFonts w:eastAsia="SimSun"/>
                  <w:bCs/>
                  <w:iCs/>
                  <w:sz w:val="18"/>
                  <w:szCs w:val="18"/>
                  <w:lang w:val="en-GB"/>
                </w:rPr>
                <w:t> </w:t>
              </w:r>
              <w:r w:rsidR="003E29DD" w:rsidDel="003E29DD">
                <w:rPr>
                  <w:sz w:val="22"/>
                  <w:szCs w:val="22"/>
                  <w:lang w:val="en-GB"/>
                </w:rPr>
                <w:t xml:space="preserve"> </w:t>
              </w:r>
            </w:ins>
            <w:del w:id="615" w:author="AUTHOR">
              <w:r w:rsidR="008D605B" w:rsidDel="003E29DD">
                <w:rPr>
                  <w:sz w:val="22"/>
                  <w:szCs w:val="22"/>
                  <w:lang w:val="en-GB"/>
                </w:rPr>
                <w:delText xml:space="preserve"> </w:delText>
              </w:r>
            </w:del>
            <w:r w:rsidRPr="005A5612">
              <w:rPr>
                <w:sz w:val="22"/>
                <w:szCs w:val="22"/>
                <w:lang w:val="en-GB"/>
              </w:rPr>
              <w:t>%</w:t>
            </w:r>
            <w:r w:rsidRPr="005A5612">
              <w:rPr>
                <w:sz w:val="22"/>
                <w:szCs w:val="22"/>
                <w:vertAlign w:val="superscript"/>
                <w:lang w:val="en-GB"/>
              </w:rPr>
              <w:t>1</w:t>
            </w:r>
          </w:p>
        </w:tc>
        <w:tc>
          <w:tcPr>
            <w:tcW w:w="3261" w:type="dxa"/>
          </w:tcPr>
          <w:p w14:paraId="37A54CD9" w14:textId="0CC30811" w:rsidR="007927FC" w:rsidRPr="005A5612" w:rsidRDefault="007927FC" w:rsidP="008D605B">
            <w:pPr>
              <w:pStyle w:val="TextTi12"/>
              <w:spacing w:after="0" w:line="240" w:lineRule="auto"/>
              <w:jc w:val="center"/>
              <w:rPr>
                <w:sz w:val="22"/>
                <w:szCs w:val="22"/>
                <w:lang w:val="en-GB"/>
              </w:rPr>
            </w:pPr>
            <w:r w:rsidRPr="005A5612">
              <w:rPr>
                <w:sz w:val="22"/>
                <w:szCs w:val="22"/>
                <w:lang w:val="en-GB"/>
              </w:rPr>
              <w:t>5</w:t>
            </w:r>
            <w:r w:rsidR="008D605B">
              <w:rPr>
                <w:sz w:val="22"/>
                <w:szCs w:val="22"/>
                <w:lang w:val="en-GB"/>
              </w:rPr>
              <w:t>,</w:t>
            </w:r>
            <w:r w:rsidRPr="005A5612">
              <w:rPr>
                <w:sz w:val="22"/>
                <w:szCs w:val="22"/>
                <w:lang w:val="en-GB"/>
              </w:rPr>
              <w:t>4</w:t>
            </w:r>
            <w:ins w:id="616" w:author="AUTHOR">
              <w:r w:rsidR="003E29DD" w:rsidRPr="00E52815">
                <w:rPr>
                  <w:rFonts w:eastAsia="SimSun"/>
                  <w:bCs/>
                  <w:iCs/>
                  <w:sz w:val="18"/>
                  <w:szCs w:val="18"/>
                  <w:lang w:val="en-GB"/>
                </w:rPr>
                <w:t> </w:t>
              </w:r>
              <w:r w:rsidR="003E29DD" w:rsidDel="003E29DD">
                <w:rPr>
                  <w:sz w:val="22"/>
                  <w:szCs w:val="22"/>
                  <w:lang w:val="en-GB"/>
                </w:rPr>
                <w:t xml:space="preserve"> </w:t>
              </w:r>
            </w:ins>
            <w:del w:id="617" w:author="AUTHOR">
              <w:r w:rsidR="008D605B" w:rsidDel="003E29DD">
                <w:rPr>
                  <w:sz w:val="22"/>
                  <w:szCs w:val="22"/>
                  <w:lang w:val="en-GB"/>
                </w:rPr>
                <w:delText xml:space="preserve"> </w:delText>
              </w:r>
            </w:del>
            <w:r w:rsidRPr="005A5612">
              <w:rPr>
                <w:sz w:val="22"/>
                <w:szCs w:val="22"/>
                <w:lang w:val="en-GB"/>
              </w:rPr>
              <w:t>%</w:t>
            </w:r>
          </w:p>
        </w:tc>
      </w:tr>
    </w:tbl>
    <w:p w14:paraId="21F68721" w14:textId="480FAA97" w:rsidR="007927FC" w:rsidRPr="008A106B" w:rsidRDefault="007927FC" w:rsidP="007927FC">
      <w:pPr>
        <w:keepNext/>
        <w:rPr>
          <w:i/>
          <w:sz w:val="18"/>
          <w:szCs w:val="18"/>
          <w:lang w:val="en-GB"/>
        </w:rPr>
      </w:pPr>
      <w:r w:rsidRPr="008A106B">
        <w:rPr>
          <w:sz w:val="18"/>
          <w:szCs w:val="18"/>
          <w:vertAlign w:val="superscript"/>
          <w:lang w:val="en-GB"/>
        </w:rPr>
        <w:t>1</w:t>
      </w:r>
      <w:r w:rsidRPr="008A106B">
        <w:rPr>
          <w:i/>
          <w:sz w:val="18"/>
          <w:szCs w:val="18"/>
          <w:lang w:val="en-GB"/>
        </w:rPr>
        <w:t>p</w:t>
      </w:r>
      <w:r w:rsidR="00C8792E">
        <w:rPr>
          <w:i/>
          <w:sz w:val="18"/>
          <w:szCs w:val="18"/>
          <w:lang w:val="en-GB"/>
        </w:rPr>
        <w:t> </w:t>
      </w:r>
      <w:r w:rsidRPr="008A106B">
        <w:rPr>
          <w:i/>
          <w:sz w:val="18"/>
          <w:szCs w:val="18"/>
          <w:lang w:val="en-GB"/>
        </w:rPr>
        <w:t>&lt;</w:t>
      </w:r>
      <w:r w:rsidR="00C8792E">
        <w:rPr>
          <w:i/>
          <w:sz w:val="18"/>
          <w:szCs w:val="18"/>
          <w:lang w:val="en-GB"/>
        </w:rPr>
        <w:t> </w:t>
      </w:r>
      <w:r w:rsidRPr="008A106B">
        <w:rPr>
          <w:i/>
          <w:sz w:val="18"/>
          <w:szCs w:val="18"/>
          <w:lang w:val="en-GB"/>
        </w:rPr>
        <w:t>0</w:t>
      </w:r>
      <w:proofErr w:type="gramStart"/>
      <w:r w:rsidR="008D605B">
        <w:rPr>
          <w:i/>
          <w:sz w:val="18"/>
          <w:szCs w:val="18"/>
          <w:lang w:val="en-GB"/>
        </w:rPr>
        <w:t>,</w:t>
      </w:r>
      <w:r w:rsidRPr="008A106B">
        <w:rPr>
          <w:i/>
          <w:sz w:val="18"/>
          <w:szCs w:val="18"/>
          <w:lang w:val="en-GB"/>
        </w:rPr>
        <w:t>0001</w:t>
      </w:r>
      <w:proofErr w:type="gramEnd"/>
      <w:r w:rsidRPr="008A106B">
        <w:rPr>
          <w:i/>
          <w:sz w:val="18"/>
          <w:szCs w:val="18"/>
          <w:lang w:val="en-GB"/>
        </w:rPr>
        <w:t>, tocilizumab vs. placebo</w:t>
      </w:r>
    </w:p>
    <w:p w14:paraId="09AAB26A" w14:textId="77777777" w:rsidR="007927FC" w:rsidRPr="008A106B" w:rsidRDefault="007927FC" w:rsidP="007927FC">
      <w:pPr>
        <w:numPr>
          <w:ilvl w:val="12"/>
          <w:numId w:val="0"/>
        </w:numPr>
        <w:ind w:right="-2"/>
        <w:rPr>
          <w:bCs/>
          <w:u w:val="single"/>
          <w:lang w:val="es-ES"/>
        </w:rPr>
      </w:pPr>
    </w:p>
    <w:p w14:paraId="748B5389" w14:textId="77777777" w:rsidR="007927FC" w:rsidRPr="006868F5" w:rsidRDefault="007927FC">
      <w:pPr>
        <w:keepNext/>
        <w:keepLines/>
        <w:numPr>
          <w:ilvl w:val="12"/>
          <w:numId w:val="0"/>
        </w:numPr>
        <w:rPr>
          <w:bCs/>
          <w:i/>
          <w:lang w:val="es-ES"/>
        </w:rPr>
        <w:pPrChange w:id="618" w:author="AUTHOR">
          <w:pPr>
            <w:keepNext/>
            <w:keepLines/>
            <w:numPr>
              <w:ilvl w:val="12"/>
            </w:numPr>
            <w:ind w:firstLine="561"/>
          </w:pPr>
        </w:pPrChange>
      </w:pPr>
      <w:r w:rsidRPr="006868F5">
        <w:rPr>
          <w:bCs/>
          <w:i/>
          <w:lang w:val="es-ES"/>
        </w:rPr>
        <w:t>Efectos sistémicos</w:t>
      </w:r>
    </w:p>
    <w:p w14:paraId="2010B678" w14:textId="07F5E47A" w:rsidR="007927FC" w:rsidRPr="008A106B" w:rsidRDefault="007927FC" w:rsidP="007927FC">
      <w:pPr>
        <w:keepNext/>
        <w:keepLines/>
        <w:numPr>
          <w:ilvl w:val="12"/>
          <w:numId w:val="0"/>
        </w:numPr>
        <w:rPr>
          <w:bCs/>
          <w:lang w:val="es-ES"/>
        </w:rPr>
      </w:pPr>
      <w:r w:rsidRPr="008A106B">
        <w:rPr>
          <w:bCs/>
          <w:lang w:val="es-ES"/>
        </w:rPr>
        <w:t>De los pacientes tratados con tocilizumab, el 85</w:t>
      </w:r>
      <w:r w:rsidR="008D605B">
        <w:rPr>
          <w:bCs/>
          <w:lang w:val="es-ES"/>
        </w:rPr>
        <w:t xml:space="preserve"> </w:t>
      </w:r>
      <w:r w:rsidRPr="008A106B">
        <w:rPr>
          <w:bCs/>
          <w:lang w:val="es-ES"/>
        </w:rPr>
        <w:t xml:space="preserve">% que habían tenido fiebre al inicio debida a su AIJs estaban sin fiebre (ningún registro de temperatura </w:t>
      </w:r>
      <w:proofErr w:type="gramStart"/>
      <w:r w:rsidR="00AC6608">
        <w:rPr>
          <w:lang w:val="es-ES"/>
        </w:rPr>
        <w:t>≥</w:t>
      </w:r>
      <w:r w:rsidR="00205482" w:rsidRPr="00F30AB8">
        <w:rPr>
          <w:szCs w:val="22"/>
          <w:lang w:val="es-ES"/>
        </w:rPr>
        <w:t> </w:t>
      </w:r>
      <w:r w:rsidR="00205482" w:rsidDel="00205482">
        <w:rPr>
          <w:lang w:val="es-ES"/>
        </w:rPr>
        <w:t xml:space="preserve"> </w:t>
      </w:r>
      <w:r w:rsidR="00AC6608">
        <w:rPr>
          <w:lang w:val="es-ES"/>
        </w:rPr>
        <w:t>37</w:t>
      </w:r>
      <w:proofErr w:type="gramEnd"/>
      <w:r w:rsidR="00AC6608">
        <w:rPr>
          <w:lang w:val="es-ES"/>
        </w:rPr>
        <w:t>,5</w:t>
      </w:r>
      <w:r w:rsidR="00205482" w:rsidRPr="00F30AB8">
        <w:rPr>
          <w:szCs w:val="22"/>
          <w:lang w:val="es-ES"/>
        </w:rPr>
        <w:t> </w:t>
      </w:r>
      <w:r w:rsidR="00205482">
        <w:rPr>
          <w:lang w:val="es-ES"/>
        </w:rPr>
        <w:t xml:space="preserve"> </w:t>
      </w:r>
      <w:r w:rsidR="00AC6608">
        <w:rPr>
          <w:lang w:val="es-ES"/>
        </w:rPr>
        <w:t>º</w:t>
      </w:r>
      <w:r w:rsidRPr="008A106B">
        <w:rPr>
          <w:lang w:val="es-ES"/>
        </w:rPr>
        <w:t>C en los últimos 14</w:t>
      </w:r>
      <w:r w:rsidR="00205482" w:rsidRPr="00F30AB8">
        <w:rPr>
          <w:szCs w:val="22"/>
          <w:lang w:val="es-ES"/>
        </w:rPr>
        <w:t> </w:t>
      </w:r>
      <w:r w:rsidR="00205482" w:rsidRPr="008A106B" w:rsidDel="00205482">
        <w:rPr>
          <w:lang w:val="es-ES"/>
        </w:rPr>
        <w:t xml:space="preserve"> </w:t>
      </w:r>
      <w:r w:rsidRPr="008A106B">
        <w:rPr>
          <w:lang w:val="es-ES"/>
        </w:rPr>
        <w:t xml:space="preserve">días) </w:t>
      </w:r>
      <w:r w:rsidRPr="008A106B">
        <w:rPr>
          <w:bCs/>
          <w:lang w:val="es-ES"/>
        </w:rPr>
        <w:t>en la semana 12</w:t>
      </w:r>
      <w:r w:rsidR="00205482" w:rsidRPr="00F30AB8">
        <w:rPr>
          <w:szCs w:val="22"/>
          <w:lang w:val="es-ES"/>
        </w:rPr>
        <w:t> </w:t>
      </w:r>
      <w:r w:rsidR="00205482" w:rsidRPr="008A106B" w:rsidDel="00205482">
        <w:rPr>
          <w:bCs/>
          <w:lang w:val="es-ES"/>
        </w:rPr>
        <w:t xml:space="preserve"> </w:t>
      </w:r>
      <w:r w:rsidRPr="008A106B">
        <w:rPr>
          <w:bCs/>
          <w:lang w:val="es-ES"/>
        </w:rPr>
        <w:t>frente a un 21</w:t>
      </w:r>
      <w:r w:rsidR="008D605B">
        <w:rPr>
          <w:bCs/>
          <w:lang w:val="es-ES"/>
        </w:rPr>
        <w:t xml:space="preserve"> </w:t>
      </w:r>
      <w:r w:rsidRPr="008A106B">
        <w:rPr>
          <w:bCs/>
          <w:lang w:val="es-ES"/>
        </w:rPr>
        <w:t>% de los pacientes tratados con placebo (p&lt;0</w:t>
      </w:r>
      <w:r w:rsidR="008D605B">
        <w:rPr>
          <w:bCs/>
          <w:lang w:val="es-ES"/>
        </w:rPr>
        <w:t>,</w:t>
      </w:r>
      <w:r w:rsidRPr="008A106B">
        <w:rPr>
          <w:bCs/>
          <w:lang w:val="es-ES"/>
        </w:rPr>
        <w:t>0001).</w:t>
      </w:r>
    </w:p>
    <w:p w14:paraId="3C34CB46" w14:textId="77777777" w:rsidR="007927FC" w:rsidRPr="008A106B" w:rsidRDefault="007927FC" w:rsidP="007927FC">
      <w:pPr>
        <w:keepNext/>
        <w:keepLines/>
        <w:numPr>
          <w:ilvl w:val="12"/>
          <w:numId w:val="0"/>
        </w:numPr>
        <w:rPr>
          <w:bCs/>
          <w:lang w:val="es-ES"/>
        </w:rPr>
      </w:pPr>
    </w:p>
    <w:p w14:paraId="50670050" w14:textId="72ED63F8" w:rsidR="007927FC" w:rsidRPr="008A106B" w:rsidRDefault="007927FC" w:rsidP="007927FC">
      <w:pPr>
        <w:numPr>
          <w:ilvl w:val="12"/>
          <w:numId w:val="0"/>
        </w:numPr>
        <w:ind w:right="-2"/>
        <w:rPr>
          <w:bCs/>
          <w:lang w:val="es-ES"/>
        </w:rPr>
      </w:pPr>
      <w:r w:rsidRPr="008A106B">
        <w:rPr>
          <w:bCs/>
          <w:lang w:val="es-ES"/>
        </w:rPr>
        <w:t xml:space="preserve">Para pacientes tratados con tocilizumab, el cambio medio ajustado en la escala del dolor VAS, después de </w:t>
      </w:r>
      <w:proofErr w:type="gramStart"/>
      <w:r w:rsidRPr="008A106B">
        <w:rPr>
          <w:bCs/>
          <w:lang w:val="es-ES"/>
        </w:rPr>
        <w:t>12</w:t>
      </w:r>
      <w:r w:rsidR="00205482" w:rsidRPr="00F30AB8">
        <w:rPr>
          <w:szCs w:val="22"/>
          <w:lang w:val="es-ES"/>
        </w:rPr>
        <w:t> </w:t>
      </w:r>
      <w:r w:rsidR="00205482" w:rsidRPr="008A106B" w:rsidDel="00205482">
        <w:rPr>
          <w:bCs/>
          <w:lang w:val="es-ES"/>
        </w:rPr>
        <w:t xml:space="preserve"> </w:t>
      </w:r>
      <w:r w:rsidRPr="008A106B">
        <w:rPr>
          <w:bCs/>
          <w:lang w:val="es-ES"/>
        </w:rPr>
        <w:t>semanas</w:t>
      </w:r>
      <w:proofErr w:type="gramEnd"/>
      <w:r w:rsidRPr="008A106B">
        <w:rPr>
          <w:bCs/>
          <w:lang w:val="es-ES"/>
        </w:rPr>
        <w:t xml:space="preserve"> de tratamiento con tocilizumab, fue de 41</w:t>
      </w:r>
      <w:r w:rsidR="00205482" w:rsidRPr="00F30AB8">
        <w:rPr>
          <w:szCs w:val="22"/>
          <w:lang w:val="es-ES"/>
        </w:rPr>
        <w:t> </w:t>
      </w:r>
      <w:r w:rsidR="00205482" w:rsidRPr="008A106B" w:rsidDel="00205482">
        <w:rPr>
          <w:bCs/>
          <w:lang w:val="es-ES"/>
        </w:rPr>
        <w:t xml:space="preserve"> </w:t>
      </w:r>
      <w:r w:rsidRPr="008A106B">
        <w:rPr>
          <w:bCs/>
          <w:lang w:val="es-ES"/>
        </w:rPr>
        <w:t>puntos en una escala de 0 a 100, comparado con una reducción de un 1 para pacientes tratados con placebo (p&lt;0</w:t>
      </w:r>
      <w:r w:rsidR="008D605B">
        <w:rPr>
          <w:bCs/>
          <w:lang w:val="es-ES"/>
        </w:rPr>
        <w:t>,</w:t>
      </w:r>
      <w:r w:rsidRPr="008A106B">
        <w:rPr>
          <w:bCs/>
          <w:lang w:val="es-ES"/>
        </w:rPr>
        <w:t>0001).</w:t>
      </w:r>
    </w:p>
    <w:p w14:paraId="1A83ECA2" w14:textId="77777777" w:rsidR="007927FC" w:rsidRPr="008A106B" w:rsidRDefault="007927FC" w:rsidP="007927FC">
      <w:pPr>
        <w:numPr>
          <w:ilvl w:val="12"/>
          <w:numId w:val="0"/>
        </w:numPr>
        <w:ind w:right="-2"/>
        <w:rPr>
          <w:bCs/>
          <w:lang w:val="es-ES"/>
        </w:rPr>
      </w:pPr>
    </w:p>
    <w:p w14:paraId="5219C816" w14:textId="77777777" w:rsidR="007927FC" w:rsidRPr="006868F5" w:rsidRDefault="007927FC" w:rsidP="007927FC">
      <w:pPr>
        <w:numPr>
          <w:ilvl w:val="12"/>
          <w:numId w:val="0"/>
        </w:numPr>
        <w:ind w:right="-2"/>
        <w:rPr>
          <w:bCs/>
          <w:i/>
          <w:lang w:val="es-ES"/>
        </w:rPr>
      </w:pPr>
      <w:r w:rsidRPr="006868F5">
        <w:rPr>
          <w:bCs/>
          <w:i/>
          <w:lang w:val="es-ES"/>
        </w:rPr>
        <w:t>Disminución en corticosteroides</w:t>
      </w:r>
    </w:p>
    <w:p w14:paraId="421DC78A" w14:textId="0170187B" w:rsidR="007927FC" w:rsidRPr="008A106B" w:rsidRDefault="007927FC" w:rsidP="007927FC">
      <w:pPr>
        <w:autoSpaceDE w:val="0"/>
        <w:autoSpaceDN w:val="0"/>
        <w:adjustRightInd w:val="0"/>
        <w:rPr>
          <w:bCs/>
          <w:lang w:val="es-ES"/>
        </w:rPr>
      </w:pPr>
      <w:r w:rsidRPr="008A106B">
        <w:rPr>
          <w:bCs/>
          <w:lang w:val="es-ES"/>
        </w:rPr>
        <w:t xml:space="preserve">A los pacientes </w:t>
      </w:r>
      <w:r w:rsidRPr="00032F36">
        <w:rPr>
          <w:bCs/>
          <w:lang w:val="es-ES"/>
        </w:rPr>
        <w:t xml:space="preserve">que </w:t>
      </w:r>
      <w:r w:rsidRPr="00032F36">
        <w:rPr>
          <w:rFonts w:eastAsia="SimSun"/>
          <w:szCs w:val="22"/>
          <w:lang w:val="es-ES" w:eastAsia="zh-CN"/>
          <w:rPrChange w:id="619" w:author="tcs" w:date="2026-02-25T23:52:00Z">
            <w:rPr>
              <w:rFonts w:ascii="Minion-Regular" w:eastAsia="SimSun" w:hAnsi="Minion-Regular" w:cs="Minion-Regular"/>
              <w:szCs w:val="22"/>
              <w:lang w:val="es-ES" w:eastAsia="zh-CN"/>
            </w:rPr>
          </w:rPrChange>
        </w:rPr>
        <w:t>mejoraron la respuesta ACR 70 en AIJ</w:t>
      </w:r>
      <w:r w:rsidRPr="008A106B">
        <w:rPr>
          <w:bCs/>
          <w:lang w:val="es-ES"/>
        </w:rPr>
        <w:t xml:space="preserve"> se les permitió reducir la dosis de corticosteroides. Diecisiete pacientes tratados con tocilizumab (24</w:t>
      </w:r>
      <w:r w:rsidR="008D605B">
        <w:rPr>
          <w:bCs/>
          <w:lang w:val="es-ES"/>
        </w:rPr>
        <w:t xml:space="preserve"> </w:t>
      </w:r>
      <w:r w:rsidRPr="008A106B">
        <w:rPr>
          <w:bCs/>
          <w:lang w:val="es-ES"/>
        </w:rPr>
        <w:t>%) frente a 1 paciente tratado con placebo (3</w:t>
      </w:r>
      <w:r w:rsidR="008D605B">
        <w:rPr>
          <w:bCs/>
          <w:lang w:val="es-ES"/>
        </w:rPr>
        <w:t xml:space="preserve"> </w:t>
      </w:r>
      <w:r w:rsidRPr="008A106B">
        <w:rPr>
          <w:bCs/>
          <w:lang w:val="es-ES"/>
        </w:rPr>
        <w:t>%) redujeron su dosis de corticosteroides en al menos un 20</w:t>
      </w:r>
      <w:r w:rsidR="008D605B">
        <w:rPr>
          <w:bCs/>
          <w:lang w:val="es-ES"/>
        </w:rPr>
        <w:t xml:space="preserve"> </w:t>
      </w:r>
      <w:r w:rsidRPr="008A106B">
        <w:rPr>
          <w:bCs/>
          <w:lang w:val="es-ES"/>
        </w:rPr>
        <w:t>% sin experimentar un brote (ACR</w:t>
      </w:r>
      <w:r w:rsidR="00205482" w:rsidRPr="00F30AB8">
        <w:rPr>
          <w:szCs w:val="22"/>
          <w:lang w:val="es-ES"/>
        </w:rPr>
        <w:t> </w:t>
      </w:r>
      <w:r w:rsidR="00205482" w:rsidRPr="008A106B" w:rsidDel="00205482">
        <w:rPr>
          <w:bCs/>
          <w:lang w:val="es-ES"/>
        </w:rPr>
        <w:t xml:space="preserve"> </w:t>
      </w:r>
      <w:r w:rsidRPr="008A106B">
        <w:rPr>
          <w:bCs/>
          <w:lang w:val="es-ES"/>
        </w:rPr>
        <w:t xml:space="preserve">30 en su AIJ) o la aparición de síntomas sistémicos hasta la </w:t>
      </w:r>
      <w:proofErr w:type="gramStart"/>
      <w:r w:rsidRPr="008A106B">
        <w:rPr>
          <w:bCs/>
          <w:lang w:val="es-ES"/>
        </w:rPr>
        <w:t>semana</w:t>
      </w:r>
      <w:r w:rsidR="00205482" w:rsidRPr="00F30AB8">
        <w:rPr>
          <w:szCs w:val="22"/>
          <w:lang w:val="es-ES"/>
        </w:rPr>
        <w:t> </w:t>
      </w:r>
      <w:r w:rsidR="00205482" w:rsidRPr="008A106B" w:rsidDel="00205482">
        <w:rPr>
          <w:bCs/>
          <w:lang w:val="es-ES"/>
        </w:rPr>
        <w:t xml:space="preserve"> </w:t>
      </w:r>
      <w:r w:rsidRPr="008A106B">
        <w:rPr>
          <w:bCs/>
          <w:lang w:val="es-ES"/>
        </w:rPr>
        <w:t>12</w:t>
      </w:r>
      <w:proofErr w:type="gramEnd"/>
      <w:r w:rsidRPr="008A106B">
        <w:rPr>
          <w:bCs/>
          <w:lang w:val="es-ES"/>
        </w:rPr>
        <w:t xml:space="preserve"> (p=0,028). </w:t>
      </w:r>
      <w:r w:rsidRPr="006868F5">
        <w:rPr>
          <w:rFonts w:eastAsia="SimSun"/>
          <w:color w:val="000000"/>
          <w:sz w:val="20"/>
          <w:lang w:val="es-ES" w:eastAsia="zh-CN"/>
        </w:rPr>
        <w:t>La</w:t>
      </w:r>
      <w:r w:rsidRPr="008A106B">
        <w:rPr>
          <w:rFonts w:ascii="Arial" w:eastAsia="SimSun" w:hAnsi="Arial" w:cs="Arial"/>
          <w:color w:val="000080"/>
          <w:sz w:val="20"/>
          <w:lang w:val="es-ES" w:eastAsia="zh-CN"/>
        </w:rPr>
        <w:t xml:space="preserve"> </w:t>
      </w:r>
      <w:r w:rsidRPr="008A106B">
        <w:rPr>
          <w:bCs/>
          <w:lang w:val="es-ES"/>
        </w:rPr>
        <w:t xml:space="preserve">disminución de los corticosteroides continuó, con 44 pacientes libres de corticosteroides orales en la </w:t>
      </w:r>
      <w:proofErr w:type="gramStart"/>
      <w:r w:rsidRPr="008A106B">
        <w:rPr>
          <w:bCs/>
          <w:lang w:val="es-ES"/>
        </w:rPr>
        <w:t>semana</w:t>
      </w:r>
      <w:r w:rsidR="00205482" w:rsidRPr="00F30AB8">
        <w:rPr>
          <w:szCs w:val="22"/>
          <w:lang w:val="es-ES"/>
        </w:rPr>
        <w:t> </w:t>
      </w:r>
      <w:r w:rsidR="00205482" w:rsidRPr="008A106B" w:rsidDel="00205482">
        <w:rPr>
          <w:bCs/>
          <w:lang w:val="es-ES"/>
        </w:rPr>
        <w:t xml:space="preserve"> </w:t>
      </w:r>
      <w:r w:rsidRPr="008A106B">
        <w:rPr>
          <w:bCs/>
          <w:lang w:val="es-ES"/>
        </w:rPr>
        <w:t>44</w:t>
      </w:r>
      <w:proofErr w:type="gramEnd"/>
      <w:r w:rsidRPr="008A106B">
        <w:rPr>
          <w:bCs/>
          <w:lang w:val="es-ES"/>
        </w:rPr>
        <w:t>, mientras mantenían las respuestas ACR en su AIJ.</w:t>
      </w:r>
    </w:p>
    <w:p w14:paraId="0B7CC0EB" w14:textId="77777777" w:rsidR="007927FC" w:rsidRPr="008A106B" w:rsidRDefault="007927FC" w:rsidP="007927FC">
      <w:pPr>
        <w:autoSpaceDE w:val="0"/>
        <w:autoSpaceDN w:val="0"/>
        <w:adjustRightInd w:val="0"/>
        <w:rPr>
          <w:bCs/>
          <w:lang w:val="es-ES"/>
        </w:rPr>
      </w:pPr>
    </w:p>
    <w:p w14:paraId="4C01AB4C" w14:textId="77777777" w:rsidR="007927FC" w:rsidRPr="008A106B" w:rsidRDefault="007927FC" w:rsidP="007927FC">
      <w:pPr>
        <w:rPr>
          <w:i/>
          <w:iCs/>
          <w:lang w:val="es-ES"/>
        </w:rPr>
      </w:pPr>
      <w:r w:rsidRPr="008A106B">
        <w:rPr>
          <w:i/>
          <w:iCs/>
          <w:lang w:val="es-ES_tradnl"/>
        </w:rPr>
        <w:t>Resultados relacionados con la salud y la calidad de vida</w:t>
      </w:r>
    </w:p>
    <w:p w14:paraId="771557BA" w14:textId="60FAD39D" w:rsidR="007927FC" w:rsidRPr="008A106B" w:rsidRDefault="007927FC" w:rsidP="007927FC">
      <w:pPr>
        <w:textAlignment w:val="top"/>
        <w:rPr>
          <w:lang w:val="es-ES"/>
        </w:rPr>
      </w:pPr>
      <w:r w:rsidRPr="008A106B">
        <w:rPr>
          <w:lang w:val="es-ES"/>
        </w:rPr>
        <w:t xml:space="preserve">En la </w:t>
      </w:r>
      <w:proofErr w:type="gramStart"/>
      <w:r w:rsidRPr="008A106B">
        <w:rPr>
          <w:lang w:val="es-ES"/>
        </w:rPr>
        <w:t>semana</w:t>
      </w:r>
      <w:r w:rsidR="00205482" w:rsidRPr="00F30AB8">
        <w:rPr>
          <w:szCs w:val="22"/>
          <w:lang w:val="es-ES"/>
        </w:rPr>
        <w:t> </w:t>
      </w:r>
      <w:r w:rsidR="00205482" w:rsidRPr="008A106B" w:rsidDel="00205482">
        <w:rPr>
          <w:lang w:val="es-ES"/>
        </w:rPr>
        <w:t xml:space="preserve"> </w:t>
      </w:r>
      <w:r w:rsidRPr="008A106B">
        <w:rPr>
          <w:lang w:val="es-ES"/>
        </w:rPr>
        <w:t>12</w:t>
      </w:r>
      <w:proofErr w:type="gramEnd"/>
      <w:r w:rsidRPr="008A106B">
        <w:rPr>
          <w:lang w:val="es-ES"/>
        </w:rPr>
        <w:t xml:space="preserve">, la proporción de pacientes tratados con tocilizumab mostraron una mejora mínima clínicamente importante en el Cuestionario de Evaluación de Salud Infantil - Índice de Discapacidad </w:t>
      </w:r>
      <w:r w:rsidRPr="008A106B">
        <w:rPr>
          <w:lang w:val="es-ES"/>
        </w:rPr>
        <w:lastRenderedPageBreak/>
        <w:t>(definida como una disminución de la puntuación total ≥</w:t>
      </w:r>
      <w:r w:rsidR="00205482" w:rsidRPr="00F30AB8">
        <w:rPr>
          <w:szCs w:val="22"/>
          <w:lang w:val="es-ES"/>
        </w:rPr>
        <w:t> </w:t>
      </w:r>
      <w:r w:rsidR="00205482" w:rsidRPr="008A106B" w:rsidDel="00205482">
        <w:rPr>
          <w:lang w:val="es-ES"/>
        </w:rPr>
        <w:t xml:space="preserve"> </w:t>
      </w:r>
      <w:r w:rsidRPr="008A106B">
        <w:rPr>
          <w:lang w:val="es-ES"/>
        </w:rPr>
        <w:t>0,13) fue significativamente mayor que en los pacientes tratados con placebo, 77</w:t>
      </w:r>
      <w:r w:rsidR="008D605B">
        <w:rPr>
          <w:lang w:val="es-ES"/>
        </w:rPr>
        <w:t xml:space="preserve"> </w:t>
      </w:r>
      <w:r w:rsidRPr="008A106B">
        <w:rPr>
          <w:lang w:val="es-ES"/>
        </w:rPr>
        <w:t xml:space="preserve">% frente a 19 % (p &lt;0,0001). </w:t>
      </w:r>
    </w:p>
    <w:p w14:paraId="08D3619A" w14:textId="77777777" w:rsidR="007927FC" w:rsidRPr="008A106B" w:rsidRDefault="007927FC" w:rsidP="007927FC">
      <w:pPr>
        <w:textAlignment w:val="top"/>
        <w:rPr>
          <w:lang w:val="es-ES"/>
        </w:rPr>
      </w:pPr>
    </w:p>
    <w:p w14:paraId="3053FB22" w14:textId="119529D2" w:rsidR="007927FC" w:rsidRPr="006868F5" w:rsidRDefault="007927FC" w:rsidP="00556927">
      <w:pPr>
        <w:textAlignment w:val="top"/>
        <w:rPr>
          <w:i/>
          <w:lang w:val="es-ES"/>
        </w:rPr>
      </w:pPr>
      <w:r w:rsidRPr="006868F5">
        <w:rPr>
          <w:i/>
          <w:lang w:val="es-ES"/>
        </w:rPr>
        <w:t xml:space="preserve">Parámetros de </w:t>
      </w:r>
      <w:r w:rsidR="00205482">
        <w:rPr>
          <w:i/>
          <w:lang w:val="es-ES"/>
        </w:rPr>
        <w:t>L</w:t>
      </w:r>
      <w:r w:rsidR="00205482" w:rsidRPr="006868F5">
        <w:rPr>
          <w:i/>
          <w:lang w:val="es-ES"/>
        </w:rPr>
        <w:t xml:space="preserve">aboratorio </w:t>
      </w:r>
    </w:p>
    <w:p w14:paraId="20D604F2" w14:textId="6FE74ED3" w:rsidR="007927FC" w:rsidRPr="008A106B" w:rsidRDefault="007927FC" w:rsidP="00556927">
      <w:pPr>
        <w:textAlignment w:val="top"/>
        <w:rPr>
          <w:lang w:val="es-ES"/>
        </w:rPr>
      </w:pPr>
      <w:r w:rsidRPr="008A106B">
        <w:rPr>
          <w:lang w:val="es-ES"/>
        </w:rPr>
        <w:t>Cincuenta de setenta y cinco pacientes (67</w:t>
      </w:r>
      <w:r w:rsidR="008D605B">
        <w:rPr>
          <w:lang w:val="es-ES"/>
        </w:rPr>
        <w:t xml:space="preserve"> </w:t>
      </w:r>
      <w:r w:rsidRPr="008A106B">
        <w:rPr>
          <w:lang w:val="es-ES"/>
        </w:rPr>
        <w:t xml:space="preserve">%) tratados con tocilizumab tuvieron un valor de hemoglobina </w:t>
      </w:r>
      <w:proofErr w:type="gramStart"/>
      <w:r w:rsidRPr="008A106B">
        <w:rPr>
          <w:lang w:val="es-ES"/>
        </w:rPr>
        <w:t>&lt;</w:t>
      </w:r>
      <w:r w:rsidR="00205482" w:rsidRPr="00F30AB8">
        <w:rPr>
          <w:szCs w:val="22"/>
          <w:lang w:val="es-ES"/>
        </w:rPr>
        <w:t> </w:t>
      </w:r>
      <w:r w:rsidR="00205482" w:rsidRPr="008A106B" w:rsidDel="00205482">
        <w:rPr>
          <w:lang w:val="es-ES"/>
        </w:rPr>
        <w:t xml:space="preserve"> </w:t>
      </w:r>
      <w:r w:rsidRPr="008A106B">
        <w:rPr>
          <w:lang w:val="es-ES"/>
        </w:rPr>
        <w:t>LIN</w:t>
      </w:r>
      <w:proofErr w:type="gramEnd"/>
      <w:r w:rsidR="00AC6608">
        <w:rPr>
          <w:lang w:val="es-ES"/>
        </w:rPr>
        <w:t xml:space="preserve"> </w:t>
      </w:r>
      <w:r w:rsidR="00AC6608" w:rsidRPr="008A106B">
        <w:rPr>
          <w:lang w:val="es-ES"/>
        </w:rPr>
        <w:t>al inicio</w:t>
      </w:r>
      <w:r w:rsidR="00AC6608">
        <w:rPr>
          <w:lang w:val="es-ES"/>
        </w:rPr>
        <w:t xml:space="preserve"> del estudio</w:t>
      </w:r>
      <w:r w:rsidRPr="008A106B">
        <w:rPr>
          <w:lang w:val="es-ES"/>
        </w:rPr>
        <w:t>. Cuarenta (80</w:t>
      </w:r>
      <w:r w:rsidR="008D605B">
        <w:rPr>
          <w:lang w:val="es-ES"/>
        </w:rPr>
        <w:t xml:space="preserve"> </w:t>
      </w:r>
      <w:r w:rsidRPr="008A106B">
        <w:rPr>
          <w:lang w:val="es-ES"/>
        </w:rPr>
        <w:t xml:space="preserve">%) de estos pacientes tuvo un aumento de hemoglobina dentro de los límites normales en la </w:t>
      </w:r>
      <w:proofErr w:type="gramStart"/>
      <w:r w:rsidRPr="008A106B">
        <w:rPr>
          <w:lang w:val="es-ES"/>
        </w:rPr>
        <w:t>semana</w:t>
      </w:r>
      <w:r w:rsidR="00205482" w:rsidRPr="00F30AB8">
        <w:rPr>
          <w:szCs w:val="22"/>
          <w:lang w:val="es-ES"/>
        </w:rPr>
        <w:t> </w:t>
      </w:r>
      <w:r w:rsidR="00205482" w:rsidRPr="008A106B" w:rsidDel="00205482">
        <w:rPr>
          <w:lang w:val="es-ES"/>
        </w:rPr>
        <w:t xml:space="preserve"> </w:t>
      </w:r>
      <w:r w:rsidRPr="008A106B">
        <w:rPr>
          <w:lang w:val="es-ES"/>
        </w:rPr>
        <w:t>12</w:t>
      </w:r>
      <w:proofErr w:type="gramEnd"/>
      <w:r w:rsidRPr="008A106B">
        <w:rPr>
          <w:lang w:val="es-ES"/>
        </w:rPr>
        <w:t>, en comparación con sólo 2 de 29 (7</w:t>
      </w:r>
      <w:r w:rsidR="008D605B">
        <w:rPr>
          <w:lang w:val="es-ES"/>
        </w:rPr>
        <w:t xml:space="preserve"> </w:t>
      </w:r>
      <w:r w:rsidRPr="008A106B">
        <w:rPr>
          <w:lang w:val="es-ES"/>
        </w:rPr>
        <w:t xml:space="preserve">%) de pacientes tratados con placebo y que con la hemoglobina </w:t>
      </w:r>
      <w:r w:rsidR="00AC6608" w:rsidRPr="008A106B">
        <w:rPr>
          <w:lang w:val="es-ES"/>
        </w:rPr>
        <w:t>&lt;</w:t>
      </w:r>
      <w:r w:rsidR="00205482" w:rsidRPr="00F30AB8">
        <w:rPr>
          <w:szCs w:val="22"/>
          <w:lang w:val="es-ES"/>
        </w:rPr>
        <w:t> </w:t>
      </w:r>
      <w:r w:rsidR="00205482" w:rsidRPr="008A106B" w:rsidDel="00205482">
        <w:rPr>
          <w:lang w:val="es-ES"/>
        </w:rPr>
        <w:t xml:space="preserve"> </w:t>
      </w:r>
      <w:r w:rsidR="00AC6608" w:rsidRPr="008A106B">
        <w:rPr>
          <w:lang w:val="es-ES"/>
        </w:rPr>
        <w:t xml:space="preserve">LIN </w:t>
      </w:r>
      <w:r w:rsidRPr="008A106B">
        <w:rPr>
          <w:lang w:val="es-ES"/>
        </w:rPr>
        <w:t>al inicio del estudio (p &lt;0,0001).</w:t>
      </w:r>
    </w:p>
    <w:p w14:paraId="4D88773A" w14:textId="77777777" w:rsidR="007927FC" w:rsidRPr="008A106B" w:rsidRDefault="007927FC" w:rsidP="00556927">
      <w:pPr>
        <w:textAlignment w:val="top"/>
        <w:rPr>
          <w:bCs/>
          <w:lang w:val="es-ES"/>
        </w:rPr>
      </w:pPr>
    </w:p>
    <w:p w14:paraId="0752D892" w14:textId="17C7F6BB" w:rsidR="007927FC" w:rsidRDefault="007F538F" w:rsidP="00556927">
      <w:pPr>
        <w:keepNext/>
        <w:keepLines/>
        <w:textAlignment w:val="top"/>
        <w:rPr>
          <w:bCs/>
          <w:u w:val="single"/>
          <w:lang w:val="es-ES"/>
        </w:rPr>
      </w:pPr>
      <w:r w:rsidRPr="00F30AB8">
        <w:rPr>
          <w:bCs/>
          <w:u w:val="single"/>
          <w:lang w:val="es-ES"/>
        </w:rPr>
        <w:t>Población ped</w:t>
      </w:r>
      <w:del w:id="620" w:author="AUTHOR">
        <w:r w:rsidRPr="00F30AB8" w:rsidDel="00613A5B">
          <w:rPr>
            <w:bCs/>
            <w:u w:val="single"/>
            <w:lang w:val="es-ES"/>
          </w:rPr>
          <w:delText>r</w:delText>
        </w:r>
      </w:del>
      <w:r w:rsidRPr="00F30AB8">
        <w:rPr>
          <w:bCs/>
          <w:u w:val="single"/>
          <w:lang w:val="es-ES"/>
        </w:rPr>
        <w:t xml:space="preserve">iátrica con </w:t>
      </w:r>
      <w:r w:rsidR="007927FC" w:rsidRPr="00F30AB8">
        <w:rPr>
          <w:bCs/>
          <w:u w:val="single"/>
          <w:lang w:val="es-ES"/>
        </w:rPr>
        <w:t>AIJp</w:t>
      </w:r>
    </w:p>
    <w:p w14:paraId="104B0D1E" w14:textId="760507A7" w:rsidR="007F538F" w:rsidRPr="00F30AB8" w:rsidDel="00A93547" w:rsidRDefault="007F538F" w:rsidP="00556927">
      <w:pPr>
        <w:keepNext/>
        <w:keepLines/>
        <w:textAlignment w:val="top"/>
        <w:rPr>
          <w:del w:id="621" w:author="AUTHOR"/>
          <w:bCs/>
          <w:u w:val="single"/>
          <w:lang w:val="es-ES"/>
        </w:rPr>
      </w:pPr>
    </w:p>
    <w:p w14:paraId="2A42F498" w14:textId="77777777" w:rsidR="007927FC" w:rsidRPr="00F30AB8" w:rsidRDefault="007927FC" w:rsidP="00556927">
      <w:pPr>
        <w:keepNext/>
        <w:keepLines/>
        <w:textAlignment w:val="top"/>
        <w:rPr>
          <w:bCs/>
          <w:i/>
          <w:lang w:val="es-ES"/>
        </w:rPr>
      </w:pPr>
      <w:r w:rsidRPr="00F30AB8">
        <w:rPr>
          <w:bCs/>
          <w:i/>
          <w:lang w:val="es-ES"/>
        </w:rPr>
        <w:t>Eficacia clínica</w:t>
      </w:r>
    </w:p>
    <w:p w14:paraId="65AE23A3" w14:textId="77777777" w:rsidR="007F538F" w:rsidRPr="008A106B" w:rsidRDefault="007F538F" w:rsidP="00556927">
      <w:pPr>
        <w:keepNext/>
        <w:keepLines/>
        <w:textAlignment w:val="top"/>
        <w:rPr>
          <w:bCs/>
          <w:lang w:val="es-ES"/>
        </w:rPr>
      </w:pPr>
    </w:p>
    <w:p w14:paraId="649A1BCC" w14:textId="57C53C70" w:rsidR="007927FC" w:rsidRPr="008A106B" w:rsidRDefault="007927FC" w:rsidP="00556927">
      <w:pPr>
        <w:keepNext/>
        <w:keepLines/>
        <w:textAlignment w:val="top"/>
        <w:rPr>
          <w:bCs/>
          <w:lang w:val="es-ES"/>
        </w:rPr>
      </w:pPr>
      <w:r w:rsidRPr="008A106B">
        <w:rPr>
          <w:bCs/>
          <w:lang w:val="es-ES"/>
        </w:rPr>
        <w:t xml:space="preserve">Se ha evaluado la eficacia de tocilizumab en el ensayo WA19977 que consta de 3 partes, incluyendo una extensión abierta en niños con AIJp activa. La Parte I consistió en un periodo de introducción de tratamiento activo con tocilizumab de </w:t>
      </w:r>
      <w:proofErr w:type="gramStart"/>
      <w:r w:rsidRPr="008A106B">
        <w:rPr>
          <w:bCs/>
          <w:lang w:val="es-ES"/>
        </w:rPr>
        <w:t>16</w:t>
      </w:r>
      <w:r w:rsidR="00205482" w:rsidRPr="00F30AB8">
        <w:rPr>
          <w:szCs w:val="22"/>
          <w:lang w:val="es-ES"/>
        </w:rPr>
        <w:t> </w:t>
      </w:r>
      <w:r w:rsidR="00205482" w:rsidRPr="008A106B" w:rsidDel="00205482">
        <w:rPr>
          <w:bCs/>
          <w:lang w:val="es-ES"/>
        </w:rPr>
        <w:t xml:space="preserve"> </w:t>
      </w:r>
      <w:r w:rsidRPr="008A106B">
        <w:rPr>
          <w:bCs/>
          <w:lang w:val="es-ES"/>
        </w:rPr>
        <w:t>semanas</w:t>
      </w:r>
      <w:proofErr w:type="gramEnd"/>
      <w:r w:rsidRPr="008A106B">
        <w:rPr>
          <w:bCs/>
          <w:lang w:val="es-ES"/>
        </w:rPr>
        <w:t xml:space="preserve"> de duración (n=188), seguido por la Parte II, un periodo de retirada de 24</w:t>
      </w:r>
      <w:r w:rsidR="00205482" w:rsidRPr="00F30AB8">
        <w:rPr>
          <w:szCs w:val="22"/>
          <w:lang w:val="es-ES"/>
        </w:rPr>
        <w:t> </w:t>
      </w:r>
      <w:r w:rsidR="00205482" w:rsidRPr="008A106B" w:rsidDel="00205482">
        <w:rPr>
          <w:bCs/>
          <w:lang w:val="es-ES"/>
        </w:rPr>
        <w:t xml:space="preserve"> </w:t>
      </w:r>
      <w:r w:rsidRPr="008A106B">
        <w:rPr>
          <w:bCs/>
          <w:lang w:val="es-ES"/>
        </w:rPr>
        <w:t>semanas de duración, doble ciego y controlado por placebo (n=163) y una Parte III, periodo abierto de 64</w:t>
      </w:r>
      <w:r w:rsidR="00205482" w:rsidRPr="00F30AB8">
        <w:rPr>
          <w:szCs w:val="22"/>
          <w:lang w:val="es-ES"/>
        </w:rPr>
        <w:t> </w:t>
      </w:r>
      <w:r w:rsidR="00205482" w:rsidRPr="008A106B" w:rsidDel="00205482">
        <w:rPr>
          <w:bCs/>
          <w:lang w:val="es-ES"/>
        </w:rPr>
        <w:t xml:space="preserve"> </w:t>
      </w:r>
      <w:r w:rsidRPr="008A106B">
        <w:rPr>
          <w:bCs/>
          <w:lang w:val="es-ES"/>
        </w:rPr>
        <w:t xml:space="preserve">semanas. En la parte 1, los pacientes elegibles </w:t>
      </w:r>
      <w:proofErr w:type="gramStart"/>
      <w:r w:rsidRPr="008A106B">
        <w:rPr>
          <w:bCs/>
          <w:lang w:val="es-ES"/>
        </w:rPr>
        <w:t>≥</w:t>
      </w:r>
      <w:r w:rsidR="00205482" w:rsidRPr="00F30AB8">
        <w:rPr>
          <w:szCs w:val="22"/>
          <w:lang w:val="es-ES"/>
        </w:rPr>
        <w:t> </w:t>
      </w:r>
      <w:r w:rsidR="00205482" w:rsidRPr="008A106B" w:rsidDel="00205482">
        <w:rPr>
          <w:bCs/>
          <w:lang w:val="es-ES"/>
        </w:rPr>
        <w:t xml:space="preserve"> </w:t>
      </w:r>
      <w:r w:rsidRPr="008A106B">
        <w:rPr>
          <w:bCs/>
          <w:lang w:val="es-ES"/>
        </w:rPr>
        <w:t>30</w:t>
      </w:r>
      <w:proofErr w:type="gramEnd"/>
      <w:r w:rsidR="00205482" w:rsidRPr="00F30AB8">
        <w:rPr>
          <w:szCs w:val="22"/>
          <w:lang w:val="es-ES"/>
        </w:rPr>
        <w:t> </w:t>
      </w:r>
      <w:r w:rsidR="00205482" w:rsidRPr="008A106B" w:rsidDel="00205482">
        <w:rPr>
          <w:bCs/>
          <w:lang w:val="es-ES"/>
        </w:rPr>
        <w:t xml:space="preserve"> </w:t>
      </w:r>
      <w:r w:rsidRPr="008A106B">
        <w:rPr>
          <w:bCs/>
          <w:lang w:val="es-ES"/>
        </w:rPr>
        <w:t>kg recibieron 8</w:t>
      </w:r>
      <w:r w:rsidR="00205482" w:rsidRPr="00F30AB8">
        <w:rPr>
          <w:szCs w:val="22"/>
          <w:lang w:val="es-ES"/>
        </w:rPr>
        <w:t> </w:t>
      </w:r>
      <w:r w:rsidR="00205482" w:rsidRPr="008A106B" w:rsidDel="00205482">
        <w:rPr>
          <w:bCs/>
          <w:lang w:val="es-ES"/>
        </w:rPr>
        <w:t xml:space="preserve"> </w:t>
      </w:r>
      <w:r w:rsidRPr="008A106B">
        <w:rPr>
          <w:bCs/>
          <w:lang w:val="es-ES"/>
        </w:rPr>
        <w:t xml:space="preserve">mg/kg de tocilizumab </w:t>
      </w:r>
      <w:r w:rsidR="007F538F">
        <w:rPr>
          <w:bCs/>
          <w:lang w:val="es-ES"/>
        </w:rPr>
        <w:t>intravenoso</w:t>
      </w:r>
      <w:r w:rsidR="007F538F" w:rsidRPr="008A106B">
        <w:rPr>
          <w:bCs/>
          <w:lang w:val="es-ES"/>
        </w:rPr>
        <w:t xml:space="preserve"> </w:t>
      </w:r>
      <w:r w:rsidRPr="008A106B">
        <w:rPr>
          <w:bCs/>
          <w:lang w:val="es-ES"/>
        </w:rPr>
        <w:t xml:space="preserve">cada </w:t>
      </w:r>
      <w:r w:rsidRPr="000911DD">
        <w:rPr>
          <w:bCs/>
          <w:lang w:val="es-ES"/>
        </w:rPr>
        <w:t>4</w:t>
      </w:r>
      <w:r w:rsidR="00205482" w:rsidRPr="00F30AB8">
        <w:rPr>
          <w:szCs w:val="22"/>
          <w:lang w:val="es-ES"/>
        </w:rPr>
        <w:t> </w:t>
      </w:r>
      <w:r w:rsidR="00205482" w:rsidRPr="000911DD" w:rsidDel="00205482">
        <w:rPr>
          <w:bCs/>
          <w:lang w:val="es-ES"/>
        </w:rPr>
        <w:t xml:space="preserve"> </w:t>
      </w:r>
      <w:r w:rsidRPr="000911DD">
        <w:rPr>
          <w:bCs/>
          <w:lang w:val="es-ES"/>
        </w:rPr>
        <w:t>semanas, durante 4 dosis</w:t>
      </w:r>
      <w:r w:rsidRPr="008A106B">
        <w:rPr>
          <w:bCs/>
          <w:lang w:val="es-ES"/>
        </w:rPr>
        <w:t xml:space="preserve">. Los pacientes </w:t>
      </w:r>
      <w:proofErr w:type="gramStart"/>
      <w:r w:rsidRPr="008A106B">
        <w:rPr>
          <w:bCs/>
          <w:lang w:val="es-ES"/>
        </w:rPr>
        <w:t>&lt;</w:t>
      </w:r>
      <w:r w:rsidR="00205482" w:rsidRPr="00F30AB8">
        <w:rPr>
          <w:szCs w:val="22"/>
          <w:lang w:val="es-ES"/>
        </w:rPr>
        <w:t> </w:t>
      </w:r>
      <w:r w:rsidR="00205482" w:rsidRPr="008A106B">
        <w:rPr>
          <w:bCs/>
          <w:lang w:val="es-ES"/>
        </w:rPr>
        <w:t xml:space="preserve"> </w:t>
      </w:r>
      <w:r w:rsidRPr="008A106B">
        <w:rPr>
          <w:bCs/>
          <w:lang w:val="es-ES"/>
        </w:rPr>
        <w:t>30</w:t>
      </w:r>
      <w:proofErr w:type="gramEnd"/>
      <w:r w:rsidR="00205482" w:rsidRPr="00F30AB8">
        <w:rPr>
          <w:szCs w:val="22"/>
          <w:lang w:val="es-ES"/>
        </w:rPr>
        <w:t> </w:t>
      </w:r>
      <w:r w:rsidR="00205482" w:rsidRPr="008A106B" w:rsidDel="00205482">
        <w:rPr>
          <w:bCs/>
          <w:lang w:val="es-ES"/>
        </w:rPr>
        <w:t xml:space="preserve"> </w:t>
      </w:r>
      <w:r w:rsidRPr="008A106B">
        <w:rPr>
          <w:bCs/>
          <w:lang w:val="es-ES"/>
        </w:rPr>
        <w:t>kg fueron aleatorizados 1:1 para recibir tocilizumab 8</w:t>
      </w:r>
      <w:r w:rsidR="00205482" w:rsidRPr="00F30AB8">
        <w:rPr>
          <w:szCs w:val="22"/>
          <w:lang w:val="es-ES"/>
        </w:rPr>
        <w:t> </w:t>
      </w:r>
      <w:r w:rsidR="00205482" w:rsidRPr="008A106B" w:rsidDel="00205482">
        <w:rPr>
          <w:bCs/>
          <w:lang w:val="es-ES"/>
        </w:rPr>
        <w:t xml:space="preserve"> </w:t>
      </w:r>
      <w:r w:rsidRPr="008A106B">
        <w:rPr>
          <w:bCs/>
          <w:lang w:val="es-ES"/>
        </w:rPr>
        <w:t xml:space="preserve">mg/kg o 10 mg/kg </w:t>
      </w:r>
      <w:r w:rsidR="007F538F">
        <w:rPr>
          <w:bCs/>
          <w:lang w:val="es-ES"/>
        </w:rPr>
        <w:t>intravenoso</w:t>
      </w:r>
      <w:r w:rsidR="007F538F" w:rsidRPr="008A106B" w:rsidDel="007F538F">
        <w:rPr>
          <w:bCs/>
          <w:lang w:val="es-ES"/>
        </w:rPr>
        <w:t xml:space="preserve"> </w:t>
      </w:r>
      <w:r w:rsidR="007F538F">
        <w:rPr>
          <w:bCs/>
          <w:lang w:val="es-ES"/>
        </w:rPr>
        <w:tab/>
      </w:r>
      <w:r w:rsidRPr="008A106B">
        <w:rPr>
          <w:bCs/>
          <w:lang w:val="es-ES"/>
        </w:rPr>
        <w:t xml:space="preserve">cada 4 semanas, durante 4 dosis. Los pacientes que completaron la Parte I del ensayo y alcanzaron al menos una respuesta ACR30 </w:t>
      </w:r>
      <w:ins w:id="622" w:author="AUTHOR">
        <w:r w:rsidR="00C407C4">
          <w:rPr>
            <w:bCs/>
            <w:lang w:val="es-ES"/>
          </w:rPr>
          <w:t xml:space="preserve">en </w:t>
        </w:r>
        <w:r w:rsidR="00C407C4">
          <w:rPr>
            <w:i/>
            <w:lang w:val="es-ES"/>
          </w:rPr>
          <w:t>AIJ</w:t>
        </w:r>
      </w:ins>
      <w:del w:id="623" w:author="AUTHOR">
        <w:r w:rsidRPr="008A106B" w:rsidDel="00C407C4">
          <w:rPr>
            <w:bCs/>
            <w:lang w:val="es-ES"/>
          </w:rPr>
          <w:delText>JIA</w:delText>
        </w:r>
      </w:del>
      <w:r w:rsidRPr="008A106B">
        <w:rPr>
          <w:bCs/>
          <w:lang w:val="es-ES"/>
        </w:rPr>
        <w:t xml:space="preserve"> en la semana</w:t>
      </w:r>
      <w:r w:rsidR="00205482" w:rsidRPr="00F30AB8">
        <w:rPr>
          <w:szCs w:val="22"/>
          <w:lang w:val="es-ES"/>
        </w:rPr>
        <w:t> </w:t>
      </w:r>
      <w:r w:rsidR="00205482" w:rsidRPr="008A106B" w:rsidDel="00205482">
        <w:rPr>
          <w:bCs/>
          <w:lang w:val="es-ES"/>
        </w:rPr>
        <w:t xml:space="preserve"> </w:t>
      </w:r>
      <w:r w:rsidRPr="008A106B">
        <w:rPr>
          <w:bCs/>
          <w:lang w:val="es-ES"/>
        </w:rPr>
        <w:t>16 en comparación con la respuesta basal fueron elegibles para entrar en el periodo de retirada ciego (Parte II) del ensayo. En la Parte II, los pacientes fueron aleatorizados a tocilizumab (misma dosis recibida en la Parte I) o placebo en proporción 1:1, se estratificó por uso concurrente de metotrexato y corticosteroides. Los pacientes continuaron en la Parte II del ensayo hasta la semana</w:t>
      </w:r>
      <w:r w:rsidR="00205482" w:rsidRPr="00F30AB8">
        <w:rPr>
          <w:szCs w:val="22"/>
          <w:lang w:val="es-ES"/>
        </w:rPr>
        <w:t> </w:t>
      </w:r>
      <w:r w:rsidR="00205482" w:rsidRPr="008A106B" w:rsidDel="00205482">
        <w:rPr>
          <w:bCs/>
          <w:lang w:val="es-ES"/>
        </w:rPr>
        <w:t xml:space="preserve"> </w:t>
      </w:r>
      <w:r w:rsidRPr="008A106B">
        <w:rPr>
          <w:bCs/>
          <w:lang w:val="es-ES"/>
        </w:rPr>
        <w:t>40 o hasta la aparición de un brote según los criterios de ACR</w:t>
      </w:r>
      <w:r w:rsidR="00205482" w:rsidRPr="00F30AB8">
        <w:rPr>
          <w:szCs w:val="22"/>
          <w:lang w:val="es-ES"/>
        </w:rPr>
        <w:t> </w:t>
      </w:r>
      <w:r w:rsidR="00205482" w:rsidRPr="008A106B">
        <w:rPr>
          <w:bCs/>
          <w:lang w:val="es-ES"/>
        </w:rPr>
        <w:t xml:space="preserve"> </w:t>
      </w:r>
      <w:r w:rsidRPr="008A106B">
        <w:rPr>
          <w:bCs/>
          <w:lang w:val="es-ES"/>
        </w:rPr>
        <w:t xml:space="preserve">30 </w:t>
      </w:r>
      <w:ins w:id="624" w:author="AUTHOR">
        <w:r w:rsidR="00C407C4">
          <w:rPr>
            <w:i/>
            <w:lang w:val="es-ES"/>
          </w:rPr>
          <w:t>AIJ</w:t>
        </w:r>
      </w:ins>
      <w:del w:id="625" w:author="AUTHOR">
        <w:r w:rsidRPr="008A106B" w:rsidDel="00C407C4">
          <w:rPr>
            <w:bCs/>
            <w:lang w:val="es-ES"/>
          </w:rPr>
          <w:delText>JIA</w:delText>
        </w:r>
      </w:del>
      <w:r w:rsidRPr="008A106B">
        <w:rPr>
          <w:bCs/>
          <w:lang w:val="es-ES"/>
        </w:rPr>
        <w:t xml:space="preserve"> (comparado con la semana</w:t>
      </w:r>
      <w:r w:rsidR="00205482" w:rsidRPr="00F30AB8">
        <w:rPr>
          <w:szCs w:val="22"/>
          <w:lang w:val="es-ES"/>
        </w:rPr>
        <w:t> </w:t>
      </w:r>
      <w:r w:rsidR="00205482" w:rsidRPr="008A106B" w:rsidDel="00205482">
        <w:rPr>
          <w:bCs/>
          <w:lang w:val="es-ES"/>
        </w:rPr>
        <w:t xml:space="preserve"> </w:t>
      </w:r>
      <w:r w:rsidRPr="008A106B">
        <w:rPr>
          <w:bCs/>
          <w:lang w:val="es-ES"/>
        </w:rPr>
        <w:t xml:space="preserve">16) y </w:t>
      </w:r>
      <w:r w:rsidR="005353D0">
        <w:rPr>
          <w:bCs/>
          <w:lang w:val="es-ES"/>
        </w:rPr>
        <w:t>fuesen</w:t>
      </w:r>
      <w:r w:rsidRPr="008A106B">
        <w:rPr>
          <w:bCs/>
          <w:lang w:val="es-ES"/>
        </w:rPr>
        <w:t xml:space="preserve"> aptos para recibir el tratamiento de escape con tocilizumab (misma dosis recibida en la Parte 1).</w:t>
      </w:r>
    </w:p>
    <w:p w14:paraId="07295D6B" w14:textId="77777777" w:rsidR="007927FC" w:rsidRPr="008A106B" w:rsidRDefault="007927FC" w:rsidP="007927FC">
      <w:pPr>
        <w:textAlignment w:val="top"/>
        <w:rPr>
          <w:bCs/>
          <w:lang w:val="es-ES"/>
        </w:rPr>
      </w:pPr>
    </w:p>
    <w:p w14:paraId="58F19275" w14:textId="77777777" w:rsidR="007927FC" w:rsidRPr="00F84B60" w:rsidRDefault="007927FC">
      <w:pPr>
        <w:rPr>
          <w:i/>
          <w:lang w:val="es-ES" w:eastAsia="es-ES"/>
        </w:rPr>
        <w:pPrChange w:id="626" w:author="AUTHOR">
          <w:pPr>
            <w:ind w:firstLine="561"/>
          </w:pPr>
        </w:pPrChange>
      </w:pPr>
      <w:r w:rsidRPr="00F84B60">
        <w:rPr>
          <w:i/>
          <w:lang w:val="es-ES" w:eastAsia="es-ES"/>
        </w:rPr>
        <w:t>Respuesta clínica</w:t>
      </w:r>
    </w:p>
    <w:p w14:paraId="468C825F" w14:textId="6B7BF71A" w:rsidR="007927FC" w:rsidRPr="008A106B" w:rsidRDefault="007927FC" w:rsidP="007927FC">
      <w:pPr>
        <w:rPr>
          <w:i/>
          <w:lang w:val="es-ES"/>
        </w:rPr>
      </w:pPr>
      <w:r w:rsidRPr="008A106B">
        <w:rPr>
          <w:lang w:val="es-ES" w:eastAsia="de-DE"/>
        </w:rPr>
        <w:t xml:space="preserve">La variable </w:t>
      </w:r>
      <w:del w:id="627" w:author="AUTHOR">
        <w:r w:rsidRPr="008A106B" w:rsidDel="00613A5B">
          <w:rPr>
            <w:lang w:val="es-ES" w:eastAsia="de-DE"/>
          </w:rPr>
          <w:delText xml:space="preserve">primaria </w:delText>
        </w:r>
      </w:del>
      <w:ins w:id="628" w:author="AUTHOR">
        <w:r w:rsidR="00613A5B">
          <w:rPr>
            <w:lang w:val="es-ES" w:eastAsia="de-DE"/>
          </w:rPr>
          <w:t>principal</w:t>
        </w:r>
        <w:r w:rsidR="00613A5B" w:rsidRPr="008A106B">
          <w:rPr>
            <w:lang w:val="es-ES" w:eastAsia="de-DE"/>
          </w:rPr>
          <w:t xml:space="preserve"> </w:t>
        </w:r>
      </w:ins>
      <w:r w:rsidRPr="008A106B">
        <w:rPr>
          <w:lang w:val="es-ES" w:eastAsia="de-DE"/>
        </w:rPr>
        <w:t>de eficacia fue la proporción de pacientes con un brote de ACR</w:t>
      </w:r>
      <w:r w:rsidR="00205482" w:rsidRPr="00F30AB8">
        <w:rPr>
          <w:szCs w:val="22"/>
          <w:lang w:val="es-ES"/>
        </w:rPr>
        <w:t> </w:t>
      </w:r>
      <w:r w:rsidR="00205482" w:rsidRPr="008A106B">
        <w:rPr>
          <w:lang w:val="es-ES" w:eastAsia="de-DE"/>
        </w:rPr>
        <w:t xml:space="preserve"> </w:t>
      </w:r>
      <w:r w:rsidRPr="008A106B">
        <w:rPr>
          <w:lang w:val="es-ES" w:eastAsia="de-DE"/>
        </w:rPr>
        <w:t xml:space="preserve">30 </w:t>
      </w:r>
      <w:ins w:id="629" w:author="AUTHOR">
        <w:r w:rsidR="00C407C4">
          <w:rPr>
            <w:i/>
            <w:lang w:val="es-ES"/>
          </w:rPr>
          <w:t>AIJ</w:t>
        </w:r>
      </w:ins>
      <w:del w:id="630" w:author="AUTHOR">
        <w:r w:rsidRPr="008A106B" w:rsidDel="00C407C4">
          <w:rPr>
            <w:lang w:val="es-ES" w:eastAsia="de-DE"/>
          </w:rPr>
          <w:delText>JIA</w:delText>
        </w:r>
      </w:del>
      <w:r w:rsidRPr="008A106B">
        <w:rPr>
          <w:lang w:val="es-ES" w:eastAsia="de-DE"/>
        </w:rPr>
        <w:t xml:space="preserve"> en la semana</w:t>
      </w:r>
      <w:r w:rsidR="00205482" w:rsidRPr="00F30AB8">
        <w:rPr>
          <w:szCs w:val="22"/>
          <w:lang w:val="es-ES"/>
        </w:rPr>
        <w:t> </w:t>
      </w:r>
      <w:r w:rsidR="00205482" w:rsidRPr="008A106B" w:rsidDel="00205482">
        <w:rPr>
          <w:lang w:val="es-ES" w:eastAsia="de-DE"/>
        </w:rPr>
        <w:t xml:space="preserve"> </w:t>
      </w:r>
      <w:r w:rsidRPr="008A106B">
        <w:rPr>
          <w:lang w:val="es-ES" w:eastAsia="de-DE"/>
        </w:rPr>
        <w:t>40 con respecto a la semana</w:t>
      </w:r>
      <w:r w:rsidR="00205482" w:rsidRPr="00F30AB8">
        <w:rPr>
          <w:szCs w:val="22"/>
          <w:lang w:val="es-ES"/>
        </w:rPr>
        <w:t> </w:t>
      </w:r>
      <w:r w:rsidR="00205482" w:rsidRPr="008A106B" w:rsidDel="00205482">
        <w:rPr>
          <w:lang w:val="es-ES" w:eastAsia="de-DE"/>
        </w:rPr>
        <w:t xml:space="preserve"> </w:t>
      </w:r>
      <w:r w:rsidRPr="008A106B">
        <w:rPr>
          <w:lang w:val="es-ES" w:eastAsia="de-DE"/>
        </w:rPr>
        <w:t>16. El cuarenta y ocho por ciento 48,1</w:t>
      </w:r>
      <w:r w:rsidR="005353D0">
        <w:rPr>
          <w:lang w:val="es-ES" w:eastAsia="de-DE"/>
        </w:rPr>
        <w:t xml:space="preserve"> </w:t>
      </w:r>
      <w:r w:rsidRPr="008A106B">
        <w:rPr>
          <w:lang w:val="es-ES" w:eastAsia="de-DE"/>
        </w:rPr>
        <w:t>%, (39/81) de los pacientes tratados con placebo sufrieron un brote comparado con el 25,6</w:t>
      </w:r>
      <w:r w:rsidR="005353D0">
        <w:rPr>
          <w:lang w:val="es-ES" w:eastAsia="de-DE"/>
        </w:rPr>
        <w:t xml:space="preserve"> </w:t>
      </w:r>
      <w:r w:rsidRPr="008A106B">
        <w:rPr>
          <w:lang w:val="es-ES" w:eastAsia="de-DE"/>
        </w:rPr>
        <w:t>% (21/82) de los pacientes tratados con tocilizumab. Estas proporciones resultaron diferentes con significación estadística (p= 0,0024).</w:t>
      </w:r>
    </w:p>
    <w:p w14:paraId="1772579F" w14:textId="77777777" w:rsidR="007927FC" w:rsidRPr="008A106B" w:rsidRDefault="007927FC" w:rsidP="007927FC">
      <w:pPr>
        <w:rPr>
          <w:lang w:val="es-ES"/>
        </w:rPr>
      </w:pPr>
    </w:p>
    <w:p w14:paraId="189831D3" w14:textId="4C661F39" w:rsidR="007927FC" w:rsidRPr="008A106B" w:rsidRDefault="007927FC" w:rsidP="007927FC">
      <w:pPr>
        <w:rPr>
          <w:lang w:val="es-ES"/>
        </w:rPr>
      </w:pPr>
      <w:r w:rsidRPr="008A106B">
        <w:rPr>
          <w:lang w:val="es-ES"/>
        </w:rPr>
        <w:t xml:space="preserve">Como conclusión de la Parte I, las respuestas </w:t>
      </w:r>
      <w:r w:rsidRPr="008A106B">
        <w:rPr>
          <w:lang w:val="es-ES" w:eastAsia="es-ES"/>
        </w:rPr>
        <w:t>ACR</w:t>
      </w:r>
      <w:r w:rsidR="00205482" w:rsidRPr="00F30AB8">
        <w:rPr>
          <w:szCs w:val="22"/>
          <w:lang w:val="es-ES"/>
        </w:rPr>
        <w:t> </w:t>
      </w:r>
      <w:r w:rsidR="00205482" w:rsidRPr="008A106B" w:rsidDel="00205482">
        <w:rPr>
          <w:lang w:val="es-ES" w:eastAsia="es-ES"/>
        </w:rPr>
        <w:t xml:space="preserve"> </w:t>
      </w:r>
      <w:r w:rsidRPr="008A106B">
        <w:rPr>
          <w:lang w:val="es-ES" w:eastAsia="es-ES"/>
        </w:rPr>
        <w:t>30/50/70/90</w:t>
      </w:r>
      <w:r w:rsidRPr="008A106B">
        <w:rPr>
          <w:sz w:val="24"/>
          <w:szCs w:val="24"/>
          <w:lang w:val="es-ES" w:eastAsia="es-ES"/>
        </w:rPr>
        <w:t xml:space="preserve"> </w:t>
      </w:r>
      <w:ins w:id="631" w:author="AUTHOR">
        <w:r w:rsidR="00C407C4">
          <w:rPr>
            <w:sz w:val="24"/>
            <w:szCs w:val="24"/>
            <w:lang w:val="es-ES" w:eastAsia="es-ES"/>
          </w:rPr>
          <w:t xml:space="preserve">en </w:t>
        </w:r>
        <w:r w:rsidR="00C407C4">
          <w:rPr>
            <w:i/>
            <w:lang w:val="es-ES"/>
          </w:rPr>
          <w:t>AIJ</w:t>
        </w:r>
      </w:ins>
      <w:del w:id="632" w:author="AUTHOR">
        <w:r w:rsidRPr="008A106B" w:rsidDel="00C407C4">
          <w:rPr>
            <w:lang w:val="es-ES" w:eastAsia="es-ES"/>
          </w:rPr>
          <w:delText>JIA</w:delText>
        </w:r>
      </w:del>
      <w:r w:rsidRPr="008A106B">
        <w:rPr>
          <w:lang w:val="es-ES" w:eastAsia="es-ES"/>
        </w:rPr>
        <w:t xml:space="preserve"> fueron 89,4</w:t>
      </w:r>
      <w:r w:rsidR="005353D0">
        <w:rPr>
          <w:lang w:val="es-ES" w:eastAsia="es-ES"/>
        </w:rPr>
        <w:t xml:space="preserve"> </w:t>
      </w:r>
      <w:r w:rsidRPr="008A106B">
        <w:rPr>
          <w:lang w:val="es-ES" w:eastAsia="es-ES"/>
        </w:rPr>
        <w:t>%, 83,0</w:t>
      </w:r>
      <w:r w:rsidR="005353D0">
        <w:rPr>
          <w:lang w:val="es-ES" w:eastAsia="es-ES"/>
        </w:rPr>
        <w:t xml:space="preserve"> </w:t>
      </w:r>
      <w:r w:rsidRPr="008A106B">
        <w:rPr>
          <w:lang w:val="es-ES" w:eastAsia="es-ES"/>
        </w:rPr>
        <w:t>%, 62,2</w:t>
      </w:r>
      <w:r w:rsidR="005353D0">
        <w:rPr>
          <w:lang w:val="es-ES" w:eastAsia="es-ES"/>
        </w:rPr>
        <w:t xml:space="preserve"> </w:t>
      </w:r>
      <w:r w:rsidRPr="008A106B">
        <w:rPr>
          <w:lang w:val="es-ES" w:eastAsia="es-ES"/>
        </w:rPr>
        <w:t>% y 26,1</w:t>
      </w:r>
      <w:r w:rsidR="005353D0">
        <w:rPr>
          <w:lang w:val="es-ES" w:eastAsia="es-ES"/>
        </w:rPr>
        <w:t xml:space="preserve"> </w:t>
      </w:r>
      <w:r w:rsidRPr="008A106B">
        <w:rPr>
          <w:lang w:val="es-ES" w:eastAsia="es-ES"/>
        </w:rPr>
        <w:t>% respectivamente.</w:t>
      </w:r>
    </w:p>
    <w:p w14:paraId="21BC34EF" w14:textId="77777777" w:rsidR="007927FC" w:rsidRPr="008A106B" w:rsidRDefault="007927FC" w:rsidP="007927FC">
      <w:pPr>
        <w:rPr>
          <w:lang w:val="es-ES" w:eastAsia="de-DE"/>
        </w:rPr>
      </w:pPr>
    </w:p>
    <w:p w14:paraId="4C478107" w14:textId="77777777" w:rsidR="007927FC" w:rsidRPr="008A106B" w:rsidRDefault="007927FC" w:rsidP="007927FC">
      <w:pPr>
        <w:rPr>
          <w:szCs w:val="22"/>
          <w:lang w:val="es-ES" w:eastAsia="de-DE"/>
        </w:rPr>
      </w:pPr>
      <w:r w:rsidRPr="008A106B">
        <w:rPr>
          <w:szCs w:val="22"/>
          <w:lang w:val="es-ES" w:eastAsia="de-DE"/>
        </w:rPr>
        <w:t>Durante la fase de retirada (Parte II), el porcentaje de pacientes que alcanzaron las respuestas</w:t>
      </w:r>
    </w:p>
    <w:p w14:paraId="6E2DB8F7" w14:textId="715F9056" w:rsidR="007927FC" w:rsidRDefault="007927FC" w:rsidP="007927FC">
      <w:pPr>
        <w:rPr>
          <w:szCs w:val="22"/>
          <w:lang w:val="es-ES" w:eastAsia="es-ES"/>
        </w:rPr>
      </w:pPr>
      <w:r w:rsidRPr="008A106B">
        <w:rPr>
          <w:szCs w:val="22"/>
          <w:lang w:val="es-ES" w:eastAsia="es-ES"/>
        </w:rPr>
        <w:t xml:space="preserve">ACR 30, 50 y 70 </w:t>
      </w:r>
      <w:ins w:id="633" w:author="AUTHOR">
        <w:r w:rsidR="00C407C4">
          <w:rPr>
            <w:i/>
            <w:lang w:val="es-ES"/>
          </w:rPr>
          <w:t>AIJ</w:t>
        </w:r>
      </w:ins>
      <w:del w:id="634" w:author="AUTHOR">
        <w:r w:rsidRPr="008A106B" w:rsidDel="00C407C4">
          <w:rPr>
            <w:szCs w:val="22"/>
            <w:lang w:val="es-ES" w:eastAsia="es-ES"/>
          </w:rPr>
          <w:delText>JIA</w:delText>
        </w:r>
      </w:del>
      <w:r w:rsidRPr="008A106B">
        <w:rPr>
          <w:szCs w:val="22"/>
          <w:lang w:val="es-ES" w:eastAsia="es-ES"/>
        </w:rPr>
        <w:t xml:space="preserve"> en la semana 40 en relación a la respuesta basal, se muestran en la tabla </w:t>
      </w:r>
      <w:r w:rsidR="00D50156">
        <w:rPr>
          <w:szCs w:val="22"/>
          <w:lang w:val="es-ES" w:eastAsia="es-ES"/>
        </w:rPr>
        <w:t>9</w:t>
      </w:r>
      <w:r w:rsidRPr="008A106B">
        <w:rPr>
          <w:szCs w:val="22"/>
          <w:lang w:val="es-ES" w:eastAsia="es-ES"/>
        </w:rPr>
        <w:t xml:space="preserve">. En este análisis estadístico, los pacientes que tuvieron un brote (y salieron </w:t>
      </w:r>
      <w:r>
        <w:rPr>
          <w:szCs w:val="22"/>
          <w:lang w:val="es-ES" w:eastAsia="es-ES"/>
        </w:rPr>
        <w:t>de</w:t>
      </w:r>
      <w:r w:rsidRPr="008A106B">
        <w:rPr>
          <w:szCs w:val="22"/>
          <w:lang w:val="es-ES" w:eastAsia="es-ES"/>
        </w:rPr>
        <w:t xml:space="preserve"> </w:t>
      </w:r>
      <w:r w:rsidR="007F538F">
        <w:rPr>
          <w:szCs w:val="22"/>
          <w:lang w:val="es-ES" w:eastAsia="es-ES"/>
        </w:rPr>
        <w:t>tocilizumab</w:t>
      </w:r>
      <w:r w:rsidRPr="008A106B">
        <w:rPr>
          <w:szCs w:val="22"/>
          <w:lang w:val="es-ES" w:eastAsia="es-ES"/>
        </w:rPr>
        <w:t xml:space="preserve">) durante la Parte II o que se retiraron, se clasificaron como no respondedores. Un análisis adicional de </w:t>
      </w:r>
      <w:r w:rsidRPr="008F5639">
        <w:rPr>
          <w:szCs w:val="22"/>
          <w:lang w:val="es-ES" w:eastAsia="de-DE"/>
        </w:rPr>
        <w:t xml:space="preserve">las respuestas </w:t>
      </w:r>
      <w:r w:rsidRPr="008A106B">
        <w:rPr>
          <w:szCs w:val="22"/>
          <w:lang w:val="es-ES" w:eastAsia="es-ES"/>
        </w:rPr>
        <w:t xml:space="preserve">ACR </w:t>
      </w:r>
      <w:ins w:id="635" w:author="AUTHOR">
        <w:r w:rsidR="00C407C4">
          <w:rPr>
            <w:i/>
            <w:lang w:val="es-ES"/>
          </w:rPr>
          <w:t>AIJ</w:t>
        </w:r>
      </w:ins>
      <w:del w:id="636" w:author="AUTHOR">
        <w:r w:rsidRPr="008A106B" w:rsidDel="00C407C4">
          <w:rPr>
            <w:szCs w:val="22"/>
            <w:lang w:val="es-ES" w:eastAsia="es-ES"/>
          </w:rPr>
          <w:delText>JIA</w:delText>
        </w:r>
      </w:del>
      <w:r w:rsidRPr="008A106B">
        <w:rPr>
          <w:szCs w:val="22"/>
          <w:lang w:val="es-ES" w:eastAsia="es-ES"/>
        </w:rPr>
        <w:t>, considerando los datos observados en la semana 40, independientemente del estado del brote, mostraron que en la semana 40, el 95,1</w:t>
      </w:r>
      <w:r w:rsidR="005353D0">
        <w:rPr>
          <w:szCs w:val="22"/>
          <w:lang w:val="es-ES" w:eastAsia="es-ES"/>
        </w:rPr>
        <w:t xml:space="preserve"> </w:t>
      </w:r>
      <w:r w:rsidRPr="008A106B">
        <w:rPr>
          <w:szCs w:val="22"/>
          <w:lang w:val="es-ES" w:eastAsia="es-ES"/>
        </w:rPr>
        <w:t xml:space="preserve">% de los pacientes que habían recibido terapia continuada de </w:t>
      </w:r>
      <w:r w:rsidR="007F538F">
        <w:rPr>
          <w:szCs w:val="22"/>
          <w:lang w:val="es-ES" w:eastAsia="es-ES"/>
        </w:rPr>
        <w:t xml:space="preserve"> tocilizumab</w:t>
      </w:r>
      <w:r w:rsidRPr="008A106B">
        <w:rPr>
          <w:szCs w:val="22"/>
          <w:lang w:val="es-ES" w:eastAsia="es-ES"/>
        </w:rPr>
        <w:t>, habían alcanzado ACR</w:t>
      </w:r>
      <w:r w:rsidR="00205482" w:rsidRPr="00F30AB8">
        <w:rPr>
          <w:szCs w:val="22"/>
          <w:lang w:val="es-ES"/>
        </w:rPr>
        <w:t> </w:t>
      </w:r>
      <w:r w:rsidR="00205482" w:rsidRPr="008A106B" w:rsidDel="00205482">
        <w:rPr>
          <w:szCs w:val="22"/>
          <w:lang w:val="es-ES" w:eastAsia="es-ES"/>
        </w:rPr>
        <w:t xml:space="preserve"> </w:t>
      </w:r>
      <w:r w:rsidRPr="008A106B">
        <w:rPr>
          <w:szCs w:val="22"/>
          <w:lang w:val="es-ES" w:eastAsia="es-ES"/>
        </w:rPr>
        <w:t xml:space="preserve">30 </w:t>
      </w:r>
      <w:ins w:id="637" w:author="AUTHOR">
        <w:r w:rsidR="00C407C4">
          <w:rPr>
            <w:i/>
            <w:lang w:val="es-ES"/>
          </w:rPr>
          <w:t>AIJ</w:t>
        </w:r>
      </w:ins>
      <w:del w:id="638" w:author="AUTHOR">
        <w:r w:rsidRPr="008A106B" w:rsidDel="00C407C4">
          <w:rPr>
            <w:szCs w:val="22"/>
            <w:lang w:val="es-ES" w:eastAsia="es-ES"/>
          </w:rPr>
          <w:delText>JIA</w:delText>
        </w:r>
      </w:del>
      <w:r w:rsidRPr="008A106B">
        <w:rPr>
          <w:szCs w:val="22"/>
          <w:lang w:val="es-ES" w:eastAsia="es-ES"/>
        </w:rPr>
        <w:t xml:space="preserve"> o mayor.</w:t>
      </w:r>
    </w:p>
    <w:p w14:paraId="6B1DCA3F" w14:textId="77777777" w:rsidR="004B2673" w:rsidRPr="008F5639" w:rsidRDefault="004B2673" w:rsidP="007927FC">
      <w:pPr>
        <w:rPr>
          <w:szCs w:val="22"/>
          <w:lang w:val="es-ES" w:eastAsia="de-DE"/>
        </w:rPr>
      </w:pPr>
    </w:p>
    <w:p w14:paraId="70E4D017" w14:textId="57206FB1" w:rsidR="007927FC" w:rsidRPr="007F499C" w:rsidRDefault="007927FC" w:rsidP="007F499C">
      <w:pPr>
        <w:rPr>
          <w:i/>
          <w:lang w:val="es-ES"/>
        </w:rPr>
      </w:pPr>
      <w:r w:rsidRPr="007F499C">
        <w:rPr>
          <w:i/>
          <w:lang w:val="es-ES"/>
        </w:rPr>
        <w:t>Tabla </w:t>
      </w:r>
      <w:r w:rsidR="00D50156">
        <w:rPr>
          <w:i/>
          <w:lang w:val="es-ES"/>
        </w:rPr>
        <w:t>9</w:t>
      </w:r>
      <w:r w:rsidRPr="007F499C">
        <w:rPr>
          <w:i/>
          <w:lang w:val="es-ES"/>
        </w:rPr>
        <w:t>.</w:t>
      </w:r>
      <w:del w:id="639" w:author="AUTHOR">
        <w:r w:rsidRPr="007F499C" w:rsidDel="00C407C4">
          <w:rPr>
            <w:i/>
            <w:lang w:val="es-ES"/>
          </w:rPr>
          <w:delText>ACR JIA</w:delText>
        </w:r>
      </w:del>
      <w:r w:rsidRPr="007F499C">
        <w:rPr>
          <w:i/>
          <w:lang w:val="es-ES"/>
        </w:rPr>
        <w:t xml:space="preserve"> Tasa de respuesta</w:t>
      </w:r>
      <w:ins w:id="640" w:author="AUTHOR">
        <w:r w:rsidR="00C407C4">
          <w:rPr>
            <w:i/>
            <w:lang w:val="es-ES"/>
          </w:rPr>
          <w:t xml:space="preserve"> </w:t>
        </w:r>
        <w:r w:rsidR="00C407C4" w:rsidRPr="007F499C">
          <w:rPr>
            <w:i/>
            <w:lang w:val="es-ES"/>
          </w:rPr>
          <w:t xml:space="preserve">ACR </w:t>
        </w:r>
        <w:r w:rsidR="00C407C4">
          <w:rPr>
            <w:i/>
            <w:lang w:val="es-ES"/>
          </w:rPr>
          <w:t>en AIJ</w:t>
        </w:r>
      </w:ins>
      <w:r w:rsidRPr="007F499C">
        <w:rPr>
          <w:i/>
          <w:lang w:val="es-ES"/>
        </w:rPr>
        <w:t xml:space="preserve"> observada en la semana 40 en comparación con la respuesta basal (Porcentaje de pacientes)</w:t>
      </w:r>
    </w:p>
    <w:p w14:paraId="150FF047" w14:textId="77777777" w:rsidR="007927FC" w:rsidRPr="008F5639" w:rsidRDefault="007927FC" w:rsidP="007927FC">
      <w:pPr>
        <w:textAlignment w:val="top"/>
        <w:rPr>
          <w:bCs/>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409"/>
        <w:gridCol w:w="2694"/>
      </w:tblGrid>
      <w:tr w:rsidR="007927FC" w:rsidRPr="005A5612" w14:paraId="7D619580" w14:textId="77777777" w:rsidTr="00FC7454">
        <w:tc>
          <w:tcPr>
            <w:tcW w:w="2802" w:type="dxa"/>
          </w:tcPr>
          <w:p w14:paraId="1F819941" w14:textId="1A278654" w:rsidR="007927FC" w:rsidRPr="005A5612" w:rsidRDefault="007927FC" w:rsidP="00FC7454">
            <w:pPr>
              <w:spacing w:after="170" w:line="280" w:lineRule="atLeast"/>
              <w:jc w:val="both"/>
              <w:rPr>
                <w:szCs w:val="22"/>
                <w:lang w:val="en-GB" w:eastAsia="de-DE"/>
              </w:rPr>
            </w:pPr>
            <w:r w:rsidRPr="005A5612">
              <w:rPr>
                <w:b/>
                <w:bCs/>
                <w:color w:val="000000"/>
                <w:szCs w:val="22"/>
                <w:lang w:val="en-GB"/>
              </w:rPr>
              <w:t xml:space="preserve">Tasa de </w:t>
            </w:r>
            <w:r w:rsidR="007F538F">
              <w:rPr>
                <w:b/>
                <w:bCs/>
                <w:color w:val="000000"/>
                <w:szCs w:val="22"/>
                <w:lang w:val="en-GB"/>
              </w:rPr>
              <w:t>r</w:t>
            </w:r>
            <w:r w:rsidRPr="005A5612">
              <w:rPr>
                <w:b/>
                <w:bCs/>
                <w:color w:val="000000"/>
                <w:szCs w:val="22"/>
                <w:lang w:val="en-GB"/>
              </w:rPr>
              <w:t>espuesta</w:t>
            </w:r>
          </w:p>
        </w:tc>
        <w:tc>
          <w:tcPr>
            <w:tcW w:w="2409" w:type="dxa"/>
          </w:tcPr>
          <w:p w14:paraId="49E114B3" w14:textId="77777777" w:rsidR="007927FC" w:rsidRPr="005A5612" w:rsidRDefault="007927FC" w:rsidP="00FC7454">
            <w:pPr>
              <w:spacing w:after="170" w:line="280" w:lineRule="atLeast"/>
              <w:jc w:val="both"/>
              <w:rPr>
                <w:szCs w:val="22"/>
                <w:lang w:val="en-GB" w:eastAsia="de-DE"/>
              </w:rPr>
            </w:pPr>
            <w:r w:rsidRPr="005A5612">
              <w:rPr>
                <w:szCs w:val="22"/>
                <w:lang w:val="en-GB" w:eastAsia="de-DE"/>
              </w:rPr>
              <w:t>Tocilizumab</w:t>
            </w:r>
          </w:p>
          <w:p w14:paraId="5AE3F8CF" w14:textId="02015157" w:rsidR="007927FC" w:rsidRPr="005A5612" w:rsidRDefault="007927FC" w:rsidP="00FC7454">
            <w:pPr>
              <w:spacing w:after="170" w:line="280" w:lineRule="atLeast"/>
              <w:jc w:val="both"/>
              <w:rPr>
                <w:szCs w:val="22"/>
                <w:lang w:val="en-GB" w:eastAsia="de-DE"/>
              </w:rPr>
            </w:pPr>
            <w:del w:id="641" w:author="AUTHOR">
              <w:r w:rsidRPr="005A5612" w:rsidDel="003E29DD">
                <w:rPr>
                  <w:szCs w:val="22"/>
                  <w:lang w:val="en-GB" w:eastAsia="de-DE"/>
                </w:rPr>
                <w:delText>N</w:delText>
              </w:r>
            </w:del>
            <w:ins w:id="642" w:author="AUTHOR">
              <w:r w:rsidR="003E29DD">
                <w:rPr>
                  <w:szCs w:val="22"/>
                  <w:lang w:val="en-GB" w:eastAsia="de-DE"/>
                </w:rPr>
                <w:t>n</w:t>
              </w:r>
            </w:ins>
            <w:r w:rsidRPr="005A5612">
              <w:rPr>
                <w:szCs w:val="22"/>
                <w:lang w:val="en-GB" w:eastAsia="de-DE"/>
              </w:rPr>
              <w:t>=82</w:t>
            </w:r>
          </w:p>
        </w:tc>
        <w:tc>
          <w:tcPr>
            <w:tcW w:w="2694" w:type="dxa"/>
          </w:tcPr>
          <w:p w14:paraId="76CCF89C" w14:textId="77777777" w:rsidR="007927FC" w:rsidRPr="005A5612" w:rsidRDefault="007927FC" w:rsidP="00FC7454">
            <w:pPr>
              <w:spacing w:after="170" w:line="280" w:lineRule="atLeast"/>
              <w:jc w:val="both"/>
              <w:rPr>
                <w:szCs w:val="22"/>
                <w:lang w:val="en-GB" w:eastAsia="de-DE"/>
              </w:rPr>
            </w:pPr>
            <w:r w:rsidRPr="005A5612">
              <w:rPr>
                <w:szCs w:val="22"/>
                <w:lang w:val="en-GB" w:eastAsia="de-DE"/>
              </w:rPr>
              <w:t>Placebo</w:t>
            </w:r>
          </w:p>
          <w:p w14:paraId="306A6997" w14:textId="4BF4D989" w:rsidR="007927FC" w:rsidRPr="005A5612" w:rsidRDefault="007927FC" w:rsidP="00FC7454">
            <w:pPr>
              <w:spacing w:after="170" w:line="280" w:lineRule="atLeast"/>
              <w:jc w:val="both"/>
              <w:rPr>
                <w:szCs w:val="22"/>
                <w:lang w:val="en-GB" w:eastAsia="de-DE"/>
              </w:rPr>
            </w:pPr>
            <w:del w:id="643" w:author="AUTHOR">
              <w:r w:rsidRPr="005A5612" w:rsidDel="003E29DD">
                <w:rPr>
                  <w:szCs w:val="22"/>
                  <w:lang w:val="en-GB" w:eastAsia="de-DE"/>
                </w:rPr>
                <w:delText>N</w:delText>
              </w:r>
            </w:del>
            <w:ins w:id="644" w:author="AUTHOR">
              <w:r w:rsidR="003E29DD">
                <w:rPr>
                  <w:szCs w:val="22"/>
                  <w:lang w:val="en-GB" w:eastAsia="de-DE"/>
                </w:rPr>
                <w:t>n</w:t>
              </w:r>
            </w:ins>
            <w:r w:rsidRPr="005A5612">
              <w:rPr>
                <w:szCs w:val="22"/>
                <w:lang w:val="en-GB" w:eastAsia="de-DE"/>
              </w:rPr>
              <w:t>=81</w:t>
            </w:r>
          </w:p>
        </w:tc>
      </w:tr>
      <w:tr w:rsidR="007927FC" w:rsidRPr="005A5612" w14:paraId="1AA2B69E" w14:textId="77777777" w:rsidTr="00FC7454">
        <w:tc>
          <w:tcPr>
            <w:tcW w:w="2802" w:type="dxa"/>
          </w:tcPr>
          <w:p w14:paraId="23B152ED" w14:textId="16523B29" w:rsidR="007927FC" w:rsidRPr="005A5612" w:rsidRDefault="007927FC" w:rsidP="00FC7454">
            <w:pPr>
              <w:spacing w:after="170" w:line="280" w:lineRule="atLeast"/>
              <w:jc w:val="both"/>
              <w:rPr>
                <w:szCs w:val="22"/>
                <w:lang w:val="en-GB" w:eastAsia="de-DE"/>
              </w:rPr>
            </w:pPr>
            <w:r w:rsidRPr="005A5612">
              <w:rPr>
                <w:szCs w:val="22"/>
                <w:lang w:val="en-GB" w:eastAsia="de-DE"/>
              </w:rPr>
              <w:t>ACR</w:t>
            </w:r>
            <w:ins w:id="645" w:author="AUTHOR">
              <w:r w:rsidR="003E29DD" w:rsidRPr="00E52815">
                <w:rPr>
                  <w:szCs w:val="22"/>
                  <w:lang w:val="en-GB"/>
                </w:rPr>
                <w:t> </w:t>
              </w:r>
              <w:r w:rsidR="003E29DD" w:rsidRPr="005A5612" w:rsidDel="003E29DD">
                <w:rPr>
                  <w:szCs w:val="22"/>
                  <w:lang w:val="en-GB" w:eastAsia="de-DE"/>
                </w:rPr>
                <w:t xml:space="preserve"> </w:t>
              </w:r>
            </w:ins>
            <w:del w:id="646" w:author="AUTHOR">
              <w:r w:rsidRPr="005A5612" w:rsidDel="003E29DD">
                <w:rPr>
                  <w:szCs w:val="22"/>
                  <w:lang w:val="en-GB" w:eastAsia="de-DE"/>
                </w:rPr>
                <w:delText xml:space="preserve"> </w:delText>
              </w:r>
            </w:del>
            <w:r w:rsidRPr="005A5612">
              <w:rPr>
                <w:szCs w:val="22"/>
                <w:lang w:val="en-GB" w:eastAsia="de-DE"/>
              </w:rPr>
              <w:t>30</w:t>
            </w:r>
          </w:p>
        </w:tc>
        <w:tc>
          <w:tcPr>
            <w:tcW w:w="2409" w:type="dxa"/>
          </w:tcPr>
          <w:p w14:paraId="64C718A6" w14:textId="67334BFB" w:rsidR="007927FC" w:rsidRPr="005A5612" w:rsidRDefault="007927FC" w:rsidP="00FC7454">
            <w:pPr>
              <w:spacing w:after="170" w:line="280" w:lineRule="atLeast"/>
              <w:jc w:val="both"/>
              <w:rPr>
                <w:szCs w:val="22"/>
                <w:lang w:val="en-GB" w:eastAsia="de-DE"/>
              </w:rPr>
            </w:pPr>
            <w:r w:rsidRPr="005A5612">
              <w:rPr>
                <w:szCs w:val="22"/>
                <w:lang w:val="en-GB" w:eastAsia="de-DE"/>
              </w:rPr>
              <w:t>74,</w:t>
            </w:r>
            <w:del w:id="647" w:author="AUTHOR">
              <w:r w:rsidRPr="005A5612" w:rsidDel="003E29DD">
                <w:rPr>
                  <w:szCs w:val="22"/>
                  <w:lang w:val="en-GB" w:eastAsia="de-DE"/>
                </w:rPr>
                <w:delText>4</w:delText>
              </w:r>
              <w:r w:rsidR="00B712AD" w:rsidDel="003E29DD">
                <w:rPr>
                  <w:szCs w:val="22"/>
                  <w:lang w:val="en-GB" w:eastAsia="de-DE"/>
                </w:rPr>
                <w:delText xml:space="preserve"> </w:delText>
              </w:r>
            </w:del>
            <w:ins w:id="648" w:author="AUTHOR">
              <w:r w:rsidR="003E29DD" w:rsidRPr="005A5612">
                <w:rPr>
                  <w:szCs w:val="22"/>
                  <w:lang w:val="en-GB" w:eastAsia="de-DE"/>
                </w:rPr>
                <w:t>4</w:t>
              </w:r>
              <w:r w:rsidR="003E29DD">
                <w:rPr>
                  <w:szCs w:val="22"/>
                  <w:lang w:val="en-GB" w:eastAsia="de-DE"/>
                </w:rPr>
                <w:t>v</w:t>
              </w:r>
            </w:ins>
            <w:r w:rsidRPr="005A5612">
              <w:rPr>
                <w:szCs w:val="22"/>
                <w:lang w:val="en-GB" w:eastAsia="de-DE"/>
              </w:rPr>
              <w:t>%*</w:t>
            </w:r>
          </w:p>
        </w:tc>
        <w:tc>
          <w:tcPr>
            <w:tcW w:w="2694" w:type="dxa"/>
          </w:tcPr>
          <w:p w14:paraId="45098E3E" w14:textId="6D07B86F" w:rsidR="007927FC" w:rsidRPr="005A5612" w:rsidRDefault="007927FC" w:rsidP="00FC7454">
            <w:pPr>
              <w:spacing w:after="170" w:line="280" w:lineRule="atLeast"/>
              <w:jc w:val="both"/>
              <w:rPr>
                <w:szCs w:val="22"/>
                <w:lang w:val="en-GB" w:eastAsia="de-DE"/>
              </w:rPr>
            </w:pPr>
            <w:r w:rsidRPr="005A5612">
              <w:rPr>
                <w:szCs w:val="22"/>
                <w:lang w:val="en-GB" w:eastAsia="de-DE"/>
              </w:rPr>
              <w:t>54,3</w:t>
            </w:r>
            <w:ins w:id="649" w:author="AUTHOR">
              <w:r w:rsidR="003E29DD" w:rsidRPr="00E52815">
                <w:rPr>
                  <w:rFonts w:eastAsia="SimSun"/>
                  <w:bCs/>
                  <w:iCs/>
                  <w:sz w:val="18"/>
                  <w:szCs w:val="18"/>
                  <w:lang w:val="en-GB"/>
                </w:rPr>
                <w:t> </w:t>
              </w:r>
              <w:r w:rsidR="003E29DD" w:rsidDel="003E29DD">
                <w:rPr>
                  <w:szCs w:val="22"/>
                  <w:lang w:val="en-GB" w:eastAsia="de-DE"/>
                </w:rPr>
                <w:t xml:space="preserve"> </w:t>
              </w:r>
            </w:ins>
            <w:del w:id="650" w:author="AUTHOR">
              <w:r w:rsidR="00B712AD" w:rsidDel="003E29DD">
                <w:rPr>
                  <w:szCs w:val="22"/>
                  <w:lang w:val="en-GB" w:eastAsia="de-DE"/>
                </w:rPr>
                <w:delText xml:space="preserve"> </w:delText>
              </w:r>
            </w:del>
            <w:r w:rsidRPr="005A5612">
              <w:rPr>
                <w:szCs w:val="22"/>
                <w:lang w:val="en-GB" w:eastAsia="de-DE"/>
              </w:rPr>
              <w:t>%*</w:t>
            </w:r>
          </w:p>
        </w:tc>
      </w:tr>
      <w:tr w:rsidR="007927FC" w:rsidRPr="005A5612" w14:paraId="3EE2AF0B" w14:textId="77777777" w:rsidTr="00FC7454">
        <w:tc>
          <w:tcPr>
            <w:tcW w:w="2802" w:type="dxa"/>
          </w:tcPr>
          <w:p w14:paraId="6F4499EC" w14:textId="1348781A" w:rsidR="007927FC" w:rsidRPr="005A5612" w:rsidRDefault="007927FC" w:rsidP="00FC7454">
            <w:pPr>
              <w:spacing w:after="170" w:line="280" w:lineRule="atLeast"/>
              <w:jc w:val="both"/>
              <w:rPr>
                <w:szCs w:val="22"/>
                <w:lang w:val="en-GB" w:eastAsia="de-DE"/>
              </w:rPr>
            </w:pPr>
            <w:r w:rsidRPr="005A5612">
              <w:rPr>
                <w:szCs w:val="22"/>
                <w:lang w:val="en-GB" w:eastAsia="de-DE"/>
              </w:rPr>
              <w:t>ACR</w:t>
            </w:r>
            <w:ins w:id="651" w:author="AUTHOR">
              <w:r w:rsidR="003E29DD" w:rsidRPr="00E52815">
                <w:rPr>
                  <w:szCs w:val="22"/>
                  <w:lang w:val="en-GB"/>
                </w:rPr>
                <w:t> </w:t>
              </w:r>
              <w:r w:rsidR="003E29DD" w:rsidRPr="005A5612" w:rsidDel="003E29DD">
                <w:rPr>
                  <w:szCs w:val="22"/>
                  <w:lang w:val="en-GB" w:eastAsia="de-DE"/>
                </w:rPr>
                <w:t xml:space="preserve"> </w:t>
              </w:r>
            </w:ins>
            <w:del w:id="652" w:author="AUTHOR">
              <w:r w:rsidRPr="005A5612" w:rsidDel="003E29DD">
                <w:rPr>
                  <w:szCs w:val="22"/>
                  <w:lang w:val="en-GB" w:eastAsia="de-DE"/>
                </w:rPr>
                <w:delText xml:space="preserve"> </w:delText>
              </w:r>
            </w:del>
            <w:r w:rsidRPr="005A5612">
              <w:rPr>
                <w:szCs w:val="22"/>
                <w:lang w:val="en-GB" w:eastAsia="de-DE"/>
              </w:rPr>
              <w:t>50</w:t>
            </w:r>
          </w:p>
        </w:tc>
        <w:tc>
          <w:tcPr>
            <w:tcW w:w="2409" w:type="dxa"/>
          </w:tcPr>
          <w:p w14:paraId="35D1DA5C" w14:textId="6DA4A6AA" w:rsidR="007927FC" w:rsidRPr="005A5612" w:rsidRDefault="007927FC" w:rsidP="00FC7454">
            <w:pPr>
              <w:spacing w:after="170" w:line="280" w:lineRule="atLeast"/>
              <w:jc w:val="both"/>
              <w:rPr>
                <w:szCs w:val="22"/>
                <w:lang w:val="en-GB" w:eastAsia="de-DE"/>
              </w:rPr>
            </w:pPr>
            <w:r w:rsidRPr="005A5612">
              <w:rPr>
                <w:szCs w:val="22"/>
                <w:lang w:val="en-GB" w:eastAsia="de-DE"/>
              </w:rPr>
              <w:t>73,2</w:t>
            </w:r>
            <w:ins w:id="653" w:author="AUTHOR">
              <w:r w:rsidR="003E29DD" w:rsidRPr="00E52815">
                <w:rPr>
                  <w:rFonts w:eastAsia="SimSun"/>
                  <w:bCs/>
                  <w:iCs/>
                  <w:sz w:val="18"/>
                  <w:szCs w:val="18"/>
                  <w:lang w:val="en-GB"/>
                </w:rPr>
                <w:t> </w:t>
              </w:r>
              <w:r w:rsidR="003E29DD" w:rsidDel="003E29DD">
                <w:rPr>
                  <w:szCs w:val="22"/>
                  <w:lang w:val="en-GB" w:eastAsia="de-DE"/>
                </w:rPr>
                <w:t xml:space="preserve"> </w:t>
              </w:r>
            </w:ins>
            <w:del w:id="654" w:author="AUTHOR">
              <w:r w:rsidR="00B712AD" w:rsidDel="003E29DD">
                <w:rPr>
                  <w:szCs w:val="22"/>
                  <w:lang w:val="en-GB" w:eastAsia="de-DE"/>
                </w:rPr>
                <w:delText xml:space="preserve"> </w:delText>
              </w:r>
            </w:del>
            <w:r w:rsidRPr="005A5612">
              <w:rPr>
                <w:szCs w:val="22"/>
                <w:lang w:val="en-GB" w:eastAsia="de-DE"/>
              </w:rPr>
              <w:t>%*</w:t>
            </w:r>
          </w:p>
        </w:tc>
        <w:tc>
          <w:tcPr>
            <w:tcW w:w="2694" w:type="dxa"/>
          </w:tcPr>
          <w:p w14:paraId="4EB2DD5A" w14:textId="2F6CDF3B" w:rsidR="007927FC" w:rsidRPr="005A5612" w:rsidRDefault="007927FC" w:rsidP="00FC7454">
            <w:pPr>
              <w:spacing w:after="170" w:line="280" w:lineRule="atLeast"/>
              <w:jc w:val="both"/>
              <w:rPr>
                <w:szCs w:val="22"/>
                <w:lang w:val="en-GB" w:eastAsia="de-DE"/>
              </w:rPr>
            </w:pPr>
            <w:r w:rsidRPr="005A5612">
              <w:rPr>
                <w:szCs w:val="22"/>
                <w:lang w:val="en-GB" w:eastAsia="de-DE"/>
              </w:rPr>
              <w:t>51,9</w:t>
            </w:r>
            <w:ins w:id="655" w:author="AUTHOR">
              <w:r w:rsidR="003E29DD" w:rsidRPr="00E52815">
                <w:rPr>
                  <w:rFonts w:eastAsia="SimSun"/>
                  <w:bCs/>
                  <w:iCs/>
                  <w:sz w:val="18"/>
                  <w:szCs w:val="18"/>
                  <w:lang w:val="en-GB"/>
                </w:rPr>
                <w:t> </w:t>
              </w:r>
              <w:r w:rsidR="003E29DD" w:rsidDel="003E29DD">
                <w:rPr>
                  <w:szCs w:val="22"/>
                  <w:lang w:val="en-GB" w:eastAsia="de-DE"/>
                </w:rPr>
                <w:t xml:space="preserve"> </w:t>
              </w:r>
            </w:ins>
            <w:del w:id="656" w:author="AUTHOR">
              <w:r w:rsidR="00B712AD" w:rsidDel="003E29DD">
                <w:rPr>
                  <w:szCs w:val="22"/>
                  <w:lang w:val="en-GB" w:eastAsia="de-DE"/>
                </w:rPr>
                <w:delText xml:space="preserve"> </w:delText>
              </w:r>
            </w:del>
            <w:r w:rsidRPr="005A5612">
              <w:rPr>
                <w:szCs w:val="22"/>
                <w:lang w:val="en-GB" w:eastAsia="de-DE"/>
              </w:rPr>
              <w:t>%*</w:t>
            </w:r>
          </w:p>
        </w:tc>
      </w:tr>
      <w:tr w:rsidR="007927FC" w:rsidRPr="005A5612" w14:paraId="0F36D1EE" w14:textId="77777777" w:rsidTr="00FC7454">
        <w:tc>
          <w:tcPr>
            <w:tcW w:w="2802" w:type="dxa"/>
          </w:tcPr>
          <w:p w14:paraId="196221AC" w14:textId="1C8F0488" w:rsidR="007927FC" w:rsidRPr="005A5612" w:rsidRDefault="007927FC" w:rsidP="00FC7454">
            <w:pPr>
              <w:spacing w:after="170" w:line="280" w:lineRule="atLeast"/>
              <w:jc w:val="both"/>
              <w:rPr>
                <w:szCs w:val="22"/>
                <w:lang w:val="en-GB" w:eastAsia="de-DE"/>
              </w:rPr>
            </w:pPr>
            <w:r w:rsidRPr="005A5612">
              <w:rPr>
                <w:szCs w:val="22"/>
                <w:lang w:val="en-GB" w:eastAsia="de-DE"/>
              </w:rPr>
              <w:lastRenderedPageBreak/>
              <w:t>ACR</w:t>
            </w:r>
            <w:ins w:id="657" w:author="AUTHOR">
              <w:r w:rsidR="003E29DD" w:rsidRPr="00E52815">
                <w:rPr>
                  <w:szCs w:val="22"/>
                  <w:lang w:val="en-GB"/>
                </w:rPr>
                <w:t> </w:t>
              </w:r>
              <w:r w:rsidR="003E29DD" w:rsidRPr="005A5612" w:rsidDel="003E29DD">
                <w:rPr>
                  <w:szCs w:val="22"/>
                  <w:lang w:val="en-GB" w:eastAsia="de-DE"/>
                </w:rPr>
                <w:t xml:space="preserve"> </w:t>
              </w:r>
            </w:ins>
            <w:del w:id="658" w:author="AUTHOR">
              <w:r w:rsidRPr="005A5612" w:rsidDel="003E29DD">
                <w:rPr>
                  <w:szCs w:val="22"/>
                  <w:lang w:val="en-GB" w:eastAsia="de-DE"/>
                </w:rPr>
                <w:delText xml:space="preserve"> </w:delText>
              </w:r>
            </w:del>
            <w:r w:rsidRPr="005A5612">
              <w:rPr>
                <w:szCs w:val="22"/>
                <w:lang w:val="en-GB" w:eastAsia="de-DE"/>
              </w:rPr>
              <w:t>70</w:t>
            </w:r>
          </w:p>
        </w:tc>
        <w:tc>
          <w:tcPr>
            <w:tcW w:w="2409" w:type="dxa"/>
          </w:tcPr>
          <w:p w14:paraId="64B293CE" w14:textId="48E63150" w:rsidR="007927FC" w:rsidRPr="005A5612" w:rsidRDefault="007927FC" w:rsidP="00FC7454">
            <w:pPr>
              <w:spacing w:after="170" w:line="280" w:lineRule="atLeast"/>
              <w:jc w:val="both"/>
              <w:rPr>
                <w:szCs w:val="22"/>
                <w:lang w:val="en-GB" w:eastAsia="de-DE"/>
              </w:rPr>
            </w:pPr>
            <w:r w:rsidRPr="005A5612">
              <w:rPr>
                <w:szCs w:val="22"/>
                <w:lang w:val="en-GB" w:eastAsia="de-DE"/>
              </w:rPr>
              <w:t>64,6</w:t>
            </w:r>
            <w:ins w:id="659" w:author="AUTHOR">
              <w:r w:rsidR="003E29DD" w:rsidRPr="00E52815">
                <w:rPr>
                  <w:rFonts w:eastAsia="SimSun"/>
                  <w:bCs/>
                  <w:iCs/>
                  <w:sz w:val="18"/>
                  <w:szCs w:val="18"/>
                  <w:lang w:val="en-GB"/>
                </w:rPr>
                <w:t> </w:t>
              </w:r>
              <w:r w:rsidR="003E29DD" w:rsidDel="003E29DD">
                <w:rPr>
                  <w:szCs w:val="22"/>
                  <w:lang w:val="en-GB" w:eastAsia="de-DE"/>
                </w:rPr>
                <w:t xml:space="preserve"> </w:t>
              </w:r>
            </w:ins>
            <w:del w:id="660" w:author="AUTHOR">
              <w:r w:rsidR="00B712AD" w:rsidDel="003E29DD">
                <w:rPr>
                  <w:szCs w:val="22"/>
                  <w:lang w:val="en-GB" w:eastAsia="de-DE"/>
                </w:rPr>
                <w:delText xml:space="preserve"> </w:delText>
              </w:r>
            </w:del>
            <w:r w:rsidRPr="005A5612">
              <w:rPr>
                <w:szCs w:val="22"/>
                <w:lang w:val="en-GB" w:eastAsia="de-DE"/>
              </w:rPr>
              <w:t>%*</w:t>
            </w:r>
          </w:p>
        </w:tc>
        <w:tc>
          <w:tcPr>
            <w:tcW w:w="2694" w:type="dxa"/>
          </w:tcPr>
          <w:p w14:paraId="31DD3B40" w14:textId="46D31ACF" w:rsidR="007927FC" w:rsidRPr="005A5612" w:rsidRDefault="007927FC" w:rsidP="00FC7454">
            <w:pPr>
              <w:spacing w:after="170" w:line="280" w:lineRule="atLeast"/>
              <w:jc w:val="both"/>
              <w:rPr>
                <w:szCs w:val="22"/>
                <w:lang w:val="en-GB" w:eastAsia="de-DE"/>
              </w:rPr>
            </w:pPr>
            <w:r w:rsidRPr="005A5612">
              <w:rPr>
                <w:szCs w:val="22"/>
                <w:lang w:val="en-GB" w:eastAsia="de-DE"/>
              </w:rPr>
              <w:t>42,0</w:t>
            </w:r>
            <w:ins w:id="661" w:author="AUTHOR">
              <w:r w:rsidR="003E29DD" w:rsidRPr="00E52815">
                <w:rPr>
                  <w:rFonts w:eastAsia="SimSun"/>
                  <w:bCs/>
                  <w:iCs/>
                  <w:sz w:val="18"/>
                  <w:szCs w:val="18"/>
                  <w:lang w:val="en-GB"/>
                </w:rPr>
                <w:t> </w:t>
              </w:r>
              <w:r w:rsidR="003E29DD" w:rsidDel="003E29DD">
                <w:rPr>
                  <w:szCs w:val="22"/>
                  <w:lang w:val="en-GB" w:eastAsia="de-DE"/>
                </w:rPr>
                <w:t xml:space="preserve"> </w:t>
              </w:r>
            </w:ins>
            <w:del w:id="662" w:author="AUTHOR">
              <w:r w:rsidR="00B712AD" w:rsidDel="003E29DD">
                <w:rPr>
                  <w:szCs w:val="22"/>
                  <w:lang w:val="en-GB" w:eastAsia="de-DE"/>
                </w:rPr>
                <w:delText xml:space="preserve"> </w:delText>
              </w:r>
            </w:del>
            <w:r w:rsidRPr="005A5612">
              <w:rPr>
                <w:szCs w:val="22"/>
                <w:lang w:val="en-GB" w:eastAsia="de-DE"/>
              </w:rPr>
              <w:t>%*</w:t>
            </w:r>
          </w:p>
        </w:tc>
      </w:tr>
    </w:tbl>
    <w:p w14:paraId="45205C78" w14:textId="42E955EA" w:rsidR="007927FC" w:rsidRPr="00097C58" w:rsidRDefault="007927FC" w:rsidP="007927FC">
      <w:pPr>
        <w:rPr>
          <w:rFonts w:eastAsia="SimSun"/>
          <w:sz w:val="18"/>
          <w:szCs w:val="18"/>
          <w:lang w:val="en-GB" w:eastAsia="zh-CN"/>
        </w:rPr>
      </w:pPr>
      <w:r w:rsidRPr="00097C58">
        <w:rPr>
          <w:rFonts w:eastAsia="SimSun"/>
          <w:sz w:val="18"/>
          <w:szCs w:val="18"/>
          <w:lang w:val="en-GB" w:eastAsia="zh-CN"/>
        </w:rPr>
        <w:t xml:space="preserve">* </w:t>
      </w:r>
      <w:proofErr w:type="gramStart"/>
      <w:r w:rsidRPr="00097C58">
        <w:rPr>
          <w:rFonts w:eastAsia="SimSun"/>
          <w:sz w:val="18"/>
          <w:szCs w:val="18"/>
          <w:lang w:val="en-GB" w:eastAsia="zh-CN"/>
        </w:rPr>
        <w:t>p</w:t>
      </w:r>
      <w:proofErr w:type="gramEnd"/>
      <w:r w:rsidR="00C8792E">
        <w:rPr>
          <w:rFonts w:eastAsia="SimSun"/>
          <w:sz w:val="18"/>
          <w:szCs w:val="18"/>
          <w:lang w:val="en-GB" w:eastAsia="zh-CN"/>
        </w:rPr>
        <w:t> </w:t>
      </w:r>
      <w:r w:rsidRPr="00097C58">
        <w:rPr>
          <w:rFonts w:eastAsia="SimSun"/>
          <w:sz w:val="18"/>
          <w:szCs w:val="18"/>
          <w:lang w:val="en-GB" w:eastAsia="zh-CN"/>
        </w:rPr>
        <w:t>&lt;</w:t>
      </w:r>
      <w:r w:rsidR="00C8792E">
        <w:rPr>
          <w:rFonts w:eastAsia="SimSun"/>
          <w:sz w:val="18"/>
          <w:szCs w:val="18"/>
          <w:lang w:val="en-GB" w:eastAsia="zh-CN"/>
        </w:rPr>
        <w:t> </w:t>
      </w:r>
      <w:r w:rsidRPr="00097C58">
        <w:rPr>
          <w:rFonts w:eastAsia="SimSun"/>
          <w:sz w:val="18"/>
          <w:szCs w:val="18"/>
          <w:lang w:val="en-GB" w:eastAsia="zh-CN"/>
        </w:rPr>
        <w:t>0</w:t>
      </w:r>
      <w:r w:rsidR="00B712AD">
        <w:rPr>
          <w:rFonts w:eastAsia="SimSun"/>
          <w:sz w:val="18"/>
          <w:szCs w:val="18"/>
          <w:lang w:val="en-GB" w:eastAsia="zh-CN"/>
        </w:rPr>
        <w:t>,</w:t>
      </w:r>
      <w:r w:rsidRPr="00097C58">
        <w:rPr>
          <w:rFonts w:eastAsia="SimSun"/>
          <w:sz w:val="18"/>
          <w:szCs w:val="18"/>
          <w:lang w:val="en-GB" w:eastAsia="zh-CN"/>
        </w:rPr>
        <w:t>01, tocilizumab vs. placebo</w:t>
      </w:r>
    </w:p>
    <w:p w14:paraId="05884C9A" w14:textId="77777777" w:rsidR="007927FC" w:rsidRPr="008A106B" w:rsidRDefault="007927FC" w:rsidP="007927FC">
      <w:pPr>
        <w:rPr>
          <w:lang w:val="es-ES"/>
        </w:rPr>
      </w:pPr>
    </w:p>
    <w:p w14:paraId="58EF5DBA" w14:textId="03F836A3" w:rsidR="007927FC" w:rsidRPr="008A106B" w:rsidRDefault="007927FC" w:rsidP="00F30AB8">
      <w:pPr>
        <w:keepNext/>
        <w:keepLines/>
        <w:rPr>
          <w:lang w:val="es-ES"/>
        </w:rPr>
      </w:pPr>
      <w:r w:rsidRPr="008A106B">
        <w:rPr>
          <w:lang w:val="es-ES"/>
        </w:rPr>
        <w:t xml:space="preserve">El número de articulaciones activas se redujo significativamente en comparación con el valor basal en pacientes que reciben tocilizumab en comparación con placebo (cambios promedios ajustados de -14.3 vs -11.4, </w:t>
      </w:r>
      <w:proofErr w:type="gramStart"/>
      <w:r w:rsidRPr="008A106B">
        <w:rPr>
          <w:lang w:val="es-ES"/>
        </w:rPr>
        <w:t>p</w:t>
      </w:r>
      <w:ins w:id="663" w:author="AUTHOR">
        <w:r w:rsidR="003E29DD" w:rsidRPr="00467FFD">
          <w:rPr>
            <w:szCs w:val="22"/>
            <w:lang w:val="es-ES"/>
            <w:rPrChange w:id="664" w:author="AUTHOR">
              <w:rPr>
                <w:szCs w:val="22"/>
                <w:lang w:val="en-GB"/>
              </w:rPr>
            </w:rPrChange>
          </w:rPr>
          <w:t> </w:t>
        </w:r>
        <w:r w:rsidR="003E29DD" w:rsidRPr="008A106B">
          <w:rPr>
            <w:lang w:val="es-ES"/>
          </w:rPr>
          <w:t xml:space="preserve"> </w:t>
        </w:r>
      </w:ins>
      <w:r w:rsidRPr="008A106B">
        <w:rPr>
          <w:lang w:val="es-ES"/>
        </w:rPr>
        <w:t>=</w:t>
      </w:r>
      <w:proofErr w:type="gramEnd"/>
      <w:ins w:id="665" w:author="AUTHOR">
        <w:r w:rsidR="003E29DD" w:rsidRPr="00467FFD">
          <w:rPr>
            <w:szCs w:val="22"/>
            <w:lang w:val="es-ES"/>
            <w:rPrChange w:id="666" w:author="AUTHOR">
              <w:rPr>
                <w:szCs w:val="22"/>
                <w:lang w:val="en-GB"/>
              </w:rPr>
            </w:rPrChange>
          </w:rPr>
          <w:t> </w:t>
        </w:r>
        <w:r w:rsidR="003E29DD" w:rsidRPr="008A106B">
          <w:rPr>
            <w:lang w:val="es-ES"/>
          </w:rPr>
          <w:t xml:space="preserve"> </w:t>
        </w:r>
      </w:ins>
      <w:r w:rsidRPr="008A106B">
        <w:rPr>
          <w:lang w:val="es-ES"/>
        </w:rPr>
        <w:t>0,0435). La evaluación global del médico de la actividad de la enfermedad, según lo medido en una escala de 0-100</w:t>
      </w:r>
      <w:ins w:id="667" w:author="AUTHOR">
        <w:r w:rsidR="003E29DD" w:rsidRPr="00467FFD">
          <w:rPr>
            <w:szCs w:val="22"/>
            <w:lang w:val="es-ES"/>
            <w:rPrChange w:id="668" w:author="AUTHOR">
              <w:rPr>
                <w:szCs w:val="22"/>
                <w:lang w:val="en-GB"/>
              </w:rPr>
            </w:rPrChange>
          </w:rPr>
          <w:t> </w:t>
        </w:r>
        <w:r w:rsidR="003E29DD" w:rsidRPr="008A106B" w:rsidDel="003E29DD">
          <w:rPr>
            <w:lang w:val="es-ES"/>
          </w:rPr>
          <w:t xml:space="preserve"> </w:t>
        </w:r>
      </w:ins>
      <w:del w:id="669" w:author="AUTHOR">
        <w:r w:rsidRPr="008A106B" w:rsidDel="003E29DD">
          <w:rPr>
            <w:lang w:val="es-ES"/>
          </w:rPr>
          <w:delText xml:space="preserve"> </w:delText>
        </w:r>
      </w:del>
      <w:r w:rsidRPr="008A106B">
        <w:rPr>
          <w:lang w:val="es-ES"/>
        </w:rPr>
        <w:t>mm, mostró una mayor reducción de la actividad de la enfermedad con tocilizumab en comparación con el placebo (cambios promedios ajustados de -45,2</w:t>
      </w:r>
      <w:r w:rsidR="00205482" w:rsidRPr="00F30AB8">
        <w:rPr>
          <w:szCs w:val="22"/>
          <w:lang w:val="es-ES"/>
        </w:rPr>
        <w:t> </w:t>
      </w:r>
      <w:r w:rsidR="00205482" w:rsidRPr="008A106B" w:rsidDel="00205482">
        <w:rPr>
          <w:lang w:val="es-ES"/>
        </w:rPr>
        <w:t xml:space="preserve"> </w:t>
      </w:r>
      <w:r w:rsidRPr="008A106B">
        <w:rPr>
          <w:lang w:val="es-ES"/>
        </w:rPr>
        <w:t>mm vs -35,2</w:t>
      </w:r>
      <w:r w:rsidR="00205482" w:rsidRPr="00F30AB8">
        <w:rPr>
          <w:szCs w:val="22"/>
          <w:lang w:val="es-ES"/>
        </w:rPr>
        <w:t> </w:t>
      </w:r>
      <w:r w:rsidR="00205482" w:rsidRPr="008A106B" w:rsidDel="00205482">
        <w:rPr>
          <w:lang w:val="es-ES"/>
        </w:rPr>
        <w:t xml:space="preserve"> </w:t>
      </w:r>
      <w:r w:rsidRPr="008A106B">
        <w:rPr>
          <w:lang w:val="es-ES"/>
        </w:rPr>
        <w:t>mm, p</w:t>
      </w:r>
      <w:ins w:id="670" w:author="AUTHOR">
        <w:r w:rsidR="003E29DD" w:rsidRPr="00467FFD">
          <w:rPr>
            <w:szCs w:val="22"/>
            <w:lang w:val="es-ES"/>
            <w:rPrChange w:id="671" w:author="AUTHOR">
              <w:rPr>
                <w:szCs w:val="22"/>
                <w:lang w:val="en-GB"/>
              </w:rPr>
            </w:rPrChange>
          </w:rPr>
          <w:t> </w:t>
        </w:r>
        <w:r w:rsidR="003E29DD" w:rsidRPr="008A106B">
          <w:rPr>
            <w:lang w:val="es-ES"/>
          </w:rPr>
          <w:t xml:space="preserve"> </w:t>
        </w:r>
      </w:ins>
      <w:r w:rsidRPr="008A106B">
        <w:rPr>
          <w:lang w:val="es-ES"/>
        </w:rPr>
        <w:t>=</w:t>
      </w:r>
      <w:ins w:id="672" w:author="AUTHOR">
        <w:r w:rsidR="003E29DD" w:rsidRPr="00467FFD">
          <w:rPr>
            <w:szCs w:val="22"/>
            <w:lang w:val="es-ES"/>
            <w:rPrChange w:id="673" w:author="AUTHOR">
              <w:rPr>
                <w:szCs w:val="22"/>
                <w:lang w:val="en-GB"/>
              </w:rPr>
            </w:rPrChange>
          </w:rPr>
          <w:t> </w:t>
        </w:r>
        <w:r w:rsidR="003E29DD" w:rsidRPr="008A106B">
          <w:rPr>
            <w:lang w:val="es-ES"/>
          </w:rPr>
          <w:t xml:space="preserve"> </w:t>
        </w:r>
      </w:ins>
      <w:r w:rsidRPr="008A106B">
        <w:rPr>
          <w:lang w:val="es-ES"/>
        </w:rPr>
        <w:t>0,0031).</w:t>
      </w:r>
    </w:p>
    <w:p w14:paraId="71EB81BB" w14:textId="77777777" w:rsidR="007927FC" w:rsidRPr="008A106B" w:rsidRDefault="007927FC" w:rsidP="007927FC">
      <w:pPr>
        <w:rPr>
          <w:lang w:val="es-ES"/>
        </w:rPr>
      </w:pPr>
    </w:p>
    <w:p w14:paraId="72DCE8FA" w14:textId="4426CE13" w:rsidR="007927FC" w:rsidRPr="008F5639" w:rsidRDefault="007927FC" w:rsidP="007927FC">
      <w:pPr>
        <w:textAlignment w:val="top"/>
        <w:rPr>
          <w:bCs/>
          <w:lang w:val="es-ES"/>
        </w:rPr>
      </w:pPr>
      <w:r w:rsidRPr="008A106B">
        <w:rPr>
          <w:bCs/>
          <w:lang w:val="es-ES"/>
        </w:rPr>
        <w:t xml:space="preserve">El cambio medio ajustado en la escala del dolor </w:t>
      </w:r>
      <w:ins w:id="674" w:author="AUTHOR">
        <w:r w:rsidR="006F6EF2">
          <w:rPr>
            <w:bCs/>
            <w:lang w:val="es-ES"/>
          </w:rPr>
          <w:t>E</w:t>
        </w:r>
      </w:ins>
      <w:r w:rsidRPr="008A106B">
        <w:rPr>
          <w:bCs/>
          <w:lang w:val="es-ES"/>
        </w:rPr>
        <w:t>VA</w:t>
      </w:r>
      <w:del w:id="675" w:author="AUTHOR">
        <w:r w:rsidRPr="008A106B" w:rsidDel="006F6EF2">
          <w:rPr>
            <w:bCs/>
            <w:lang w:val="es-ES"/>
          </w:rPr>
          <w:delText>S</w:delText>
        </w:r>
      </w:del>
      <w:r w:rsidRPr="008A106B">
        <w:rPr>
          <w:bCs/>
          <w:lang w:val="es-ES"/>
        </w:rPr>
        <w:t>, después de 40</w:t>
      </w:r>
      <w:r w:rsidR="00205482" w:rsidRPr="00F30AB8">
        <w:rPr>
          <w:szCs w:val="22"/>
          <w:lang w:val="es-ES"/>
        </w:rPr>
        <w:t> </w:t>
      </w:r>
      <w:r w:rsidR="00205482" w:rsidRPr="008A106B" w:rsidDel="00205482">
        <w:rPr>
          <w:bCs/>
          <w:lang w:val="es-ES"/>
        </w:rPr>
        <w:t xml:space="preserve"> </w:t>
      </w:r>
      <w:r w:rsidRPr="008A106B">
        <w:rPr>
          <w:bCs/>
          <w:lang w:val="es-ES"/>
        </w:rPr>
        <w:t>semanas de tratamiento con tocilizumab, fue de 32,4</w:t>
      </w:r>
      <w:r w:rsidR="00205482" w:rsidRPr="00F30AB8">
        <w:rPr>
          <w:szCs w:val="22"/>
          <w:lang w:val="es-ES"/>
        </w:rPr>
        <w:t> </w:t>
      </w:r>
      <w:r w:rsidR="00205482" w:rsidRPr="008A106B" w:rsidDel="00205482">
        <w:rPr>
          <w:bCs/>
          <w:lang w:val="es-ES"/>
        </w:rPr>
        <w:t xml:space="preserve"> </w:t>
      </w:r>
      <w:r w:rsidRPr="008A106B">
        <w:rPr>
          <w:bCs/>
          <w:lang w:val="es-ES"/>
        </w:rPr>
        <w:t>mm en una escala de 0-100</w:t>
      </w:r>
      <w:r w:rsidR="00205482" w:rsidRPr="00F30AB8">
        <w:rPr>
          <w:szCs w:val="22"/>
          <w:lang w:val="es-ES"/>
        </w:rPr>
        <w:t> </w:t>
      </w:r>
      <w:r w:rsidR="00205482" w:rsidRPr="008A106B" w:rsidDel="00205482">
        <w:rPr>
          <w:bCs/>
          <w:lang w:val="es-ES"/>
        </w:rPr>
        <w:t xml:space="preserve"> </w:t>
      </w:r>
      <w:r w:rsidRPr="008A106B">
        <w:rPr>
          <w:bCs/>
          <w:lang w:val="es-ES"/>
        </w:rPr>
        <w:t>mm, comparado con una reducción de 22,3</w:t>
      </w:r>
      <w:r w:rsidR="00205482" w:rsidRPr="00F30AB8">
        <w:rPr>
          <w:szCs w:val="22"/>
          <w:lang w:val="es-ES"/>
        </w:rPr>
        <w:t> </w:t>
      </w:r>
      <w:r w:rsidR="00205482" w:rsidRPr="008A106B" w:rsidDel="00205482">
        <w:rPr>
          <w:bCs/>
          <w:lang w:val="es-ES"/>
        </w:rPr>
        <w:t xml:space="preserve"> </w:t>
      </w:r>
      <w:r w:rsidRPr="008A106B">
        <w:rPr>
          <w:bCs/>
          <w:lang w:val="es-ES"/>
        </w:rPr>
        <w:t>mm para los pacientes tratados con placebo (</w:t>
      </w:r>
      <w:r w:rsidRPr="008F5639">
        <w:rPr>
          <w:bCs/>
          <w:lang w:val="es-ES"/>
        </w:rPr>
        <w:t>estadísticamente muy significativa, p</w:t>
      </w:r>
      <w:ins w:id="676" w:author="AUTHOR">
        <w:r w:rsidR="003E29DD" w:rsidRPr="00467FFD">
          <w:rPr>
            <w:szCs w:val="22"/>
            <w:lang w:val="es-ES"/>
            <w:rPrChange w:id="677" w:author="AUTHOR">
              <w:rPr>
                <w:szCs w:val="22"/>
                <w:lang w:val="en-GB"/>
              </w:rPr>
            </w:rPrChange>
          </w:rPr>
          <w:t> </w:t>
        </w:r>
        <w:r w:rsidR="003E29DD" w:rsidRPr="008F5639">
          <w:rPr>
            <w:bCs/>
            <w:lang w:val="es-ES"/>
          </w:rPr>
          <w:t xml:space="preserve"> </w:t>
        </w:r>
      </w:ins>
      <w:r w:rsidRPr="008F5639">
        <w:rPr>
          <w:bCs/>
          <w:lang w:val="es-ES"/>
        </w:rPr>
        <w:t>=</w:t>
      </w:r>
      <w:ins w:id="678" w:author="AUTHOR">
        <w:r w:rsidR="003E29DD" w:rsidRPr="00467FFD">
          <w:rPr>
            <w:szCs w:val="22"/>
            <w:lang w:val="es-ES"/>
            <w:rPrChange w:id="679" w:author="AUTHOR">
              <w:rPr>
                <w:szCs w:val="22"/>
                <w:lang w:val="en-GB"/>
              </w:rPr>
            </w:rPrChange>
          </w:rPr>
          <w:t> </w:t>
        </w:r>
        <w:r w:rsidR="003E29DD" w:rsidRPr="008F5639">
          <w:rPr>
            <w:bCs/>
            <w:lang w:val="es-ES"/>
          </w:rPr>
          <w:t xml:space="preserve"> </w:t>
        </w:r>
      </w:ins>
      <w:r w:rsidRPr="008F5639">
        <w:rPr>
          <w:bCs/>
          <w:lang w:val="es-ES"/>
        </w:rPr>
        <w:t xml:space="preserve">0,0076). </w:t>
      </w:r>
    </w:p>
    <w:p w14:paraId="1FE2BD60" w14:textId="77777777" w:rsidR="007927FC" w:rsidRPr="00630CB6" w:rsidRDefault="007927FC" w:rsidP="007927FC">
      <w:pPr>
        <w:textAlignment w:val="top"/>
        <w:rPr>
          <w:bCs/>
          <w:lang w:val="es-ES"/>
        </w:rPr>
      </w:pPr>
    </w:p>
    <w:p w14:paraId="5887DDC5" w14:textId="54FA12BC" w:rsidR="007927FC" w:rsidRPr="00630CB6" w:rsidRDefault="007927FC" w:rsidP="007927FC">
      <w:pPr>
        <w:textAlignment w:val="top"/>
        <w:rPr>
          <w:bCs/>
          <w:lang w:val="es-ES"/>
        </w:rPr>
      </w:pPr>
      <w:r w:rsidRPr="00630CB6">
        <w:rPr>
          <w:bCs/>
          <w:lang w:val="es-ES"/>
        </w:rPr>
        <w:t xml:space="preserve">Las respuestas ACR fueron numéricamente inferiores en pacientes tratados con un biológico previo como se muestra en la </w:t>
      </w:r>
      <w:proofErr w:type="gramStart"/>
      <w:r w:rsidR="00205482">
        <w:rPr>
          <w:bCs/>
          <w:lang w:val="es-ES"/>
        </w:rPr>
        <w:t>T</w:t>
      </w:r>
      <w:r w:rsidRPr="00630CB6">
        <w:rPr>
          <w:bCs/>
          <w:lang w:val="es-ES"/>
        </w:rPr>
        <w:t>abla</w:t>
      </w:r>
      <w:r w:rsidR="00205482" w:rsidRPr="00F30AB8">
        <w:rPr>
          <w:szCs w:val="22"/>
          <w:lang w:val="es-ES"/>
        </w:rPr>
        <w:t> </w:t>
      </w:r>
      <w:r w:rsidR="00205482" w:rsidRPr="00630CB6" w:rsidDel="00205482">
        <w:rPr>
          <w:bCs/>
          <w:lang w:val="es-ES"/>
        </w:rPr>
        <w:t xml:space="preserve"> </w:t>
      </w:r>
      <w:r w:rsidR="0085789E">
        <w:rPr>
          <w:bCs/>
          <w:lang w:val="es-ES"/>
        </w:rPr>
        <w:t>1</w:t>
      </w:r>
      <w:r w:rsidR="00D50156">
        <w:rPr>
          <w:bCs/>
          <w:lang w:val="es-ES"/>
        </w:rPr>
        <w:t>0</w:t>
      </w:r>
      <w:proofErr w:type="gramEnd"/>
      <w:r w:rsidRPr="00630CB6">
        <w:rPr>
          <w:bCs/>
          <w:lang w:val="es-ES"/>
        </w:rPr>
        <w:t>.</w:t>
      </w:r>
    </w:p>
    <w:p w14:paraId="6F53BCDC" w14:textId="77777777" w:rsidR="007927FC" w:rsidRPr="00630CB6" w:rsidRDefault="007927FC" w:rsidP="007927FC">
      <w:pPr>
        <w:textAlignment w:val="top"/>
        <w:rPr>
          <w:bCs/>
          <w:lang w:val="es-ES"/>
        </w:rPr>
      </w:pPr>
    </w:p>
    <w:p w14:paraId="7A812C25" w14:textId="3F4AB215" w:rsidR="007927FC" w:rsidRPr="008A106B" w:rsidRDefault="007927FC" w:rsidP="00291BAC">
      <w:pPr>
        <w:widowControl w:val="0"/>
        <w:textAlignment w:val="top"/>
        <w:rPr>
          <w:bCs/>
          <w:i/>
          <w:lang w:val="es-ES"/>
        </w:rPr>
      </w:pPr>
      <w:r w:rsidRPr="008A106B">
        <w:rPr>
          <w:bCs/>
          <w:i/>
          <w:lang w:val="es-ES"/>
        </w:rPr>
        <w:t xml:space="preserve">Tabla </w:t>
      </w:r>
      <w:r w:rsidR="0085789E">
        <w:rPr>
          <w:bCs/>
          <w:i/>
          <w:lang w:val="es-ES"/>
        </w:rPr>
        <w:t>1</w:t>
      </w:r>
      <w:r w:rsidR="00D50156">
        <w:rPr>
          <w:bCs/>
          <w:i/>
          <w:lang w:val="es-ES"/>
        </w:rPr>
        <w:t>0</w:t>
      </w:r>
      <w:r w:rsidRPr="008A106B">
        <w:rPr>
          <w:bCs/>
          <w:i/>
          <w:lang w:val="es-ES"/>
        </w:rPr>
        <w:t xml:space="preserve">. Número y proporción de pacientes con un brote ACR 30 AIJ y proporción de pacientes con respuesta ACR 30/50/70/90 AIJ, en la semana 40, tratados con un biológico previo (Población ITT - Parte II </w:t>
      </w:r>
      <w:del w:id="680" w:author="AUTHOR">
        <w:r w:rsidRPr="008A106B" w:rsidDel="00A93547">
          <w:rPr>
            <w:bCs/>
            <w:i/>
            <w:lang w:val="es-ES"/>
          </w:rPr>
          <w:delText>Estudio</w:delText>
        </w:r>
      </w:del>
      <w:ins w:id="681" w:author="AUTHOR">
        <w:r w:rsidR="00A93547">
          <w:rPr>
            <w:bCs/>
            <w:i/>
            <w:lang w:val="es-ES"/>
          </w:rPr>
          <w:t>ensayo</w:t>
        </w:r>
      </w:ins>
      <w:r w:rsidRPr="008A106B">
        <w:rPr>
          <w:bCs/>
          <w:i/>
          <w:lang w:val="es-ES"/>
        </w:rPr>
        <w:t>)</w:t>
      </w:r>
    </w:p>
    <w:p w14:paraId="48877AC1" w14:textId="77777777" w:rsidR="007927FC" w:rsidRPr="008A106B" w:rsidRDefault="007927FC" w:rsidP="00291BAC">
      <w:pPr>
        <w:keepNext/>
        <w:keepLines/>
        <w:widowControl w:val="0"/>
        <w:textAlignment w:val="top"/>
        <w:rPr>
          <w:bCs/>
          <w:lang w:val="es-ES"/>
        </w:rPr>
      </w:pPr>
    </w:p>
    <w:tbl>
      <w:tblPr>
        <w:tblW w:w="0" w:type="auto"/>
        <w:jc w:val="center"/>
        <w:tblLayout w:type="fixed"/>
        <w:tblCellMar>
          <w:left w:w="0" w:type="dxa"/>
          <w:right w:w="0" w:type="dxa"/>
        </w:tblCellMar>
        <w:tblLook w:val="01E0" w:firstRow="1" w:lastRow="1" w:firstColumn="1" w:lastColumn="1" w:noHBand="0" w:noVBand="0"/>
      </w:tblPr>
      <w:tblGrid>
        <w:gridCol w:w="2297"/>
        <w:gridCol w:w="1613"/>
        <w:gridCol w:w="1615"/>
        <w:gridCol w:w="1613"/>
        <w:gridCol w:w="1615"/>
      </w:tblGrid>
      <w:tr w:rsidR="007927FC" w:rsidRPr="005A5612" w14:paraId="2CE90C24" w14:textId="77777777" w:rsidTr="00FC7454">
        <w:trPr>
          <w:trHeight w:hRule="exact" w:val="348"/>
          <w:jc w:val="center"/>
        </w:trPr>
        <w:tc>
          <w:tcPr>
            <w:tcW w:w="2297" w:type="dxa"/>
            <w:tcBorders>
              <w:top w:val="single" w:sz="4" w:space="0" w:color="000000"/>
              <w:left w:val="single" w:sz="4" w:space="0" w:color="000000"/>
              <w:bottom w:val="single" w:sz="4" w:space="0" w:color="000000"/>
              <w:right w:val="single" w:sz="4" w:space="0" w:color="000000"/>
            </w:tcBorders>
          </w:tcPr>
          <w:p w14:paraId="107D2CEF" w14:textId="77777777" w:rsidR="007927FC" w:rsidRPr="005A5612" w:rsidRDefault="007927FC" w:rsidP="00291BAC">
            <w:pPr>
              <w:widowControl w:val="0"/>
              <w:rPr>
                <w:sz w:val="24"/>
                <w:szCs w:val="24"/>
                <w:lang w:val="es-ES"/>
              </w:rPr>
            </w:pPr>
          </w:p>
        </w:tc>
        <w:tc>
          <w:tcPr>
            <w:tcW w:w="3228" w:type="dxa"/>
            <w:gridSpan w:val="2"/>
            <w:tcBorders>
              <w:top w:val="single" w:sz="4" w:space="0" w:color="000000"/>
              <w:left w:val="single" w:sz="4" w:space="0" w:color="000000"/>
              <w:bottom w:val="single" w:sz="4" w:space="0" w:color="000000"/>
              <w:right w:val="single" w:sz="4" w:space="0" w:color="000000"/>
            </w:tcBorders>
          </w:tcPr>
          <w:p w14:paraId="2D31991A" w14:textId="77777777" w:rsidR="007927FC" w:rsidRPr="00630CB6" w:rsidRDefault="007927FC" w:rsidP="00291BAC">
            <w:pPr>
              <w:widowControl w:val="0"/>
              <w:spacing w:before="51"/>
              <w:ind w:left="1069" w:right="-20"/>
              <w:rPr>
                <w:rFonts w:eastAsia="Arial" w:cs="Arial"/>
                <w:sz w:val="20"/>
              </w:rPr>
            </w:pPr>
            <w:r w:rsidRPr="008F5639">
              <w:rPr>
                <w:rFonts w:eastAsia="Arial" w:cs="Arial"/>
                <w:b/>
                <w:bCs/>
                <w:spacing w:val="-1"/>
                <w:sz w:val="20"/>
              </w:rPr>
              <w:t>P</w:t>
            </w:r>
            <w:r w:rsidRPr="008F5639">
              <w:rPr>
                <w:rFonts w:eastAsia="Arial" w:cs="Arial"/>
                <w:b/>
                <w:bCs/>
                <w:spacing w:val="2"/>
                <w:sz w:val="20"/>
              </w:rPr>
              <w:t>l</w:t>
            </w:r>
            <w:r w:rsidRPr="008F5639">
              <w:rPr>
                <w:rFonts w:eastAsia="Arial" w:cs="Arial"/>
                <w:b/>
                <w:bCs/>
                <w:sz w:val="20"/>
              </w:rPr>
              <w:t>ace</w:t>
            </w:r>
            <w:r w:rsidRPr="00630CB6">
              <w:rPr>
                <w:rFonts w:eastAsia="Arial" w:cs="Arial"/>
                <w:b/>
                <w:bCs/>
                <w:spacing w:val="1"/>
                <w:sz w:val="20"/>
              </w:rPr>
              <w:t>b</w:t>
            </w:r>
            <w:r w:rsidRPr="00630CB6">
              <w:rPr>
                <w:rFonts w:eastAsia="Arial" w:cs="Arial"/>
                <w:b/>
                <w:bCs/>
                <w:sz w:val="20"/>
              </w:rPr>
              <w:t>o</w:t>
            </w:r>
          </w:p>
        </w:tc>
        <w:tc>
          <w:tcPr>
            <w:tcW w:w="3228" w:type="dxa"/>
            <w:gridSpan w:val="2"/>
            <w:tcBorders>
              <w:top w:val="single" w:sz="4" w:space="0" w:color="000000"/>
              <w:left w:val="single" w:sz="4" w:space="0" w:color="000000"/>
              <w:bottom w:val="single" w:sz="4" w:space="0" w:color="000000"/>
              <w:right w:val="single" w:sz="4" w:space="0" w:color="000000"/>
            </w:tcBorders>
          </w:tcPr>
          <w:p w14:paraId="62CB50D6" w14:textId="77777777" w:rsidR="007927FC" w:rsidRPr="00630CB6" w:rsidRDefault="007927FC" w:rsidP="00291BAC">
            <w:pPr>
              <w:widowControl w:val="0"/>
              <w:spacing w:before="51"/>
              <w:ind w:left="1134" w:right="1205"/>
              <w:rPr>
                <w:rFonts w:eastAsia="Arial" w:cs="Arial"/>
                <w:sz w:val="20"/>
              </w:rPr>
            </w:pPr>
            <w:r w:rsidRPr="00630CB6">
              <w:rPr>
                <w:rFonts w:eastAsia="Arial" w:cs="Arial"/>
                <w:sz w:val="20"/>
              </w:rPr>
              <w:t>TCZ</w:t>
            </w:r>
          </w:p>
        </w:tc>
      </w:tr>
      <w:tr w:rsidR="007927FC" w:rsidRPr="005A5612" w14:paraId="0C4F8C03" w14:textId="77777777" w:rsidTr="00FC7454">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3839839" w14:textId="77777777" w:rsidR="007927FC" w:rsidRPr="00630CB6" w:rsidRDefault="007927FC" w:rsidP="00291BAC">
            <w:pPr>
              <w:widowControl w:val="0"/>
              <w:spacing w:before="51"/>
              <w:ind w:left="52" w:right="-20"/>
              <w:rPr>
                <w:rFonts w:eastAsia="Arial" w:cs="Arial"/>
                <w:sz w:val="20"/>
              </w:rPr>
            </w:pPr>
            <w:r w:rsidRPr="00630CB6">
              <w:rPr>
                <w:rFonts w:eastAsia="Arial" w:cs="Arial"/>
                <w:b/>
                <w:bCs/>
                <w:sz w:val="20"/>
              </w:rPr>
              <w:t>Uso de Biológico</w:t>
            </w:r>
          </w:p>
        </w:tc>
        <w:tc>
          <w:tcPr>
            <w:tcW w:w="1613" w:type="dxa"/>
            <w:tcBorders>
              <w:top w:val="single" w:sz="4" w:space="0" w:color="000000"/>
              <w:left w:val="single" w:sz="4" w:space="0" w:color="000000"/>
              <w:bottom w:val="single" w:sz="4" w:space="0" w:color="000000"/>
              <w:right w:val="single" w:sz="4" w:space="0" w:color="000000"/>
            </w:tcBorders>
          </w:tcPr>
          <w:p w14:paraId="6A737FB2" w14:textId="237953DC" w:rsidR="007927FC" w:rsidRPr="00630CB6" w:rsidRDefault="007927FC" w:rsidP="00291BAC">
            <w:pPr>
              <w:widowControl w:val="0"/>
              <w:spacing w:before="51"/>
              <w:ind w:left="234" w:right="-20"/>
              <w:rPr>
                <w:rFonts w:eastAsia="Arial" w:cs="Arial"/>
                <w:sz w:val="20"/>
              </w:rPr>
            </w:pPr>
            <w:r w:rsidRPr="00630CB6">
              <w:rPr>
                <w:rFonts w:eastAsia="Arial" w:cs="Arial"/>
                <w:b/>
                <w:bCs/>
                <w:spacing w:val="2"/>
                <w:sz w:val="20"/>
              </w:rPr>
              <w:t>Si</w:t>
            </w:r>
            <w:r w:rsidRPr="00630CB6">
              <w:rPr>
                <w:rFonts w:eastAsia="Arial" w:cs="Arial"/>
                <w:b/>
                <w:bCs/>
                <w:spacing w:val="-4"/>
                <w:sz w:val="20"/>
              </w:rPr>
              <w:t xml:space="preserve"> </w:t>
            </w:r>
            <w:r w:rsidRPr="00630CB6">
              <w:rPr>
                <w:rFonts w:eastAsia="Arial" w:cs="Arial"/>
                <w:b/>
                <w:bCs/>
                <w:spacing w:val="1"/>
                <w:sz w:val="20"/>
              </w:rPr>
              <w:t>(</w:t>
            </w:r>
            <w:del w:id="682" w:author="AUTHOR">
              <w:r w:rsidRPr="00630CB6" w:rsidDel="003E29DD">
                <w:rPr>
                  <w:rFonts w:eastAsia="Arial" w:cs="Arial"/>
                  <w:b/>
                  <w:bCs/>
                  <w:sz w:val="20"/>
                </w:rPr>
                <w:delText>N</w:delText>
              </w:r>
              <w:r w:rsidRPr="00630CB6" w:rsidDel="003E29DD">
                <w:rPr>
                  <w:rFonts w:eastAsia="Arial" w:cs="Arial"/>
                  <w:b/>
                  <w:bCs/>
                  <w:spacing w:val="-2"/>
                  <w:sz w:val="20"/>
                </w:rPr>
                <w:delText xml:space="preserve"> </w:delText>
              </w:r>
            </w:del>
            <w:ins w:id="683" w:author="AUTHOR">
              <w:r w:rsidR="003E29DD">
                <w:rPr>
                  <w:rFonts w:eastAsia="Arial" w:cs="Arial"/>
                  <w:b/>
                  <w:bCs/>
                  <w:sz w:val="20"/>
                </w:rPr>
                <w:t>n</w:t>
              </w:r>
              <w:r w:rsidR="003E29DD" w:rsidRPr="00630CB6">
                <w:rPr>
                  <w:rFonts w:eastAsia="Arial" w:cs="Arial"/>
                  <w:b/>
                  <w:bCs/>
                  <w:spacing w:val="-2"/>
                  <w:sz w:val="20"/>
                </w:rPr>
                <w:t xml:space="preserve"> </w:t>
              </w:r>
            </w:ins>
            <w:r w:rsidRPr="005A5612">
              <w:rPr>
                <w:sz w:val="20"/>
              </w:rPr>
              <w:t>=</w:t>
            </w:r>
            <w:r w:rsidRPr="005A5612">
              <w:rPr>
                <w:spacing w:val="4"/>
                <w:sz w:val="20"/>
              </w:rPr>
              <w:t xml:space="preserve"> </w:t>
            </w:r>
            <w:r w:rsidRPr="00630CB6">
              <w:rPr>
                <w:rFonts w:eastAsia="Arial" w:cs="Arial"/>
                <w:b/>
                <w:bCs/>
                <w:sz w:val="20"/>
              </w:rPr>
              <w:t>23)</w:t>
            </w:r>
          </w:p>
        </w:tc>
        <w:tc>
          <w:tcPr>
            <w:tcW w:w="1615" w:type="dxa"/>
            <w:tcBorders>
              <w:top w:val="single" w:sz="4" w:space="0" w:color="000000"/>
              <w:left w:val="single" w:sz="4" w:space="0" w:color="000000"/>
              <w:bottom w:val="single" w:sz="4" w:space="0" w:color="000000"/>
              <w:right w:val="single" w:sz="4" w:space="0" w:color="000000"/>
            </w:tcBorders>
          </w:tcPr>
          <w:p w14:paraId="6BF6CA52" w14:textId="491C16B0" w:rsidR="007927FC" w:rsidRPr="00630CB6" w:rsidRDefault="007927FC" w:rsidP="00291BAC">
            <w:pPr>
              <w:widowControl w:val="0"/>
              <w:spacing w:before="51"/>
              <w:ind w:left="280" w:right="-20"/>
              <w:rPr>
                <w:rFonts w:eastAsia="Arial" w:cs="Arial"/>
                <w:sz w:val="20"/>
              </w:rPr>
            </w:pPr>
            <w:r w:rsidRPr="00630CB6">
              <w:rPr>
                <w:rFonts w:eastAsia="Arial" w:cs="Arial"/>
                <w:b/>
                <w:bCs/>
                <w:sz w:val="20"/>
              </w:rPr>
              <w:t>No</w:t>
            </w:r>
            <w:r w:rsidRPr="00630CB6">
              <w:rPr>
                <w:rFonts w:eastAsia="Arial" w:cs="Arial"/>
                <w:b/>
                <w:bCs/>
                <w:spacing w:val="-3"/>
                <w:sz w:val="20"/>
              </w:rPr>
              <w:t xml:space="preserve"> </w:t>
            </w:r>
            <w:r w:rsidRPr="00630CB6">
              <w:rPr>
                <w:rFonts w:eastAsia="Arial" w:cs="Arial"/>
                <w:b/>
                <w:bCs/>
                <w:spacing w:val="1"/>
                <w:sz w:val="20"/>
              </w:rPr>
              <w:t>(</w:t>
            </w:r>
            <w:del w:id="684" w:author="AUTHOR">
              <w:r w:rsidRPr="00630CB6" w:rsidDel="003E29DD">
                <w:rPr>
                  <w:rFonts w:eastAsia="Arial" w:cs="Arial"/>
                  <w:b/>
                  <w:bCs/>
                  <w:sz w:val="20"/>
                </w:rPr>
                <w:delText>N</w:delText>
              </w:r>
              <w:r w:rsidRPr="00630CB6" w:rsidDel="003E29DD">
                <w:rPr>
                  <w:rFonts w:eastAsia="Arial" w:cs="Arial"/>
                  <w:b/>
                  <w:bCs/>
                  <w:spacing w:val="-2"/>
                  <w:sz w:val="20"/>
                </w:rPr>
                <w:delText xml:space="preserve"> </w:delText>
              </w:r>
            </w:del>
            <w:ins w:id="685" w:author="AUTHOR">
              <w:r w:rsidR="003E29DD">
                <w:rPr>
                  <w:rFonts w:eastAsia="Arial" w:cs="Arial"/>
                  <w:b/>
                  <w:bCs/>
                  <w:sz w:val="20"/>
                </w:rPr>
                <w:t>n</w:t>
              </w:r>
              <w:r w:rsidR="003E29DD" w:rsidRPr="00630CB6">
                <w:rPr>
                  <w:rFonts w:eastAsia="Arial" w:cs="Arial"/>
                  <w:b/>
                  <w:bCs/>
                  <w:spacing w:val="-2"/>
                  <w:sz w:val="20"/>
                </w:rPr>
                <w:t xml:space="preserve"> </w:t>
              </w:r>
            </w:ins>
            <w:r w:rsidRPr="005A5612">
              <w:rPr>
                <w:sz w:val="20"/>
              </w:rPr>
              <w:t>=</w:t>
            </w:r>
            <w:r w:rsidRPr="005A5612">
              <w:rPr>
                <w:spacing w:val="4"/>
                <w:sz w:val="20"/>
              </w:rPr>
              <w:t xml:space="preserve"> </w:t>
            </w:r>
            <w:r w:rsidRPr="00630CB6">
              <w:rPr>
                <w:rFonts w:eastAsia="Arial" w:cs="Arial"/>
                <w:b/>
                <w:bCs/>
                <w:sz w:val="20"/>
              </w:rPr>
              <w:t>58)</w:t>
            </w:r>
          </w:p>
        </w:tc>
        <w:tc>
          <w:tcPr>
            <w:tcW w:w="1613" w:type="dxa"/>
            <w:tcBorders>
              <w:top w:val="single" w:sz="4" w:space="0" w:color="000000"/>
              <w:left w:val="single" w:sz="4" w:space="0" w:color="000000"/>
              <w:bottom w:val="single" w:sz="4" w:space="0" w:color="000000"/>
              <w:right w:val="single" w:sz="4" w:space="0" w:color="000000"/>
            </w:tcBorders>
          </w:tcPr>
          <w:p w14:paraId="75BC92E3" w14:textId="7F259A48" w:rsidR="007927FC" w:rsidRPr="00630CB6" w:rsidRDefault="007927FC" w:rsidP="00291BAC">
            <w:pPr>
              <w:widowControl w:val="0"/>
              <w:spacing w:before="51"/>
              <w:ind w:left="234" w:right="-20"/>
              <w:rPr>
                <w:rFonts w:eastAsia="Arial" w:cs="Arial"/>
                <w:sz w:val="20"/>
              </w:rPr>
            </w:pPr>
            <w:r w:rsidRPr="00630CB6">
              <w:rPr>
                <w:rFonts w:eastAsia="Arial" w:cs="Arial"/>
                <w:b/>
                <w:bCs/>
                <w:spacing w:val="2"/>
                <w:sz w:val="20"/>
              </w:rPr>
              <w:t>Si</w:t>
            </w:r>
            <w:r w:rsidRPr="00630CB6">
              <w:rPr>
                <w:rFonts w:eastAsia="Arial" w:cs="Arial"/>
                <w:b/>
                <w:bCs/>
                <w:spacing w:val="-5"/>
                <w:sz w:val="20"/>
              </w:rPr>
              <w:t xml:space="preserve"> </w:t>
            </w:r>
            <w:r w:rsidRPr="00630CB6">
              <w:rPr>
                <w:rFonts w:eastAsia="Arial" w:cs="Arial"/>
                <w:b/>
                <w:bCs/>
                <w:spacing w:val="1"/>
                <w:sz w:val="20"/>
              </w:rPr>
              <w:t>(</w:t>
            </w:r>
            <w:del w:id="686" w:author="AUTHOR">
              <w:r w:rsidRPr="00630CB6" w:rsidDel="003E29DD">
                <w:rPr>
                  <w:rFonts w:eastAsia="Arial" w:cs="Arial"/>
                  <w:b/>
                  <w:bCs/>
                  <w:sz w:val="20"/>
                </w:rPr>
                <w:delText>N</w:delText>
              </w:r>
              <w:r w:rsidRPr="00630CB6" w:rsidDel="003E29DD">
                <w:rPr>
                  <w:rFonts w:eastAsia="Arial" w:cs="Arial"/>
                  <w:b/>
                  <w:bCs/>
                  <w:spacing w:val="-2"/>
                  <w:sz w:val="20"/>
                </w:rPr>
                <w:delText xml:space="preserve"> </w:delText>
              </w:r>
            </w:del>
            <w:ins w:id="687" w:author="AUTHOR">
              <w:r w:rsidR="003E29DD">
                <w:rPr>
                  <w:rFonts w:eastAsia="Arial" w:cs="Arial"/>
                  <w:b/>
                  <w:bCs/>
                  <w:sz w:val="20"/>
                </w:rPr>
                <w:t>n</w:t>
              </w:r>
              <w:r w:rsidR="003E29DD" w:rsidRPr="00630CB6">
                <w:rPr>
                  <w:rFonts w:eastAsia="Arial" w:cs="Arial"/>
                  <w:b/>
                  <w:bCs/>
                  <w:spacing w:val="-2"/>
                  <w:sz w:val="20"/>
                </w:rPr>
                <w:t xml:space="preserve"> </w:t>
              </w:r>
            </w:ins>
            <w:r w:rsidRPr="005A5612">
              <w:rPr>
                <w:sz w:val="20"/>
              </w:rPr>
              <w:t>=</w:t>
            </w:r>
            <w:r w:rsidRPr="005A5612">
              <w:rPr>
                <w:spacing w:val="4"/>
                <w:sz w:val="20"/>
              </w:rPr>
              <w:t xml:space="preserve"> </w:t>
            </w:r>
            <w:r w:rsidRPr="00630CB6">
              <w:rPr>
                <w:rFonts w:eastAsia="Arial" w:cs="Arial"/>
                <w:b/>
                <w:bCs/>
                <w:sz w:val="20"/>
              </w:rPr>
              <w:t>27)</w:t>
            </w:r>
          </w:p>
        </w:tc>
        <w:tc>
          <w:tcPr>
            <w:tcW w:w="1615" w:type="dxa"/>
            <w:tcBorders>
              <w:top w:val="single" w:sz="4" w:space="0" w:color="000000"/>
              <w:left w:val="single" w:sz="4" w:space="0" w:color="000000"/>
              <w:bottom w:val="single" w:sz="4" w:space="0" w:color="000000"/>
              <w:right w:val="single" w:sz="4" w:space="0" w:color="000000"/>
            </w:tcBorders>
          </w:tcPr>
          <w:p w14:paraId="5E5C0C45" w14:textId="3A85107C" w:rsidR="007927FC" w:rsidRPr="00630CB6" w:rsidRDefault="007927FC" w:rsidP="00291BAC">
            <w:pPr>
              <w:widowControl w:val="0"/>
              <w:spacing w:before="51"/>
              <w:ind w:left="281" w:right="-20"/>
              <w:rPr>
                <w:rFonts w:eastAsia="Arial" w:cs="Arial"/>
                <w:sz w:val="20"/>
              </w:rPr>
            </w:pPr>
            <w:r w:rsidRPr="00630CB6">
              <w:rPr>
                <w:rFonts w:eastAsia="Arial" w:cs="Arial"/>
                <w:b/>
                <w:bCs/>
                <w:sz w:val="20"/>
              </w:rPr>
              <w:t>No</w:t>
            </w:r>
            <w:r w:rsidRPr="00630CB6">
              <w:rPr>
                <w:rFonts w:eastAsia="Arial" w:cs="Arial"/>
                <w:b/>
                <w:bCs/>
                <w:spacing w:val="-3"/>
                <w:sz w:val="20"/>
              </w:rPr>
              <w:t xml:space="preserve"> </w:t>
            </w:r>
            <w:r w:rsidRPr="00630CB6">
              <w:rPr>
                <w:rFonts w:eastAsia="Arial" w:cs="Arial"/>
                <w:b/>
                <w:bCs/>
                <w:spacing w:val="1"/>
                <w:sz w:val="20"/>
              </w:rPr>
              <w:t>(</w:t>
            </w:r>
            <w:del w:id="688" w:author="AUTHOR">
              <w:r w:rsidRPr="00630CB6" w:rsidDel="003E29DD">
                <w:rPr>
                  <w:rFonts w:eastAsia="Arial" w:cs="Arial"/>
                  <w:b/>
                  <w:bCs/>
                  <w:sz w:val="20"/>
                </w:rPr>
                <w:delText>N</w:delText>
              </w:r>
              <w:r w:rsidRPr="00630CB6" w:rsidDel="003E29DD">
                <w:rPr>
                  <w:rFonts w:eastAsia="Arial" w:cs="Arial"/>
                  <w:b/>
                  <w:bCs/>
                  <w:spacing w:val="-2"/>
                  <w:sz w:val="20"/>
                </w:rPr>
                <w:delText xml:space="preserve"> </w:delText>
              </w:r>
            </w:del>
            <w:ins w:id="689" w:author="AUTHOR">
              <w:r w:rsidR="003E29DD">
                <w:rPr>
                  <w:rFonts w:eastAsia="Arial" w:cs="Arial"/>
                  <w:b/>
                  <w:bCs/>
                  <w:sz w:val="20"/>
                </w:rPr>
                <w:t>n</w:t>
              </w:r>
              <w:r w:rsidR="003E29DD" w:rsidRPr="00630CB6">
                <w:rPr>
                  <w:rFonts w:eastAsia="Arial" w:cs="Arial"/>
                  <w:b/>
                  <w:bCs/>
                  <w:spacing w:val="-2"/>
                  <w:sz w:val="20"/>
                </w:rPr>
                <w:t xml:space="preserve"> </w:t>
              </w:r>
            </w:ins>
            <w:r w:rsidRPr="005A5612">
              <w:rPr>
                <w:sz w:val="20"/>
              </w:rPr>
              <w:t>=</w:t>
            </w:r>
            <w:r w:rsidRPr="005A5612">
              <w:rPr>
                <w:spacing w:val="4"/>
                <w:sz w:val="20"/>
              </w:rPr>
              <w:t xml:space="preserve"> </w:t>
            </w:r>
            <w:r w:rsidRPr="00630CB6">
              <w:rPr>
                <w:rFonts w:eastAsia="Arial" w:cs="Arial"/>
                <w:b/>
                <w:bCs/>
                <w:sz w:val="20"/>
              </w:rPr>
              <w:t>55)</w:t>
            </w:r>
          </w:p>
        </w:tc>
      </w:tr>
      <w:tr w:rsidR="007927FC" w:rsidRPr="005A5612" w14:paraId="51A3490C" w14:textId="77777777" w:rsidTr="00FC7454">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62BAF381" w14:textId="18AD94A2" w:rsidR="007927FC" w:rsidRPr="008A106B" w:rsidRDefault="007927FC" w:rsidP="00291BAC">
            <w:pPr>
              <w:widowControl w:val="0"/>
              <w:spacing w:before="51"/>
              <w:ind w:left="52" w:right="-20"/>
              <w:rPr>
                <w:rFonts w:eastAsia="Arial" w:cs="Arial"/>
                <w:sz w:val="20"/>
                <w:lang w:val="es-ES"/>
              </w:rPr>
            </w:pPr>
            <w:r w:rsidRPr="005A5612">
              <w:rPr>
                <w:sz w:val="20"/>
              </w:rPr>
              <w:t>Brote ACR</w:t>
            </w:r>
            <w:r w:rsidR="00C8792E">
              <w:rPr>
                <w:sz w:val="20"/>
              </w:rPr>
              <w:t> </w:t>
            </w:r>
            <w:r w:rsidRPr="005A5612">
              <w:rPr>
                <w:sz w:val="20"/>
              </w:rPr>
              <w:t>30 AIJ</w:t>
            </w:r>
          </w:p>
        </w:tc>
        <w:tc>
          <w:tcPr>
            <w:tcW w:w="1613" w:type="dxa"/>
            <w:tcBorders>
              <w:top w:val="single" w:sz="4" w:space="0" w:color="000000"/>
              <w:left w:val="single" w:sz="4" w:space="0" w:color="000000"/>
              <w:bottom w:val="single" w:sz="4" w:space="0" w:color="000000"/>
              <w:right w:val="single" w:sz="4" w:space="0" w:color="000000"/>
            </w:tcBorders>
          </w:tcPr>
          <w:p w14:paraId="391C8058" w14:textId="77777777" w:rsidR="007927FC" w:rsidRPr="00630CB6" w:rsidRDefault="007927FC" w:rsidP="00291BAC">
            <w:pPr>
              <w:widowControl w:val="0"/>
              <w:spacing w:before="51"/>
              <w:ind w:left="402" w:right="-20"/>
              <w:rPr>
                <w:rFonts w:eastAsia="Arial" w:cs="Arial"/>
                <w:sz w:val="20"/>
              </w:rPr>
            </w:pPr>
            <w:r w:rsidRPr="008F5639">
              <w:rPr>
                <w:rFonts w:eastAsia="Arial" w:cs="Arial"/>
                <w:sz w:val="20"/>
              </w:rPr>
              <w:t>18</w:t>
            </w:r>
            <w:r w:rsidRPr="008F5639">
              <w:rPr>
                <w:rFonts w:eastAsia="Arial" w:cs="Arial"/>
                <w:spacing w:val="-3"/>
                <w:sz w:val="20"/>
              </w:rPr>
              <w:t xml:space="preserve"> </w:t>
            </w:r>
            <w:r w:rsidRPr="008F5639">
              <w:rPr>
                <w:rFonts w:eastAsia="Arial" w:cs="Arial"/>
                <w:spacing w:val="1"/>
                <w:sz w:val="20"/>
              </w:rPr>
              <w:t>(</w:t>
            </w:r>
            <w:r w:rsidRPr="00630CB6">
              <w:rPr>
                <w:rFonts w:eastAsia="Arial" w:cs="Arial"/>
                <w:sz w:val="20"/>
              </w:rPr>
              <w:t>78,3)</w:t>
            </w:r>
          </w:p>
        </w:tc>
        <w:tc>
          <w:tcPr>
            <w:tcW w:w="1615" w:type="dxa"/>
            <w:tcBorders>
              <w:top w:val="single" w:sz="4" w:space="0" w:color="000000"/>
              <w:left w:val="single" w:sz="4" w:space="0" w:color="000000"/>
              <w:bottom w:val="single" w:sz="4" w:space="0" w:color="000000"/>
              <w:right w:val="single" w:sz="4" w:space="0" w:color="000000"/>
            </w:tcBorders>
          </w:tcPr>
          <w:p w14:paraId="157479B3" w14:textId="77777777" w:rsidR="007927FC" w:rsidRPr="00630CB6" w:rsidRDefault="007927FC" w:rsidP="00291BAC">
            <w:pPr>
              <w:widowControl w:val="0"/>
              <w:spacing w:before="51"/>
              <w:ind w:left="402" w:right="-20"/>
              <w:rPr>
                <w:rFonts w:eastAsia="Arial" w:cs="Arial"/>
                <w:sz w:val="20"/>
              </w:rPr>
            </w:pPr>
            <w:r w:rsidRPr="00630CB6">
              <w:rPr>
                <w:rFonts w:eastAsia="Arial" w:cs="Arial"/>
                <w:sz w:val="20"/>
              </w:rPr>
              <w:t>21</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36,2)</w:t>
            </w:r>
          </w:p>
        </w:tc>
        <w:tc>
          <w:tcPr>
            <w:tcW w:w="1613" w:type="dxa"/>
            <w:tcBorders>
              <w:top w:val="single" w:sz="4" w:space="0" w:color="000000"/>
              <w:left w:val="single" w:sz="4" w:space="0" w:color="000000"/>
              <w:bottom w:val="single" w:sz="4" w:space="0" w:color="000000"/>
              <w:right w:val="single" w:sz="4" w:space="0" w:color="000000"/>
            </w:tcBorders>
          </w:tcPr>
          <w:p w14:paraId="306D97AD" w14:textId="77777777" w:rsidR="007927FC" w:rsidRPr="00630CB6" w:rsidRDefault="007927FC" w:rsidP="00291BAC">
            <w:pPr>
              <w:widowControl w:val="0"/>
              <w:spacing w:before="51"/>
              <w:ind w:left="402" w:right="-20"/>
              <w:rPr>
                <w:rFonts w:eastAsia="Arial" w:cs="Arial"/>
                <w:sz w:val="20"/>
              </w:rPr>
            </w:pPr>
            <w:r w:rsidRPr="00630CB6">
              <w:rPr>
                <w:rFonts w:eastAsia="Arial" w:cs="Arial"/>
                <w:sz w:val="20"/>
              </w:rPr>
              <w:t>12</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44,4)</w:t>
            </w:r>
          </w:p>
        </w:tc>
        <w:tc>
          <w:tcPr>
            <w:tcW w:w="1615" w:type="dxa"/>
            <w:tcBorders>
              <w:top w:val="single" w:sz="4" w:space="0" w:color="000000"/>
              <w:left w:val="single" w:sz="4" w:space="0" w:color="000000"/>
              <w:bottom w:val="single" w:sz="4" w:space="0" w:color="000000"/>
              <w:right w:val="single" w:sz="4" w:space="0" w:color="000000"/>
            </w:tcBorders>
          </w:tcPr>
          <w:p w14:paraId="7760A4E8" w14:textId="77777777" w:rsidR="007927FC" w:rsidRPr="00630CB6" w:rsidRDefault="007927FC" w:rsidP="00291BAC">
            <w:pPr>
              <w:widowControl w:val="0"/>
              <w:spacing w:before="51"/>
              <w:ind w:left="457" w:right="-20"/>
              <w:rPr>
                <w:rFonts w:eastAsia="Arial" w:cs="Arial"/>
                <w:sz w:val="20"/>
              </w:rPr>
            </w:pPr>
            <w:r w:rsidRPr="00630CB6">
              <w:rPr>
                <w:rFonts w:eastAsia="Arial" w:cs="Arial"/>
                <w:sz w:val="20"/>
              </w:rPr>
              <w:t>9</w:t>
            </w:r>
            <w:r w:rsidRPr="00630CB6">
              <w:rPr>
                <w:rFonts w:eastAsia="Arial" w:cs="Arial"/>
                <w:spacing w:val="-2"/>
                <w:sz w:val="20"/>
              </w:rPr>
              <w:t xml:space="preserve"> </w:t>
            </w:r>
            <w:r w:rsidRPr="00630CB6">
              <w:rPr>
                <w:rFonts w:eastAsia="Arial" w:cs="Arial"/>
                <w:spacing w:val="1"/>
                <w:sz w:val="20"/>
              </w:rPr>
              <w:t>(</w:t>
            </w:r>
            <w:r w:rsidRPr="00630CB6">
              <w:rPr>
                <w:rFonts w:eastAsia="Arial" w:cs="Arial"/>
                <w:sz w:val="20"/>
              </w:rPr>
              <w:t>16,4)</w:t>
            </w:r>
          </w:p>
        </w:tc>
      </w:tr>
      <w:tr w:rsidR="007927FC" w:rsidRPr="005A5612" w14:paraId="179A7A74" w14:textId="77777777" w:rsidTr="00FC7454">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00363970" w14:textId="562BD8A0" w:rsidR="007927FC" w:rsidRPr="00630CB6" w:rsidRDefault="007927FC" w:rsidP="00291BAC">
            <w:pPr>
              <w:widowControl w:val="0"/>
              <w:spacing w:before="51"/>
              <w:ind w:left="52" w:right="-20"/>
              <w:rPr>
                <w:rFonts w:eastAsia="Arial" w:cs="Arial"/>
                <w:sz w:val="20"/>
              </w:rPr>
            </w:pPr>
            <w:r w:rsidRPr="00630CB6">
              <w:rPr>
                <w:rFonts w:eastAsia="Arial" w:cs="Arial"/>
                <w:spacing w:val="1"/>
                <w:sz w:val="20"/>
              </w:rPr>
              <w:t>Respuesta ACR</w:t>
            </w:r>
            <w:r w:rsidR="00C8792E">
              <w:rPr>
                <w:rFonts w:eastAsia="Arial" w:cs="Arial"/>
                <w:spacing w:val="1"/>
                <w:sz w:val="20"/>
              </w:rPr>
              <w:t> </w:t>
            </w:r>
            <w:r w:rsidRPr="00630CB6">
              <w:rPr>
                <w:rFonts w:eastAsia="Arial" w:cs="Arial"/>
                <w:spacing w:val="1"/>
                <w:sz w:val="20"/>
              </w:rPr>
              <w:t>30 AIJ</w:t>
            </w:r>
          </w:p>
        </w:tc>
        <w:tc>
          <w:tcPr>
            <w:tcW w:w="1613" w:type="dxa"/>
            <w:tcBorders>
              <w:top w:val="single" w:sz="4" w:space="0" w:color="000000"/>
              <w:left w:val="single" w:sz="4" w:space="0" w:color="000000"/>
              <w:bottom w:val="single" w:sz="4" w:space="0" w:color="000000"/>
              <w:right w:val="single" w:sz="4" w:space="0" w:color="000000"/>
            </w:tcBorders>
          </w:tcPr>
          <w:p w14:paraId="3B463CA1" w14:textId="77777777" w:rsidR="007927FC" w:rsidRPr="00630CB6" w:rsidRDefault="007927FC" w:rsidP="00291BAC">
            <w:pPr>
              <w:widowControl w:val="0"/>
              <w:spacing w:before="51"/>
              <w:ind w:left="457" w:right="-20"/>
              <w:rPr>
                <w:rFonts w:eastAsia="Arial" w:cs="Arial"/>
                <w:sz w:val="20"/>
              </w:rPr>
            </w:pPr>
            <w:r w:rsidRPr="00630CB6">
              <w:rPr>
                <w:rFonts w:eastAsia="Arial" w:cs="Arial"/>
                <w:sz w:val="20"/>
              </w:rPr>
              <w:t>6</w:t>
            </w:r>
            <w:r w:rsidRPr="00630CB6">
              <w:rPr>
                <w:rFonts w:eastAsia="Arial" w:cs="Arial"/>
                <w:spacing w:val="-2"/>
                <w:sz w:val="20"/>
              </w:rPr>
              <w:t xml:space="preserve"> </w:t>
            </w:r>
            <w:r w:rsidRPr="00630CB6">
              <w:rPr>
                <w:rFonts w:eastAsia="Arial" w:cs="Arial"/>
                <w:spacing w:val="1"/>
                <w:sz w:val="20"/>
              </w:rPr>
              <w:t>(</w:t>
            </w:r>
            <w:r w:rsidRPr="00630CB6">
              <w:rPr>
                <w:rFonts w:eastAsia="Arial" w:cs="Arial"/>
                <w:sz w:val="20"/>
              </w:rPr>
              <w:t>26,1)</w:t>
            </w:r>
          </w:p>
        </w:tc>
        <w:tc>
          <w:tcPr>
            <w:tcW w:w="1615" w:type="dxa"/>
            <w:tcBorders>
              <w:top w:val="single" w:sz="4" w:space="0" w:color="000000"/>
              <w:left w:val="single" w:sz="4" w:space="0" w:color="000000"/>
              <w:bottom w:val="single" w:sz="4" w:space="0" w:color="000000"/>
              <w:right w:val="single" w:sz="4" w:space="0" w:color="000000"/>
            </w:tcBorders>
          </w:tcPr>
          <w:p w14:paraId="1090B626"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38</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65,5)</w:t>
            </w:r>
          </w:p>
        </w:tc>
        <w:tc>
          <w:tcPr>
            <w:tcW w:w="1613" w:type="dxa"/>
            <w:tcBorders>
              <w:top w:val="single" w:sz="4" w:space="0" w:color="000000"/>
              <w:left w:val="single" w:sz="4" w:space="0" w:color="000000"/>
              <w:bottom w:val="single" w:sz="4" w:space="0" w:color="000000"/>
              <w:right w:val="single" w:sz="4" w:space="0" w:color="000000"/>
            </w:tcBorders>
          </w:tcPr>
          <w:p w14:paraId="1AA88083"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15</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55,6)</w:t>
            </w:r>
          </w:p>
        </w:tc>
        <w:tc>
          <w:tcPr>
            <w:tcW w:w="1615" w:type="dxa"/>
            <w:tcBorders>
              <w:top w:val="single" w:sz="4" w:space="0" w:color="000000"/>
              <w:left w:val="single" w:sz="4" w:space="0" w:color="000000"/>
              <w:bottom w:val="single" w:sz="4" w:space="0" w:color="000000"/>
              <w:right w:val="single" w:sz="4" w:space="0" w:color="000000"/>
            </w:tcBorders>
          </w:tcPr>
          <w:p w14:paraId="4D56D79D"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46</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83,6)</w:t>
            </w:r>
          </w:p>
        </w:tc>
      </w:tr>
      <w:tr w:rsidR="007927FC" w:rsidRPr="005A5612" w14:paraId="3764DE43" w14:textId="77777777" w:rsidTr="00FC7454">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C587482" w14:textId="6B2260CB" w:rsidR="007927FC" w:rsidRPr="00630CB6" w:rsidRDefault="007927FC" w:rsidP="00291BAC">
            <w:pPr>
              <w:widowControl w:val="0"/>
              <w:spacing w:before="51"/>
              <w:ind w:left="52" w:right="-20"/>
              <w:rPr>
                <w:rFonts w:eastAsia="Arial" w:cs="Arial"/>
                <w:sz w:val="20"/>
              </w:rPr>
            </w:pPr>
            <w:r w:rsidRPr="00630CB6">
              <w:rPr>
                <w:rFonts w:eastAsia="Arial" w:cs="Arial"/>
                <w:spacing w:val="1"/>
                <w:sz w:val="20"/>
              </w:rPr>
              <w:t>Respuesta ACR</w:t>
            </w:r>
            <w:r w:rsidR="00C8792E">
              <w:rPr>
                <w:rFonts w:eastAsia="Arial" w:cs="Arial"/>
                <w:spacing w:val="1"/>
                <w:sz w:val="20"/>
              </w:rPr>
              <w:t> </w:t>
            </w:r>
            <w:r w:rsidRPr="00630CB6">
              <w:rPr>
                <w:rFonts w:eastAsia="Arial" w:cs="Arial"/>
                <w:spacing w:val="1"/>
                <w:sz w:val="20"/>
              </w:rPr>
              <w:t>50  AIJ</w:t>
            </w:r>
          </w:p>
        </w:tc>
        <w:tc>
          <w:tcPr>
            <w:tcW w:w="1613" w:type="dxa"/>
            <w:tcBorders>
              <w:top w:val="single" w:sz="4" w:space="0" w:color="000000"/>
              <w:left w:val="single" w:sz="4" w:space="0" w:color="000000"/>
              <w:bottom w:val="single" w:sz="4" w:space="0" w:color="000000"/>
              <w:right w:val="single" w:sz="4" w:space="0" w:color="000000"/>
            </w:tcBorders>
          </w:tcPr>
          <w:p w14:paraId="087A53D4" w14:textId="77777777" w:rsidR="007927FC" w:rsidRPr="00630CB6" w:rsidRDefault="007927FC" w:rsidP="00291BAC">
            <w:pPr>
              <w:widowControl w:val="0"/>
              <w:spacing w:before="51"/>
              <w:ind w:left="457" w:right="-20"/>
              <w:rPr>
                <w:rFonts w:eastAsia="Arial" w:cs="Arial"/>
                <w:sz w:val="20"/>
              </w:rPr>
            </w:pPr>
            <w:r w:rsidRPr="00630CB6">
              <w:rPr>
                <w:rFonts w:eastAsia="Arial" w:cs="Arial"/>
                <w:sz w:val="20"/>
              </w:rPr>
              <w:t>5</w:t>
            </w:r>
            <w:r w:rsidRPr="00630CB6">
              <w:rPr>
                <w:rFonts w:eastAsia="Arial" w:cs="Arial"/>
                <w:spacing w:val="-2"/>
                <w:sz w:val="20"/>
              </w:rPr>
              <w:t xml:space="preserve"> </w:t>
            </w:r>
            <w:r w:rsidRPr="00630CB6">
              <w:rPr>
                <w:rFonts w:eastAsia="Arial" w:cs="Arial"/>
                <w:spacing w:val="1"/>
                <w:sz w:val="20"/>
              </w:rPr>
              <w:t>(</w:t>
            </w:r>
            <w:r w:rsidRPr="00630CB6">
              <w:rPr>
                <w:rFonts w:eastAsia="Arial" w:cs="Arial"/>
                <w:sz w:val="20"/>
              </w:rPr>
              <w:t>21,7)</w:t>
            </w:r>
          </w:p>
        </w:tc>
        <w:tc>
          <w:tcPr>
            <w:tcW w:w="1615" w:type="dxa"/>
            <w:tcBorders>
              <w:top w:val="single" w:sz="4" w:space="0" w:color="000000"/>
              <w:left w:val="single" w:sz="4" w:space="0" w:color="000000"/>
              <w:bottom w:val="single" w:sz="4" w:space="0" w:color="000000"/>
              <w:right w:val="single" w:sz="4" w:space="0" w:color="000000"/>
            </w:tcBorders>
          </w:tcPr>
          <w:p w14:paraId="57EEB31F"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37</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63</w:t>
            </w:r>
            <w:r w:rsidRPr="00630CB6">
              <w:rPr>
                <w:rFonts w:eastAsia="Arial" w:cs="Arial"/>
                <w:spacing w:val="2"/>
                <w:sz w:val="20"/>
              </w:rPr>
              <w:t>,</w:t>
            </w:r>
            <w:r w:rsidRPr="00630CB6">
              <w:rPr>
                <w:rFonts w:eastAsia="Arial" w:cs="Arial"/>
                <w:sz w:val="20"/>
              </w:rPr>
              <w:t>8)</w:t>
            </w:r>
          </w:p>
        </w:tc>
        <w:tc>
          <w:tcPr>
            <w:tcW w:w="1613" w:type="dxa"/>
            <w:tcBorders>
              <w:top w:val="single" w:sz="4" w:space="0" w:color="000000"/>
              <w:left w:val="single" w:sz="4" w:space="0" w:color="000000"/>
              <w:bottom w:val="single" w:sz="4" w:space="0" w:color="000000"/>
              <w:right w:val="single" w:sz="4" w:space="0" w:color="000000"/>
            </w:tcBorders>
          </w:tcPr>
          <w:p w14:paraId="7B5A948F"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14</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51</w:t>
            </w:r>
            <w:r w:rsidRPr="00630CB6">
              <w:rPr>
                <w:rFonts w:eastAsia="Arial" w:cs="Arial"/>
                <w:spacing w:val="2"/>
                <w:sz w:val="20"/>
              </w:rPr>
              <w:t>,</w:t>
            </w:r>
            <w:r w:rsidRPr="00630CB6">
              <w:rPr>
                <w:rFonts w:eastAsia="Arial" w:cs="Arial"/>
                <w:sz w:val="20"/>
              </w:rPr>
              <w:t>9)</w:t>
            </w:r>
          </w:p>
        </w:tc>
        <w:tc>
          <w:tcPr>
            <w:tcW w:w="1615" w:type="dxa"/>
            <w:tcBorders>
              <w:top w:val="single" w:sz="4" w:space="0" w:color="000000"/>
              <w:left w:val="single" w:sz="4" w:space="0" w:color="000000"/>
              <w:bottom w:val="single" w:sz="4" w:space="0" w:color="000000"/>
              <w:right w:val="single" w:sz="4" w:space="0" w:color="000000"/>
            </w:tcBorders>
          </w:tcPr>
          <w:p w14:paraId="5D022C28"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46</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83,6)</w:t>
            </w:r>
          </w:p>
        </w:tc>
      </w:tr>
      <w:tr w:rsidR="007927FC" w:rsidRPr="005A5612" w14:paraId="01470A11" w14:textId="77777777" w:rsidTr="00FC7454">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33AF811D" w14:textId="20E83074" w:rsidR="007927FC" w:rsidRPr="00630CB6" w:rsidRDefault="007927FC" w:rsidP="00291BAC">
            <w:pPr>
              <w:widowControl w:val="0"/>
              <w:spacing w:before="51"/>
              <w:ind w:left="52" w:right="-20"/>
              <w:rPr>
                <w:rFonts w:eastAsia="Arial" w:cs="Arial"/>
                <w:sz w:val="20"/>
              </w:rPr>
            </w:pPr>
            <w:r w:rsidRPr="00630CB6">
              <w:rPr>
                <w:rFonts w:eastAsia="Arial" w:cs="Arial"/>
                <w:spacing w:val="1"/>
                <w:sz w:val="20"/>
              </w:rPr>
              <w:t>Respuesta ACR</w:t>
            </w:r>
            <w:r w:rsidR="00C8792E">
              <w:rPr>
                <w:rFonts w:eastAsia="Arial" w:cs="Arial"/>
                <w:spacing w:val="1"/>
                <w:sz w:val="20"/>
              </w:rPr>
              <w:t> </w:t>
            </w:r>
            <w:r w:rsidRPr="00630CB6">
              <w:rPr>
                <w:rFonts w:eastAsia="Arial" w:cs="Arial"/>
                <w:spacing w:val="1"/>
                <w:sz w:val="20"/>
              </w:rPr>
              <w:t>70  AIJ</w:t>
            </w:r>
          </w:p>
        </w:tc>
        <w:tc>
          <w:tcPr>
            <w:tcW w:w="1613" w:type="dxa"/>
            <w:tcBorders>
              <w:top w:val="single" w:sz="4" w:space="0" w:color="000000"/>
              <w:left w:val="single" w:sz="4" w:space="0" w:color="000000"/>
              <w:bottom w:val="single" w:sz="4" w:space="0" w:color="000000"/>
              <w:right w:val="single" w:sz="4" w:space="0" w:color="000000"/>
            </w:tcBorders>
          </w:tcPr>
          <w:p w14:paraId="6EF90807" w14:textId="77777777" w:rsidR="007927FC" w:rsidRPr="00630CB6" w:rsidRDefault="007927FC" w:rsidP="00291BAC">
            <w:pPr>
              <w:widowControl w:val="0"/>
              <w:spacing w:before="51"/>
              <w:ind w:left="512" w:right="-20"/>
              <w:rPr>
                <w:rFonts w:eastAsia="Arial" w:cs="Arial"/>
                <w:sz w:val="20"/>
              </w:rPr>
            </w:pPr>
            <w:r w:rsidRPr="00630CB6">
              <w:rPr>
                <w:rFonts w:eastAsia="Arial" w:cs="Arial"/>
                <w:sz w:val="20"/>
              </w:rPr>
              <w:t>2</w:t>
            </w:r>
            <w:r w:rsidRPr="00630CB6">
              <w:rPr>
                <w:rFonts w:eastAsia="Arial" w:cs="Arial"/>
                <w:spacing w:val="-2"/>
                <w:sz w:val="20"/>
              </w:rPr>
              <w:t xml:space="preserve"> </w:t>
            </w:r>
            <w:r w:rsidRPr="00630CB6">
              <w:rPr>
                <w:rFonts w:eastAsia="Arial" w:cs="Arial"/>
                <w:spacing w:val="1"/>
                <w:sz w:val="20"/>
              </w:rPr>
              <w:t>(</w:t>
            </w:r>
            <w:r w:rsidRPr="00630CB6">
              <w:rPr>
                <w:rFonts w:eastAsia="Arial" w:cs="Arial"/>
                <w:sz w:val="20"/>
              </w:rPr>
              <w:t>8,7)</w:t>
            </w:r>
          </w:p>
        </w:tc>
        <w:tc>
          <w:tcPr>
            <w:tcW w:w="1615" w:type="dxa"/>
            <w:tcBorders>
              <w:top w:val="single" w:sz="4" w:space="0" w:color="000000"/>
              <w:left w:val="single" w:sz="4" w:space="0" w:color="000000"/>
              <w:bottom w:val="single" w:sz="4" w:space="0" w:color="000000"/>
              <w:right w:val="single" w:sz="4" w:space="0" w:color="000000"/>
            </w:tcBorders>
          </w:tcPr>
          <w:p w14:paraId="62B5F438"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32</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55</w:t>
            </w:r>
            <w:r w:rsidRPr="00630CB6">
              <w:rPr>
                <w:rFonts w:eastAsia="Arial" w:cs="Arial"/>
                <w:spacing w:val="2"/>
                <w:sz w:val="20"/>
              </w:rPr>
              <w:t>,</w:t>
            </w:r>
            <w:r w:rsidRPr="00630CB6">
              <w:rPr>
                <w:rFonts w:eastAsia="Arial" w:cs="Arial"/>
                <w:sz w:val="20"/>
              </w:rPr>
              <w:t>2)</w:t>
            </w:r>
          </w:p>
        </w:tc>
        <w:tc>
          <w:tcPr>
            <w:tcW w:w="1613" w:type="dxa"/>
            <w:tcBorders>
              <w:top w:val="single" w:sz="4" w:space="0" w:color="000000"/>
              <w:left w:val="single" w:sz="4" w:space="0" w:color="000000"/>
              <w:bottom w:val="single" w:sz="4" w:space="0" w:color="000000"/>
              <w:right w:val="single" w:sz="4" w:space="0" w:color="000000"/>
            </w:tcBorders>
          </w:tcPr>
          <w:p w14:paraId="7966F5F6"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13</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48</w:t>
            </w:r>
            <w:r w:rsidRPr="00630CB6">
              <w:rPr>
                <w:rFonts w:eastAsia="Arial" w:cs="Arial"/>
                <w:spacing w:val="2"/>
                <w:sz w:val="20"/>
              </w:rPr>
              <w:t>,</w:t>
            </w:r>
            <w:r w:rsidRPr="00630CB6">
              <w:rPr>
                <w:rFonts w:eastAsia="Arial" w:cs="Arial"/>
                <w:sz w:val="20"/>
              </w:rPr>
              <w:t>1)</w:t>
            </w:r>
          </w:p>
        </w:tc>
        <w:tc>
          <w:tcPr>
            <w:tcW w:w="1615" w:type="dxa"/>
            <w:tcBorders>
              <w:top w:val="single" w:sz="4" w:space="0" w:color="000000"/>
              <w:left w:val="single" w:sz="4" w:space="0" w:color="000000"/>
              <w:bottom w:val="single" w:sz="4" w:space="0" w:color="000000"/>
              <w:right w:val="single" w:sz="4" w:space="0" w:color="000000"/>
            </w:tcBorders>
          </w:tcPr>
          <w:p w14:paraId="7DF6D49A"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40</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72,7)</w:t>
            </w:r>
          </w:p>
        </w:tc>
      </w:tr>
      <w:tr w:rsidR="007927FC" w:rsidRPr="005A5612" w14:paraId="028C80F4" w14:textId="77777777" w:rsidTr="00FC7454">
        <w:trPr>
          <w:trHeight w:hRule="exact" w:val="350"/>
          <w:jc w:val="center"/>
        </w:trPr>
        <w:tc>
          <w:tcPr>
            <w:tcW w:w="2297" w:type="dxa"/>
            <w:tcBorders>
              <w:top w:val="single" w:sz="4" w:space="0" w:color="000000"/>
              <w:left w:val="single" w:sz="4" w:space="0" w:color="000000"/>
              <w:bottom w:val="single" w:sz="4" w:space="0" w:color="000000"/>
              <w:right w:val="single" w:sz="4" w:space="0" w:color="000000"/>
            </w:tcBorders>
          </w:tcPr>
          <w:p w14:paraId="1D59D3DE" w14:textId="06978A6A" w:rsidR="007927FC" w:rsidRPr="00630CB6" w:rsidRDefault="007927FC" w:rsidP="00291BAC">
            <w:pPr>
              <w:widowControl w:val="0"/>
              <w:spacing w:before="51"/>
              <w:ind w:left="52" w:right="-20"/>
              <w:rPr>
                <w:rFonts w:eastAsia="Arial" w:cs="Arial"/>
                <w:sz w:val="20"/>
              </w:rPr>
            </w:pPr>
            <w:r w:rsidRPr="00630CB6">
              <w:rPr>
                <w:rFonts w:eastAsia="Arial" w:cs="Arial"/>
                <w:spacing w:val="1"/>
                <w:sz w:val="20"/>
              </w:rPr>
              <w:t>Respuesta ACR</w:t>
            </w:r>
            <w:r w:rsidR="00C8792E">
              <w:rPr>
                <w:rFonts w:eastAsia="Arial" w:cs="Arial"/>
                <w:spacing w:val="1"/>
                <w:sz w:val="20"/>
              </w:rPr>
              <w:t> </w:t>
            </w:r>
            <w:r w:rsidRPr="00630CB6">
              <w:rPr>
                <w:rFonts w:eastAsia="Arial" w:cs="Arial"/>
                <w:spacing w:val="1"/>
                <w:sz w:val="20"/>
              </w:rPr>
              <w:t>90  AIJ</w:t>
            </w:r>
          </w:p>
        </w:tc>
        <w:tc>
          <w:tcPr>
            <w:tcW w:w="1613" w:type="dxa"/>
            <w:tcBorders>
              <w:top w:val="single" w:sz="4" w:space="0" w:color="000000"/>
              <w:left w:val="single" w:sz="4" w:space="0" w:color="000000"/>
              <w:bottom w:val="single" w:sz="4" w:space="0" w:color="000000"/>
              <w:right w:val="single" w:sz="4" w:space="0" w:color="000000"/>
            </w:tcBorders>
          </w:tcPr>
          <w:p w14:paraId="1A21AD24" w14:textId="77777777" w:rsidR="007927FC" w:rsidRPr="00630CB6" w:rsidRDefault="007927FC" w:rsidP="00291BAC">
            <w:pPr>
              <w:widowControl w:val="0"/>
              <w:spacing w:before="51"/>
              <w:ind w:left="512" w:right="-20"/>
              <w:rPr>
                <w:rFonts w:eastAsia="Arial" w:cs="Arial"/>
                <w:sz w:val="20"/>
              </w:rPr>
            </w:pPr>
            <w:r w:rsidRPr="00630CB6">
              <w:rPr>
                <w:rFonts w:eastAsia="Arial" w:cs="Arial"/>
                <w:sz w:val="20"/>
              </w:rPr>
              <w:t>2</w:t>
            </w:r>
            <w:r w:rsidRPr="00630CB6">
              <w:rPr>
                <w:rFonts w:eastAsia="Arial" w:cs="Arial"/>
                <w:spacing w:val="-2"/>
                <w:sz w:val="20"/>
              </w:rPr>
              <w:t xml:space="preserve"> </w:t>
            </w:r>
            <w:r w:rsidRPr="00630CB6">
              <w:rPr>
                <w:rFonts w:eastAsia="Arial" w:cs="Arial"/>
                <w:spacing w:val="1"/>
                <w:sz w:val="20"/>
              </w:rPr>
              <w:t>(</w:t>
            </w:r>
            <w:r w:rsidRPr="00630CB6">
              <w:rPr>
                <w:rFonts w:eastAsia="Arial" w:cs="Arial"/>
                <w:sz w:val="20"/>
              </w:rPr>
              <w:t>8,7)</w:t>
            </w:r>
          </w:p>
        </w:tc>
        <w:tc>
          <w:tcPr>
            <w:tcW w:w="1615" w:type="dxa"/>
            <w:tcBorders>
              <w:top w:val="single" w:sz="4" w:space="0" w:color="000000"/>
              <w:left w:val="single" w:sz="4" w:space="0" w:color="000000"/>
              <w:bottom w:val="single" w:sz="4" w:space="0" w:color="000000"/>
              <w:right w:val="single" w:sz="4" w:space="0" w:color="000000"/>
            </w:tcBorders>
          </w:tcPr>
          <w:p w14:paraId="18FBF39E" w14:textId="77777777" w:rsidR="007927FC" w:rsidRPr="00630CB6" w:rsidRDefault="007927FC" w:rsidP="00291BAC">
            <w:pPr>
              <w:widowControl w:val="0"/>
              <w:spacing w:before="51"/>
              <w:ind w:left="402" w:right="-20"/>
              <w:rPr>
                <w:rFonts w:eastAsia="Arial" w:cs="Arial"/>
                <w:sz w:val="20"/>
              </w:rPr>
            </w:pPr>
            <w:r w:rsidRPr="00630CB6">
              <w:rPr>
                <w:rFonts w:eastAsia="Arial" w:cs="Arial"/>
                <w:sz w:val="20"/>
              </w:rPr>
              <w:t>17</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29,3)</w:t>
            </w:r>
          </w:p>
        </w:tc>
        <w:tc>
          <w:tcPr>
            <w:tcW w:w="1613" w:type="dxa"/>
            <w:tcBorders>
              <w:top w:val="single" w:sz="4" w:space="0" w:color="000000"/>
              <w:left w:val="single" w:sz="4" w:space="0" w:color="000000"/>
              <w:bottom w:val="single" w:sz="4" w:space="0" w:color="000000"/>
              <w:right w:val="single" w:sz="4" w:space="0" w:color="000000"/>
            </w:tcBorders>
          </w:tcPr>
          <w:p w14:paraId="14BDB2B4" w14:textId="77777777" w:rsidR="007927FC" w:rsidRPr="00630CB6" w:rsidRDefault="007927FC" w:rsidP="00291BAC">
            <w:pPr>
              <w:widowControl w:val="0"/>
              <w:spacing w:before="51"/>
              <w:ind w:left="457" w:right="-20"/>
              <w:rPr>
                <w:rFonts w:eastAsia="Arial" w:cs="Arial"/>
                <w:sz w:val="20"/>
              </w:rPr>
            </w:pPr>
            <w:r w:rsidRPr="00630CB6">
              <w:rPr>
                <w:rFonts w:eastAsia="Arial" w:cs="Arial"/>
                <w:sz w:val="20"/>
              </w:rPr>
              <w:t>5</w:t>
            </w:r>
            <w:r w:rsidRPr="00630CB6">
              <w:rPr>
                <w:rFonts w:eastAsia="Arial" w:cs="Arial"/>
                <w:spacing w:val="-2"/>
                <w:sz w:val="20"/>
              </w:rPr>
              <w:t xml:space="preserve"> </w:t>
            </w:r>
            <w:r w:rsidRPr="00630CB6">
              <w:rPr>
                <w:rFonts w:eastAsia="Arial" w:cs="Arial"/>
                <w:spacing w:val="1"/>
                <w:sz w:val="20"/>
              </w:rPr>
              <w:t>(</w:t>
            </w:r>
            <w:r w:rsidRPr="00630CB6">
              <w:rPr>
                <w:rFonts w:eastAsia="Arial" w:cs="Arial"/>
                <w:sz w:val="20"/>
              </w:rPr>
              <w:t>18,5)</w:t>
            </w:r>
          </w:p>
        </w:tc>
        <w:tc>
          <w:tcPr>
            <w:tcW w:w="1615" w:type="dxa"/>
            <w:tcBorders>
              <w:top w:val="single" w:sz="4" w:space="0" w:color="000000"/>
              <w:left w:val="single" w:sz="4" w:space="0" w:color="000000"/>
              <w:bottom w:val="single" w:sz="4" w:space="0" w:color="000000"/>
              <w:right w:val="single" w:sz="4" w:space="0" w:color="000000"/>
            </w:tcBorders>
          </w:tcPr>
          <w:p w14:paraId="4C7D6B5C" w14:textId="77777777" w:rsidR="007927FC" w:rsidRPr="00630CB6" w:rsidRDefault="007927FC" w:rsidP="00291BAC">
            <w:pPr>
              <w:widowControl w:val="0"/>
              <w:spacing w:before="51"/>
              <w:ind w:left="401" w:right="-20"/>
              <w:rPr>
                <w:rFonts w:eastAsia="Arial" w:cs="Arial"/>
                <w:sz w:val="20"/>
              </w:rPr>
            </w:pPr>
            <w:r w:rsidRPr="00630CB6">
              <w:rPr>
                <w:rFonts w:eastAsia="Arial" w:cs="Arial"/>
                <w:sz w:val="20"/>
              </w:rPr>
              <w:t>32</w:t>
            </w:r>
            <w:r w:rsidRPr="00630CB6">
              <w:rPr>
                <w:rFonts w:eastAsia="Arial" w:cs="Arial"/>
                <w:spacing w:val="-3"/>
                <w:sz w:val="20"/>
              </w:rPr>
              <w:t xml:space="preserve"> </w:t>
            </w:r>
            <w:r w:rsidRPr="00630CB6">
              <w:rPr>
                <w:rFonts w:eastAsia="Arial" w:cs="Arial"/>
                <w:spacing w:val="1"/>
                <w:sz w:val="20"/>
              </w:rPr>
              <w:t>(</w:t>
            </w:r>
            <w:r w:rsidRPr="00630CB6">
              <w:rPr>
                <w:rFonts w:eastAsia="Arial" w:cs="Arial"/>
                <w:sz w:val="20"/>
              </w:rPr>
              <w:t>58,2)</w:t>
            </w:r>
          </w:p>
        </w:tc>
      </w:tr>
    </w:tbl>
    <w:p w14:paraId="633BC83C" w14:textId="77777777" w:rsidR="007927FC" w:rsidRPr="00F30AB8" w:rsidRDefault="0001390E" w:rsidP="00291BAC">
      <w:pPr>
        <w:widowControl w:val="0"/>
        <w:textAlignment w:val="top"/>
        <w:rPr>
          <w:sz w:val="18"/>
          <w:szCs w:val="18"/>
          <w:lang w:val="en-GB" w:eastAsia="en-US"/>
        </w:rPr>
      </w:pPr>
      <w:r w:rsidRPr="00F30AB8">
        <w:rPr>
          <w:sz w:val="18"/>
          <w:szCs w:val="18"/>
          <w:lang w:val="en-GB" w:eastAsia="en-US"/>
        </w:rPr>
        <w:t>TCZ = tocilizumab</w:t>
      </w:r>
    </w:p>
    <w:p w14:paraId="077D9D77" w14:textId="77777777" w:rsidR="0001390E" w:rsidRPr="00630CB6" w:rsidRDefault="0001390E" w:rsidP="00291BAC">
      <w:pPr>
        <w:widowControl w:val="0"/>
        <w:textAlignment w:val="top"/>
        <w:rPr>
          <w:bCs/>
          <w:lang w:val="es-ES"/>
        </w:rPr>
      </w:pPr>
    </w:p>
    <w:p w14:paraId="790E856A" w14:textId="77777777" w:rsidR="007927FC" w:rsidRDefault="007927FC" w:rsidP="00291BAC">
      <w:pPr>
        <w:widowControl w:val="0"/>
        <w:textAlignment w:val="top"/>
        <w:rPr>
          <w:bCs/>
          <w:lang w:val="es-ES"/>
        </w:rPr>
      </w:pPr>
      <w:r w:rsidRPr="00630CB6">
        <w:rPr>
          <w:bCs/>
          <w:lang w:val="es-ES"/>
        </w:rPr>
        <w:t>Los pacientes randomizados a tocilizumab presentaron menos brotes ACR 30 y un aumento general de las respuestas ACR que los pacientes que recibieron placebo independientemente de los antecedentes del uso de biológicos previo.</w:t>
      </w:r>
    </w:p>
    <w:p w14:paraId="3D2133A3" w14:textId="77777777" w:rsidR="00A03C16" w:rsidRPr="008A106B" w:rsidRDefault="00A03C16" w:rsidP="00291BAC">
      <w:pPr>
        <w:widowControl w:val="0"/>
        <w:textAlignment w:val="top"/>
        <w:rPr>
          <w:bCs/>
          <w:lang w:val="es-ES"/>
        </w:rPr>
      </w:pPr>
    </w:p>
    <w:p w14:paraId="3DC6BF12" w14:textId="77777777" w:rsidR="005B2A75" w:rsidRDefault="005B2A75" w:rsidP="00291BAC">
      <w:pPr>
        <w:widowControl w:val="0"/>
        <w:autoSpaceDE w:val="0"/>
        <w:autoSpaceDN w:val="0"/>
        <w:adjustRightInd w:val="0"/>
        <w:rPr>
          <w:rFonts w:eastAsia="SimSun"/>
          <w:szCs w:val="22"/>
          <w:u w:val="single"/>
          <w:lang w:val="es-ES" w:eastAsia="zh-CN"/>
        </w:rPr>
      </w:pPr>
      <w:r w:rsidRPr="004B67DA">
        <w:rPr>
          <w:rFonts w:eastAsia="SimSun"/>
          <w:szCs w:val="22"/>
          <w:u w:val="single"/>
          <w:lang w:val="es-ES" w:eastAsia="zh-CN"/>
        </w:rPr>
        <w:t>SLC</w:t>
      </w:r>
    </w:p>
    <w:p w14:paraId="0C9CDAA0" w14:textId="77777777" w:rsidR="0001390E" w:rsidRPr="004B67DA" w:rsidRDefault="0001390E" w:rsidP="00291BAC">
      <w:pPr>
        <w:widowControl w:val="0"/>
        <w:autoSpaceDE w:val="0"/>
        <w:autoSpaceDN w:val="0"/>
        <w:adjustRightInd w:val="0"/>
        <w:rPr>
          <w:rFonts w:eastAsia="SimSun"/>
          <w:szCs w:val="22"/>
          <w:u w:val="single"/>
          <w:lang w:val="es-ES" w:eastAsia="zh-CN"/>
        </w:rPr>
      </w:pPr>
    </w:p>
    <w:p w14:paraId="787BF1BB" w14:textId="3C426ED3" w:rsidR="002D426C" w:rsidRPr="004B67DA" w:rsidRDefault="002D426C" w:rsidP="00291BAC">
      <w:pPr>
        <w:widowControl w:val="0"/>
        <w:autoSpaceDE w:val="0"/>
        <w:autoSpaceDN w:val="0"/>
        <w:adjustRightInd w:val="0"/>
        <w:rPr>
          <w:rFonts w:eastAsia="SimSun"/>
          <w:szCs w:val="22"/>
          <w:lang w:val="es-ES" w:eastAsia="zh-CN"/>
        </w:rPr>
      </w:pPr>
      <w:r w:rsidRPr="004B67DA">
        <w:rPr>
          <w:rFonts w:eastAsia="SimSun"/>
          <w:szCs w:val="22"/>
          <w:lang w:val="es-ES" w:eastAsia="zh-CN"/>
        </w:rPr>
        <w:t xml:space="preserve">La eficacia de </w:t>
      </w:r>
      <w:r w:rsidR="00724D3E">
        <w:rPr>
          <w:rFonts w:eastAsia="SimSun"/>
          <w:szCs w:val="22"/>
          <w:lang w:val="es-ES" w:eastAsia="zh-CN"/>
        </w:rPr>
        <w:t>tocilizumab</w:t>
      </w:r>
      <w:r w:rsidR="00724D3E" w:rsidRPr="004B67DA">
        <w:rPr>
          <w:rFonts w:eastAsia="SimSun"/>
          <w:szCs w:val="22"/>
          <w:lang w:val="es-ES" w:eastAsia="zh-CN"/>
        </w:rPr>
        <w:t xml:space="preserve"> </w:t>
      </w:r>
      <w:r w:rsidRPr="004B67DA">
        <w:rPr>
          <w:rFonts w:eastAsia="SimSun"/>
          <w:szCs w:val="22"/>
          <w:lang w:val="es-ES" w:eastAsia="zh-CN"/>
        </w:rPr>
        <w:t>para el tratamiento del SLC se evaluó en un análisis retrospectivo de datos de ensayos clínicos de terapias de c</w:t>
      </w:r>
      <w:r w:rsidR="00135267" w:rsidRPr="004B67DA">
        <w:rPr>
          <w:rFonts w:eastAsia="SimSun"/>
          <w:szCs w:val="22"/>
          <w:lang w:val="es-ES" w:eastAsia="zh-CN"/>
        </w:rPr>
        <w:t>élulas T con receptor</w:t>
      </w:r>
      <w:r w:rsidRPr="004B67DA">
        <w:rPr>
          <w:rFonts w:eastAsia="SimSun"/>
          <w:szCs w:val="22"/>
          <w:lang w:val="es-ES" w:eastAsia="zh-CN"/>
        </w:rPr>
        <w:t xml:space="preserve"> de antíge</w:t>
      </w:r>
      <w:r w:rsidR="00135267" w:rsidRPr="004B67DA">
        <w:rPr>
          <w:rFonts w:eastAsia="SimSun"/>
          <w:szCs w:val="22"/>
          <w:lang w:val="es-ES" w:eastAsia="zh-CN"/>
        </w:rPr>
        <w:t>no quimérico</w:t>
      </w:r>
      <w:r w:rsidR="0037680C" w:rsidRPr="004B67DA">
        <w:rPr>
          <w:rFonts w:eastAsia="SimSun"/>
          <w:szCs w:val="22"/>
          <w:lang w:val="es-ES" w:eastAsia="zh-CN"/>
        </w:rPr>
        <w:t xml:space="preserve"> (tisagenlecleucel y </w:t>
      </w:r>
      <w:r w:rsidR="0037680C" w:rsidRPr="0085789E">
        <w:rPr>
          <w:lang w:val="es-ES"/>
        </w:rPr>
        <w:t>axicabtagene ciloleucel)</w:t>
      </w:r>
      <w:r w:rsidR="00FE2B51" w:rsidRPr="004B67DA">
        <w:rPr>
          <w:rFonts w:eastAsia="SimSun"/>
          <w:szCs w:val="22"/>
          <w:lang w:val="es-ES" w:eastAsia="zh-CN"/>
        </w:rPr>
        <w:t xml:space="preserve"> para neoplasias hematológica</w:t>
      </w:r>
      <w:r w:rsidR="00BE0DD7" w:rsidRPr="004B67DA">
        <w:rPr>
          <w:rFonts w:eastAsia="SimSun"/>
          <w:szCs w:val="22"/>
          <w:lang w:val="es-ES" w:eastAsia="zh-CN"/>
        </w:rPr>
        <w:t xml:space="preserve">s. Los pacientes evaluados habían sido tratados con tocilizumab </w:t>
      </w:r>
      <w:proofErr w:type="gramStart"/>
      <w:r w:rsidR="00BE0DD7" w:rsidRPr="004B67DA">
        <w:rPr>
          <w:rFonts w:eastAsia="SimSun"/>
          <w:szCs w:val="22"/>
          <w:lang w:val="es-ES" w:eastAsia="zh-CN"/>
        </w:rPr>
        <w:t>8</w:t>
      </w:r>
      <w:r w:rsidR="00205482" w:rsidRPr="00F30AB8">
        <w:rPr>
          <w:szCs w:val="22"/>
          <w:lang w:val="es-ES"/>
        </w:rPr>
        <w:t> </w:t>
      </w:r>
      <w:r w:rsidR="00205482" w:rsidRPr="004B67DA" w:rsidDel="00205482">
        <w:rPr>
          <w:rFonts w:eastAsia="SimSun"/>
          <w:szCs w:val="22"/>
          <w:lang w:val="es-ES" w:eastAsia="zh-CN"/>
        </w:rPr>
        <w:t xml:space="preserve"> </w:t>
      </w:r>
      <w:r w:rsidR="00BE0DD7" w:rsidRPr="004B67DA">
        <w:rPr>
          <w:rFonts w:eastAsia="SimSun"/>
          <w:szCs w:val="22"/>
          <w:lang w:val="es-ES" w:eastAsia="zh-CN"/>
        </w:rPr>
        <w:t>mg</w:t>
      </w:r>
      <w:proofErr w:type="gramEnd"/>
      <w:r w:rsidR="00BE0DD7" w:rsidRPr="004B67DA">
        <w:rPr>
          <w:rFonts w:eastAsia="SimSun"/>
          <w:szCs w:val="22"/>
          <w:lang w:val="es-ES" w:eastAsia="zh-CN"/>
        </w:rPr>
        <w:t>/kg (12</w:t>
      </w:r>
      <w:r w:rsidR="00205482" w:rsidRPr="00F30AB8">
        <w:rPr>
          <w:szCs w:val="22"/>
          <w:lang w:val="es-ES"/>
        </w:rPr>
        <w:t> </w:t>
      </w:r>
      <w:r w:rsidR="00205482" w:rsidRPr="004B67DA" w:rsidDel="00205482">
        <w:rPr>
          <w:rFonts w:eastAsia="SimSun"/>
          <w:szCs w:val="22"/>
          <w:lang w:val="es-ES" w:eastAsia="zh-CN"/>
        </w:rPr>
        <w:t xml:space="preserve"> </w:t>
      </w:r>
      <w:r w:rsidR="00BE0DD7" w:rsidRPr="004B67DA">
        <w:rPr>
          <w:rFonts w:eastAsia="SimSun"/>
          <w:szCs w:val="22"/>
          <w:lang w:val="es-ES" w:eastAsia="zh-CN"/>
        </w:rPr>
        <w:t>mg/kg para pacientes con peso &lt;</w:t>
      </w:r>
      <w:r w:rsidR="00205482" w:rsidRPr="00F30AB8">
        <w:rPr>
          <w:szCs w:val="22"/>
          <w:lang w:val="es-ES"/>
        </w:rPr>
        <w:t> </w:t>
      </w:r>
      <w:r w:rsidR="00205482" w:rsidRPr="004B67DA" w:rsidDel="00205482">
        <w:rPr>
          <w:rFonts w:eastAsia="SimSun"/>
          <w:szCs w:val="22"/>
          <w:lang w:val="es-ES" w:eastAsia="zh-CN"/>
        </w:rPr>
        <w:t xml:space="preserve"> </w:t>
      </w:r>
      <w:r w:rsidR="00BE0DD7" w:rsidRPr="004B67DA">
        <w:rPr>
          <w:rFonts w:eastAsia="SimSun"/>
          <w:szCs w:val="22"/>
          <w:lang w:val="es-ES" w:eastAsia="zh-CN"/>
        </w:rPr>
        <w:t>30</w:t>
      </w:r>
      <w:r w:rsidR="00205482" w:rsidRPr="00F30AB8">
        <w:rPr>
          <w:szCs w:val="22"/>
          <w:lang w:val="es-ES"/>
        </w:rPr>
        <w:t> </w:t>
      </w:r>
      <w:r w:rsidR="00205482" w:rsidRPr="004B67DA" w:rsidDel="00205482">
        <w:rPr>
          <w:rFonts w:eastAsia="SimSun"/>
          <w:szCs w:val="22"/>
          <w:lang w:val="es-ES" w:eastAsia="zh-CN"/>
        </w:rPr>
        <w:t xml:space="preserve"> </w:t>
      </w:r>
      <w:r w:rsidR="00BE0DD7" w:rsidRPr="004B67DA">
        <w:rPr>
          <w:rFonts w:eastAsia="SimSun"/>
          <w:szCs w:val="22"/>
          <w:lang w:val="es-ES" w:eastAsia="zh-CN"/>
        </w:rPr>
        <w:t>kg) c</w:t>
      </w:r>
      <w:r w:rsidR="005721D7" w:rsidRPr="004B67DA">
        <w:rPr>
          <w:rFonts w:eastAsia="SimSun"/>
          <w:szCs w:val="22"/>
          <w:lang w:val="es-ES" w:eastAsia="zh-CN"/>
        </w:rPr>
        <w:t xml:space="preserve">on o sin </w:t>
      </w:r>
      <w:r w:rsidR="00C47546" w:rsidRPr="004B67DA">
        <w:rPr>
          <w:rFonts w:eastAsia="SimSun"/>
          <w:szCs w:val="22"/>
          <w:lang w:val="es-ES" w:eastAsia="zh-CN"/>
        </w:rPr>
        <w:t>dosis altas</w:t>
      </w:r>
      <w:r w:rsidR="005721D7" w:rsidRPr="004B67DA">
        <w:rPr>
          <w:rFonts w:eastAsia="SimSun"/>
          <w:szCs w:val="22"/>
          <w:lang w:val="es-ES" w:eastAsia="zh-CN"/>
        </w:rPr>
        <w:t xml:space="preserve"> adicionales</w:t>
      </w:r>
      <w:r w:rsidR="00BE0DD7" w:rsidRPr="004B67DA">
        <w:rPr>
          <w:rFonts w:eastAsia="SimSun"/>
          <w:szCs w:val="22"/>
          <w:lang w:val="es-ES" w:eastAsia="zh-CN"/>
        </w:rPr>
        <w:t xml:space="preserve"> de corticosteroides para el SLC grave o potencialmente mortal; en el análisis sólo se incluyó el primer episodio de SLC</w:t>
      </w:r>
      <w:r w:rsidR="006942C7" w:rsidRPr="004B67DA">
        <w:rPr>
          <w:rFonts w:eastAsia="SimSun"/>
          <w:szCs w:val="22"/>
          <w:lang w:val="es-ES" w:eastAsia="zh-CN"/>
        </w:rPr>
        <w:t xml:space="preserve">. La población de eficacia para la cohorte de tisagenlecleucel incluyó </w:t>
      </w:r>
      <w:r w:rsidR="0015691F" w:rsidRPr="004B67DA">
        <w:rPr>
          <w:rFonts w:eastAsia="SimSun"/>
          <w:szCs w:val="22"/>
          <w:lang w:val="es-ES" w:eastAsia="zh-CN"/>
        </w:rPr>
        <w:t xml:space="preserve">28 hombres y 23 mujeres (de un total de </w:t>
      </w:r>
      <w:proofErr w:type="gramStart"/>
      <w:r w:rsidR="0015691F" w:rsidRPr="004B67DA">
        <w:rPr>
          <w:rFonts w:eastAsia="SimSun"/>
          <w:szCs w:val="22"/>
          <w:lang w:val="es-ES" w:eastAsia="zh-CN"/>
        </w:rPr>
        <w:t>51</w:t>
      </w:r>
      <w:r w:rsidR="00205482" w:rsidRPr="00F30AB8">
        <w:rPr>
          <w:szCs w:val="22"/>
          <w:lang w:val="es-ES"/>
        </w:rPr>
        <w:t> </w:t>
      </w:r>
      <w:r w:rsidR="00205482" w:rsidRPr="004B67DA" w:rsidDel="00205482">
        <w:rPr>
          <w:rFonts w:eastAsia="SimSun"/>
          <w:szCs w:val="22"/>
          <w:lang w:val="es-ES" w:eastAsia="zh-CN"/>
        </w:rPr>
        <w:t xml:space="preserve"> </w:t>
      </w:r>
      <w:r w:rsidR="0015691F" w:rsidRPr="004B67DA">
        <w:rPr>
          <w:rFonts w:eastAsia="SimSun"/>
          <w:szCs w:val="22"/>
          <w:lang w:val="es-ES" w:eastAsia="zh-CN"/>
        </w:rPr>
        <w:t>pacientes</w:t>
      </w:r>
      <w:proofErr w:type="gramEnd"/>
      <w:r w:rsidR="0015691F" w:rsidRPr="004B67DA">
        <w:rPr>
          <w:rFonts w:eastAsia="SimSun"/>
          <w:szCs w:val="22"/>
          <w:lang w:val="es-ES" w:eastAsia="zh-CN"/>
        </w:rPr>
        <w:t>) con una media de edad de 17</w:t>
      </w:r>
      <w:r w:rsidR="00205482" w:rsidRPr="00F30AB8">
        <w:rPr>
          <w:szCs w:val="22"/>
          <w:lang w:val="es-ES"/>
        </w:rPr>
        <w:t> </w:t>
      </w:r>
      <w:r w:rsidR="00205482" w:rsidRPr="004B67DA" w:rsidDel="00205482">
        <w:rPr>
          <w:rFonts w:eastAsia="SimSun"/>
          <w:szCs w:val="22"/>
          <w:lang w:val="es-ES" w:eastAsia="zh-CN"/>
        </w:rPr>
        <w:t xml:space="preserve"> </w:t>
      </w:r>
      <w:r w:rsidR="0015691F" w:rsidRPr="004B67DA">
        <w:rPr>
          <w:rFonts w:eastAsia="SimSun"/>
          <w:szCs w:val="22"/>
          <w:lang w:val="es-ES" w:eastAsia="zh-CN"/>
        </w:rPr>
        <w:t>años (rango, de 3 a 68</w:t>
      </w:r>
      <w:r w:rsidR="00205482" w:rsidRPr="00F30AB8">
        <w:rPr>
          <w:szCs w:val="22"/>
          <w:lang w:val="es-ES"/>
        </w:rPr>
        <w:t> </w:t>
      </w:r>
      <w:r w:rsidR="00205482" w:rsidRPr="004B67DA" w:rsidDel="00205482">
        <w:rPr>
          <w:rFonts w:eastAsia="SimSun"/>
          <w:szCs w:val="22"/>
          <w:lang w:val="es-ES" w:eastAsia="zh-CN"/>
        </w:rPr>
        <w:t xml:space="preserve"> </w:t>
      </w:r>
      <w:r w:rsidR="0015691F" w:rsidRPr="004B67DA">
        <w:rPr>
          <w:rFonts w:eastAsia="SimSun"/>
          <w:szCs w:val="22"/>
          <w:lang w:val="es-ES" w:eastAsia="zh-CN"/>
        </w:rPr>
        <w:t xml:space="preserve">años). La mediana de tiempo desde el inicio del SLC hasta la primera dosis de tocilizumab fue de </w:t>
      </w:r>
      <w:proofErr w:type="gramStart"/>
      <w:r w:rsidR="0015691F" w:rsidRPr="004B67DA">
        <w:rPr>
          <w:rFonts w:eastAsia="SimSun"/>
          <w:szCs w:val="22"/>
          <w:lang w:val="es-ES" w:eastAsia="zh-CN"/>
        </w:rPr>
        <w:t>3</w:t>
      </w:r>
      <w:r w:rsidR="00205482" w:rsidRPr="00F30AB8">
        <w:rPr>
          <w:szCs w:val="22"/>
          <w:lang w:val="es-ES"/>
        </w:rPr>
        <w:t> </w:t>
      </w:r>
      <w:r w:rsidR="00205482" w:rsidRPr="004B67DA" w:rsidDel="00205482">
        <w:rPr>
          <w:rFonts w:eastAsia="SimSun"/>
          <w:szCs w:val="22"/>
          <w:lang w:val="es-ES" w:eastAsia="zh-CN"/>
        </w:rPr>
        <w:t xml:space="preserve"> </w:t>
      </w:r>
      <w:r w:rsidR="0015691F" w:rsidRPr="004B67DA">
        <w:rPr>
          <w:rFonts w:eastAsia="SimSun"/>
          <w:szCs w:val="22"/>
          <w:lang w:val="es-ES" w:eastAsia="zh-CN"/>
        </w:rPr>
        <w:t>días</w:t>
      </w:r>
      <w:proofErr w:type="gramEnd"/>
      <w:r w:rsidR="0015691F" w:rsidRPr="004B67DA">
        <w:rPr>
          <w:rFonts w:eastAsia="SimSun"/>
          <w:szCs w:val="22"/>
          <w:lang w:val="es-ES" w:eastAsia="zh-CN"/>
        </w:rPr>
        <w:t xml:space="preserve"> (rango, de 0 a 18</w:t>
      </w:r>
      <w:r w:rsidR="00205482" w:rsidRPr="00F30AB8">
        <w:rPr>
          <w:szCs w:val="22"/>
          <w:lang w:val="es-ES"/>
        </w:rPr>
        <w:t> </w:t>
      </w:r>
      <w:r w:rsidR="00205482" w:rsidRPr="004B67DA" w:rsidDel="00205482">
        <w:rPr>
          <w:rFonts w:eastAsia="SimSun"/>
          <w:szCs w:val="22"/>
          <w:lang w:val="es-ES" w:eastAsia="zh-CN"/>
        </w:rPr>
        <w:t xml:space="preserve"> </w:t>
      </w:r>
      <w:r w:rsidR="0015691F" w:rsidRPr="004B67DA">
        <w:rPr>
          <w:rFonts w:eastAsia="SimSun"/>
          <w:szCs w:val="22"/>
          <w:lang w:val="es-ES" w:eastAsia="zh-CN"/>
        </w:rPr>
        <w:t xml:space="preserve">días). </w:t>
      </w:r>
      <w:r w:rsidR="005B49C6" w:rsidRPr="004B67DA">
        <w:rPr>
          <w:rFonts w:eastAsia="SimSun"/>
          <w:szCs w:val="22"/>
          <w:lang w:val="es-ES" w:eastAsia="zh-CN"/>
        </w:rPr>
        <w:t>La resolución del SLC se definió como ausencia de fiebre y vasopresores</w:t>
      </w:r>
      <w:r w:rsidR="002A47BF" w:rsidRPr="004B67DA">
        <w:rPr>
          <w:rFonts w:eastAsia="SimSun"/>
          <w:szCs w:val="22"/>
          <w:lang w:val="es-ES" w:eastAsia="zh-CN"/>
        </w:rPr>
        <w:t xml:space="preserve"> durante al menos </w:t>
      </w:r>
      <w:proofErr w:type="gramStart"/>
      <w:r w:rsidR="002A47BF" w:rsidRPr="004B67DA">
        <w:rPr>
          <w:rFonts w:eastAsia="SimSun"/>
          <w:szCs w:val="22"/>
          <w:lang w:val="es-ES" w:eastAsia="zh-CN"/>
        </w:rPr>
        <w:t>24</w:t>
      </w:r>
      <w:r w:rsidR="00205482" w:rsidRPr="00F30AB8">
        <w:rPr>
          <w:szCs w:val="22"/>
          <w:lang w:val="es-ES"/>
        </w:rPr>
        <w:t> </w:t>
      </w:r>
      <w:r w:rsidR="00205482" w:rsidRPr="004B67DA" w:rsidDel="00205482">
        <w:rPr>
          <w:rFonts w:eastAsia="SimSun"/>
          <w:szCs w:val="22"/>
          <w:lang w:val="es-ES" w:eastAsia="zh-CN"/>
        </w:rPr>
        <w:t xml:space="preserve"> </w:t>
      </w:r>
      <w:r w:rsidR="002A47BF" w:rsidRPr="004B67DA">
        <w:rPr>
          <w:rFonts w:eastAsia="SimSun"/>
          <w:szCs w:val="22"/>
          <w:lang w:val="es-ES" w:eastAsia="zh-CN"/>
        </w:rPr>
        <w:t>horas</w:t>
      </w:r>
      <w:proofErr w:type="gramEnd"/>
      <w:r w:rsidR="002A47BF" w:rsidRPr="004B67DA">
        <w:rPr>
          <w:rFonts w:eastAsia="SimSun"/>
          <w:szCs w:val="22"/>
          <w:lang w:val="es-ES" w:eastAsia="zh-CN"/>
        </w:rPr>
        <w:t>. Se consideró que los pacientes respondían si el SLC se res</w:t>
      </w:r>
      <w:r w:rsidR="001E37E9" w:rsidRPr="004B67DA">
        <w:rPr>
          <w:rFonts w:eastAsia="SimSun"/>
          <w:szCs w:val="22"/>
          <w:lang w:val="es-ES" w:eastAsia="zh-CN"/>
        </w:rPr>
        <w:t>olvía</w:t>
      </w:r>
      <w:r w:rsidR="002A47BF" w:rsidRPr="004B67DA">
        <w:rPr>
          <w:rFonts w:eastAsia="SimSun"/>
          <w:szCs w:val="22"/>
          <w:lang w:val="es-ES" w:eastAsia="zh-CN"/>
        </w:rPr>
        <w:t xml:space="preserve"> dentro de los </w:t>
      </w:r>
      <w:proofErr w:type="gramStart"/>
      <w:r w:rsidR="002A47BF" w:rsidRPr="004B67DA">
        <w:rPr>
          <w:rFonts w:eastAsia="SimSun"/>
          <w:szCs w:val="22"/>
          <w:lang w:val="es-ES" w:eastAsia="zh-CN"/>
        </w:rPr>
        <w:t>14</w:t>
      </w:r>
      <w:r w:rsidR="00205482" w:rsidRPr="00F30AB8">
        <w:rPr>
          <w:szCs w:val="22"/>
          <w:lang w:val="es-ES"/>
        </w:rPr>
        <w:t> </w:t>
      </w:r>
      <w:r w:rsidR="00205482" w:rsidRPr="004B67DA" w:rsidDel="00205482">
        <w:rPr>
          <w:rFonts w:eastAsia="SimSun"/>
          <w:szCs w:val="22"/>
          <w:lang w:val="es-ES" w:eastAsia="zh-CN"/>
        </w:rPr>
        <w:t xml:space="preserve"> </w:t>
      </w:r>
      <w:r w:rsidR="002A47BF" w:rsidRPr="004B67DA">
        <w:rPr>
          <w:rFonts w:eastAsia="SimSun"/>
          <w:szCs w:val="22"/>
          <w:lang w:val="es-ES" w:eastAsia="zh-CN"/>
        </w:rPr>
        <w:t>días</w:t>
      </w:r>
      <w:proofErr w:type="gramEnd"/>
      <w:r w:rsidR="002A47BF" w:rsidRPr="004B67DA">
        <w:rPr>
          <w:rFonts w:eastAsia="SimSun"/>
          <w:szCs w:val="22"/>
          <w:lang w:val="es-ES" w:eastAsia="zh-CN"/>
        </w:rPr>
        <w:t xml:space="preserve"> de la primera dosis de tocilizumab, si no se necesitaron más de 2</w:t>
      </w:r>
      <w:r w:rsidR="00205482" w:rsidRPr="00F30AB8">
        <w:rPr>
          <w:szCs w:val="22"/>
          <w:lang w:val="es-ES"/>
        </w:rPr>
        <w:t> </w:t>
      </w:r>
      <w:r w:rsidR="00205482" w:rsidRPr="004B67DA" w:rsidDel="00205482">
        <w:rPr>
          <w:rFonts w:eastAsia="SimSun"/>
          <w:szCs w:val="22"/>
          <w:lang w:val="es-ES" w:eastAsia="zh-CN"/>
        </w:rPr>
        <w:t xml:space="preserve"> </w:t>
      </w:r>
      <w:r w:rsidR="002A47BF" w:rsidRPr="004B67DA">
        <w:rPr>
          <w:rFonts w:eastAsia="SimSun"/>
          <w:szCs w:val="22"/>
          <w:lang w:val="es-ES" w:eastAsia="zh-CN"/>
        </w:rPr>
        <w:t xml:space="preserve">dosis  y no se usaron otros medicamentos además de </w:t>
      </w:r>
      <w:r w:rsidR="00724D3E">
        <w:rPr>
          <w:rFonts w:eastAsia="SimSun"/>
          <w:szCs w:val="22"/>
          <w:lang w:val="es-ES" w:eastAsia="zh-CN"/>
        </w:rPr>
        <w:t>tocilizumab</w:t>
      </w:r>
      <w:r w:rsidR="00724D3E" w:rsidRPr="004B67DA">
        <w:rPr>
          <w:rFonts w:eastAsia="SimSun"/>
          <w:szCs w:val="22"/>
          <w:lang w:val="es-ES" w:eastAsia="zh-CN"/>
        </w:rPr>
        <w:t xml:space="preserve"> </w:t>
      </w:r>
      <w:r w:rsidR="002A47BF" w:rsidRPr="004B67DA">
        <w:rPr>
          <w:rFonts w:eastAsia="SimSun"/>
          <w:szCs w:val="22"/>
          <w:lang w:val="es-ES" w:eastAsia="zh-CN"/>
        </w:rPr>
        <w:t xml:space="preserve">y corticosteroides para el tratamiento. </w:t>
      </w:r>
      <w:r w:rsidR="001E37E9" w:rsidRPr="004B67DA">
        <w:rPr>
          <w:rFonts w:eastAsia="SimSun"/>
          <w:szCs w:val="22"/>
          <w:lang w:val="es-ES" w:eastAsia="zh-CN"/>
        </w:rPr>
        <w:t>Treinta y nueve pacientes (76,</w:t>
      </w:r>
      <w:proofErr w:type="gramStart"/>
      <w:r w:rsidR="001E37E9" w:rsidRPr="004B67DA">
        <w:rPr>
          <w:rFonts w:eastAsia="SimSun"/>
          <w:szCs w:val="22"/>
          <w:lang w:val="es-ES" w:eastAsia="zh-CN"/>
        </w:rPr>
        <w:t>5</w:t>
      </w:r>
      <w:ins w:id="690" w:author="AUTHOR">
        <w:r w:rsidR="003E29DD" w:rsidRPr="00467FFD">
          <w:rPr>
            <w:szCs w:val="22"/>
            <w:lang w:val="es-ES"/>
            <w:rPrChange w:id="691" w:author="AUTHOR">
              <w:rPr>
                <w:szCs w:val="22"/>
                <w:lang w:val="en-GB"/>
              </w:rPr>
            </w:rPrChange>
          </w:rPr>
          <w:t> </w:t>
        </w:r>
        <w:r w:rsidR="003E29DD" w:rsidRPr="004B67DA">
          <w:rPr>
            <w:rFonts w:eastAsia="SimSun"/>
            <w:szCs w:val="22"/>
            <w:lang w:val="es-ES" w:eastAsia="zh-CN"/>
          </w:rPr>
          <w:t xml:space="preserve"> </w:t>
        </w:r>
      </w:ins>
      <w:r w:rsidR="001E37E9" w:rsidRPr="004B67DA">
        <w:rPr>
          <w:rFonts w:eastAsia="SimSun"/>
          <w:szCs w:val="22"/>
          <w:lang w:val="es-ES" w:eastAsia="zh-CN"/>
        </w:rPr>
        <w:t>%</w:t>
      </w:r>
      <w:proofErr w:type="gramEnd"/>
      <w:r w:rsidR="001E37E9" w:rsidRPr="004B67DA">
        <w:rPr>
          <w:rFonts w:eastAsia="SimSun"/>
          <w:szCs w:val="22"/>
          <w:lang w:val="es-ES" w:eastAsia="zh-CN"/>
        </w:rPr>
        <w:t>; 95</w:t>
      </w:r>
      <w:ins w:id="692" w:author="AUTHOR">
        <w:r w:rsidR="003E29DD" w:rsidRPr="00467FFD">
          <w:rPr>
            <w:szCs w:val="22"/>
            <w:lang w:val="es-ES"/>
            <w:rPrChange w:id="693" w:author="AUTHOR">
              <w:rPr>
                <w:szCs w:val="22"/>
                <w:lang w:val="en-GB"/>
              </w:rPr>
            </w:rPrChange>
          </w:rPr>
          <w:t> </w:t>
        </w:r>
        <w:r w:rsidR="003E29DD" w:rsidRPr="004B67DA">
          <w:rPr>
            <w:rFonts w:eastAsia="SimSun"/>
            <w:szCs w:val="22"/>
            <w:lang w:val="es-ES" w:eastAsia="zh-CN"/>
          </w:rPr>
          <w:t xml:space="preserve"> </w:t>
        </w:r>
      </w:ins>
      <w:r w:rsidR="001E37E9" w:rsidRPr="004B67DA">
        <w:rPr>
          <w:rFonts w:eastAsia="SimSun"/>
          <w:szCs w:val="22"/>
          <w:lang w:val="es-ES" w:eastAsia="zh-CN"/>
        </w:rPr>
        <w:t>% IC: 62,5</w:t>
      </w:r>
      <w:ins w:id="694" w:author="AUTHOR">
        <w:r w:rsidR="003E29DD" w:rsidRPr="00467FFD">
          <w:rPr>
            <w:szCs w:val="22"/>
            <w:lang w:val="es-ES"/>
            <w:rPrChange w:id="695" w:author="AUTHOR">
              <w:rPr>
                <w:szCs w:val="22"/>
                <w:lang w:val="en-GB"/>
              </w:rPr>
            </w:rPrChange>
          </w:rPr>
          <w:t> </w:t>
        </w:r>
        <w:r w:rsidR="003E29DD" w:rsidRPr="004B67DA">
          <w:rPr>
            <w:rFonts w:eastAsia="SimSun"/>
            <w:szCs w:val="22"/>
            <w:lang w:val="es-ES" w:eastAsia="zh-CN"/>
          </w:rPr>
          <w:t xml:space="preserve"> </w:t>
        </w:r>
      </w:ins>
      <w:r w:rsidR="001E37E9" w:rsidRPr="004B67DA">
        <w:rPr>
          <w:rFonts w:eastAsia="SimSun"/>
          <w:szCs w:val="22"/>
          <w:lang w:val="es-ES" w:eastAsia="zh-CN"/>
        </w:rPr>
        <w:t>%-87,2</w:t>
      </w:r>
      <w:ins w:id="696" w:author="AUTHOR">
        <w:r w:rsidR="003E29DD" w:rsidRPr="00467FFD">
          <w:rPr>
            <w:szCs w:val="22"/>
            <w:lang w:val="es-ES"/>
            <w:rPrChange w:id="697" w:author="AUTHOR">
              <w:rPr>
                <w:szCs w:val="22"/>
                <w:lang w:val="en-GB"/>
              </w:rPr>
            </w:rPrChange>
          </w:rPr>
          <w:t> </w:t>
        </w:r>
        <w:r w:rsidR="003E29DD" w:rsidRPr="004B67DA">
          <w:rPr>
            <w:rFonts w:eastAsia="SimSun"/>
            <w:szCs w:val="22"/>
            <w:lang w:val="es-ES" w:eastAsia="zh-CN"/>
          </w:rPr>
          <w:t xml:space="preserve"> </w:t>
        </w:r>
      </w:ins>
      <w:r w:rsidR="001E37E9" w:rsidRPr="004B67DA">
        <w:rPr>
          <w:rFonts w:eastAsia="SimSun"/>
          <w:szCs w:val="22"/>
          <w:lang w:val="es-ES" w:eastAsia="zh-CN"/>
        </w:rPr>
        <w:t xml:space="preserve">%) obtuvieron respuesta. En una cohorte independiente </w:t>
      </w:r>
      <w:r w:rsidR="002C4F65" w:rsidRPr="004B67DA">
        <w:rPr>
          <w:rFonts w:eastAsia="SimSun"/>
          <w:szCs w:val="22"/>
          <w:lang w:val="es-ES" w:eastAsia="zh-CN"/>
        </w:rPr>
        <w:t xml:space="preserve">de </w:t>
      </w:r>
      <w:proofErr w:type="gramStart"/>
      <w:r w:rsidR="002C4F65" w:rsidRPr="004B67DA">
        <w:rPr>
          <w:rFonts w:eastAsia="SimSun"/>
          <w:szCs w:val="22"/>
          <w:lang w:val="es-ES" w:eastAsia="zh-CN"/>
        </w:rPr>
        <w:t>15</w:t>
      </w:r>
      <w:r w:rsidR="00205482" w:rsidRPr="00F30AB8">
        <w:rPr>
          <w:szCs w:val="22"/>
          <w:lang w:val="es-ES"/>
        </w:rPr>
        <w:t> </w:t>
      </w:r>
      <w:r w:rsidR="00205482" w:rsidRPr="004B67DA" w:rsidDel="00205482">
        <w:rPr>
          <w:rFonts w:eastAsia="SimSun"/>
          <w:szCs w:val="22"/>
          <w:lang w:val="es-ES" w:eastAsia="zh-CN"/>
        </w:rPr>
        <w:t xml:space="preserve"> </w:t>
      </w:r>
      <w:r w:rsidR="002C4F65" w:rsidRPr="004B67DA">
        <w:rPr>
          <w:rFonts w:eastAsia="SimSun"/>
          <w:szCs w:val="22"/>
          <w:lang w:val="es-ES" w:eastAsia="zh-CN"/>
        </w:rPr>
        <w:t>pacientes</w:t>
      </w:r>
      <w:proofErr w:type="gramEnd"/>
      <w:r w:rsidR="002C4F65" w:rsidRPr="004B67DA">
        <w:rPr>
          <w:rFonts w:eastAsia="SimSun"/>
          <w:szCs w:val="22"/>
          <w:lang w:val="es-ES" w:eastAsia="zh-CN"/>
        </w:rPr>
        <w:t xml:space="preserve"> (rango: de 9 a 7</w:t>
      </w:r>
      <w:r w:rsidR="001E37E9" w:rsidRPr="004B67DA">
        <w:rPr>
          <w:rFonts w:eastAsia="SimSun"/>
          <w:szCs w:val="22"/>
          <w:lang w:val="es-ES" w:eastAsia="zh-CN"/>
        </w:rPr>
        <w:t>5</w:t>
      </w:r>
      <w:r w:rsidR="00205482" w:rsidRPr="00F30AB8">
        <w:rPr>
          <w:szCs w:val="22"/>
          <w:lang w:val="es-ES"/>
        </w:rPr>
        <w:t> </w:t>
      </w:r>
      <w:r w:rsidR="00205482" w:rsidRPr="004B67DA" w:rsidDel="00205482">
        <w:rPr>
          <w:rFonts w:eastAsia="SimSun"/>
          <w:szCs w:val="22"/>
          <w:lang w:val="es-ES" w:eastAsia="zh-CN"/>
        </w:rPr>
        <w:t xml:space="preserve"> </w:t>
      </w:r>
      <w:r w:rsidR="001E37E9" w:rsidRPr="004B67DA">
        <w:rPr>
          <w:rFonts w:eastAsia="SimSun"/>
          <w:szCs w:val="22"/>
          <w:lang w:val="es-ES" w:eastAsia="zh-CN"/>
        </w:rPr>
        <w:t xml:space="preserve">años de edad) con </w:t>
      </w:r>
      <w:r w:rsidR="00764F20" w:rsidRPr="004B67DA">
        <w:rPr>
          <w:rFonts w:eastAsia="SimSun"/>
          <w:szCs w:val="22"/>
          <w:lang w:val="es-ES" w:eastAsia="zh-CN"/>
        </w:rPr>
        <w:t>SLC indu</w:t>
      </w:r>
      <w:r w:rsidR="001E37E9" w:rsidRPr="004B67DA">
        <w:rPr>
          <w:rFonts w:eastAsia="SimSun"/>
          <w:szCs w:val="22"/>
          <w:lang w:val="es-ES" w:eastAsia="zh-CN"/>
        </w:rPr>
        <w:t>cido por axicabtagene ciloleucel</w:t>
      </w:r>
      <w:r w:rsidR="00764F20" w:rsidRPr="004B67DA">
        <w:rPr>
          <w:rFonts w:eastAsia="SimSun"/>
          <w:szCs w:val="22"/>
          <w:lang w:val="es-ES" w:eastAsia="zh-CN"/>
        </w:rPr>
        <w:t>, el 53</w:t>
      </w:r>
      <w:ins w:id="698" w:author="AUTHOR">
        <w:r w:rsidR="003E29DD" w:rsidRPr="00467FFD">
          <w:rPr>
            <w:szCs w:val="22"/>
            <w:lang w:val="es-ES"/>
            <w:rPrChange w:id="699" w:author="AUTHOR">
              <w:rPr>
                <w:szCs w:val="22"/>
                <w:lang w:val="en-GB"/>
              </w:rPr>
            </w:rPrChange>
          </w:rPr>
          <w:t> </w:t>
        </w:r>
        <w:r w:rsidR="003E29DD" w:rsidRPr="004B67DA">
          <w:rPr>
            <w:rFonts w:eastAsia="SimSun"/>
            <w:szCs w:val="22"/>
            <w:lang w:val="es-ES" w:eastAsia="zh-CN"/>
          </w:rPr>
          <w:t xml:space="preserve"> </w:t>
        </w:r>
      </w:ins>
      <w:r w:rsidR="00764F20" w:rsidRPr="004B67DA">
        <w:rPr>
          <w:rFonts w:eastAsia="SimSun"/>
          <w:szCs w:val="22"/>
          <w:lang w:val="es-ES" w:eastAsia="zh-CN"/>
        </w:rPr>
        <w:t>% respondió.</w:t>
      </w:r>
    </w:p>
    <w:p w14:paraId="45F58952" w14:textId="77777777" w:rsidR="00D5074E" w:rsidRPr="004B67DA" w:rsidRDefault="00D5074E" w:rsidP="00291BAC">
      <w:pPr>
        <w:widowControl w:val="0"/>
        <w:autoSpaceDE w:val="0"/>
        <w:autoSpaceDN w:val="0"/>
        <w:adjustRightInd w:val="0"/>
        <w:rPr>
          <w:rFonts w:eastAsia="SimSun"/>
          <w:szCs w:val="22"/>
          <w:lang w:val="es-ES" w:eastAsia="zh-CN"/>
        </w:rPr>
      </w:pPr>
    </w:p>
    <w:p w14:paraId="77A1E853" w14:textId="78B6F3AD" w:rsidR="004911C6" w:rsidRPr="004B67DA" w:rsidRDefault="00D5074E" w:rsidP="00D5074E">
      <w:pPr>
        <w:widowControl w:val="0"/>
        <w:autoSpaceDE w:val="0"/>
        <w:autoSpaceDN w:val="0"/>
        <w:adjustRightInd w:val="0"/>
        <w:rPr>
          <w:rFonts w:eastAsia="SimSun"/>
          <w:szCs w:val="22"/>
          <w:lang w:val="es-ES" w:eastAsia="zh-CN"/>
        </w:rPr>
      </w:pPr>
      <w:r w:rsidRPr="004B67DA">
        <w:rPr>
          <w:rFonts w:eastAsia="SimSun"/>
          <w:szCs w:val="22"/>
          <w:lang w:val="es-ES" w:eastAsia="zh-CN"/>
        </w:rPr>
        <w:t xml:space="preserve">La Agencia Europea del Medicamento nos ha dispensado de la obligación de presentar los resultados de los </w:t>
      </w:r>
      <w:del w:id="700" w:author="AUTHOR">
        <w:r w:rsidRPr="004B67DA" w:rsidDel="00A93547">
          <w:rPr>
            <w:rFonts w:eastAsia="SimSun"/>
            <w:szCs w:val="22"/>
            <w:lang w:val="es-ES" w:eastAsia="zh-CN"/>
          </w:rPr>
          <w:delText xml:space="preserve">estudios </w:delText>
        </w:r>
      </w:del>
      <w:ins w:id="701" w:author="AUTHOR">
        <w:r w:rsidR="00A93547">
          <w:rPr>
            <w:rFonts w:eastAsia="SimSun"/>
            <w:szCs w:val="22"/>
            <w:lang w:val="es-ES" w:eastAsia="zh-CN"/>
          </w:rPr>
          <w:t>ensayos</w:t>
        </w:r>
        <w:r w:rsidR="00A93547" w:rsidRPr="004B67DA">
          <w:rPr>
            <w:rFonts w:eastAsia="SimSun"/>
            <w:szCs w:val="22"/>
            <w:lang w:val="es-ES" w:eastAsia="zh-CN"/>
          </w:rPr>
          <w:t xml:space="preserve"> </w:t>
        </w:r>
      </w:ins>
      <w:r w:rsidRPr="004B67DA">
        <w:rPr>
          <w:rFonts w:eastAsia="SimSun"/>
          <w:szCs w:val="22"/>
          <w:lang w:val="es-ES" w:eastAsia="zh-CN"/>
        </w:rPr>
        <w:t xml:space="preserve">con </w:t>
      </w:r>
      <w:r w:rsidR="00724D3E">
        <w:rPr>
          <w:rFonts w:eastAsia="SimSun"/>
          <w:szCs w:val="22"/>
          <w:lang w:val="es-ES" w:eastAsia="zh-CN"/>
        </w:rPr>
        <w:t>tocilizumab</w:t>
      </w:r>
      <w:r w:rsidR="00724D3E" w:rsidRPr="004B67DA">
        <w:rPr>
          <w:rFonts w:eastAsia="SimSun"/>
          <w:szCs w:val="22"/>
          <w:lang w:val="es-ES" w:eastAsia="zh-CN"/>
        </w:rPr>
        <w:t xml:space="preserve"> </w:t>
      </w:r>
      <w:r w:rsidRPr="004B67DA">
        <w:rPr>
          <w:rFonts w:eastAsia="SimSun"/>
          <w:szCs w:val="22"/>
          <w:lang w:val="es-ES" w:eastAsia="zh-CN"/>
        </w:rPr>
        <w:t xml:space="preserve">en todos los subgrupos de población pediátrica para el </w:t>
      </w:r>
      <w:r w:rsidRPr="004B67DA">
        <w:rPr>
          <w:rFonts w:eastAsia="SimSun"/>
          <w:szCs w:val="22"/>
          <w:lang w:val="es-ES" w:eastAsia="zh-CN"/>
        </w:rPr>
        <w:lastRenderedPageBreak/>
        <w:t>tratamiento del síndrome de liberación de citoquinas (SLC) asociado a la terapia inducida porCAR</w:t>
      </w:r>
      <w:r w:rsidR="00724D3E">
        <w:rPr>
          <w:rFonts w:eastAsia="SimSun"/>
          <w:szCs w:val="22"/>
          <w:lang w:val="es-ES" w:eastAsia="zh-CN"/>
        </w:rPr>
        <w:t>-T</w:t>
      </w:r>
      <w:r w:rsidRPr="004B67DA">
        <w:rPr>
          <w:rFonts w:eastAsia="SimSun"/>
          <w:szCs w:val="22"/>
          <w:lang w:val="es-ES" w:eastAsia="zh-CN"/>
        </w:rPr>
        <w:t>.</w:t>
      </w:r>
    </w:p>
    <w:p w14:paraId="195ABAAE" w14:textId="77777777" w:rsidR="0085789E" w:rsidRPr="004B67DA" w:rsidRDefault="0085789E" w:rsidP="00D5074E">
      <w:pPr>
        <w:widowControl w:val="0"/>
        <w:autoSpaceDE w:val="0"/>
        <w:autoSpaceDN w:val="0"/>
        <w:adjustRightInd w:val="0"/>
        <w:rPr>
          <w:rFonts w:eastAsia="SimSun"/>
          <w:szCs w:val="22"/>
          <w:lang w:val="es-ES" w:eastAsia="zh-CN"/>
        </w:rPr>
      </w:pPr>
    </w:p>
    <w:p w14:paraId="48B868DF" w14:textId="77777777" w:rsidR="0085789E" w:rsidRDefault="0085789E" w:rsidP="00F30AB8">
      <w:pPr>
        <w:keepNext/>
        <w:keepLines/>
        <w:autoSpaceDE w:val="0"/>
        <w:autoSpaceDN w:val="0"/>
        <w:adjustRightInd w:val="0"/>
        <w:rPr>
          <w:rFonts w:eastAsia="SimSun"/>
          <w:szCs w:val="22"/>
          <w:u w:val="single"/>
          <w:lang w:val="es-ES" w:eastAsia="zh-CN"/>
        </w:rPr>
      </w:pPr>
      <w:r w:rsidRPr="00F30AB8">
        <w:rPr>
          <w:rFonts w:eastAsia="SimSun"/>
          <w:szCs w:val="22"/>
          <w:u w:val="single"/>
          <w:lang w:val="es-ES" w:eastAsia="zh-CN"/>
        </w:rPr>
        <w:t>COVID-19</w:t>
      </w:r>
    </w:p>
    <w:p w14:paraId="659C0DAC" w14:textId="77777777" w:rsidR="00724D3E" w:rsidRPr="00F30AB8" w:rsidRDefault="00724D3E" w:rsidP="00F30AB8">
      <w:pPr>
        <w:keepNext/>
        <w:keepLines/>
        <w:autoSpaceDE w:val="0"/>
        <w:autoSpaceDN w:val="0"/>
        <w:adjustRightInd w:val="0"/>
        <w:rPr>
          <w:rFonts w:eastAsia="SimSun"/>
          <w:szCs w:val="22"/>
          <w:u w:val="single"/>
          <w:lang w:val="es-ES" w:eastAsia="zh-CN"/>
        </w:rPr>
      </w:pPr>
    </w:p>
    <w:p w14:paraId="2EC57772" w14:textId="45AD4EB0" w:rsidR="00D5074E" w:rsidRDefault="0085789E" w:rsidP="00F30AB8">
      <w:pPr>
        <w:keepNext/>
        <w:keepLines/>
        <w:autoSpaceDE w:val="0"/>
        <w:autoSpaceDN w:val="0"/>
        <w:adjustRightInd w:val="0"/>
        <w:rPr>
          <w:rFonts w:eastAsia="SimSun"/>
          <w:szCs w:val="22"/>
          <w:lang w:val="es-ES" w:eastAsia="zh-CN"/>
        </w:rPr>
      </w:pPr>
      <w:r w:rsidRPr="004B67DA">
        <w:rPr>
          <w:rFonts w:eastAsia="SimSun"/>
          <w:szCs w:val="22"/>
          <w:lang w:val="es-ES" w:eastAsia="zh-CN"/>
        </w:rPr>
        <w:t>La Agencia Europea de</w:t>
      </w:r>
      <w:r>
        <w:rPr>
          <w:rFonts w:eastAsia="SimSun"/>
          <w:szCs w:val="22"/>
          <w:lang w:val="es-ES" w:eastAsia="zh-CN"/>
        </w:rPr>
        <w:t>l</w:t>
      </w:r>
      <w:r w:rsidRPr="004B67DA">
        <w:rPr>
          <w:rFonts w:eastAsia="SimSun"/>
          <w:szCs w:val="22"/>
          <w:lang w:val="es-ES" w:eastAsia="zh-CN"/>
        </w:rPr>
        <w:t xml:space="preserve"> Medicamento ha aplazado la obligación de presentar los resultados de los </w:t>
      </w:r>
      <w:del w:id="702" w:author="AUTHOR">
        <w:r w:rsidRPr="004B67DA" w:rsidDel="00A93547">
          <w:rPr>
            <w:rFonts w:eastAsia="SimSun"/>
            <w:szCs w:val="22"/>
            <w:lang w:val="es-ES" w:eastAsia="zh-CN"/>
          </w:rPr>
          <w:delText xml:space="preserve">estudios </w:delText>
        </w:r>
      </w:del>
      <w:ins w:id="703" w:author="AUTHOR">
        <w:r w:rsidR="00A93547">
          <w:rPr>
            <w:rFonts w:eastAsia="SimSun"/>
            <w:szCs w:val="22"/>
            <w:lang w:val="es-ES" w:eastAsia="zh-CN"/>
          </w:rPr>
          <w:t>ensayos</w:t>
        </w:r>
        <w:r w:rsidR="00A93547" w:rsidRPr="004B67DA">
          <w:rPr>
            <w:rFonts w:eastAsia="SimSun"/>
            <w:szCs w:val="22"/>
            <w:lang w:val="es-ES" w:eastAsia="zh-CN"/>
          </w:rPr>
          <w:t xml:space="preserve"> </w:t>
        </w:r>
      </w:ins>
      <w:r w:rsidRPr="004B67DA">
        <w:rPr>
          <w:rFonts w:eastAsia="SimSun"/>
          <w:szCs w:val="22"/>
          <w:lang w:val="es-ES" w:eastAsia="zh-CN"/>
        </w:rPr>
        <w:t>con</w:t>
      </w:r>
      <w:r>
        <w:rPr>
          <w:rFonts w:eastAsia="SimSun"/>
          <w:szCs w:val="22"/>
          <w:lang w:val="es-ES" w:eastAsia="zh-CN"/>
        </w:rPr>
        <w:t xml:space="preserve"> </w:t>
      </w:r>
      <w:r w:rsidR="00724D3E">
        <w:rPr>
          <w:rFonts w:eastAsia="SimSun"/>
          <w:szCs w:val="22"/>
          <w:lang w:val="es-ES" w:eastAsia="zh-CN"/>
        </w:rPr>
        <w:t>tocilizumab</w:t>
      </w:r>
      <w:r w:rsidR="00724D3E" w:rsidRPr="004B67DA">
        <w:rPr>
          <w:rFonts w:eastAsia="SimSun"/>
          <w:szCs w:val="22"/>
          <w:lang w:val="es-ES" w:eastAsia="zh-CN"/>
        </w:rPr>
        <w:t xml:space="preserve"> </w:t>
      </w:r>
      <w:r w:rsidRPr="004B67DA">
        <w:rPr>
          <w:rFonts w:eastAsia="SimSun"/>
          <w:szCs w:val="22"/>
          <w:lang w:val="es-ES" w:eastAsia="zh-CN"/>
        </w:rPr>
        <w:t>en uno o más subconjuntos de la población pediátrica en el tratamiento de COVID-19</w:t>
      </w:r>
      <w:r w:rsidR="00846741">
        <w:rPr>
          <w:rFonts w:eastAsia="SimSun"/>
          <w:szCs w:val="22"/>
          <w:lang w:val="es-ES" w:eastAsia="zh-CN"/>
        </w:rPr>
        <w:t>.</w:t>
      </w:r>
    </w:p>
    <w:p w14:paraId="688422D5" w14:textId="77777777" w:rsidR="00846741" w:rsidRPr="004B67DA" w:rsidRDefault="00846741" w:rsidP="0085789E">
      <w:pPr>
        <w:widowControl w:val="0"/>
        <w:autoSpaceDE w:val="0"/>
        <w:autoSpaceDN w:val="0"/>
        <w:adjustRightInd w:val="0"/>
        <w:rPr>
          <w:rFonts w:eastAsia="SimSun"/>
          <w:szCs w:val="22"/>
          <w:lang w:val="es-ES" w:eastAsia="zh-CN"/>
        </w:rPr>
      </w:pPr>
    </w:p>
    <w:p w14:paraId="30393E17" w14:textId="77777777" w:rsidR="007927FC" w:rsidRPr="008A106B" w:rsidRDefault="007927FC" w:rsidP="003569D6">
      <w:pPr>
        <w:keepNext/>
        <w:keepLines/>
        <w:widowControl w:val="0"/>
        <w:ind w:left="567" w:hanging="567"/>
        <w:outlineLvl w:val="0"/>
        <w:rPr>
          <w:b/>
          <w:bCs/>
          <w:lang w:val="es-ES"/>
        </w:rPr>
      </w:pPr>
      <w:r w:rsidRPr="008A106B">
        <w:rPr>
          <w:b/>
          <w:bCs/>
          <w:lang w:val="es-ES"/>
        </w:rPr>
        <w:t>5.2</w:t>
      </w:r>
      <w:r w:rsidRPr="008A106B">
        <w:rPr>
          <w:b/>
          <w:bCs/>
          <w:lang w:val="es-ES"/>
        </w:rPr>
        <w:tab/>
      </w:r>
      <w:r w:rsidRPr="008A106B">
        <w:rPr>
          <w:b/>
          <w:bCs/>
          <w:lang w:val="es-ES_tradnl"/>
        </w:rPr>
        <w:t>Propiedades farmacocinéticas</w:t>
      </w:r>
    </w:p>
    <w:p w14:paraId="3AD4D2CC" w14:textId="171E5FD4" w:rsidR="007927FC" w:rsidRDefault="007927FC" w:rsidP="00F30AB8">
      <w:pPr>
        <w:keepNext/>
        <w:keepLines/>
        <w:widowControl w:val="0"/>
        <w:outlineLvl w:val="0"/>
        <w:rPr>
          <w:u w:val="single"/>
          <w:lang w:val="es-ES"/>
        </w:rPr>
      </w:pPr>
    </w:p>
    <w:p w14:paraId="11A7AB3D" w14:textId="77777777" w:rsidR="0085789E" w:rsidRPr="008A106B" w:rsidRDefault="0085789E" w:rsidP="003569D6">
      <w:pPr>
        <w:keepNext/>
        <w:keepLines/>
        <w:widowControl w:val="0"/>
        <w:ind w:left="567" w:hanging="567"/>
        <w:outlineLvl w:val="0"/>
        <w:rPr>
          <w:u w:val="single"/>
          <w:lang w:val="es-ES"/>
        </w:rPr>
      </w:pPr>
      <w:r w:rsidRPr="003767BF">
        <w:rPr>
          <w:u w:val="single"/>
          <w:lang w:val="es-ES"/>
        </w:rPr>
        <w:t>Pacientes con AR</w:t>
      </w:r>
    </w:p>
    <w:p w14:paraId="6860EF71" w14:textId="0C7490EC" w:rsidR="007927FC" w:rsidRPr="008A106B" w:rsidRDefault="007927FC" w:rsidP="003569D6">
      <w:pPr>
        <w:keepNext/>
        <w:keepLines/>
        <w:widowControl w:val="0"/>
        <w:numPr>
          <w:ilvl w:val="12"/>
          <w:numId w:val="0"/>
        </w:numPr>
        <w:ind w:right="-2"/>
        <w:rPr>
          <w:lang w:val="es-ES"/>
        </w:rPr>
      </w:pPr>
      <w:r w:rsidRPr="008A106B">
        <w:rPr>
          <w:lang w:val="es-ES_tradnl"/>
        </w:rPr>
        <w:t xml:space="preserve">Se determinó la farmacocinética de tocilizumab usando un análisis de farmacocinética de poblaciones en una base de datos compuesta por </w:t>
      </w:r>
      <w:proofErr w:type="gramStart"/>
      <w:r w:rsidR="00D03F8F">
        <w:rPr>
          <w:lang w:val="es-ES_tradnl"/>
        </w:rPr>
        <w:t>3</w:t>
      </w:r>
      <w:r w:rsidR="005E7BFE">
        <w:rPr>
          <w:lang w:val="es-ES_tradnl"/>
        </w:rPr>
        <w:t>.</w:t>
      </w:r>
      <w:r w:rsidR="00D03F8F">
        <w:rPr>
          <w:lang w:val="es-ES_tradnl"/>
        </w:rPr>
        <w:t>552</w:t>
      </w:r>
      <w:r w:rsidR="00205482" w:rsidRPr="00F30AB8">
        <w:rPr>
          <w:szCs w:val="22"/>
          <w:lang w:val="es-ES"/>
        </w:rPr>
        <w:t> </w:t>
      </w:r>
      <w:r w:rsidRPr="008A106B">
        <w:rPr>
          <w:lang w:val="es-ES_tradnl"/>
        </w:rPr>
        <w:t xml:space="preserve"> pacientes</w:t>
      </w:r>
      <w:proofErr w:type="gramEnd"/>
      <w:r w:rsidRPr="008A106B">
        <w:rPr>
          <w:lang w:val="es-ES_tradnl"/>
        </w:rPr>
        <w:t xml:space="preserve"> con artritis reumatoide tratados con una perfusión de una hora de 4 </w:t>
      </w:r>
      <w:r w:rsidR="00D03F8F">
        <w:rPr>
          <w:lang w:val="es-ES_tradnl"/>
        </w:rPr>
        <w:t>u</w:t>
      </w:r>
      <w:r w:rsidRPr="008A106B">
        <w:rPr>
          <w:lang w:val="es-ES_tradnl"/>
        </w:rPr>
        <w:t xml:space="preserve"> 8 mg/kg de tocilizumab cada 4</w:t>
      </w:r>
      <w:r w:rsidR="00205482" w:rsidRPr="00F30AB8">
        <w:rPr>
          <w:szCs w:val="22"/>
          <w:lang w:val="es-ES"/>
        </w:rPr>
        <w:t> </w:t>
      </w:r>
      <w:r w:rsidR="00205482" w:rsidRPr="008A106B" w:rsidDel="00205482">
        <w:rPr>
          <w:lang w:val="es-ES_tradnl"/>
        </w:rPr>
        <w:t xml:space="preserve"> </w:t>
      </w:r>
      <w:r w:rsidRPr="008A106B">
        <w:rPr>
          <w:lang w:val="es-ES_tradnl"/>
        </w:rPr>
        <w:t>semanas durante 24</w:t>
      </w:r>
      <w:r w:rsidR="00205482" w:rsidRPr="00F30AB8">
        <w:rPr>
          <w:szCs w:val="22"/>
          <w:lang w:val="es-ES"/>
        </w:rPr>
        <w:t> </w:t>
      </w:r>
      <w:r w:rsidR="00205482" w:rsidRPr="008A106B" w:rsidDel="00205482">
        <w:rPr>
          <w:lang w:val="es-ES_tradnl"/>
        </w:rPr>
        <w:t xml:space="preserve"> </w:t>
      </w:r>
      <w:r w:rsidRPr="008A106B">
        <w:rPr>
          <w:lang w:val="es-ES_tradnl"/>
        </w:rPr>
        <w:t>semanas</w:t>
      </w:r>
      <w:r w:rsidR="00D03F8F">
        <w:rPr>
          <w:lang w:val="es-ES_tradnl"/>
        </w:rPr>
        <w:t xml:space="preserve"> o con 162 mg</w:t>
      </w:r>
      <w:r w:rsidR="00771AC8">
        <w:rPr>
          <w:lang w:val="es-ES_tradnl"/>
        </w:rPr>
        <w:t xml:space="preserve"> de tocilizumab administrados </w:t>
      </w:r>
      <w:r w:rsidR="005E7BFE">
        <w:rPr>
          <w:lang w:val="es-ES_tradnl"/>
        </w:rPr>
        <w:t xml:space="preserve">por </w:t>
      </w:r>
      <w:r w:rsidR="00771AC8">
        <w:rPr>
          <w:lang w:val="es-ES_tradnl"/>
        </w:rPr>
        <w:t>vía subcutánea una vez por semana o cada dos semanas durante 24</w:t>
      </w:r>
      <w:r w:rsidR="00205482" w:rsidRPr="00F30AB8">
        <w:rPr>
          <w:szCs w:val="22"/>
          <w:lang w:val="es-ES"/>
        </w:rPr>
        <w:t> </w:t>
      </w:r>
      <w:r w:rsidR="00205482" w:rsidDel="00205482">
        <w:rPr>
          <w:lang w:val="es-ES_tradnl"/>
        </w:rPr>
        <w:t xml:space="preserve"> </w:t>
      </w:r>
      <w:r w:rsidR="00771AC8">
        <w:rPr>
          <w:lang w:val="es-ES_tradnl"/>
        </w:rPr>
        <w:t>semanas</w:t>
      </w:r>
      <w:r w:rsidRPr="008A106B">
        <w:rPr>
          <w:lang w:val="es-ES_tradnl"/>
        </w:rPr>
        <w:t>.</w:t>
      </w:r>
      <w:r w:rsidRPr="008A106B">
        <w:rPr>
          <w:lang w:val="es-ES"/>
        </w:rPr>
        <w:t xml:space="preserve"> </w:t>
      </w:r>
    </w:p>
    <w:p w14:paraId="69CEA94D" w14:textId="77777777" w:rsidR="007927FC" w:rsidRPr="008A106B" w:rsidRDefault="007927FC" w:rsidP="00291BAC">
      <w:pPr>
        <w:widowControl w:val="0"/>
        <w:numPr>
          <w:ilvl w:val="12"/>
          <w:numId w:val="0"/>
        </w:numPr>
        <w:ind w:right="-2"/>
        <w:rPr>
          <w:iCs/>
          <w:lang w:val="es-ES"/>
        </w:rPr>
      </w:pPr>
    </w:p>
    <w:p w14:paraId="3841D45A" w14:textId="67D1FCBF" w:rsidR="007927FC" w:rsidRDefault="007927FC" w:rsidP="00291BAC">
      <w:pPr>
        <w:widowControl w:val="0"/>
        <w:rPr>
          <w:rFonts w:eastAsia="SimSun"/>
          <w:lang w:val="es-ES" w:eastAsia="zh-CN"/>
        </w:rPr>
      </w:pPr>
      <w:r w:rsidRPr="008A106B">
        <w:rPr>
          <w:lang w:val="es-ES_tradnl"/>
        </w:rPr>
        <w:t>Los siguientes parámetros son válidos para una dosis de 8 mg/kg de tocilizumab administrados cada 4 semanas:</w:t>
      </w:r>
      <w:r w:rsidRPr="008A106B">
        <w:rPr>
          <w:lang w:val="es-ES"/>
        </w:rPr>
        <w:t xml:space="preserve"> </w:t>
      </w:r>
      <w:r w:rsidR="00967E0F">
        <w:rPr>
          <w:lang w:val="es-ES_tradnl"/>
        </w:rPr>
        <w:t>l</w:t>
      </w:r>
      <w:r w:rsidRPr="008A106B">
        <w:rPr>
          <w:lang w:val="es-ES_tradnl"/>
        </w:rPr>
        <w:t>os valores medios previstos (</w:t>
      </w:r>
      <w:r w:rsidRPr="008A106B">
        <w:rPr>
          <w:lang w:val="es-ES_tradnl"/>
        </w:rPr>
        <w:sym w:font="Symbol" w:char="F0B1"/>
      </w:r>
      <w:r w:rsidRPr="008A106B">
        <w:rPr>
          <w:lang w:val="es-ES_tradnl"/>
        </w:rPr>
        <w:t xml:space="preserve"> DE) en equilibrio fueron de </w:t>
      </w:r>
      <w:r w:rsidR="00967E0F">
        <w:rPr>
          <w:lang w:val="es-ES_tradnl"/>
        </w:rPr>
        <w:t>Á</w:t>
      </w:r>
      <w:r w:rsidRPr="008A106B">
        <w:rPr>
          <w:lang w:val="es-ES_tradnl"/>
        </w:rPr>
        <w:t>rea bajo la curva (AUC) =</w:t>
      </w:r>
      <w:r w:rsidR="00771AC8">
        <w:rPr>
          <w:lang w:val="es-ES_tradnl"/>
        </w:rPr>
        <w:t>38.0</w:t>
      </w:r>
      <w:r w:rsidR="003767BF">
        <w:rPr>
          <w:lang w:val="es-ES_tradnl"/>
        </w:rPr>
        <w:t>00</w:t>
      </w:r>
      <w:r w:rsidRPr="008A106B">
        <w:rPr>
          <w:lang w:val="es-ES_tradnl"/>
        </w:rPr>
        <w:t> </w:t>
      </w:r>
      <w:r w:rsidRPr="008A106B">
        <w:rPr>
          <w:lang w:val="es-ES_tradnl"/>
        </w:rPr>
        <w:sym w:font="Symbol" w:char="F0B1"/>
      </w:r>
      <w:r w:rsidRPr="008A106B">
        <w:rPr>
          <w:lang w:val="es-ES_tradnl"/>
        </w:rPr>
        <w:t> </w:t>
      </w:r>
      <w:r w:rsidR="00771AC8">
        <w:rPr>
          <w:lang w:val="es-ES_tradnl"/>
        </w:rPr>
        <w:t>13.0</w:t>
      </w:r>
      <w:r w:rsidR="003767BF">
        <w:rPr>
          <w:lang w:val="es-ES_tradnl"/>
        </w:rPr>
        <w:t>00</w:t>
      </w:r>
      <w:r w:rsidRPr="008A106B">
        <w:rPr>
          <w:lang w:val="es-ES_tradnl"/>
        </w:rPr>
        <w:t> h·µg/ml, Concentración minima (C</w:t>
      </w:r>
      <w:r w:rsidRPr="008A106B">
        <w:rPr>
          <w:vertAlign w:val="subscript"/>
          <w:lang w:val="es-ES_tradnl"/>
        </w:rPr>
        <w:t>min</w:t>
      </w:r>
      <w:r w:rsidRPr="006730DA">
        <w:rPr>
          <w:lang w:val="es-ES_tradnl"/>
        </w:rPr>
        <w:t>)</w:t>
      </w:r>
      <w:r w:rsidRPr="008A106B">
        <w:rPr>
          <w:lang w:val="es-ES_tradnl"/>
        </w:rPr>
        <w:t xml:space="preserve"> = </w:t>
      </w:r>
      <w:r w:rsidR="00771AC8">
        <w:rPr>
          <w:lang w:val="es-ES_tradnl"/>
        </w:rPr>
        <w:t>15,9</w:t>
      </w:r>
      <w:r w:rsidR="003767BF">
        <w:rPr>
          <w:lang w:val="es-ES_tradnl"/>
        </w:rPr>
        <w:t> </w:t>
      </w:r>
      <w:r w:rsidRPr="008A106B">
        <w:rPr>
          <w:lang w:val="es-ES_tradnl"/>
        </w:rPr>
        <w:sym w:font="Symbol" w:char="F0B1"/>
      </w:r>
      <w:r w:rsidRPr="008A106B">
        <w:rPr>
          <w:lang w:val="es-ES_tradnl"/>
        </w:rPr>
        <w:t> </w:t>
      </w:r>
      <w:r w:rsidR="00771AC8">
        <w:rPr>
          <w:lang w:val="es-ES_tradnl"/>
        </w:rPr>
        <w:t>13,1</w:t>
      </w:r>
      <w:r w:rsidR="003767BF">
        <w:rPr>
          <w:lang w:val="es-ES_tradnl"/>
        </w:rPr>
        <w:t> </w:t>
      </w:r>
      <w:r w:rsidRPr="008A106B">
        <w:rPr>
          <w:lang w:val="es-ES_tradnl"/>
        </w:rPr>
        <w:sym w:font="Symbol" w:char="F06D"/>
      </w:r>
      <w:r w:rsidRPr="008A106B">
        <w:rPr>
          <w:lang w:val="es-ES_tradnl"/>
        </w:rPr>
        <w:t>g/ml y Concentración máxima (C</w:t>
      </w:r>
      <w:r w:rsidRPr="008A106B">
        <w:rPr>
          <w:vertAlign w:val="subscript"/>
          <w:lang w:val="es-ES_tradnl"/>
        </w:rPr>
        <w:t>max</w:t>
      </w:r>
      <w:r w:rsidRPr="006730DA">
        <w:rPr>
          <w:lang w:val="es-ES_tradnl"/>
        </w:rPr>
        <w:t>)</w:t>
      </w:r>
      <w:r w:rsidRPr="008A106B">
        <w:rPr>
          <w:lang w:val="es-ES_tradnl"/>
        </w:rPr>
        <w:t xml:space="preserve"> = </w:t>
      </w:r>
      <w:r w:rsidR="00771AC8">
        <w:rPr>
          <w:lang w:val="es-ES_tradnl"/>
        </w:rPr>
        <w:t>182</w:t>
      </w:r>
      <w:r w:rsidR="003767BF">
        <w:rPr>
          <w:lang w:val="es-ES_tradnl"/>
        </w:rPr>
        <w:t> </w:t>
      </w:r>
      <w:r w:rsidRPr="008A106B">
        <w:rPr>
          <w:lang w:val="es-ES_tradnl"/>
        </w:rPr>
        <w:sym w:font="Symbol" w:char="F0B1"/>
      </w:r>
      <w:r w:rsidRPr="008A106B">
        <w:rPr>
          <w:lang w:val="es-ES_tradnl"/>
        </w:rPr>
        <w:t> </w:t>
      </w:r>
      <w:r w:rsidR="00771AC8">
        <w:rPr>
          <w:lang w:val="es-ES_tradnl"/>
        </w:rPr>
        <w:t>50</w:t>
      </w:r>
      <w:r w:rsidR="003767BF">
        <w:rPr>
          <w:lang w:val="es-ES_tradnl"/>
        </w:rPr>
        <w:t>,</w:t>
      </w:r>
      <w:r w:rsidR="00771AC8">
        <w:rPr>
          <w:lang w:val="es-ES_tradnl"/>
        </w:rPr>
        <w:t>4</w:t>
      </w:r>
      <w:r w:rsidRPr="008A106B">
        <w:rPr>
          <w:lang w:val="es-ES_tradnl"/>
        </w:rPr>
        <w:t> µg/ml de tocilizumab.</w:t>
      </w:r>
      <w:r w:rsidRPr="008A106B">
        <w:rPr>
          <w:lang w:val="es-ES"/>
        </w:rPr>
        <w:t xml:space="preserve"> </w:t>
      </w:r>
      <w:r w:rsidRPr="008A106B">
        <w:rPr>
          <w:lang w:val="es-ES_tradnl"/>
        </w:rPr>
        <w:t>Los cocientes de acumulación para AUC y C</w:t>
      </w:r>
      <w:r w:rsidRPr="008A106B">
        <w:rPr>
          <w:vertAlign w:val="subscript"/>
          <w:lang w:val="es-ES_tradnl"/>
        </w:rPr>
        <w:t>máx</w:t>
      </w:r>
      <w:r w:rsidRPr="008A106B">
        <w:rPr>
          <w:lang w:val="es-ES_tradnl"/>
        </w:rPr>
        <w:t xml:space="preserve"> fueron pequeños, de 1,</w:t>
      </w:r>
      <w:r w:rsidR="003767BF">
        <w:rPr>
          <w:lang w:val="es-ES_tradnl"/>
        </w:rPr>
        <w:t>3</w:t>
      </w:r>
      <w:r w:rsidR="00771AC8">
        <w:rPr>
          <w:lang w:val="es-ES_tradnl"/>
        </w:rPr>
        <w:t>2</w:t>
      </w:r>
      <w:r w:rsidRPr="008A106B">
        <w:rPr>
          <w:lang w:val="es-ES_tradnl"/>
        </w:rPr>
        <w:t xml:space="preserve"> y 1,</w:t>
      </w:r>
      <w:r w:rsidR="00771AC8">
        <w:rPr>
          <w:lang w:val="es-ES_tradnl"/>
        </w:rPr>
        <w:t>09</w:t>
      </w:r>
      <w:r w:rsidRPr="008A106B">
        <w:rPr>
          <w:lang w:val="es-ES_tradnl"/>
        </w:rPr>
        <w:t>, respectivamente.</w:t>
      </w:r>
      <w:r w:rsidRPr="008A106B">
        <w:rPr>
          <w:lang w:val="es-ES"/>
        </w:rPr>
        <w:t xml:space="preserve"> </w:t>
      </w:r>
      <w:r w:rsidRPr="008A106B">
        <w:rPr>
          <w:lang w:val="es-ES_tradnl"/>
        </w:rPr>
        <w:t>El cociente de acumulación fue mayor para la C</w:t>
      </w:r>
      <w:r w:rsidRPr="008A106B">
        <w:rPr>
          <w:vertAlign w:val="subscript"/>
          <w:lang w:val="es-ES_tradnl"/>
        </w:rPr>
        <w:t>mín</w:t>
      </w:r>
      <w:r w:rsidRPr="008A106B">
        <w:rPr>
          <w:lang w:val="es-ES_tradnl"/>
        </w:rPr>
        <w:t xml:space="preserve"> (2,</w:t>
      </w:r>
      <w:r w:rsidR="003767BF">
        <w:rPr>
          <w:lang w:val="es-ES_tradnl"/>
        </w:rPr>
        <w:t>4</w:t>
      </w:r>
      <w:r w:rsidR="00771AC8">
        <w:rPr>
          <w:lang w:val="es-ES_tradnl"/>
        </w:rPr>
        <w:t>9</w:t>
      </w:r>
      <w:r w:rsidRPr="008A106B">
        <w:rPr>
          <w:lang w:val="es-ES_tradnl"/>
        </w:rPr>
        <w:t>), lo que era esperado de acuerdo con la contribución del aclaramiento no lineal a concentraciones menores.</w:t>
      </w:r>
      <w:r w:rsidRPr="008A106B">
        <w:rPr>
          <w:lang w:val="es-ES"/>
        </w:rPr>
        <w:t xml:space="preserve"> </w:t>
      </w:r>
      <w:r w:rsidRPr="008A106B">
        <w:rPr>
          <w:lang w:val="es-ES_tradnl"/>
        </w:rPr>
        <w:t>Se alcanzó el equilibrio después de la primera administración para la C</w:t>
      </w:r>
      <w:r w:rsidRPr="008A106B">
        <w:rPr>
          <w:vertAlign w:val="subscript"/>
          <w:lang w:val="es-ES_tradnl"/>
        </w:rPr>
        <w:t>max</w:t>
      </w:r>
      <w:r w:rsidRPr="008A106B">
        <w:rPr>
          <w:lang w:val="es-ES_tradnl"/>
        </w:rPr>
        <w:t xml:space="preserve"> y después de 8 y </w:t>
      </w:r>
      <w:proofErr w:type="gramStart"/>
      <w:r w:rsidRPr="008A106B">
        <w:rPr>
          <w:lang w:val="es-ES_tradnl"/>
        </w:rPr>
        <w:t>20</w:t>
      </w:r>
      <w:r w:rsidR="00205482" w:rsidRPr="00F30AB8">
        <w:rPr>
          <w:szCs w:val="22"/>
          <w:lang w:val="es-ES"/>
        </w:rPr>
        <w:t> </w:t>
      </w:r>
      <w:r w:rsidR="00205482" w:rsidRPr="008A106B" w:rsidDel="00205482">
        <w:rPr>
          <w:lang w:val="es-ES_tradnl"/>
        </w:rPr>
        <w:t xml:space="preserve"> </w:t>
      </w:r>
      <w:r w:rsidRPr="008A106B">
        <w:rPr>
          <w:lang w:val="es-ES_tradnl"/>
        </w:rPr>
        <w:t>semanas</w:t>
      </w:r>
      <w:proofErr w:type="gramEnd"/>
      <w:r w:rsidRPr="008A106B">
        <w:rPr>
          <w:lang w:val="es-ES_tradnl"/>
        </w:rPr>
        <w:t xml:space="preserve"> para el AUC y la C</w:t>
      </w:r>
      <w:r w:rsidRPr="008A106B">
        <w:rPr>
          <w:vertAlign w:val="subscript"/>
          <w:lang w:val="es-ES_tradnl"/>
        </w:rPr>
        <w:t>mín</w:t>
      </w:r>
      <w:r w:rsidRPr="008A106B">
        <w:rPr>
          <w:lang w:val="es-ES_tradnl"/>
        </w:rPr>
        <w:t>, respectivamente.</w:t>
      </w:r>
      <w:r w:rsidRPr="008A106B">
        <w:rPr>
          <w:lang w:val="es-ES"/>
        </w:rPr>
        <w:t xml:space="preserve"> El área bajo la curva (AUC), C</w:t>
      </w:r>
      <w:r w:rsidRPr="008A106B">
        <w:rPr>
          <w:vertAlign w:val="subscript"/>
          <w:lang w:val="es-ES"/>
        </w:rPr>
        <w:t>min</w:t>
      </w:r>
      <w:r w:rsidRPr="008A106B">
        <w:rPr>
          <w:lang w:val="es-ES"/>
        </w:rPr>
        <w:t xml:space="preserve"> y C</w:t>
      </w:r>
      <w:r w:rsidRPr="008A106B">
        <w:rPr>
          <w:vertAlign w:val="subscript"/>
          <w:lang w:val="es-ES"/>
        </w:rPr>
        <w:t xml:space="preserve">max </w:t>
      </w:r>
      <w:r w:rsidRPr="008A106B">
        <w:rPr>
          <w:lang w:val="es-ES"/>
        </w:rPr>
        <w:t>de tocilizumab</w:t>
      </w:r>
      <w:r w:rsidRPr="008A106B">
        <w:rPr>
          <w:vertAlign w:val="subscript"/>
          <w:lang w:val="es-ES"/>
        </w:rPr>
        <w:t xml:space="preserve"> </w:t>
      </w:r>
      <w:r w:rsidRPr="008A106B">
        <w:rPr>
          <w:lang w:val="es-ES"/>
        </w:rPr>
        <w:t xml:space="preserve">aumentó con el aumento del peso corporal. En un peso </w:t>
      </w:r>
      <w:proofErr w:type="gramStart"/>
      <w:r w:rsidRPr="008A106B">
        <w:rPr>
          <w:lang w:val="es-ES"/>
        </w:rPr>
        <w:t>corporal</w:t>
      </w:r>
      <w:r w:rsidR="00205482" w:rsidRPr="00F30AB8">
        <w:rPr>
          <w:szCs w:val="22"/>
          <w:lang w:val="es-ES"/>
        </w:rPr>
        <w:t> </w:t>
      </w:r>
      <w:r w:rsidR="00205482" w:rsidRPr="008A106B" w:rsidDel="00205482">
        <w:rPr>
          <w:lang w:val="es-ES"/>
        </w:rPr>
        <w:t xml:space="preserve"> </w:t>
      </w:r>
      <w:r w:rsidRPr="008A106B">
        <w:rPr>
          <w:lang w:val="es-ES"/>
        </w:rPr>
        <w:t>≥</w:t>
      </w:r>
      <w:proofErr w:type="gramEnd"/>
      <w:r w:rsidR="00205482" w:rsidRPr="00F30AB8">
        <w:rPr>
          <w:szCs w:val="22"/>
          <w:lang w:val="es-ES"/>
        </w:rPr>
        <w:t> </w:t>
      </w:r>
      <w:r w:rsidR="00205482" w:rsidRPr="008A106B" w:rsidDel="00205482">
        <w:rPr>
          <w:lang w:val="es-ES"/>
        </w:rPr>
        <w:t xml:space="preserve"> </w:t>
      </w:r>
      <w:r w:rsidRPr="008A106B">
        <w:rPr>
          <w:lang w:val="es-ES"/>
        </w:rPr>
        <w:t>100 kg,</w:t>
      </w:r>
      <w:r w:rsidRPr="008A106B">
        <w:rPr>
          <w:lang w:val="es-ES" w:eastAsia="zh-CN"/>
        </w:rPr>
        <w:t xml:space="preserve"> los valores medios previstos (± DE) en equilibrio de AUC,</w:t>
      </w:r>
      <w:r w:rsidRPr="008A106B">
        <w:rPr>
          <w:lang w:val="es-ES"/>
        </w:rPr>
        <w:t xml:space="preserve"> C</w:t>
      </w:r>
      <w:r w:rsidRPr="008A106B">
        <w:rPr>
          <w:vertAlign w:val="subscript"/>
          <w:lang w:val="es-ES"/>
        </w:rPr>
        <w:t>min</w:t>
      </w:r>
      <w:r w:rsidRPr="008A106B">
        <w:rPr>
          <w:lang w:val="es-ES"/>
        </w:rPr>
        <w:t xml:space="preserve"> y C</w:t>
      </w:r>
      <w:r w:rsidRPr="008A106B">
        <w:rPr>
          <w:vertAlign w:val="subscript"/>
          <w:lang w:val="es-ES"/>
        </w:rPr>
        <w:t>max</w:t>
      </w:r>
      <w:r w:rsidRPr="008A106B">
        <w:rPr>
          <w:lang w:val="es-ES"/>
        </w:rPr>
        <w:t xml:space="preserve"> de tocilizumab fueron </w:t>
      </w:r>
      <w:r w:rsidR="00771AC8">
        <w:rPr>
          <w:lang w:val="es-ES"/>
        </w:rPr>
        <w:t>50.000</w:t>
      </w:r>
      <w:r w:rsidR="003767BF">
        <w:rPr>
          <w:lang w:val="es-ES"/>
        </w:rPr>
        <w:t> </w:t>
      </w:r>
      <w:r w:rsidRPr="008A106B">
        <w:rPr>
          <w:lang w:val="es-ES"/>
        </w:rPr>
        <w:t>±</w:t>
      </w:r>
      <w:r w:rsidR="003767BF">
        <w:rPr>
          <w:lang w:val="es-ES"/>
        </w:rPr>
        <w:t> </w:t>
      </w:r>
      <w:r w:rsidR="00771AC8">
        <w:rPr>
          <w:lang w:val="es-ES"/>
        </w:rPr>
        <w:t>16.800</w:t>
      </w:r>
      <w:r w:rsidR="003767BF">
        <w:rPr>
          <w:lang w:val="es-ES"/>
        </w:rPr>
        <w:t> </w:t>
      </w:r>
      <w:r w:rsidRPr="008A106B">
        <w:t>μ</w:t>
      </w:r>
      <w:r w:rsidRPr="008A106B">
        <w:rPr>
          <w:lang w:val="es-ES"/>
        </w:rPr>
        <w:t>g•h/m</w:t>
      </w:r>
      <w:r w:rsidR="00374CAD">
        <w:rPr>
          <w:lang w:val="es-ES"/>
        </w:rPr>
        <w:t>l</w:t>
      </w:r>
      <w:r w:rsidRPr="008A106B">
        <w:rPr>
          <w:lang w:val="es-ES"/>
        </w:rPr>
        <w:t xml:space="preserve">, </w:t>
      </w:r>
      <w:r w:rsidR="00771AC8">
        <w:rPr>
          <w:lang w:val="es-ES"/>
        </w:rPr>
        <w:t>24,4</w:t>
      </w:r>
      <w:r w:rsidR="003767BF">
        <w:rPr>
          <w:lang w:val="es-ES"/>
        </w:rPr>
        <w:t> </w:t>
      </w:r>
      <w:r w:rsidRPr="008A106B">
        <w:rPr>
          <w:lang w:val="es-ES"/>
        </w:rPr>
        <w:t>±</w:t>
      </w:r>
      <w:r w:rsidR="003767BF">
        <w:rPr>
          <w:lang w:val="es-ES"/>
        </w:rPr>
        <w:t> </w:t>
      </w:r>
      <w:r w:rsidR="00853E88">
        <w:rPr>
          <w:lang w:val="es-ES"/>
        </w:rPr>
        <w:t>17</w:t>
      </w:r>
      <w:r w:rsidR="003767BF">
        <w:rPr>
          <w:lang w:val="es-ES"/>
        </w:rPr>
        <w:t>,5 </w:t>
      </w:r>
      <w:r w:rsidRPr="008A106B">
        <w:t>μ</w:t>
      </w:r>
      <w:r w:rsidRPr="008A106B">
        <w:rPr>
          <w:lang w:val="es-ES"/>
        </w:rPr>
        <w:t>g/m</w:t>
      </w:r>
      <w:r w:rsidR="00374CAD">
        <w:rPr>
          <w:lang w:val="es-ES"/>
        </w:rPr>
        <w:t>l</w:t>
      </w:r>
      <w:r w:rsidRPr="008A106B">
        <w:rPr>
          <w:lang w:val="es-ES"/>
        </w:rPr>
        <w:t>, y 2</w:t>
      </w:r>
      <w:r w:rsidR="00853E88">
        <w:rPr>
          <w:lang w:val="es-ES"/>
        </w:rPr>
        <w:t>26</w:t>
      </w:r>
      <w:r w:rsidR="003767BF">
        <w:rPr>
          <w:lang w:val="es-ES"/>
        </w:rPr>
        <w:t> </w:t>
      </w:r>
      <w:r w:rsidRPr="008A106B">
        <w:rPr>
          <w:lang w:val="es-ES"/>
        </w:rPr>
        <w:t>±</w:t>
      </w:r>
      <w:r w:rsidR="00853E88">
        <w:rPr>
          <w:lang w:val="es-ES"/>
        </w:rPr>
        <w:t> 50,3</w:t>
      </w:r>
      <w:r w:rsidR="003767BF">
        <w:rPr>
          <w:lang w:val="es-ES"/>
        </w:rPr>
        <w:t> </w:t>
      </w:r>
      <w:r w:rsidRPr="008A106B">
        <w:t>μ</w:t>
      </w:r>
      <w:r w:rsidRPr="008A106B">
        <w:rPr>
          <w:lang w:val="es-ES"/>
        </w:rPr>
        <w:t>g/m</w:t>
      </w:r>
      <w:r w:rsidR="00374CAD">
        <w:rPr>
          <w:lang w:val="es-ES"/>
        </w:rPr>
        <w:t>l</w:t>
      </w:r>
      <w:r w:rsidRPr="008A106B">
        <w:rPr>
          <w:lang w:val="es-ES"/>
        </w:rPr>
        <w:t>, respectivamente, los cuales son mayores que los valores de exposición media de los pacientes (</w:t>
      </w:r>
      <w:r w:rsidR="003767BF" w:rsidRPr="003767BF">
        <w:rPr>
          <w:lang w:val="es-ES"/>
        </w:rPr>
        <w:t>es decir, cualquier peso corporal</w:t>
      </w:r>
      <w:r w:rsidRPr="008A106B">
        <w:rPr>
          <w:lang w:val="es-ES"/>
        </w:rPr>
        <w:t>)</w:t>
      </w:r>
      <w:r w:rsidR="003767BF">
        <w:rPr>
          <w:lang w:val="es-ES"/>
        </w:rPr>
        <w:t xml:space="preserve"> indicados anteriormente</w:t>
      </w:r>
      <w:r w:rsidRPr="008A106B">
        <w:rPr>
          <w:lang w:val="es-ES"/>
        </w:rPr>
        <w:t xml:space="preserve">. La curva dosis-respuesta para tocilizumab se allana a mayor exposición, resultando en una menor ganancia de eficacia por cada aumento incremental en la concentración de tocilizumab, de manera que no se demostraron incrementos de eficacia clínicamente significativos en pacientes tratados con </w:t>
      </w:r>
      <w:proofErr w:type="gramStart"/>
      <w:r w:rsidRPr="008A106B">
        <w:rPr>
          <w:lang w:val="es-ES"/>
        </w:rPr>
        <w:t>&gt;</w:t>
      </w:r>
      <w:r w:rsidR="00205482" w:rsidRPr="00F30AB8">
        <w:rPr>
          <w:szCs w:val="22"/>
          <w:lang w:val="es-ES"/>
        </w:rPr>
        <w:t> </w:t>
      </w:r>
      <w:r w:rsidR="00205482" w:rsidRPr="008A106B" w:rsidDel="00205482">
        <w:rPr>
          <w:lang w:val="es-ES"/>
        </w:rPr>
        <w:t xml:space="preserve"> </w:t>
      </w:r>
      <w:r w:rsidRPr="008A106B">
        <w:rPr>
          <w:lang w:val="es-ES"/>
        </w:rPr>
        <w:t>800</w:t>
      </w:r>
      <w:proofErr w:type="gramEnd"/>
      <w:r w:rsidRPr="008A106B">
        <w:rPr>
          <w:lang w:val="es-ES"/>
        </w:rPr>
        <w:t> mg de tocilizumab</w:t>
      </w:r>
      <w:r w:rsidRPr="008A106B">
        <w:rPr>
          <w:rFonts w:eastAsia="SimSun"/>
          <w:lang w:val="es-ES" w:eastAsia="zh-CN"/>
        </w:rPr>
        <w:t xml:space="preserve">. Por lo tanto, no se recomienda dosis de tocilizumab superiores a </w:t>
      </w:r>
      <w:proofErr w:type="gramStart"/>
      <w:r w:rsidRPr="008A106B">
        <w:rPr>
          <w:rFonts w:eastAsia="SimSun"/>
          <w:lang w:val="es-ES" w:eastAsia="zh-CN"/>
        </w:rPr>
        <w:t>800</w:t>
      </w:r>
      <w:r w:rsidR="00205482" w:rsidRPr="00F30AB8">
        <w:rPr>
          <w:szCs w:val="22"/>
          <w:lang w:val="es-ES"/>
        </w:rPr>
        <w:t> </w:t>
      </w:r>
      <w:r w:rsidR="00205482" w:rsidRPr="008A106B" w:rsidDel="00205482">
        <w:rPr>
          <w:rFonts w:eastAsia="SimSun"/>
          <w:lang w:val="es-ES" w:eastAsia="zh-CN"/>
        </w:rPr>
        <w:t xml:space="preserve"> </w:t>
      </w:r>
      <w:r w:rsidRPr="008A106B">
        <w:rPr>
          <w:rFonts w:eastAsia="SimSun"/>
          <w:lang w:val="es-ES" w:eastAsia="zh-CN"/>
        </w:rPr>
        <w:t>mg</w:t>
      </w:r>
      <w:proofErr w:type="gramEnd"/>
      <w:r w:rsidRPr="008A106B">
        <w:rPr>
          <w:rFonts w:eastAsia="SimSun"/>
          <w:lang w:val="es-ES" w:eastAsia="zh-CN"/>
        </w:rPr>
        <w:t xml:space="preserve"> en perfusión (ver sección</w:t>
      </w:r>
      <w:r w:rsidR="00205482" w:rsidRPr="00F30AB8">
        <w:rPr>
          <w:szCs w:val="22"/>
          <w:lang w:val="es-ES"/>
        </w:rPr>
        <w:t> </w:t>
      </w:r>
      <w:r w:rsidR="00205482" w:rsidRPr="008A106B" w:rsidDel="00205482">
        <w:rPr>
          <w:rFonts w:eastAsia="SimSun"/>
          <w:lang w:val="es-ES" w:eastAsia="zh-CN"/>
        </w:rPr>
        <w:t xml:space="preserve"> </w:t>
      </w:r>
      <w:r w:rsidRPr="008A106B">
        <w:rPr>
          <w:rFonts w:eastAsia="SimSun"/>
          <w:lang w:val="es-ES" w:eastAsia="zh-CN"/>
        </w:rPr>
        <w:t>4.2).</w:t>
      </w:r>
    </w:p>
    <w:p w14:paraId="507C5151" w14:textId="77777777" w:rsidR="0083266F" w:rsidRPr="008A106B" w:rsidRDefault="0083266F" w:rsidP="00291BAC">
      <w:pPr>
        <w:widowControl w:val="0"/>
        <w:rPr>
          <w:rFonts w:eastAsia="SimSun"/>
          <w:lang w:val="es-ES" w:eastAsia="zh-CN"/>
        </w:rPr>
      </w:pPr>
    </w:p>
    <w:p w14:paraId="4C487B59" w14:textId="77777777" w:rsidR="0083266F" w:rsidRDefault="0083266F" w:rsidP="0083266F">
      <w:pPr>
        <w:widowControl w:val="0"/>
        <w:numPr>
          <w:ilvl w:val="12"/>
          <w:numId w:val="0"/>
        </w:numPr>
        <w:ind w:right="-2"/>
        <w:rPr>
          <w:iCs/>
          <w:u w:val="single"/>
          <w:lang w:val="es-ES"/>
        </w:rPr>
      </w:pPr>
      <w:r w:rsidRPr="00467FFD">
        <w:rPr>
          <w:iCs/>
          <w:u w:val="single"/>
          <w:lang w:val="es-ES"/>
          <w:rPrChange w:id="704" w:author="AUTHOR">
            <w:rPr>
              <w:iCs/>
              <w:lang w:val="es-ES"/>
            </w:rPr>
          </w:rPrChange>
        </w:rPr>
        <w:t>P</w:t>
      </w:r>
      <w:r w:rsidRPr="00F30AB8">
        <w:rPr>
          <w:iCs/>
          <w:u w:val="single"/>
          <w:lang w:val="es-ES"/>
        </w:rPr>
        <w:t>acientes COVID-19</w:t>
      </w:r>
    </w:p>
    <w:p w14:paraId="13B0E6E4" w14:textId="77777777" w:rsidR="00724D3E" w:rsidRPr="00F30AB8" w:rsidRDefault="00724D3E" w:rsidP="0083266F">
      <w:pPr>
        <w:widowControl w:val="0"/>
        <w:numPr>
          <w:ilvl w:val="12"/>
          <w:numId w:val="0"/>
        </w:numPr>
        <w:ind w:right="-2"/>
        <w:rPr>
          <w:iCs/>
          <w:u w:val="single"/>
          <w:lang w:val="es-ES"/>
        </w:rPr>
      </w:pPr>
    </w:p>
    <w:p w14:paraId="04967F57" w14:textId="36C37D72" w:rsidR="007927FC" w:rsidRDefault="0083266F" w:rsidP="0083266F">
      <w:pPr>
        <w:widowControl w:val="0"/>
        <w:numPr>
          <w:ilvl w:val="12"/>
          <w:numId w:val="0"/>
        </w:numPr>
        <w:ind w:right="-2"/>
        <w:rPr>
          <w:iCs/>
          <w:lang w:val="es-ES"/>
        </w:rPr>
      </w:pPr>
      <w:r w:rsidRPr="0083266F">
        <w:rPr>
          <w:iCs/>
          <w:lang w:val="es-ES"/>
        </w:rPr>
        <w:t xml:space="preserve">La farmacocinética de tocilizumab se caracterizó mediante un análisis farmacocinético poblacional de una base de datos compuesta por 380 pacientes adultos con COVID-19 en el </w:t>
      </w:r>
      <w:del w:id="705" w:author="AUTHOR">
        <w:r w:rsidRPr="0083266F" w:rsidDel="006C4AF1">
          <w:rPr>
            <w:iCs/>
            <w:lang w:val="es-ES"/>
          </w:rPr>
          <w:delText xml:space="preserve">Estudio </w:delText>
        </w:r>
      </w:del>
      <w:ins w:id="706" w:author="AUTHOR">
        <w:r w:rsidR="006C4AF1">
          <w:rPr>
            <w:iCs/>
            <w:lang w:val="es-ES"/>
          </w:rPr>
          <w:t>ensayo</w:t>
        </w:r>
        <w:r w:rsidR="006C4AF1" w:rsidRPr="0083266F">
          <w:rPr>
            <w:iCs/>
            <w:lang w:val="es-ES"/>
          </w:rPr>
          <w:t xml:space="preserve"> </w:t>
        </w:r>
      </w:ins>
      <w:r w:rsidRPr="0083266F">
        <w:rPr>
          <w:iCs/>
          <w:lang w:val="es-ES"/>
        </w:rPr>
        <w:t xml:space="preserve">WA42380 (COVACTA) y el </w:t>
      </w:r>
      <w:del w:id="707" w:author="AUTHOR">
        <w:r w:rsidRPr="0083266F" w:rsidDel="006C4AF1">
          <w:rPr>
            <w:iCs/>
            <w:lang w:val="es-ES"/>
          </w:rPr>
          <w:delText xml:space="preserve">Estudio </w:delText>
        </w:r>
      </w:del>
      <w:ins w:id="708" w:author="AUTHOR">
        <w:r w:rsidR="006C4AF1">
          <w:rPr>
            <w:iCs/>
            <w:lang w:val="es-ES"/>
          </w:rPr>
          <w:t>ensayo</w:t>
        </w:r>
        <w:r w:rsidR="006C4AF1" w:rsidRPr="0083266F">
          <w:rPr>
            <w:iCs/>
            <w:lang w:val="es-ES"/>
          </w:rPr>
          <w:t xml:space="preserve"> </w:t>
        </w:r>
      </w:ins>
      <w:r w:rsidRPr="0083266F">
        <w:rPr>
          <w:iCs/>
          <w:lang w:val="es-ES"/>
        </w:rPr>
        <w:t xml:space="preserve">CA42481 (MARIPOSA) que se trataron con una </w:t>
      </w:r>
      <w:r>
        <w:rPr>
          <w:iCs/>
          <w:lang w:val="es-ES"/>
        </w:rPr>
        <w:t>sola perfusión de 8</w:t>
      </w:r>
      <w:r w:rsidR="00205482" w:rsidRPr="00F30AB8">
        <w:rPr>
          <w:szCs w:val="22"/>
          <w:lang w:val="es-ES"/>
        </w:rPr>
        <w:t> </w:t>
      </w:r>
      <w:r w:rsidR="00205482" w:rsidDel="00205482">
        <w:rPr>
          <w:iCs/>
          <w:lang w:val="es-ES"/>
        </w:rPr>
        <w:t xml:space="preserve"> </w:t>
      </w:r>
      <w:r>
        <w:rPr>
          <w:iCs/>
          <w:lang w:val="es-ES"/>
        </w:rPr>
        <w:t>mg</w:t>
      </w:r>
      <w:r w:rsidRPr="0083266F">
        <w:rPr>
          <w:iCs/>
          <w:lang w:val="es-ES"/>
        </w:rPr>
        <w:t xml:space="preserve">/kg de tocilizumab o dos </w:t>
      </w:r>
      <w:r>
        <w:rPr>
          <w:iCs/>
          <w:lang w:val="es-ES"/>
        </w:rPr>
        <w:t>per</w:t>
      </w:r>
      <w:r w:rsidRPr="0083266F">
        <w:rPr>
          <w:iCs/>
          <w:lang w:val="es-ES"/>
        </w:rPr>
        <w:t>fusiones separadas por al menos 8</w:t>
      </w:r>
      <w:r w:rsidR="00205482" w:rsidRPr="00F30AB8">
        <w:rPr>
          <w:szCs w:val="22"/>
          <w:lang w:val="es-ES"/>
        </w:rPr>
        <w:t> </w:t>
      </w:r>
      <w:r w:rsidR="00205482" w:rsidRPr="0083266F" w:rsidDel="00205482">
        <w:rPr>
          <w:iCs/>
          <w:lang w:val="es-ES"/>
        </w:rPr>
        <w:t xml:space="preserve"> </w:t>
      </w:r>
      <w:r w:rsidRPr="0083266F">
        <w:rPr>
          <w:iCs/>
          <w:lang w:val="es-ES"/>
        </w:rPr>
        <w:t xml:space="preserve">horas. Se estimaron los siguientes parámetros (media prevista + DE) para una dosis de tocilizumab de </w:t>
      </w:r>
      <w:proofErr w:type="gramStart"/>
      <w:r w:rsidRPr="0083266F">
        <w:rPr>
          <w:iCs/>
          <w:lang w:val="es-ES"/>
        </w:rPr>
        <w:t>8</w:t>
      </w:r>
      <w:r w:rsidR="00205482" w:rsidRPr="00F30AB8">
        <w:rPr>
          <w:szCs w:val="22"/>
          <w:lang w:val="es-ES"/>
        </w:rPr>
        <w:t> </w:t>
      </w:r>
      <w:r w:rsidR="00205482" w:rsidRPr="0083266F" w:rsidDel="00205482">
        <w:rPr>
          <w:iCs/>
          <w:lang w:val="es-ES"/>
        </w:rPr>
        <w:t xml:space="preserve"> </w:t>
      </w:r>
      <w:r w:rsidRPr="0083266F">
        <w:rPr>
          <w:iCs/>
          <w:lang w:val="es-ES"/>
        </w:rPr>
        <w:t>mg</w:t>
      </w:r>
      <w:proofErr w:type="gramEnd"/>
      <w:r w:rsidRPr="0083266F">
        <w:rPr>
          <w:iCs/>
          <w:lang w:val="es-ES"/>
        </w:rPr>
        <w:t>/kg: área bajo la curva durante 28</w:t>
      </w:r>
      <w:r w:rsidR="00205482" w:rsidRPr="00F30AB8">
        <w:rPr>
          <w:szCs w:val="22"/>
          <w:lang w:val="es-ES"/>
        </w:rPr>
        <w:t> </w:t>
      </w:r>
      <w:r w:rsidR="00205482" w:rsidRPr="0083266F" w:rsidDel="00205482">
        <w:rPr>
          <w:iCs/>
          <w:lang w:val="es-ES"/>
        </w:rPr>
        <w:t xml:space="preserve"> </w:t>
      </w:r>
      <w:r w:rsidRPr="0083266F">
        <w:rPr>
          <w:iCs/>
          <w:lang w:val="es-ES"/>
        </w:rPr>
        <w:t>días (AUC</w:t>
      </w:r>
      <w:r w:rsidRPr="004B67DA">
        <w:rPr>
          <w:iCs/>
          <w:vertAlign w:val="subscript"/>
          <w:lang w:val="es-ES"/>
        </w:rPr>
        <w:t>0-28</w:t>
      </w:r>
      <w:r w:rsidRPr="0083266F">
        <w:rPr>
          <w:iCs/>
          <w:lang w:val="es-ES"/>
        </w:rPr>
        <w:t>) = 18312 (5184)</w:t>
      </w:r>
      <w:r w:rsidR="00205482" w:rsidRPr="00F30AB8">
        <w:rPr>
          <w:szCs w:val="22"/>
          <w:lang w:val="es-ES"/>
        </w:rPr>
        <w:t xml:space="preserve">  </w:t>
      </w:r>
      <w:r w:rsidR="00205482" w:rsidRPr="0083266F" w:rsidDel="00205482">
        <w:rPr>
          <w:iCs/>
          <w:lang w:val="es-ES"/>
        </w:rPr>
        <w:t xml:space="preserve"> </w:t>
      </w:r>
      <w:r w:rsidRPr="0083266F">
        <w:rPr>
          <w:iCs/>
          <w:lang w:val="es-ES"/>
        </w:rPr>
        <w:t>hora • µg / ml, concentración en el día 28 (C</w:t>
      </w:r>
      <w:r w:rsidRPr="00F30AB8">
        <w:rPr>
          <w:iCs/>
          <w:vertAlign w:val="subscript"/>
          <w:lang w:val="es-ES"/>
        </w:rPr>
        <w:t>día28</w:t>
      </w:r>
      <w:r w:rsidRPr="0083266F">
        <w:rPr>
          <w:iCs/>
          <w:lang w:val="es-ES"/>
        </w:rPr>
        <w:t>) = 0,934 (1,93)</w:t>
      </w:r>
      <w:r w:rsidR="00205482" w:rsidRPr="00F30AB8">
        <w:rPr>
          <w:szCs w:val="22"/>
          <w:lang w:val="es-ES"/>
        </w:rPr>
        <w:t xml:space="preserve">  </w:t>
      </w:r>
      <w:r w:rsidR="00205482" w:rsidRPr="0083266F" w:rsidDel="00205482">
        <w:rPr>
          <w:iCs/>
          <w:lang w:val="es-ES"/>
        </w:rPr>
        <w:t xml:space="preserve"> </w:t>
      </w:r>
      <w:r w:rsidRPr="0083266F">
        <w:rPr>
          <w:iCs/>
          <w:lang w:val="es-ES"/>
        </w:rPr>
        <w:t>µg / mL y concentración máxima (Cmax) = 154 (34,9) µg / mL. También se estimaron el AUC</w:t>
      </w:r>
      <w:r w:rsidRPr="004B67DA">
        <w:rPr>
          <w:iCs/>
          <w:vertAlign w:val="subscript"/>
          <w:lang w:val="es-ES"/>
        </w:rPr>
        <w:t>0-28</w:t>
      </w:r>
      <w:r>
        <w:rPr>
          <w:iCs/>
          <w:lang w:val="es-ES"/>
        </w:rPr>
        <w:t>, C</w:t>
      </w:r>
      <w:r w:rsidRPr="00F30AB8">
        <w:rPr>
          <w:iCs/>
          <w:vertAlign w:val="subscript"/>
          <w:lang w:val="es-ES"/>
        </w:rPr>
        <w:t>día28</w:t>
      </w:r>
      <w:r w:rsidRPr="0083266F">
        <w:rPr>
          <w:iCs/>
          <w:lang w:val="es-ES"/>
        </w:rPr>
        <w:t xml:space="preserve"> y C</w:t>
      </w:r>
      <w:r w:rsidRPr="00F30AB8">
        <w:rPr>
          <w:iCs/>
          <w:vertAlign w:val="subscript"/>
          <w:lang w:val="es-ES"/>
        </w:rPr>
        <w:t>max</w:t>
      </w:r>
      <w:r w:rsidRPr="0083266F">
        <w:rPr>
          <w:iCs/>
          <w:lang w:val="es-ES"/>
        </w:rPr>
        <w:t xml:space="preserve">, después de dos dosis de </w:t>
      </w:r>
      <w:proofErr w:type="gramStart"/>
      <w:r w:rsidRPr="0083266F">
        <w:rPr>
          <w:iCs/>
          <w:lang w:val="es-ES"/>
        </w:rPr>
        <w:t>8</w:t>
      </w:r>
      <w:r w:rsidR="00205482" w:rsidRPr="00F30AB8">
        <w:rPr>
          <w:szCs w:val="22"/>
          <w:lang w:val="es-ES"/>
        </w:rPr>
        <w:t> </w:t>
      </w:r>
      <w:r w:rsidR="00205482" w:rsidRPr="0083266F" w:rsidDel="00205482">
        <w:rPr>
          <w:iCs/>
          <w:lang w:val="es-ES"/>
        </w:rPr>
        <w:t xml:space="preserve"> </w:t>
      </w:r>
      <w:r w:rsidRPr="0083266F">
        <w:rPr>
          <w:iCs/>
          <w:lang w:val="es-ES"/>
        </w:rPr>
        <w:t>mg</w:t>
      </w:r>
      <w:proofErr w:type="gramEnd"/>
      <w:r w:rsidRPr="0083266F">
        <w:rPr>
          <w:iCs/>
          <w:lang w:val="es-ES"/>
        </w:rPr>
        <w:t xml:space="preserve"> / kg de tocilizumab separadas por 8</w:t>
      </w:r>
      <w:r w:rsidR="00205482" w:rsidRPr="00F30AB8">
        <w:rPr>
          <w:szCs w:val="22"/>
          <w:lang w:val="es-ES"/>
        </w:rPr>
        <w:t> </w:t>
      </w:r>
      <w:r w:rsidR="00205482" w:rsidRPr="0083266F" w:rsidDel="00205482">
        <w:rPr>
          <w:iCs/>
          <w:lang w:val="es-ES"/>
        </w:rPr>
        <w:t xml:space="preserve"> </w:t>
      </w:r>
      <w:r w:rsidRPr="0083266F">
        <w:rPr>
          <w:iCs/>
          <w:lang w:val="es-ES"/>
        </w:rPr>
        <w:t>horas (media prevista + DE): 42240 (11520)</w:t>
      </w:r>
      <w:r w:rsidR="00205482" w:rsidRPr="00F30AB8">
        <w:rPr>
          <w:szCs w:val="22"/>
          <w:lang w:val="es-ES"/>
        </w:rPr>
        <w:t xml:space="preserve">  </w:t>
      </w:r>
      <w:r w:rsidR="00205482" w:rsidRPr="0083266F" w:rsidDel="00205482">
        <w:rPr>
          <w:iCs/>
          <w:lang w:val="es-ES"/>
        </w:rPr>
        <w:t xml:space="preserve"> </w:t>
      </w:r>
      <w:r w:rsidRPr="0083266F">
        <w:rPr>
          <w:iCs/>
          <w:lang w:val="es-ES"/>
        </w:rPr>
        <w:t>hora • µg / ml y 8,94 (8,5)</w:t>
      </w:r>
      <w:r w:rsidR="00205482" w:rsidRPr="00F30AB8">
        <w:rPr>
          <w:szCs w:val="22"/>
          <w:lang w:val="es-ES"/>
        </w:rPr>
        <w:t xml:space="preserve">  </w:t>
      </w:r>
      <w:r w:rsidR="00205482" w:rsidRPr="0083266F" w:rsidDel="00205482">
        <w:rPr>
          <w:iCs/>
          <w:lang w:val="es-ES"/>
        </w:rPr>
        <w:t xml:space="preserve"> </w:t>
      </w:r>
      <w:r w:rsidRPr="0083266F">
        <w:rPr>
          <w:iCs/>
          <w:lang w:val="es-ES"/>
        </w:rPr>
        <w:t>µg / ml, y 296 (64,7)</w:t>
      </w:r>
      <w:r w:rsidR="00205482" w:rsidRPr="00F30AB8">
        <w:rPr>
          <w:szCs w:val="22"/>
          <w:lang w:val="es-ES"/>
        </w:rPr>
        <w:t xml:space="preserve">  </w:t>
      </w:r>
      <w:r w:rsidR="00205482" w:rsidRPr="0083266F" w:rsidDel="00205482">
        <w:rPr>
          <w:iCs/>
          <w:lang w:val="es-ES"/>
        </w:rPr>
        <w:t xml:space="preserve"> </w:t>
      </w:r>
      <w:r w:rsidRPr="0083266F">
        <w:rPr>
          <w:iCs/>
          <w:lang w:val="es-ES"/>
        </w:rPr>
        <w:t>µg / mL respectivamente.</w:t>
      </w:r>
    </w:p>
    <w:p w14:paraId="1C9FDD29" w14:textId="77777777" w:rsidR="0083266F" w:rsidRPr="008A106B" w:rsidRDefault="0083266F" w:rsidP="0083266F">
      <w:pPr>
        <w:widowControl w:val="0"/>
        <w:numPr>
          <w:ilvl w:val="12"/>
          <w:numId w:val="0"/>
        </w:numPr>
        <w:ind w:right="-2"/>
        <w:rPr>
          <w:iCs/>
          <w:lang w:val="es-ES"/>
        </w:rPr>
      </w:pPr>
    </w:p>
    <w:p w14:paraId="3BF43C58" w14:textId="77777777" w:rsidR="007927FC" w:rsidRDefault="007927FC" w:rsidP="00291BAC">
      <w:pPr>
        <w:widowControl w:val="0"/>
        <w:numPr>
          <w:ilvl w:val="12"/>
          <w:numId w:val="0"/>
        </w:numPr>
        <w:ind w:right="-2"/>
        <w:rPr>
          <w:iCs/>
          <w:u w:val="single"/>
          <w:lang w:val="es-ES"/>
        </w:rPr>
      </w:pPr>
      <w:r w:rsidRPr="008A106B">
        <w:rPr>
          <w:iCs/>
          <w:u w:val="single"/>
          <w:lang w:val="es-ES"/>
        </w:rPr>
        <w:t>Distribución</w:t>
      </w:r>
    </w:p>
    <w:p w14:paraId="23BBDCA1" w14:textId="77777777" w:rsidR="00724D3E" w:rsidRPr="008A106B" w:rsidRDefault="00724D3E" w:rsidP="00291BAC">
      <w:pPr>
        <w:widowControl w:val="0"/>
        <w:numPr>
          <w:ilvl w:val="12"/>
          <w:numId w:val="0"/>
        </w:numPr>
        <w:ind w:right="-2"/>
        <w:rPr>
          <w:iCs/>
          <w:u w:val="single"/>
          <w:lang w:val="es-ES"/>
        </w:rPr>
      </w:pPr>
    </w:p>
    <w:p w14:paraId="790BCC19" w14:textId="1E075935" w:rsidR="007927FC" w:rsidRPr="008A106B" w:rsidRDefault="007927FC" w:rsidP="00291BAC">
      <w:pPr>
        <w:widowControl w:val="0"/>
        <w:numPr>
          <w:ilvl w:val="12"/>
          <w:numId w:val="0"/>
        </w:numPr>
        <w:ind w:right="-2"/>
        <w:rPr>
          <w:lang w:val="es-ES"/>
        </w:rPr>
      </w:pPr>
      <w:r w:rsidRPr="008A106B">
        <w:rPr>
          <w:lang w:val="es-ES_tradnl"/>
        </w:rPr>
        <w:t>En pacientes con artritis reumatoide, el volumen central de distribución fue de 3,</w:t>
      </w:r>
      <w:proofErr w:type="gramStart"/>
      <w:r w:rsidR="005B515E">
        <w:rPr>
          <w:lang w:val="es-ES_tradnl"/>
        </w:rPr>
        <w:t>72</w:t>
      </w:r>
      <w:r w:rsidR="00205482" w:rsidRPr="00F30AB8">
        <w:rPr>
          <w:szCs w:val="22"/>
          <w:lang w:val="es-ES"/>
        </w:rPr>
        <w:t> </w:t>
      </w:r>
      <w:r w:rsidR="00205482" w:rsidDel="00205482">
        <w:rPr>
          <w:lang w:val="es-ES_tradnl"/>
        </w:rPr>
        <w:t xml:space="preserve"> </w:t>
      </w:r>
      <w:r w:rsidR="0083266F">
        <w:rPr>
          <w:lang w:val="es-ES_tradnl"/>
        </w:rPr>
        <w:t>l</w:t>
      </w:r>
      <w:proofErr w:type="gramEnd"/>
      <w:r w:rsidRPr="008A106B">
        <w:rPr>
          <w:lang w:val="es-ES_tradnl"/>
        </w:rPr>
        <w:t xml:space="preserve">, el volumen periférico de distribución fue de </w:t>
      </w:r>
      <w:r w:rsidR="00D97806">
        <w:rPr>
          <w:lang w:val="es-ES_tradnl"/>
        </w:rPr>
        <w:t>3,35</w:t>
      </w:r>
      <w:r w:rsidR="00205482" w:rsidRPr="00F30AB8">
        <w:rPr>
          <w:szCs w:val="22"/>
          <w:lang w:val="es-ES"/>
        </w:rPr>
        <w:t> </w:t>
      </w:r>
      <w:r w:rsidR="00205482" w:rsidDel="00205482">
        <w:rPr>
          <w:lang w:val="es-ES_tradnl"/>
        </w:rPr>
        <w:t xml:space="preserve"> </w:t>
      </w:r>
      <w:r w:rsidR="0083266F">
        <w:rPr>
          <w:lang w:val="es-ES_tradnl"/>
        </w:rPr>
        <w:t>l</w:t>
      </w:r>
      <w:r w:rsidRPr="008A106B">
        <w:rPr>
          <w:lang w:val="es-ES_tradnl"/>
        </w:rPr>
        <w:t xml:space="preserve">, lo que da un volumen de distribución en el equilibrio de </w:t>
      </w:r>
      <w:r w:rsidR="005B515E">
        <w:rPr>
          <w:lang w:val="es-ES_tradnl"/>
        </w:rPr>
        <w:t>7,07</w:t>
      </w:r>
      <w:r w:rsidR="00205482" w:rsidRPr="00F30AB8">
        <w:rPr>
          <w:szCs w:val="22"/>
          <w:lang w:val="es-ES"/>
        </w:rPr>
        <w:t> </w:t>
      </w:r>
      <w:r w:rsidR="00205482" w:rsidDel="00205482">
        <w:rPr>
          <w:lang w:val="es-ES_tradnl"/>
        </w:rPr>
        <w:t xml:space="preserve"> </w:t>
      </w:r>
      <w:r w:rsidR="0083266F">
        <w:rPr>
          <w:lang w:val="es-ES_tradnl"/>
        </w:rPr>
        <w:t>l</w:t>
      </w:r>
      <w:r w:rsidRPr="008A106B">
        <w:rPr>
          <w:lang w:val="es-ES_tradnl"/>
        </w:rPr>
        <w:t>.</w:t>
      </w:r>
      <w:r w:rsidRPr="008A106B">
        <w:rPr>
          <w:lang w:val="es-ES"/>
        </w:rPr>
        <w:t xml:space="preserve"> </w:t>
      </w:r>
    </w:p>
    <w:p w14:paraId="54A1E373" w14:textId="77777777" w:rsidR="0083266F" w:rsidRDefault="0083266F" w:rsidP="00291BAC">
      <w:pPr>
        <w:widowControl w:val="0"/>
        <w:numPr>
          <w:ilvl w:val="12"/>
          <w:numId w:val="0"/>
        </w:numPr>
        <w:ind w:right="-2"/>
        <w:rPr>
          <w:iCs/>
          <w:lang w:val="es-ES"/>
        </w:rPr>
      </w:pPr>
    </w:p>
    <w:p w14:paraId="619FA318" w14:textId="6C1C46EC" w:rsidR="007927FC" w:rsidRPr="008A106B" w:rsidRDefault="0083266F" w:rsidP="00291BAC">
      <w:pPr>
        <w:widowControl w:val="0"/>
        <w:numPr>
          <w:ilvl w:val="12"/>
          <w:numId w:val="0"/>
        </w:numPr>
        <w:ind w:right="-2"/>
        <w:rPr>
          <w:iCs/>
          <w:lang w:val="es-ES"/>
        </w:rPr>
      </w:pPr>
      <w:r w:rsidRPr="0083266F">
        <w:rPr>
          <w:iCs/>
          <w:lang w:val="es-ES"/>
        </w:rPr>
        <w:t>En pacientes adultos con COVID-19, el volumen de di</w:t>
      </w:r>
      <w:r>
        <w:rPr>
          <w:iCs/>
          <w:lang w:val="es-ES"/>
        </w:rPr>
        <w:t>stribución central fue de 4,</w:t>
      </w:r>
      <w:proofErr w:type="gramStart"/>
      <w:r>
        <w:rPr>
          <w:iCs/>
          <w:lang w:val="es-ES"/>
        </w:rPr>
        <w:t>52</w:t>
      </w:r>
      <w:r w:rsidR="00205482" w:rsidRPr="00F30AB8">
        <w:rPr>
          <w:szCs w:val="22"/>
          <w:lang w:val="es-ES"/>
        </w:rPr>
        <w:t> </w:t>
      </w:r>
      <w:r w:rsidR="00205482" w:rsidDel="00205482">
        <w:rPr>
          <w:iCs/>
          <w:lang w:val="es-ES"/>
        </w:rPr>
        <w:t xml:space="preserve"> </w:t>
      </w:r>
      <w:r>
        <w:rPr>
          <w:iCs/>
          <w:lang w:val="es-ES"/>
        </w:rPr>
        <w:t>l</w:t>
      </w:r>
      <w:proofErr w:type="gramEnd"/>
      <w:r w:rsidRPr="0083266F">
        <w:rPr>
          <w:iCs/>
          <w:lang w:val="es-ES"/>
        </w:rPr>
        <w:t>, el volumen de distribución periférico fue de 4,23</w:t>
      </w:r>
      <w:r w:rsidR="00205482" w:rsidRPr="00F30AB8">
        <w:rPr>
          <w:szCs w:val="22"/>
          <w:lang w:val="es-ES"/>
        </w:rPr>
        <w:t> </w:t>
      </w:r>
      <w:r w:rsidR="00205482" w:rsidRPr="0083266F" w:rsidDel="00205482">
        <w:rPr>
          <w:iCs/>
          <w:lang w:val="es-ES"/>
        </w:rPr>
        <w:t xml:space="preserve"> </w:t>
      </w:r>
      <w:r>
        <w:rPr>
          <w:iCs/>
          <w:lang w:val="es-ES"/>
        </w:rPr>
        <w:t>l</w:t>
      </w:r>
      <w:r w:rsidRPr="0083266F">
        <w:rPr>
          <w:iCs/>
          <w:lang w:val="es-ES"/>
        </w:rPr>
        <w:t>, lo que resultó en un volumen de distribución de 8,75</w:t>
      </w:r>
      <w:r w:rsidR="00205482" w:rsidRPr="00F30AB8">
        <w:rPr>
          <w:szCs w:val="22"/>
          <w:lang w:val="es-ES"/>
        </w:rPr>
        <w:t> </w:t>
      </w:r>
      <w:r w:rsidR="00205482" w:rsidRPr="0083266F" w:rsidDel="00205482">
        <w:rPr>
          <w:iCs/>
          <w:lang w:val="es-ES"/>
        </w:rPr>
        <w:t xml:space="preserve"> </w:t>
      </w:r>
      <w:r>
        <w:rPr>
          <w:iCs/>
          <w:lang w:val="es-ES"/>
        </w:rPr>
        <w:t>l</w:t>
      </w:r>
      <w:r w:rsidRPr="0083266F">
        <w:rPr>
          <w:iCs/>
          <w:lang w:val="es-ES"/>
        </w:rPr>
        <w:t>.</w:t>
      </w:r>
    </w:p>
    <w:p w14:paraId="4440B446" w14:textId="77777777" w:rsidR="0083266F" w:rsidRDefault="0083266F" w:rsidP="00291BAC">
      <w:pPr>
        <w:widowControl w:val="0"/>
        <w:numPr>
          <w:ilvl w:val="12"/>
          <w:numId w:val="0"/>
        </w:numPr>
        <w:ind w:right="-2"/>
        <w:rPr>
          <w:iCs/>
          <w:u w:val="single"/>
          <w:lang w:val="es-ES"/>
        </w:rPr>
      </w:pPr>
    </w:p>
    <w:p w14:paraId="0150B222" w14:textId="77777777" w:rsidR="007927FC" w:rsidRDefault="007927FC" w:rsidP="00F30AB8">
      <w:pPr>
        <w:keepNext/>
        <w:keepLines/>
        <w:numPr>
          <w:ilvl w:val="12"/>
          <w:numId w:val="0"/>
        </w:numPr>
        <w:rPr>
          <w:iCs/>
          <w:u w:val="single"/>
          <w:lang w:val="es-ES"/>
        </w:rPr>
      </w:pPr>
      <w:r w:rsidRPr="008A106B">
        <w:rPr>
          <w:iCs/>
          <w:u w:val="single"/>
          <w:lang w:val="es-ES"/>
        </w:rPr>
        <w:lastRenderedPageBreak/>
        <w:t>Eliminación</w:t>
      </w:r>
    </w:p>
    <w:p w14:paraId="0FCE6785" w14:textId="77777777" w:rsidR="00724D3E" w:rsidRPr="008A106B" w:rsidRDefault="00724D3E" w:rsidP="00F30AB8">
      <w:pPr>
        <w:keepNext/>
        <w:keepLines/>
        <w:numPr>
          <w:ilvl w:val="12"/>
          <w:numId w:val="0"/>
        </w:numPr>
        <w:rPr>
          <w:iCs/>
          <w:u w:val="single"/>
          <w:lang w:val="es-ES"/>
        </w:rPr>
      </w:pPr>
    </w:p>
    <w:p w14:paraId="7C661063" w14:textId="1B627175" w:rsidR="00846741" w:rsidRDefault="007927FC" w:rsidP="00291BAC">
      <w:pPr>
        <w:widowControl w:val="0"/>
        <w:numPr>
          <w:ilvl w:val="12"/>
          <w:numId w:val="0"/>
        </w:numPr>
        <w:ind w:right="-2"/>
        <w:rPr>
          <w:lang w:val="es-ES_tradnl"/>
        </w:rPr>
      </w:pPr>
      <w:r w:rsidRPr="008A106B">
        <w:rPr>
          <w:lang w:val="es-ES_tradnl"/>
        </w:rPr>
        <w:t xml:space="preserve">Después de la administración intravenosa, tocilizumab experimenta una </w:t>
      </w:r>
      <w:r w:rsidR="0083266F">
        <w:rPr>
          <w:lang w:val="es-ES_tradnl"/>
        </w:rPr>
        <w:t xml:space="preserve">doble </w:t>
      </w:r>
      <w:r w:rsidRPr="008A106B">
        <w:rPr>
          <w:lang w:val="es-ES_tradnl"/>
        </w:rPr>
        <w:t>eliminación de la circulación</w:t>
      </w:r>
      <w:r w:rsidR="0083266F" w:rsidRPr="004B67DA">
        <w:rPr>
          <w:lang w:val="es-ES"/>
        </w:rPr>
        <w:t xml:space="preserve"> </w:t>
      </w:r>
      <w:r w:rsidR="0083266F" w:rsidRPr="0083266F">
        <w:rPr>
          <w:lang w:val="es-ES_tradnl"/>
        </w:rPr>
        <w:t>una tras un aclaramiento lineal y otra tras un aclaramiento no lineal dependiente de la concentración</w:t>
      </w:r>
      <w:r w:rsidRPr="008A106B">
        <w:rPr>
          <w:lang w:val="es-ES_tradnl"/>
        </w:rPr>
        <w:t>.</w:t>
      </w:r>
      <w:r w:rsidRPr="008A106B" w:rsidDel="00F63298">
        <w:rPr>
          <w:lang w:val="es-ES_tradnl"/>
        </w:rPr>
        <w:t xml:space="preserve"> </w:t>
      </w:r>
      <w:r w:rsidR="0083266F">
        <w:rPr>
          <w:lang w:val="es-ES_tradnl"/>
        </w:rPr>
        <w:t>En pacientes con AR, e</w:t>
      </w:r>
      <w:r w:rsidRPr="008A106B">
        <w:rPr>
          <w:lang w:val="es-ES_tradnl"/>
        </w:rPr>
        <w:t xml:space="preserve">l aclaramiento lineal </w:t>
      </w:r>
      <w:del w:id="709" w:author="AUTHOR">
        <w:r w:rsidRPr="008A106B" w:rsidDel="006F6EF2">
          <w:rPr>
            <w:lang w:val="es-ES_tradnl"/>
          </w:rPr>
          <w:delText xml:space="preserve">se estimó como parámetro en el análisis de farmacocinética de poblaciones </w:delText>
        </w:r>
        <w:r w:rsidRPr="008A106B" w:rsidDel="00121531">
          <w:rPr>
            <w:lang w:val="es-ES_tradnl"/>
          </w:rPr>
          <w:delText>y</w:delText>
        </w:r>
      </w:del>
      <w:r w:rsidRPr="008A106B">
        <w:rPr>
          <w:lang w:val="es-ES_tradnl"/>
        </w:rPr>
        <w:t xml:space="preserve"> fue de </w:t>
      </w:r>
      <w:r w:rsidR="005B515E">
        <w:rPr>
          <w:lang w:val="es-ES_tradnl"/>
        </w:rPr>
        <w:t>9</w:t>
      </w:r>
      <w:r w:rsidRPr="008A106B">
        <w:rPr>
          <w:lang w:val="es-ES_tradnl"/>
        </w:rPr>
        <w:t>,5 ml/h. E</w:t>
      </w:r>
      <w:r w:rsidR="0083266F">
        <w:rPr>
          <w:lang w:val="es-ES_tradnl"/>
        </w:rPr>
        <w:t>n pacientes adultos con COVID-19 el aclaramiento lineal fue 17,6</w:t>
      </w:r>
      <w:r w:rsidR="00205482" w:rsidRPr="00F30AB8">
        <w:rPr>
          <w:szCs w:val="22"/>
          <w:lang w:val="es-ES"/>
        </w:rPr>
        <w:t> </w:t>
      </w:r>
      <w:r w:rsidR="00205482" w:rsidDel="00205482">
        <w:rPr>
          <w:lang w:val="es-ES_tradnl"/>
        </w:rPr>
        <w:t xml:space="preserve"> </w:t>
      </w:r>
      <w:r w:rsidR="0083266F">
        <w:rPr>
          <w:lang w:val="es-ES_tradnl"/>
        </w:rPr>
        <w:t>ml/h en pacientes con</w:t>
      </w:r>
      <w:r w:rsidR="0083266F" w:rsidRPr="004B67DA">
        <w:rPr>
          <w:lang w:val="es-ES"/>
        </w:rPr>
        <w:t xml:space="preserve"> </w:t>
      </w:r>
      <w:r w:rsidR="0083266F" w:rsidRPr="0083266F">
        <w:rPr>
          <w:lang w:val="es-ES_tradnl"/>
        </w:rPr>
        <w:t xml:space="preserve">categoría 3 de la escala ordinal inicial (OS 3, pacientes que requieren </w:t>
      </w:r>
      <w:r w:rsidR="0083266F">
        <w:rPr>
          <w:lang w:val="es-ES_tradnl"/>
        </w:rPr>
        <w:t>suplemento de oxígeno</w:t>
      </w:r>
      <w:r w:rsidR="0083266F" w:rsidRPr="0083266F">
        <w:rPr>
          <w:lang w:val="es-ES_tradnl"/>
        </w:rPr>
        <w:t>), 22,5</w:t>
      </w:r>
      <w:r w:rsidR="00205482" w:rsidRPr="00F30AB8">
        <w:rPr>
          <w:szCs w:val="22"/>
          <w:lang w:val="es-ES"/>
        </w:rPr>
        <w:t> </w:t>
      </w:r>
      <w:r w:rsidR="00205482" w:rsidRPr="0083266F" w:rsidDel="00205482">
        <w:rPr>
          <w:lang w:val="es-ES_tradnl"/>
        </w:rPr>
        <w:t xml:space="preserve"> </w:t>
      </w:r>
      <w:r w:rsidR="0083266F" w:rsidRPr="0083266F">
        <w:rPr>
          <w:lang w:val="es-ES_tradnl"/>
        </w:rPr>
        <w:t>ml</w:t>
      </w:r>
      <w:r w:rsidR="0083266F">
        <w:rPr>
          <w:lang w:val="es-ES_tradnl"/>
        </w:rPr>
        <w:t>/</w:t>
      </w:r>
      <w:r w:rsidR="0083266F" w:rsidRPr="0083266F">
        <w:rPr>
          <w:lang w:val="es-ES_tradnl"/>
        </w:rPr>
        <w:t>h en pacientes con OS 4 inicial (pacientes que requieren alto flujo de oxígeno o ventilación no invasiva), 29</w:t>
      </w:r>
      <w:r w:rsidR="00205482" w:rsidRPr="00F30AB8">
        <w:rPr>
          <w:szCs w:val="22"/>
          <w:lang w:val="es-ES"/>
        </w:rPr>
        <w:t> </w:t>
      </w:r>
      <w:r w:rsidR="00205482" w:rsidRPr="0083266F" w:rsidDel="00205482">
        <w:rPr>
          <w:lang w:val="es-ES_tradnl"/>
        </w:rPr>
        <w:t xml:space="preserve"> </w:t>
      </w:r>
      <w:r w:rsidR="0083266F" w:rsidRPr="0083266F">
        <w:rPr>
          <w:lang w:val="es-ES_tradnl"/>
        </w:rPr>
        <w:t>ml / h en pacientes con OS 5 basal (pacientes que requieren ve</w:t>
      </w:r>
      <w:r w:rsidR="0083266F">
        <w:rPr>
          <w:lang w:val="es-ES_tradnl"/>
        </w:rPr>
        <w:t>ntilación mecánica) y 35,4</w:t>
      </w:r>
      <w:r w:rsidR="00205482" w:rsidRPr="00F30AB8">
        <w:rPr>
          <w:szCs w:val="22"/>
          <w:lang w:val="es-ES"/>
        </w:rPr>
        <w:t> </w:t>
      </w:r>
      <w:r w:rsidR="00205482" w:rsidDel="00205482">
        <w:rPr>
          <w:lang w:val="es-ES_tradnl"/>
        </w:rPr>
        <w:t xml:space="preserve"> </w:t>
      </w:r>
      <w:r w:rsidR="0083266F">
        <w:rPr>
          <w:lang w:val="es-ES_tradnl"/>
        </w:rPr>
        <w:t>ml</w:t>
      </w:r>
      <w:r w:rsidR="0083266F" w:rsidRPr="0083266F">
        <w:rPr>
          <w:lang w:val="es-ES_tradnl"/>
        </w:rPr>
        <w:t xml:space="preserve">/h en pacientes con OS 6 basal (pacientes que requieren oxigenación por membrana extracorpórea (ECMO) o ventilación mecánica y </w:t>
      </w:r>
      <w:r w:rsidR="00846741">
        <w:rPr>
          <w:lang w:val="es-ES_tradnl"/>
        </w:rPr>
        <w:t xml:space="preserve">apoyo adicional en </w:t>
      </w:r>
      <w:r w:rsidR="0083266F" w:rsidRPr="0083266F">
        <w:rPr>
          <w:lang w:val="es-ES_tradnl"/>
        </w:rPr>
        <w:t>órganos).</w:t>
      </w:r>
      <w:r w:rsidR="0083266F">
        <w:rPr>
          <w:lang w:val="es-ES_tradnl"/>
        </w:rPr>
        <w:t xml:space="preserve"> E</w:t>
      </w:r>
      <w:r w:rsidRPr="008A106B">
        <w:rPr>
          <w:lang w:val="es-ES_tradnl"/>
        </w:rPr>
        <w:t>l aclaramiento no lineal dependiente de la concentración desempeña un papel importante a concentraciones bajas de tocilizumab. Una vez saturada la vía de aclaramiento no lineal, a concentraciones mayores de tocilizumab, la eliminación viene determinada fundamentalmente por el aclaramiento lineal.</w:t>
      </w:r>
    </w:p>
    <w:p w14:paraId="728F9EB6" w14:textId="77777777" w:rsidR="007927FC" w:rsidRPr="008A106B" w:rsidRDefault="007927FC" w:rsidP="00291BAC">
      <w:pPr>
        <w:widowControl w:val="0"/>
        <w:numPr>
          <w:ilvl w:val="12"/>
          <w:numId w:val="0"/>
        </w:numPr>
        <w:ind w:right="-2"/>
        <w:rPr>
          <w:lang w:val="es-ES_tradnl"/>
        </w:rPr>
      </w:pPr>
      <w:r w:rsidRPr="008A106B">
        <w:rPr>
          <w:lang w:val="es-ES"/>
        </w:rPr>
        <w:t xml:space="preserve"> </w:t>
      </w:r>
    </w:p>
    <w:p w14:paraId="0AC88E34" w14:textId="39DBB5C8" w:rsidR="0083266F" w:rsidRDefault="0083266F" w:rsidP="00291BAC">
      <w:pPr>
        <w:widowControl w:val="0"/>
        <w:numPr>
          <w:ilvl w:val="12"/>
          <w:numId w:val="0"/>
        </w:numPr>
        <w:ind w:right="-2"/>
        <w:rPr>
          <w:lang w:val="es-ES"/>
        </w:rPr>
      </w:pPr>
      <w:r>
        <w:rPr>
          <w:lang w:val="es-ES_tradnl"/>
        </w:rPr>
        <w:t>En pacientes con AR l</w:t>
      </w:r>
      <w:r w:rsidR="007927FC" w:rsidRPr="008A106B">
        <w:rPr>
          <w:lang w:val="es-ES_tradnl"/>
        </w:rPr>
        <w:t>a semivida t</w:t>
      </w:r>
      <w:r w:rsidR="007927FC" w:rsidRPr="008A106B">
        <w:rPr>
          <w:vertAlign w:val="subscript"/>
          <w:lang w:val="es-ES_tradnl"/>
        </w:rPr>
        <w:t>1/2</w:t>
      </w:r>
      <w:r w:rsidR="007927FC" w:rsidRPr="008A106B">
        <w:rPr>
          <w:lang w:val="es-ES_tradnl"/>
        </w:rPr>
        <w:t xml:space="preserve"> de tocilizumab fue dependiente de la concentración.</w:t>
      </w:r>
      <w:r w:rsidR="007927FC" w:rsidRPr="008A106B">
        <w:rPr>
          <w:lang w:val="es-ES"/>
        </w:rPr>
        <w:t xml:space="preserve"> </w:t>
      </w:r>
      <w:r w:rsidR="007927FC" w:rsidRPr="008A106B">
        <w:rPr>
          <w:lang w:val="es-ES_tradnl"/>
        </w:rPr>
        <w:t xml:space="preserve">En equilibrio, después de una dosis de 8 mg/kg cada </w:t>
      </w:r>
      <w:proofErr w:type="gramStart"/>
      <w:r w:rsidR="007927FC" w:rsidRPr="008A106B">
        <w:rPr>
          <w:lang w:val="es-ES_tradnl"/>
        </w:rPr>
        <w:t>4</w:t>
      </w:r>
      <w:r w:rsidR="00205482" w:rsidRPr="00F30AB8">
        <w:rPr>
          <w:szCs w:val="22"/>
          <w:lang w:val="es-ES"/>
        </w:rPr>
        <w:t> </w:t>
      </w:r>
      <w:r w:rsidR="00205482" w:rsidRPr="008A106B" w:rsidDel="00205482">
        <w:rPr>
          <w:lang w:val="es-ES_tradnl"/>
        </w:rPr>
        <w:t xml:space="preserve"> </w:t>
      </w:r>
      <w:r w:rsidR="007927FC" w:rsidRPr="008A106B">
        <w:rPr>
          <w:lang w:val="es-ES_tradnl"/>
        </w:rPr>
        <w:t>semanas</w:t>
      </w:r>
      <w:proofErr w:type="gramEnd"/>
      <w:r w:rsidR="007927FC" w:rsidRPr="008A106B">
        <w:rPr>
          <w:lang w:val="es-ES_tradnl"/>
        </w:rPr>
        <w:t>, la t</w:t>
      </w:r>
      <w:r w:rsidR="007927FC" w:rsidRPr="008A106B">
        <w:rPr>
          <w:vertAlign w:val="subscript"/>
          <w:lang w:val="es-ES_tradnl"/>
        </w:rPr>
        <w:t>1/2</w:t>
      </w:r>
      <w:r w:rsidR="007927FC" w:rsidRPr="008A106B">
        <w:rPr>
          <w:lang w:val="es-ES_tradnl"/>
        </w:rPr>
        <w:t xml:space="preserve"> eficaz se redujo con concentraciones descendentes dentro de un intervalo posológico de </w:t>
      </w:r>
      <w:r w:rsidR="005B515E" w:rsidRPr="008A106B">
        <w:rPr>
          <w:lang w:val="es-ES_tradnl"/>
        </w:rPr>
        <w:t>1</w:t>
      </w:r>
      <w:r w:rsidR="005B515E">
        <w:rPr>
          <w:lang w:val="es-ES_tradnl"/>
        </w:rPr>
        <w:t>8</w:t>
      </w:r>
      <w:r w:rsidR="005B515E" w:rsidRPr="008A106B">
        <w:rPr>
          <w:lang w:val="es-ES_tradnl"/>
        </w:rPr>
        <w:t xml:space="preserve"> </w:t>
      </w:r>
      <w:r w:rsidR="007927FC" w:rsidRPr="008A106B">
        <w:rPr>
          <w:lang w:val="es-ES_tradnl"/>
        </w:rPr>
        <w:t xml:space="preserve">días a </w:t>
      </w:r>
      <w:r w:rsidR="005B515E">
        <w:rPr>
          <w:lang w:val="es-ES_tradnl"/>
        </w:rPr>
        <w:t>6</w:t>
      </w:r>
      <w:r w:rsidR="00205482" w:rsidRPr="00F30AB8">
        <w:rPr>
          <w:szCs w:val="22"/>
          <w:lang w:val="es-ES"/>
        </w:rPr>
        <w:t> </w:t>
      </w:r>
      <w:r w:rsidR="00205482" w:rsidRPr="008A106B" w:rsidDel="00205482">
        <w:rPr>
          <w:lang w:val="es-ES_tradnl"/>
        </w:rPr>
        <w:t xml:space="preserve"> </w:t>
      </w:r>
      <w:r w:rsidR="007927FC" w:rsidRPr="008A106B">
        <w:rPr>
          <w:lang w:val="es-ES_tradnl"/>
        </w:rPr>
        <w:t>días.</w:t>
      </w:r>
      <w:r w:rsidRPr="004B67DA">
        <w:rPr>
          <w:lang w:val="es-ES"/>
        </w:rPr>
        <w:t xml:space="preserve"> </w:t>
      </w:r>
    </w:p>
    <w:p w14:paraId="4B040B86" w14:textId="77777777" w:rsidR="0083266F" w:rsidRDefault="0083266F" w:rsidP="00291BAC">
      <w:pPr>
        <w:widowControl w:val="0"/>
        <w:numPr>
          <w:ilvl w:val="12"/>
          <w:numId w:val="0"/>
        </w:numPr>
        <w:ind w:right="-2"/>
        <w:rPr>
          <w:lang w:val="es-ES"/>
        </w:rPr>
      </w:pPr>
    </w:p>
    <w:p w14:paraId="753AFB14" w14:textId="0C73B13E" w:rsidR="007927FC" w:rsidRPr="008A106B" w:rsidRDefault="0083266F" w:rsidP="00291BAC">
      <w:pPr>
        <w:widowControl w:val="0"/>
        <w:numPr>
          <w:ilvl w:val="12"/>
          <w:numId w:val="0"/>
        </w:numPr>
        <w:ind w:right="-2"/>
        <w:rPr>
          <w:lang w:val="es-ES"/>
        </w:rPr>
      </w:pPr>
      <w:r w:rsidRPr="0083266F">
        <w:rPr>
          <w:lang w:val="es-ES_tradnl"/>
        </w:rPr>
        <w:t xml:space="preserve">En pacientes con COVID-19, las concentraciones séricas estuvieron por debajo del límite de cuantificación después de </w:t>
      </w:r>
      <w:r w:rsidR="00395D98">
        <w:rPr>
          <w:lang w:val="es-ES_tradnl"/>
        </w:rPr>
        <w:t xml:space="preserve">un promedio de </w:t>
      </w:r>
      <w:proofErr w:type="gramStart"/>
      <w:r w:rsidRPr="0083266F">
        <w:rPr>
          <w:lang w:val="es-ES_tradnl"/>
        </w:rPr>
        <w:t>35</w:t>
      </w:r>
      <w:r w:rsidR="00205482" w:rsidRPr="00F30AB8">
        <w:rPr>
          <w:szCs w:val="22"/>
          <w:lang w:val="es-ES"/>
        </w:rPr>
        <w:t> </w:t>
      </w:r>
      <w:r w:rsidR="00205482" w:rsidRPr="0083266F" w:rsidDel="00205482">
        <w:rPr>
          <w:lang w:val="es-ES_tradnl"/>
        </w:rPr>
        <w:t xml:space="preserve"> </w:t>
      </w:r>
      <w:r w:rsidRPr="0083266F">
        <w:rPr>
          <w:lang w:val="es-ES_tradnl"/>
        </w:rPr>
        <w:t>días</w:t>
      </w:r>
      <w:proofErr w:type="gramEnd"/>
      <w:r w:rsidRPr="0083266F">
        <w:rPr>
          <w:lang w:val="es-ES_tradnl"/>
        </w:rPr>
        <w:t xml:space="preserve"> </w:t>
      </w:r>
      <w:r w:rsidR="00395D98">
        <w:rPr>
          <w:lang w:val="es-ES_tradnl"/>
        </w:rPr>
        <w:t xml:space="preserve"> tras</w:t>
      </w:r>
      <w:r>
        <w:rPr>
          <w:lang w:val="es-ES_tradnl"/>
        </w:rPr>
        <w:t xml:space="preserve"> una per</w:t>
      </w:r>
      <w:r w:rsidRPr="0083266F">
        <w:rPr>
          <w:lang w:val="es-ES_tradnl"/>
        </w:rPr>
        <w:t xml:space="preserve">fusión de tocilizumab </w:t>
      </w:r>
      <w:r w:rsidR="00724D3E">
        <w:rPr>
          <w:lang w:val="es-ES_tradnl"/>
        </w:rPr>
        <w:t>intravenos</w:t>
      </w:r>
      <w:r w:rsidR="00724D3E" w:rsidRPr="0083266F">
        <w:rPr>
          <w:lang w:val="es-ES_tradnl"/>
        </w:rPr>
        <w:t xml:space="preserve"> </w:t>
      </w:r>
      <w:r w:rsidRPr="0083266F">
        <w:rPr>
          <w:lang w:val="es-ES_tradnl"/>
        </w:rPr>
        <w:t>8</w:t>
      </w:r>
      <w:r w:rsidR="00724D3E">
        <w:rPr>
          <w:lang w:val="es-ES_tradnl"/>
        </w:rPr>
        <w:t> </w:t>
      </w:r>
      <w:r w:rsidRPr="0083266F">
        <w:rPr>
          <w:lang w:val="es-ES_tradnl"/>
        </w:rPr>
        <w:t>mg/kg.</w:t>
      </w:r>
    </w:p>
    <w:p w14:paraId="72BF2194" w14:textId="77777777" w:rsidR="007927FC" w:rsidRPr="008A106B" w:rsidRDefault="007927FC" w:rsidP="00291BAC">
      <w:pPr>
        <w:widowControl w:val="0"/>
        <w:ind w:left="567" w:hanging="567"/>
        <w:outlineLvl w:val="0"/>
        <w:rPr>
          <w:lang w:val="es-ES"/>
        </w:rPr>
      </w:pPr>
    </w:p>
    <w:p w14:paraId="29781996" w14:textId="77777777" w:rsidR="007927FC" w:rsidRDefault="007927FC" w:rsidP="00291BAC">
      <w:pPr>
        <w:widowControl w:val="0"/>
        <w:ind w:left="562" w:hanging="562"/>
        <w:outlineLvl w:val="0"/>
        <w:rPr>
          <w:iCs/>
          <w:u w:val="single"/>
          <w:lang w:val="es-ES_tradnl"/>
        </w:rPr>
      </w:pPr>
      <w:r w:rsidRPr="008A106B">
        <w:rPr>
          <w:iCs/>
          <w:u w:val="single"/>
          <w:lang w:val="es-ES_tradnl"/>
        </w:rPr>
        <w:t>Linealidad</w:t>
      </w:r>
    </w:p>
    <w:p w14:paraId="7F7A5BD7" w14:textId="77777777" w:rsidR="00724D3E" w:rsidRPr="008A106B" w:rsidRDefault="00724D3E" w:rsidP="00291BAC">
      <w:pPr>
        <w:widowControl w:val="0"/>
        <w:ind w:left="562" w:hanging="562"/>
        <w:outlineLvl w:val="0"/>
        <w:rPr>
          <w:iCs/>
          <w:u w:val="single"/>
          <w:lang w:val="es-ES_tradnl"/>
        </w:rPr>
      </w:pPr>
    </w:p>
    <w:p w14:paraId="14224AD5" w14:textId="6C41F91A" w:rsidR="007927FC" w:rsidRPr="008A106B" w:rsidRDefault="007927FC" w:rsidP="00291BAC">
      <w:pPr>
        <w:widowControl w:val="0"/>
        <w:numPr>
          <w:ilvl w:val="12"/>
          <w:numId w:val="0"/>
        </w:numPr>
        <w:ind w:right="-2"/>
        <w:rPr>
          <w:lang w:val="es-ES"/>
        </w:rPr>
      </w:pPr>
      <w:r w:rsidRPr="008A106B">
        <w:rPr>
          <w:lang w:val="es-ES_tradnl"/>
        </w:rPr>
        <w:t>Los parámetros farmacocinéticos de tocilizumab no cambiaron con el tiempo.</w:t>
      </w:r>
      <w:r w:rsidRPr="008A106B">
        <w:rPr>
          <w:lang w:val="es-ES"/>
        </w:rPr>
        <w:t xml:space="preserve"> </w:t>
      </w:r>
      <w:r w:rsidRPr="008A106B">
        <w:rPr>
          <w:lang w:val="es-ES_tradnl"/>
        </w:rPr>
        <w:t>Se observó un aumento mayor que el proporcional a la dosis en el área bajo la curva (AUC y la concentración minima (C</w:t>
      </w:r>
      <w:r w:rsidRPr="008A106B">
        <w:rPr>
          <w:vertAlign w:val="subscript"/>
          <w:lang w:val="es-ES_tradnl"/>
        </w:rPr>
        <w:t>mín</w:t>
      </w:r>
      <w:r w:rsidRPr="008A106B">
        <w:rPr>
          <w:lang w:val="es-ES_tradnl"/>
        </w:rPr>
        <w:t xml:space="preserve"> con las dosis de 4 y 8 mg/kg, cada </w:t>
      </w:r>
      <w:proofErr w:type="gramStart"/>
      <w:r w:rsidRPr="008A106B">
        <w:rPr>
          <w:lang w:val="es-ES_tradnl"/>
        </w:rPr>
        <w:t>4</w:t>
      </w:r>
      <w:r w:rsidR="00205482" w:rsidRPr="00F30AB8">
        <w:rPr>
          <w:szCs w:val="22"/>
          <w:lang w:val="es-ES"/>
        </w:rPr>
        <w:t> </w:t>
      </w:r>
      <w:r w:rsidR="00205482" w:rsidRPr="008A106B" w:rsidDel="00205482">
        <w:rPr>
          <w:lang w:val="es-ES_tradnl"/>
        </w:rPr>
        <w:t xml:space="preserve"> </w:t>
      </w:r>
      <w:r w:rsidRPr="008A106B">
        <w:rPr>
          <w:lang w:val="es-ES_tradnl"/>
        </w:rPr>
        <w:t>semanas</w:t>
      </w:r>
      <w:proofErr w:type="gramEnd"/>
      <w:r w:rsidRPr="008A106B">
        <w:rPr>
          <w:lang w:val="es-ES_tradnl"/>
        </w:rPr>
        <w:t>.</w:t>
      </w:r>
      <w:r w:rsidRPr="008A106B">
        <w:rPr>
          <w:lang w:val="es-ES"/>
        </w:rPr>
        <w:t xml:space="preserve"> </w:t>
      </w:r>
      <w:r w:rsidRPr="008A106B">
        <w:rPr>
          <w:lang w:val="es-ES_tradnl"/>
        </w:rPr>
        <w:t>La concentración máxima (C</w:t>
      </w:r>
      <w:r w:rsidRPr="008A106B">
        <w:rPr>
          <w:vertAlign w:val="subscript"/>
          <w:lang w:val="es-ES_tradnl"/>
        </w:rPr>
        <w:t>máx</w:t>
      </w:r>
      <w:r w:rsidRPr="008A106B">
        <w:rPr>
          <w:lang w:val="es-ES_tradnl"/>
        </w:rPr>
        <w:t xml:space="preserve"> aumentó de forma proporcional a la dosis.</w:t>
      </w:r>
      <w:r w:rsidRPr="008A106B">
        <w:rPr>
          <w:lang w:val="es-ES"/>
        </w:rPr>
        <w:t xml:space="preserve"> </w:t>
      </w:r>
      <w:r w:rsidRPr="008A106B">
        <w:rPr>
          <w:lang w:val="es-ES_tradnl"/>
        </w:rPr>
        <w:t>En equilibrio, el AUC y la C</w:t>
      </w:r>
      <w:r w:rsidRPr="008A106B">
        <w:rPr>
          <w:vertAlign w:val="subscript"/>
          <w:lang w:val="es-ES_tradnl"/>
        </w:rPr>
        <w:t>mín</w:t>
      </w:r>
      <w:r w:rsidRPr="008A106B">
        <w:rPr>
          <w:lang w:val="es-ES_tradnl"/>
        </w:rPr>
        <w:t xml:space="preserve"> pronosticados fueron</w:t>
      </w:r>
      <w:r w:rsidR="00380119">
        <w:rPr>
          <w:lang w:val="es-ES_tradnl"/>
        </w:rPr>
        <w:t xml:space="preserve"> </w:t>
      </w:r>
      <w:r w:rsidR="005B515E">
        <w:rPr>
          <w:lang w:val="es-ES_tradnl"/>
        </w:rPr>
        <w:t>3,2</w:t>
      </w:r>
      <w:r w:rsidRPr="008A106B">
        <w:rPr>
          <w:lang w:val="es-ES_tradnl"/>
        </w:rPr>
        <w:t xml:space="preserve"> y</w:t>
      </w:r>
      <w:r w:rsidR="00380119">
        <w:rPr>
          <w:lang w:val="es-ES_tradnl"/>
        </w:rPr>
        <w:t xml:space="preserve"> </w:t>
      </w:r>
      <w:r w:rsidR="005B515E">
        <w:rPr>
          <w:lang w:val="es-ES_tradnl"/>
        </w:rPr>
        <w:t>30</w:t>
      </w:r>
      <w:r w:rsidRPr="008A106B">
        <w:rPr>
          <w:lang w:val="es-ES_tradnl"/>
        </w:rPr>
        <w:t xml:space="preserve"> veces mayores con 8 mg/kg que con 4 mg/kg, respectivamente.</w:t>
      </w:r>
    </w:p>
    <w:p w14:paraId="029D8D72" w14:textId="77777777" w:rsidR="007927FC" w:rsidRPr="008A106B" w:rsidRDefault="007927FC" w:rsidP="007927FC">
      <w:pPr>
        <w:ind w:left="567" w:hanging="567"/>
        <w:outlineLvl w:val="0"/>
        <w:rPr>
          <w:i/>
          <w:iCs/>
          <w:lang w:val="es-ES_tradnl"/>
        </w:rPr>
      </w:pPr>
    </w:p>
    <w:p w14:paraId="71480D80" w14:textId="77777777" w:rsidR="007927FC" w:rsidRDefault="007927FC" w:rsidP="007927FC">
      <w:pPr>
        <w:keepNext/>
        <w:keepLines/>
        <w:ind w:left="562" w:hanging="562"/>
        <w:outlineLvl w:val="0"/>
        <w:rPr>
          <w:iCs/>
          <w:u w:val="single"/>
          <w:lang w:val="es-ES_tradnl"/>
        </w:rPr>
      </w:pPr>
      <w:r w:rsidRPr="008A106B">
        <w:rPr>
          <w:iCs/>
          <w:u w:val="single"/>
          <w:lang w:val="es-ES_tradnl"/>
        </w:rPr>
        <w:t>Poblaciones especiales</w:t>
      </w:r>
    </w:p>
    <w:p w14:paraId="743AE574" w14:textId="77777777" w:rsidR="00724D3E" w:rsidRPr="008A106B" w:rsidRDefault="00724D3E" w:rsidP="007927FC">
      <w:pPr>
        <w:keepNext/>
        <w:keepLines/>
        <w:ind w:left="562" w:hanging="562"/>
        <w:outlineLvl w:val="0"/>
        <w:rPr>
          <w:iCs/>
          <w:u w:val="single"/>
          <w:lang w:val="es-ES"/>
        </w:rPr>
      </w:pPr>
    </w:p>
    <w:p w14:paraId="128190F3" w14:textId="77777777" w:rsidR="00724D3E" w:rsidRDefault="007927FC" w:rsidP="007927FC">
      <w:pPr>
        <w:outlineLvl w:val="0"/>
        <w:rPr>
          <w:i/>
          <w:iCs/>
          <w:lang w:val="es-ES_tradnl"/>
        </w:rPr>
      </w:pPr>
      <w:r w:rsidRPr="008A106B">
        <w:rPr>
          <w:i/>
          <w:iCs/>
          <w:lang w:val="es-ES_tradnl"/>
        </w:rPr>
        <w:t>Insuficiencia renal:</w:t>
      </w:r>
    </w:p>
    <w:p w14:paraId="0FA26CDB" w14:textId="6E9A8C0A" w:rsidR="007927FC" w:rsidRPr="008A106B" w:rsidRDefault="007927FC" w:rsidP="007927FC">
      <w:pPr>
        <w:outlineLvl w:val="0"/>
        <w:rPr>
          <w:lang w:val="es-ES"/>
        </w:rPr>
      </w:pPr>
      <w:r w:rsidRPr="008A106B">
        <w:rPr>
          <w:lang w:val="es-ES_tradnl"/>
        </w:rPr>
        <w:t xml:space="preserve">No se ha realizado ningún </w:t>
      </w:r>
      <w:del w:id="710" w:author="AUTHOR">
        <w:r w:rsidRPr="008A106B" w:rsidDel="00A93547">
          <w:rPr>
            <w:lang w:val="es-ES_tradnl"/>
          </w:rPr>
          <w:delText xml:space="preserve">estudio </w:delText>
        </w:r>
      </w:del>
      <w:ins w:id="711" w:author="AUTHOR">
        <w:r w:rsidR="00A93547">
          <w:rPr>
            <w:lang w:val="es-ES_tradnl"/>
          </w:rPr>
          <w:t>ensayo</w:t>
        </w:r>
        <w:r w:rsidR="00A93547" w:rsidRPr="008A106B">
          <w:rPr>
            <w:lang w:val="es-ES_tradnl"/>
          </w:rPr>
          <w:t xml:space="preserve"> </w:t>
        </w:r>
      </w:ins>
      <w:r w:rsidRPr="008A106B">
        <w:rPr>
          <w:lang w:val="es-ES_tradnl"/>
        </w:rPr>
        <w:t>formal del efecto de la insuficiencia renal sobre la farmacocinética de tocilizumab. La mayoría de los pacientes del análisis de farmacocinética de población tenían una función renal normal o insuficiencia renal leve.</w:t>
      </w:r>
      <w:r w:rsidRPr="008A106B">
        <w:rPr>
          <w:lang w:val="es-ES"/>
        </w:rPr>
        <w:t xml:space="preserve"> </w:t>
      </w:r>
      <w:r w:rsidRPr="008A106B">
        <w:rPr>
          <w:lang w:val="es-ES_tradnl"/>
        </w:rPr>
        <w:t>La insuficiencia renal leve (aclaramiento de creatinina basado en Cockroft-Gault &lt;</w:t>
      </w:r>
      <w:r w:rsidR="00205482" w:rsidRPr="008A106B">
        <w:rPr>
          <w:lang w:val="es-ES_tradnl"/>
        </w:rPr>
        <w:t> </w:t>
      </w:r>
      <w:r w:rsidRPr="008A106B">
        <w:rPr>
          <w:lang w:val="es-ES_tradnl"/>
        </w:rPr>
        <w:t>80 ml/min y ≥</w:t>
      </w:r>
      <w:r w:rsidR="00205482" w:rsidRPr="008A106B">
        <w:rPr>
          <w:lang w:val="es-ES_tradnl"/>
        </w:rPr>
        <w:t> </w:t>
      </w:r>
      <w:r w:rsidRPr="008A106B">
        <w:rPr>
          <w:lang w:val="es-ES_tradnl"/>
        </w:rPr>
        <w:t>50 ml/min) no tuvo impacto sobre la farmacocinética de tocilizumab.</w:t>
      </w:r>
    </w:p>
    <w:p w14:paraId="6536D856" w14:textId="77777777" w:rsidR="007927FC" w:rsidRPr="008A106B" w:rsidRDefault="007927FC" w:rsidP="007927FC">
      <w:pPr>
        <w:outlineLvl w:val="0"/>
        <w:rPr>
          <w:lang w:val="es-ES"/>
        </w:rPr>
      </w:pPr>
    </w:p>
    <w:p w14:paraId="04163FBA" w14:textId="77777777" w:rsidR="00724D3E" w:rsidRDefault="007927FC" w:rsidP="007927FC">
      <w:pPr>
        <w:outlineLvl w:val="0"/>
        <w:rPr>
          <w:i/>
          <w:iCs/>
          <w:lang w:val="es-ES_tradnl"/>
        </w:rPr>
      </w:pPr>
      <w:r w:rsidRPr="008A106B">
        <w:rPr>
          <w:i/>
          <w:iCs/>
          <w:lang w:val="es-ES_tradnl"/>
        </w:rPr>
        <w:t>Insuficiencia hepática:</w:t>
      </w:r>
    </w:p>
    <w:p w14:paraId="649765EF" w14:textId="4738E682" w:rsidR="007927FC" w:rsidRPr="008A106B" w:rsidRDefault="007927FC" w:rsidP="007927FC">
      <w:pPr>
        <w:outlineLvl w:val="0"/>
        <w:rPr>
          <w:lang w:val="es-ES"/>
        </w:rPr>
      </w:pPr>
      <w:r w:rsidRPr="008A106B">
        <w:rPr>
          <w:lang w:val="es-ES_tradnl"/>
        </w:rPr>
        <w:t xml:space="preserve">No se ha realizado ningún </w:t>
      </w:r>
      <w:del w:id="712" w:author="AUTHOR">
        <w:r w:rsidRPr="008A106B" w:rsidDel="00A93547">
          <w:rPr>
            <w:lang w:val="es-ES_tradnl"/>
          </w:rPr>
          <w:delText xml:space="preserve">estudio </w:delText>
        </w:r>
      </w:del>
      <w:ins w:id="713" w:author="AUTHOR">
        <w:r w:rsidR="00A93547">
          <w:rPr>
            <w:lang w:val="es-ES_tradnl"/>
          </w:rPr>
          <w:t>ensayo</w:t>
        </w:r>
        <w:r w:rsidR="00A93547" w:rsidRPr="008A106B">
          <w:rPr>
            <w:lang w:val="es-ES_tradnl"/>
          </w:rPr>
          <w:t xml:space="preserve"> </w:t>
        </w:r>
      </w:ins>
      <w:r w:rsidRPr="008A106B">
        <w:rPr>
          <w:lang w:val="es-ES_tradnl"/>
        </w:rPr>
        <w:t>formal del efecto de la insuficiencia hepática sobre la farmacocinética de tocilizumab.</w:t>
      </w:r>
      <w:r w:rsidRPr="008A106B">
        <w:rPr>
          <w:lang w:val="es-ES"/>
        </w:rPr>
        <w:t xml:space="preserve"> </w:t>
      </w:r>
    </w:p>
    <w:p w14:paraId="1F2E77D7" w14:textId="77777777" w:rsidR="007927FC" w:rsidRPr="008A106B" w:rsidRDefault="007927FC" w:rsidP="007927FC">
      <w:pPr>
        <w:outlineLvl w:val="0"/>
        <w:rPr>
          <w:lang w:val="es-ES"/>
        </w:rPr>
      </w:pPr>
    </w:p>
    <w:p w14:paraId="54B829CD" w14:textId="77777777" w:rsidR="00724D3E" w:rsidRDefault="007927FC" w:rsidP="007927FC">
      <w:pPr>
        <w:outlineLvl w:val="0"/>
        <w:rPr>
          <w:i/>
          <w:iCs/>
          <w:lang w:val="es-ES_tradnl"/>
        </w:rPr>
      </w:pPr>
      <w:r w:rsidRPr="008A106B">
        <w:rPr>
          <w:i/>
          <w:iCs/>
          <w:lang w:val="es-ES_tradnl"/>
        </w:rPr>
        <w:t>Edad</w:t>
      </w:r>
      <w:r w:rsidR="00F4621B">
        <w:rPr>
          <w:i/>
          <w:iCs/>
          <w:lang w:val="es-ES_tradnl"/>
        </w:rPr>
        <w:t>,</w:t>
      </w:r>
      <w:r w:rsidRPr="008A106B">
        <w:rPr>
          <w:i/>
          <w:iCs/>
          <w:lang w:val="es-ES_tradnl"/>
        </w:rPr>
        <w:t xml:space="preserve"> género y etnia:</w:t>
      </w:r>
    </w:p>
    <w:p w14:paraId="38288E3E" w14:textId="249A35A4" w:rsidR="0083266F" w:rsidRDefault="007927FC" w:rsidP="007927FC">
      <w:pPr>
        <w:outlineLvl w:val="0"/>
        <w:rPr>
          <w:lang w:val="es-ES"/>
        </w:rPr>
      </w:pPr>
      <w:r w:rsidRPr="008A106B">
        <w:rPr>
          <w:lang w:val="es-ES_tradnl"/>
        </w:rPr>
        <w:t xml:space="preserve">Los análisis de farmacocinética de poblaciones en pacientes con artritis reumatoide </w:t>
      </w:r>
      <w:r w:rsidR="0083266F">
        <w:rPr>
          <w:lang w:val="es-ES_tradnl"/>
        </w:rPr>
        <w:t xml:space="preserve">y COVID-19 </w:t>
      </w:r>
      <w:r w:rsidRPr="008A106B">
        <w:rPr>
          <w:lang w:val="es-ES_tradnl"/>
        </w:rPr>
        <w:t xml:space="preserve">demostraron que la edad, el sexo y </w:t>
      </w:r>
      <w:del w:id="714" w:author="AUTHOR">
        <w:r w:rsidRPr="008A106B" w:rsidDel="00121531">
          <w:rPr>
            <w:lang w:val="es-ES_tradnl"/>
          </w:rPr>
          <w:delText>la raza</w:delText>
        </w:r>
      </w:del>
      <w:ins w:id="715" w:author="AUTHOR">
        <w:r w:rsidR="00121531">
          <w:rPr>
            <w:lang w:val="es-ES_tradnl"/>
          </w:rPr>
          <w:t>origen étnico</w:t>
        </w:r>
      </w:ins>
      <w:r w:rsidRPr="008A106B">
        <w:rPr>
          <w:lang w:val="es-ES_tradnl"/>
        </w:rPr>
        <w:t xml:space="preserve"> no afectaron a la farmacocinética de tocilizumab.</w:t>
      </w:r>
      <w:r w:rsidRPr="008A106B">
        <w:rPr>
          <w:lang w:val="es-ES"/>
        </w:rPr>
        <w:t xml:space="preserve"> </w:t>
      </w:r>
    </w:p>
    <w:p w14:paraId="06E5A22A" w14:textId="77777777" w:rsidR="00846741" w:rsidRDefault="00846741" w:rsidP="007927FC">
      <w:pPr>
        <w:outlineLvl w:val="0"/>
        <w:rPr>
          <w:lang w:val="es-ES"/>
        </w:rPr>
      </w:pPr>
    </w:p>
    <w:p w14:paraId="328ADD3B" w14:textId="77777777" w:rsidR="007927FC" w:rsidRPr="008A106B" w:rsidRDefault="0083266F" w:rsidP="007927FC">
      <w:pPr>
        <w:outlineLvl w:val="0"/>
        <w:rPr>
          <w:lang w:val="es-ES"/>
        </w:rPr>
      </w:pPr>
      <w:r w:rsidRPr="0083266F">
        <w:rPr>
          <w:lang w:val="es-ES"/>
        </w:rPr>
        <w:t xml:space="preserve">Los resultados del análisis farmacocinético poblacional de los pacientes con COVID-19 confirmaron que el peso corporal y la gravedad de la enfermedad son covariables que tienen un impacto </w:t>
      </w:r>
      <w:r>
        <w:rPr>
          <w:lang w:val="es-ES"/>
        </w:rPr>
        <w:t>consider</w:t>
      </w:r>
      <w:r w:rsidRPr="0083266F">
        <w:rPr>
          <w:lang w:val="es-ES"/>
        </w:rPr>
        <w:t>able en el aclaramiento lineal de tocilizumab.</w:t>
      </w:r>
    </w:p>
    <w:p w14:paraId="1455EE36" w14:textId="77777777" w:rsidR="007927FC" w:rsidRPr="008A106B" w:rsidRDefault="007927FC" w:rsidP="007927FC">
      <w:pPr>
        <w:outlineLvl w:val="0"/>
        <w:rPr>
          <w:lang w:val="es-ES"/>
        </w:rPr>
      </w:pPr>
    </w:p>
    <w:p w14:paraId="3FA055EC" w14:textId="77777777" w:rsidR="007927FC" w:rsidRPr="008A106B" w:rsidRDefault="007927FC" w:rsidP="00A50280">
      <w:pPr>
        <w:keepNext/>
        <w:keepLines/>
        <w:numPr>
          <w:ilvl w:val="12"/>
          <w:numId w:val="0"/>
        </w:numPr>
        <w:rPr>
          <w:iCs/>
          <w:lang w:val="es-ES"/>
        </w:rPr>
      </w:pPr>
      <w:r w:rsidRPr="008A106B">
        <w:rPr>
          <w:i/>
          <w:iCs/>
          <w:lang w:val="es-ES"/>
        </w:rPr>
        <w:t>Pacientes con AIJs</w:t>
      </w:r>
      <w:r w:rsidRPr="008A106B">
        <w:rPr>
          <w:iCs/>
          <w:lang w:val="es-ES"/>
        </w:rPr>
        <w:t>:</w:t>
      </w:r>
    </w:p>
    <w:p w14:paraId="050D2371" w14:textId="2CA1A3D7" w:rsidR="007927FC" w:rsidRDefault="007927FC" w:rsidP="006868F5">
      <w:pPr>
        <w:numPr>
          <w:ilvl w:val="12"/>
          <w:numId w:val="0"/>
        </w:numPr>
        <w:ind w:right="-2"/>
        <w:rPr>
          <w:iCs/>
          <w:lang w:val="es-ES"/>
        </w:rPr>
      </w:pPr>
      <w:r w:rsidRPr="008A106B">
        <w:rPr>
          <w:iCs/>
          <w:lang w:val="es-ES"/>
        </w:rPr>
        <w:t xml:space="preserve"> La farmacocinética de tocilizumab se determinó mediante un análisis farmacocinético de población incluida en una </w:t>
      </w:r>
      <w:r w:rsidR="00D5074E">
        <w:rPr>
          <w:iCs/>
          <w:lang w:val="es-ES"/>
        </w:rPr>
        <w:t>base de datos compuesta de 140</w:t>
      </w:r>
      <w:r w:rsidRPr="008A106B">
        <w:rPr>
          <w:iCs/>
          <w:lang w:val="es-ES"/>
        </w:rPr>
        <w:t xml:space="preserve"> pacientes con AIJ tratados con 8</w:t>
      </w:r>
      <w:r w:rsidR="00205482" w:rsidRPr="008A106B">
        <w:rPr>
          <w:lang w:val="es-ES_tradnl"/>
        </w:rPr>
        <w:t> </w:t>
      </w:r>
      <w:r w:rsidRPr="008A106B">
        <w:rPr>
          <w:iCs/>
          <w:lang w:val="es-ES"/>
        </w:rPr>
        <w:t xml:space="preserve">mg / kg </w:t>
      </w:r>
      <w:r w:rsidR="00476616">
        <w:rPr>
          <w:iCs/>
          <w:lang w:val="es-ES"/>
        </w:rPr>
        <w:t xml:space="preserve">intravenoso </w:t>
      </w:r>
      <w:r w:rsidR="00D5074E">
        <w:rPr>
          <w:iCs/>
          <w:lang w:val="es-ES"/>
        </w:rPr>
        <w:lastRenderedPageBreak/>
        <w:t>administrado cada 2</w:t>
      </w:r>
      <w:r w:rsidR="00205482" w:rsidRPr="008A106B">
        <w:rPr>
          <w:lang w:val="es-ES_tradnl"/>
        </w:rPr>
        <w:t> </w:t>
      </w:r>
      <w:r w:rsidR="00D5074E">
        <w:rPr>
          <w:iCs/>
          <w:lang w:val="es-ES"/>
        </w:rPr>
        <w:t xml:space="preserve">semanas </w:t>
      </w:r>
      <w:r w:rsidRPr="008A106B">
        <w:rPr>
          <w:iCs/>
          <w:lang w:val="es-ES"/>
        </w:rPr>
        <w:t>(pacientes con un peso corporal</w:t>
      </w:r>
      <w:r w:rsidR="00205482" w:rsidRPr="008A106B">
        <w:rPr>
          <w:lang w:val="es-ES_tradnl"/>
        </w:rPr>
        <w:t> </w:t>
      </w:r>
      <w:r w:rsidRPr="008A106B">
        <w:rPr>
          <w:iCs/>
          <w:lang w:val="es-ES"/>
        </w:rPr>
        <w:t>≥</w:t>
      </w:r>
      <w:r w:rsidR="00205482" w:rsidRPr="008A106B">
        <w:rPr>
          <w:lang w:val="es-ES_tradnl"/>
        </w:rPr>
        <w:t> </w:t>
      </w:r>
      <w:r w:rsidRPr="008A106B">
        <w:rPr>
          <w:iCs/>
          <w:lang w:val="es-ES"/>
        </w:rPr>
        <w:t>30 kg</w:t>
      </w:r>
      <w:r w:rsidR="00D5074E">
        <w:rPr>
          <w:iCs/>
          <w:lang w:val="es-ES"/>
        </w:rPr>
        <w:t>)</w:t>
      </w:r>
      <w:r w:rsidRPr="008A106B">
        <w:rPr>
          <w:iCs/>
          <w:lang w:val="es-ES"/>
        </w:rPr>
        <w:t xml:space="preserve"> 12</w:t>
      </w:r>
      <w:r w:rsidR="00205482" w:rsidRPr="008A106B">
        <w:rPr>
          <w:lang w:val="es-ES_tradnl"/>
        </w:rPr>
        <w:t> </w:t>
      </w:r>
      <w:r w:rsidRPr="008A106B">
        <w:rPr>
          <w:iCs/>
          <w:lang w:val="es-ES"/>
        </w:rPr>
        <w:t xml:space="preserve">mg/kg </w:t>
      </w:r>
      <w:r w:rsidR="00476616">
        <w:rPr>
          <w:iCs/>
          <w:lang w:val="es-ES"/>
        </w:rPr>
        <w:t>intravenoso</w:t>
      </w:r>
      <w:r w:rsidR="00D5074E">
        <w:rPr>
          <w:iCs/>
          <w:lang w:val="es-ES"/>
        </w:rPr>
        <w:t xml:space="preserve"> cada 2</w:t>
      </w:r>
      <w:r w:rsidR="00205482" w:rsidRPr="008A106B">
        <w:rPr>
          <w:lang w:val="es-ES_tradnl"/>
        </w:rPr>
        <w:t> </w:t>
      </w:r>
      <w:r w:rsidR="00D5074E">
        <w:rPr>
          <w:iCs/>
          <w:lang w:val="es-ES"/>
        </w:rPr>
        <w:t xml:space="preserve">semanas (pacientes con </w:t>
      </w:r>
      <w:r w:rsidRPr="008A106B">
        <w:rPr>
          <w:iCs/>
          <w:lang w:val="es-ES"/>
        </w:rPr>
        <w:t xml:space="preserve">peso corporal </w:t>
      </w:r>
      <w:r w:rsidR="00D5074E" w:rsidRPr="00D5074E">
        <w:rPr>
          <w:iCs/>
          <w:lang w:val="es-ES"/>
        </w:rPr>
        <w:t>&lt;</w:t>
      </w:r>
      <w:r w:rsidR="00205482" w:rsidRPr="008A106B">
        <w:rPr>
          <w:lang w:val="es-ES_tradnl"/>
        </w:rPr>
        <w:t> </w:t>
      </w:r>
      <w:r w:rsidRPr="008A106B">
        <w:rPr>
          <w:iCs/>
          <w:lang w:val="es-ES"/>
        </w:rPr>
        <w:t>30</w:t>
      </w:r>
      <w:r w:rsidR="00205482" w:rsidRPr="008A106B">
        <w:rPr>
          <w:lang w:val="es-ES_tradnl"/>
        </w:rPr>
        <w:t> </w:t>
      </w:r>
      <w:r w:rsidRPr="008A106B">
        <w:rPr>
          <w:iCs/>
          <w:lang w:val="es-ES"/>
        </w:rPr>
        <w:t>kg),</w:t>
      </w:r>
      <w:r w:rsidR="00D5074E" w:rsidRPr="00D5074E">
        <w:rPr>
          <w:lang w:val="es-ES"/>
        </w:rPr>
        <w:t xml:space="preserve"> </w:t>
      </w:r>
      <w:r w:rsidR="00D5074E" w:rsidRPr="00D5074E">
        <w:rPr>
          <w:iCs/>
          <w:lang w:val="es-ES"/>
        </w:rPr>
        <w:t>162</w:t>
      </w:r>
      <w:r w:rsidR="00205482" w:rsidRPr="008A106B">
        <w:rPr>
          <w:lang w:val="es-ES_tradnl"/>
        </w:rPr>
        <w:t> </w:t>
      </w:r>
      <w:r w:rsidR="00D5074E" w:rsidRPr="00D5074E">
        <w:rPr>
          <w:iCs/>
          <w:lang w:val="es-ES"/>
        </w:rPr>
        <w:t xml:space="preserve">mg </w:t>
      </w:r>
      <w:r w:rsidR="00476616">
        <w:rPr>
          <w:iCs/>
          <w:lang w:val="es-ES"/>
        </w:rPr>
        <w:t>subcutaneo</w:t>
      </w:r>
      <w:r w:rsidR="00D5074E" w:rsidRPr="00D5074E">
        <w:rPr>
          <w:iCs/>
          <w:lang w:val="es-ES"/>
        </w:rPr>
        <w:t xml:space="preserve"> administrado cada semana (pacientes con un peso corporal ≥</w:t>
      </w:r>
      <w:r w:rsidR="00205482" w:rsidRPr="008A106B">
        <w:rPr>
          <w:lang w:val="es-ES_tradnl"/>
        </w:rPr>
        <w:t> </w:t>
      </w:r>
      <w:r w:rsidR="00D5074E" w:rsidRPr="00D5074E">
        <w:rPr>
          <w:iCs/>
          <w:lang w:val="es-ES"/>
        </w:rPr>
        <w:t>30</w:t>
      </w:r>
      <w:r w:rsidR="00205482" w:rsidRPr="008A106B">
        <w:rPr>
          <w:lang w:val="es-ES_tradnl"/>
        </w:rPr>
        <w:t> </w:t>
      </w:r>
      <w:r w:rsidR="00D5074E" w:rsidRPr="00D5074E">
        <w:rPr>
          <w:iCs/>
          <w:lang w:val="es-ES"/>
        </w:rPr>
        <w:t>kg), 162</w:t>
      </w:r>
      <w:r w:rsidR="00205482" w:rsidRPr="008A106B">
        <w:rPr>
          <w:lang w:val="es-ES_tradnl"/>
        </w:rPr>
        <w:t> </w:t>
      </w:r>
      <w:r w:rsidR="00D5074E" w:rsidRPr="00D5074E">
        <w:rPr>
          <w:iCs/>
          <w:lang w:val="es-ES"/>
        </w:rPr>
        <w:t xml:space="preserve">mg </w:t>
      </w:r>
      <w:r w:rsidR="00476616">
        <w:rPr>
          <w:iCs/>
          <w:lang w:val="es-ES"/>
        </w:rPr>
        <w:t>subcutaneo</w:t>
      </w:r>
      <w:r w:rsidR="00D5074E" w:rsidRPr="00D5074E">
        <w:rPr>
          <w:iCs/>
          <w:lang w:val="es-ES"/>
        </w:rPr>
        <w:t>administrado cada 10</w:t>
      </w:r>
      <w:r w:rsidR="00205482" w:rsidRPr="008A106B">
        <w:rPr>
          <w:lang w:val="es-ES_tradnl"/>
        </w:rPr>
        <w:t> </w:t>
      </w:r>
      <w:r w:rsidR="00D5074E" w:rsidRPr="00D5074E">
        <w:rPr>
          <w:iCs/>
          <w:lang w:val="es-ES"/>
        </w:rPr>
        <w:t>días o cada 2</w:t>
      </w:r>
      <w:r w:rsidR="00205482" w:rsidRPr="008A106B">
        <w:rPr>
          <w:lang w:val="es-ES_tradnl"/>
        </w:rPr>
        <w:t> </w:t>
      </w:r>
      <w:r w:rsidR="00D5074E" w:rsidRPr="00D5074E">
        <w:rPr>
          <w:iCs/>
          <w:lang w:val="es-ES"/>
        </w:rPr>
        <w:t>semanas (pacientes con peso inferior a</w:t>
      </w:r>
      <w:r w:rsidR="00205482" w:rsidRPr="008A106B">
        <w:rPr>
          <w:lang w:val="es-ES_tradnl"/>
        </w:rPr>
        <w:t> </w:t>
      </w:r>
      <w:r w:rsidR="00D5074E" w:rsidRPr="00D5074E">
        <w:rPr>
          <w:iCs/>
          <w:lang w:val="es-ES"/>
        </w:rPr>
        <w:t>30 kg</w:t>
      </w:r>
      <w:r w:rsidR="008020A7">
        <w:rPr>
          <w:iCs/>
          <w:lang w:val="es-ES"/>
        </w:rPr>
        <w:t>.</w:t>
      </w:r>
    </w:p>
    <w:p w14:paraId="64155E52" w14:textId="77777777" w:rsidR="00CA58C6" w:rsidRPr="008A106B" w:rsidRDefault="00CA58C6" w:rsidP="006868F5">
      <w:pPr>
        <w:numPr>
          <w:ilvl w:val="12"/>
          <w:numId w:val="0"/>
        </w:numPr>
        <w:ind w:right="-2"/>
        <w:rPr>
          <w:szCs w:val="22"/>
          <w:lang w:val="es-ES"/>
        </w:rPr>
      </w:pPr>
    </w:p>
    <w:p w14:paraId="22D05971" w14:textId="5017346A" w:rsidR="00CA58C6" w:rsidRDefault="00CA58C6" w:rsidP="00484513">
      <w:pPr>
        <w:keepNext/>
        <w:keepLines/>
        <w:textAlignment w:val="top"/>
        <w:rPr>
          <w:bCs/>
          <w:i/>
          <w:lang w:val="es-ES"/>
        </w:rPr>
      </w:pPr>
      <w:r w:rsidRPr="00CA58C6">
        <w:rPr>
          <w:bCs/>
          <w:i/>
          <w:lang w:val="es-ES"/>
        </w:rPr>
        <w:t xml:space="preserve">Tabla </w:t>
      </w:r>
      <w:r w:rsidR="0083266F">
        <w:rPr>
          <w:bCs/>
          <w:i/>
          <w:lang w:val="es-ES"/>
        </w:rPr>
        <w:t>1</w:t>
      </w:r>
      <w:r w:rsidR="00D50156">
        <w:rPr>
          <w:bCs/>
          <w:i/>
          <w:lang w:val="es-ES"/>
        </w:rPr>
        <w:t>1</w:t>
      </w:r>
      <w:r w:rsidRPr="00CA58C6">
        <w:rPr>
          <w:bCs/>
          <w:i/>
          <w:lang w:val="es-ES"/>
        </w:rPr>
        <w:t xml:space="preserve">. Valores medios previstos ± DE de los parámetros PK en estado estacionario después de la administración de la dosis </w:t>
      </w:r>
      <w:r w:rsidR="00476616">
        <w:rPr>
          <w:bCs/>
          <w:i/>
          <w:lang w:val="es-ES"/>
        </w:rPr>
        <w:t>intravenosa</w:t>
      </w:r>
      <w:r w:rsidRPr="00CA58C6">
        <w:rPr>
          <w:bCs/>
          <w:i/>
          <w:lang w:val="es-ES"/>
        </w:rPr>
        <w:t xml:space="preserve"> en pacientes con AIJs</w:t>
      </w:r>
    </w:p>
    <w:p w14:paraId="2E03FBE0" w14:textId="77777777" w:rsidR="00D615B3" w:rsidRPr="00CA58C6" w:rsidRDefault="00D615B3" w:rsidP="00484513">
      <w:pPr>
        <w:keepNext/>
        <w:keepLines/>
        <w:textAlignment w:val="top"/>
        <w:rPr>
          <w:bCs/>
          <w:i/>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A58C6" w:rsidRPr="00CA58C6" w14:paraId="26F98051" w14:textId="77777777" w:rsidTr="00380380">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9E28036" w14:textId="082826D8" w:rsidR="00CA58C6" w:rsidRPr="00CA58C6" w:rsidRDefault="00CA58C6" w:rsidP="00484513">
            <w:pPr>
              <w:keepNext/>
              <w:keepLines/>
              <w:textAlignment w:val="top"/>
            </w:pPr>
            <w:r w:rsidRPr="00CA58C6">
              <w:rPr>
                <w:b/>
              </w:rPr>
              <w:t xml:space="preserve">Parámetros PK de </w:t>
            </w:r>
            <w:r w:rsidR="00C8792E">
              <w:rPr>
                <w:b/>
              </w:rPr>
              <w:t>t</w:t>
            </w:r>
            <w:r w:rsidR="00205482">
              <w:rPr>
                <w:b/>
              </w:rPr>
              <w:t>ocilizumab</w:t>
            </w:r>
          </w:p>
        </w:tc>
        <w:tc>
          <w:tcPr>
            <w:tcW w:w="2977" w:type="dxa"/>
            <w:tcBorders>
              <w:top w:val="single" w:sz="4" w:space="0" w:color="auto"/>
              <w:left w:val="single" w:sz="4" w:space="0" w:color="auto"/>
              <w:bottom w:val="single" w:sz="4" w:space="0" w:color="auto"/>
              <w:right w:val="single" w:sz="4" w:space="0" w:color="auto"/>
            </w:tcBorders>
            <w:hideMark/>
          </w:tcPr>
          <w:p w14:paraId="315D8E88" w14:textId="052552C5" w:rsidR="00CA58C6" w:rsidRPr="00CA58C6" w:rsidRDefault="00CA58C6" w:rsidP="00484513">
            <w:pPr>
              <w:keepNext/>
              <w:keepLines/>
              <w:jc w:val="center"/>
              <w:textAlignment w:val="top"/>
              <w:rPr>
                <w:b/>
              </w:rPr>
            </w:pPr>
            <w:r w:rsidRPr="00CA58C6">
              <w:rPr>
                <w:b/>
              </w:rPr>
              <w:t>8</w:t>
            </w:r>
            <w:ins w:id="716" w:author="AUTHOR">
              <w:r w:rsidR="003E29DD" w:rsidRPr="00E52815">
                <w:rPr>
                  <w:b/>
                  <w:lang w:val="en-GB"/>
                </w:rPr>
                <w:t> </w:t>
              </w:r>
            </w:ins>
            <w:del w:id="717" w:author="AUTHOR">
              <w:r w:rsidRPr="00CA58C6" w:rsidDel="003E29DD">
                <w:rPr>
                  <w:b/>
                </w:rPr>
                <w:delText xml:space="preserve"> </w:delText>
              </w:r>
            </w:del>
            <w:r w:rsidRPr="00CA58C6">
              <w:rPr>
                <w:b/>
              </w:rPr>
              <w:t>mg/kg Q2W</w:t>
            </w:r>
            <w:r w:rsidR="00C8792E">
              <w:rPr>
                <w:b/>
              </w:rPr>
              <w:t> </w:t>
            </w:r>
            <w:r w:rsidRPr="00CA58C6">
              <w:rPr>
                <w:b/>
              </w:rPr>
              <w:t>≥</w:t>
            </w:r>
            <w:r w:rsidR="00205482" w:rsidRPr="008A106B">
              <w:rPr>
                <w:lang w:val="es-ES_tradnl"/>
              </w:rPr>
              <w:t> </w:t>
            </w:r>
            <w:r w:rsidRPr="00CA58C6">
              <w:rPr>
                <w:b/>
              </w:rPr>
              <w:t>30</w:t>
            </w:r>
            <w:r w:rsidR="00205482" w:rsidRPr="008A106B">
              <w:rPr>
                <w:lang w:val="es-ES_tradnl"/>
              </w:rPr>
              <w:t> </w:t>
            </w:r>
            <w:r w:rsidRPr="00CA58C6">
              <w:rPr>
                <w:b/>
              </w:rPr>
              <w:t>kg</w:t>
            </w:r>
          </w:p>
        </w:tc>
        <w:tc>
          <w:tcPr>
            <w:tcW w:w="2977" w:type="dxa"/>
            <w:tcBorders>
              <w:top w:val="single" w:sz="4" w:space="0" w:color="auto"/>
              <w:left w:val="single" w:sz="4" w:space="0" w:color="auto"/>
              <w:bottom w:val="single" w:sz="4" w:space="0" w:color="auto"/>
              <w:right w:val="single" w:sz="4" w:space="0" w:color="auto"/>
            </w:tcBorders>
            <w:hideMark/>
          </w:tcPr>
          <w:p w14:paraId="6D31B4FF" w14:textId="2D2A250B" w:rsidR="00CA58C6" w:rsidRPr="00CA58C6" w:rsidRDefault="00CA58C6" w:rsidP="00484513">
            <w:pPr>
              <w:keepNext/>
              <w:keepLines/>
              <w:jc w:val="center"/>
              <w:textAlignment w:val="top"/>
              <w:rPr>
                <w:b/>
              </w:rPr>
            </w:pPr>
            <w:r w:rsidRPr="00CA58C6">
              <w:rPr>
                <w:b/>
              </w:rPr>
              <w:t>12</w:t>
            </w:r>
            <w:ins w:id="718" w:author="AUTHOR">
              <w:r w:rsidR="003E29DD" w:rsidRPr="00E52815">
                <w:rPr>
                  <w:b/>
                  <w:lang w:val="en-GB"/>
                </w:rPr>
                <w:t> </w:t>
              </w:r>
            </w:ins>
            <w:del w:id="719" w:author="AUTHOR">
              <w:r w:rsidRPr="00CA58C6" w:rsidDel="003E29DD">
                <w:rPr>
                  <w:b/>
                </w:rPr>
                <w:delText xml:space="preserve"> </w:delText>
              </w:r>
            </w:del>
            <w:r w:rsidRPr="00CA58C6">
              <w:rPr>
                <w:b/>
              </w:rPr>
              <w:t>mg/kg Q2W inferior a 30</w:t>
            </w:r>
            <w:r w:rsidR="00205482" w:rsidRPr="00F30AB8">
              <w:t> </w:t>
            </w:r>
            <w:r w:rsidRPr="00CA58C6">
              <w:rPr>
                <w:b/>
              </w:rPr>
              <w:t>kg</w:t>
            </w:r>
          </w:p>
        </w:tc>
      </w:tr>
      <w:tr w:rsidR="00CA58C6" w:rsidRPr="00CA58C6" w14:paraId="26AAB8E1" w14:textId="77777777" w:rsidTr="00380380">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CBC69A2" w14:textId="77777777" w:rsidR="00CA58C6" w:rsidRPr="00CA58C6" w:rsidRDefault="00CA58C6" w:rsidP="00484513">
            <w:pPr>
              <w:keepNext/>
              <w:keepLines/>
              <w:textAlignment w:val="top"/>
            </w:pPr>
            <w:r w:rsidRPr="00CA58C6">
              <w:t>C</w:t>
            </w:r>
            <w:r w:rsidRPr="00CA58C6">
              <w:rPr>
                <w:vertAlign w:val="subscript"/>
              </w:rPr>
              <w:t>max</w:t>
            </w:r>
            <w:r w:rsidRPr="00CA58C6">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732D4D41" w14:textId="4A9F1E09" w:rsidR="00CA58C6" w:rsidRPr="00CA58C6" w:rsidRDefault="00CA58C6" w:rsidP="00484513">
            <w:pPr>
              <w:keepNext/>
              <w:keepLines/>
              <w:jc w:val="center"/>
              <w:textAlignment w:val="top"/>
            </w:pPr>
            <w:r w:rsidRPr="00CA58C6">
              <w:rPr>
                <w:lang w:val="en-GB"/>
              </w:rPr>
              <w:t>256</w:t>
            </w:r>
            <w:ins w:id="720" w:author="AUTHOR">
              <w:r w:rsidR="003E29DD" w:rsidRPr="00E52815">
                <w:rPr>
                  <w:b/>
                  <w:lang w:val="en-GB"/>
                </w:rPr>
                <w:t> </w:t>
              </w:r>
            </w:ins>
            <w:del w:id="721" w:author="AUTHOR">
              <w:r w:rsidRPr="00CA58C6" w:rsidDel="003E29DD">
                <w:rPr>
                  <w:lang w:val="en-GB"/>
                </w:rPr>
                <w:delText xml:space="preserve"> </w:delText>
              </w:r>
            </w:del>
            <w:r w:rsidRPr="00CA58C6">
              <w:rPr>
                <w:lang w:val="en-GB"/>
              </w:rPr>
              <w:t>±</w:t>
            </w:r>
            <w:ins w:id="722" w:author="AUTHOR">
              <w:r w:rsidR="003E29DD" w:rsidRPr="00E52815">
                <w:rPr>
                  <w:b/>
                  <w:lang w:val="en-GB"/>
                </w:rPr>
                <w:t> </w:t>
              </w:r>
            </w:ins>
            <w:del w:id="723" w:author="AUTHOR">
              <w:r w:rsidRPr="00CA58C6" w:rsidDel="003E29DD">
                <w:rPr>
                  <w:lang w:val="en-GB"/>
                </w:rPr>
                <w:delText xml:space="preserve"> </w:delText>
              </w:r>
            </w:del>
            <w:r w:rsidRPr="00CA58C6">
              <w:rPr>
                <w:lang w:val="en-GB"/>
              </w:rPr>
              <w:t>60,8</w:t>
            </w:r>
          </w:p>
        </w:tc>
        <w:tc>
          <w:tcPr>
            <w:tcW w:w="2977" w:type="dxa"/>
            <w:tcBorders>
              <w:top w:val="single" w:sz="4" w:space="0" w:color="auto"/>
              <w:left w:val="single" w:sz="4" w:space="0" w:color="auto"/>
              <w:bottom w:val="single" w:sz="4" w:space="0" w:color="auto"/>
              <w:right w:val="single" w:sz="4" w:space="0" w:color="auto"/>
            </w:tcBorders>
            <w:hideMark/>
          </w:tcPr>
          <w:p w14:paraId="2BF9BBEA" w14:textId="056099DB" w:rsidR="00CA58C6" w:rsidRPr="00CA58C6" w:rsidRDefault="00CA58C6" w:rsidP="00484513">
            <w:pPr>
              <w:keepNext/>
              <w:keepLines/>
              <w:jc w:val="center"/>
              <w:textAlignment w:val="top"/>
              <w:rPr>
                <w:lang w:val="en-GB"/>
              </w:rPr>
            </w:pPr>
            <w:r w:rsidRPr="00CA58C6">
              <w:rPr>
                <w:lang w:val="en-GB"/>
              </w:rPr>
              <w:t>274</w:t>
            </w:r>
            <w:ins w:id="724" w:author="AUTHOR">
              <w:r w:rsidR="003E29DD" w:rsidRPr="00E52815">
                <w:rPr>
                  <w:b/>
                  <w:lang w:val="en-GB"/>
                </w:rPr>
                <w:t> </w:t>
              </w:r>
            </w:ins>
            <w:del w:id="725" w:author="AUTHOR">
              <w:r w:rsidRPr="00CA58C6" w:rsidDel="003E29DD">
                <w:rPr>
                  <w:lang w:val="en-GB"/>
                </w:rPr>
                <w:delText xml:space="preserve"> </w:delText>
              </w:r>
            </w:del>
            <w:r w:rsidRPr="00CA58C6">
              <w:rPr>
                <w:lang w:val="en-GB"/>
              </w:rPr>
              <w:sym w:font="Symbol" w:char="F0B1"/>
            </w:r>
            <w:r w:rsidRPr="00CA58C6">
              <w:rPr>
                <w:lang w:val="en-GB"/>
              </w:rPr>
              <w:t> 63,8</w:t>
            </w:r>
          </w:p>
        </w:tc>
      </w:tr>
      <w:tr w:rsidR="00CA58C6" w:rsidRPr="00CA58C6" w14:paraId="0AA72D60" w14:textId="77777777" w:rsidTr="00380380">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7E836467" w14:textId="77777777" w:rsidR="00CA58C6" w:rsidRPr="00CA58C6" w:rsidRDefault="00CA58C6" w:rsidP="00484513">
            <w:pPr>
              <w:keepNext/>
              <w:keepLines/>
              <w:textAlignment w:val="top"/>
            </w:pPr>
            <w:r w:rsidRPr="00CA58C6">
              <w:t>C</w:t>
            </w:r>
            <w:r w:rsidRPr="00CA58C6">
              <w:rPr>
                <w:vertAlign w:val="subscript"/>
              </w:rPr>
              <w:t>min</w:t>
            </w:r>
            <w:r w:rsidRPr="00CA58C6">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1AFCD5D" w14:textId="2DC2CC1C" w:rsidR="00CA58C6" w:rsidRPr="00CA58C6" w:rsidRDefault="00CA58C6" w:rsidP="00484513">
            <w:pPr>
              <w:keepNext/>
              <w:keepLines/>
              <w:jc w:val="center"/>
              <w:textAlignment w:val="top"/>
            </w:pPr>
            <w:r w:rsidRPr="00CA58C6">
              <w:rPr>
                <w:lang w:val="en-GB"/>
              </w:rPr>
              <w:t>69,7</w:t>
            </w:r>
            <w:ins w:id="726" w:author="AUTHOR">
              <w:r w:rsidR="003E29DD" w:rsidRPr="00E52815">
                <w:rPr>
                  <w:b/>
                  <w:lang w:val="en-GB"/>
                </w:rPr>
                <w:t> </w:t>
              </w:r>
            </w:ins>
            <w:del w:id="727" w:author="AUTHOR">
              <w:r w:rsidRPr="00CA58C6" w:rsidDel="003E29DD">
                <w:rPr>
                  <w:lang w:val="en-GB"/>
                </w:rPr>
                <w:delText xml:space="preserve"> </w:delText>
              </w:r>
            </w:del>
            <w:r w:rsidRPr="00CA58C6">
              <w:rPr>
                <w:lang w:val="en-GB"/>
              </w:rPr>
              <w:t>±</w:t>
            </w:r>
            <w:ins w:id="728" w:author="AUTHOR">
              <w:r w:rsidR="003E29DD" w:rsidRPr="00E52815">
                <w:rPr>
                  <w:b/>
                  <w:lang w:val="en-GB"/>
                </w:rPr>
                <w:t> </w:t>
              </w:r>
            </w:ins>
            <w:del w:id="729" w:author="AUTHOR">
              <w:r w:rsidRPr="00CA58C6" w:rsidDel="003E29DD">
                <w:rPr>
                  <w:lang w:val="en-GB"/>
                </w:rPr>
                <w:delText xml:space="preserve"> </w:delText>
              </w:r>
            </w:del>
            <w:r w:rsidRPr="00CA58C6">
              <w:rPr>
                <w:lang w:val="en-GB"/>
              </w:rPr>
              <w:t>29,1</w:t>
            </w:r>
          </w:p>
        </w:tc>
        <w:tc>
          <w:tcPr>
            <w:tcW w:w="2977" w:type="dxa"/>
            <w:tcBorders>
              <w:top w:val="single" w:sz="4" w:space="0" w:color="auto"/>
              <w:left w:val="single" w:sz="4" w:space="0" w:color="auto"/>
              <w:bottom w:val="single" w:sz="4" w:space="0" w:color="auto"/>
              <w:right w:val="single" w:sz="4" w:space="0" w:color="auto"/>
            </w:tcBorders>
            <w:hideMark/>
          </w:tcPr>
          <w:p w14:paraId="20662BB3" w14:textId="62521DF6" w:rsidR="00CA58C6" w:rsidRPr="00CA58C6" w:rsidRDefault="00CA58C6" w:rsidP="00484513">
            <w:pPr>
              <w:keepNext/>
              <w:keepLines/>
              <w:jc w:val="center"/>
              <w:textAlignment w:val="top"/>
            </w:pPr>
            <w:r w:rsidRPr="00CA58C6">
              <w:rPr>
                <w:lang w:val="en-GB"/>
              </w:rPr>
              <w:t>68,4</w:t>
            </w:r>
            <w:ins w:id="730" w:author="AUTHOR">
              <w:r w:rsidR="003E29DD" w:rsidRPr="00E52815">
                <w:rPr>
                  <w:b/>
                  <w:lang w:val="en-GB"/>
                </w:rPr>
                <w:t> </w:t>
              </w:r>
            </w:ins>
            <w:del w:id="731" w:author="AUTHOR">
              <w:r w:rsidRPr="00CA58C6" w:rsidDel="003E29DD">
                <w:rPr>
                  <w:lang w:val="en-GB"/>
                </w:rPr>
                <w:delText xml:space="preserve"> </w:delText>
              </w:r>
            </w:del>
            <w:r w:rsidRPr="00CA58C6">
              <w:rPr>
                <w:lang w:val="en-GB"/>
              </w:rPr>
              <w:sym w:font="Symbol" w:char="F0B1"/>
            </w:r>
            <w:r w:rsidRPr="00CA58C6">
              <w:rPr>
                <w:lang w:val="en-GB"/>
              </w:rPr>
              <w:t> 30,0</w:t>
            </w:r>
          </w:p>
        </w:tc>
      </w:tr>
      <w:tr w:rsidR="00CA58C6" w:rsidRPr="00CA58C6" w14:paraId="537929C2" w14:textId="77777777" w:rsidTr="00380380">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A8469F5" w14:textId="77777777" w:rsidR="00CA58C6" w:rsidRPr="00CA58C6" w:rsidRDefault="00CA58C6" w:rsidP="00484513">
            <w:pPr>
              <w:keepNext/>
              <w:keepLines/>
              <w:textAlignment w:val="top"/>
            </w:pPr>
            <w:r w:rsidRPr="00CA58C6">
              <w:t>C</w:t>
            </w:r>
            <w:r w:rsidRPr="00CA58C6">
              <w:rPr>
                <w:vertAlign w:val="subscript"/>
              </w:rPr>
              <w:t>media</w:t>
            </w:r>
            <w:r w:rsidRPr="00CA58C6">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54E1AAAD" w14:textId="150F51FF" w:rsidR="00CA58C6" w:rsidRPr="00CA58C6" w:rsidRDefault="00CA58C6" w:rsidP="00484513">
            <w:pPr>
              <w:keepNext/>
              <w:keepLines/>
              <w:jc w:val="center"/>
              <w:textAlignment w:val="top"/>
            </w:pPr>
            <w:r w:rsidRPr="00CA58C6">
              <w:rPr>
                <w:lang w:val="fr-FR"/>
              </w:rPr>
              <w:t>119</w:t>
            </w:r>
            <w:ins w:id="732" w:author="AUTHOR">
              <w:r w:rsidR="003E29DD" w:rsidRPr="00E52815">
                <w:rPr>
                  <w:b/>
                  <w:lang w:val="en-GB"/>
                </w:rPr>
                <w:t> </w:t>
              </w:r>
            </w:ins>
            <w:del w:id="733" w:author="AUTHOR">
              <w:r w:rsidRPr="00CA58C6" w:rsidDel="003E29DD">
                <w:rPr>
                  <w:lang w:val="fr-FR"/>
                </w:rPr>
                <w:delText xml:space="preserve"> </w:delText>
              </w:r>
            </w:del>
            <w:r w:rsidRPr="00CA58C6">
              <w:rPr>
                <w:lang w:val="fr-FR"/>
              </w:rPr>
              <w:t>±</w:t>
            </w:r>
            <w:ins w:id="734" w:author="AUTHOR">
              <w:r w:rsidR="003E29DD" w:rsidRPr="00E52815">
                <w:rPr>
                  <w:b/>
                  <w:lang w:val="en-GB"/>
                </w:rPr>
                <w:t> </w:t>
              </w:r>
            </w:ins>
            <w:del w:id="735" w:author="AUTHOR">
              <w:r w:rsidRPr="00CA58C6" w:rsidDel="003E29DD">
                <w:rPr>
                  <w:lang w:val="fr-FR"/>
                </w:rPr>
                <w:delText xml:space="preserve"> </w:delText>
              </w:r>
            </w:del>
            <w:r w:rsidRPr="00CA58C6">
              <w:rPr>
                <w:lang w:val="fr-FR"/>
              </w:rPr>
              <w:t>36,0</w:t>
            </w:r>
          </w:p>
        </w:tc>
        <w:tc>
          <w:tcPr>
            <w:tcW w:w="2977" w:type="dxa"/>
            <w:tcBorders>
              <w:top w:val="single" w:sz="4" w:space="0" w:color="auto"/>
              <w:left w:val="single" w:sz="4" w:space="0" w:color="auto"/>
              <w:bottom w:val="single" w:sz="4" w:space="0" w:color="auto"/>
              <w:right w:val="single" w:sz="4" w:space="0" w:color="auto"/>
            </w:tcBorders>
            <w:hideMark/>
          </w:tcPr>
          <w:p w14:paraId="705DA468" w14:textId="42FF6622" w:rsidR="00CA58C6" w:rsidRPr="00CA58C6" w:rsidRDefault="00CA58C6" w:rsidP="00484513">
            <w:pPr>
              <w:keepNext/>
              <w:keepLines/>
              <w:jc w:val="center"/>
              <w:textAlignment w:val="top"/>
              <w:rPr>
                <w:lang w:val="en-GB"/>
              </w:rPr>
            </w:pPr>
            <w:r w:rsidRPr="00CA58C6">
              <w:rPr>
                <w:lang w:val="fr-FR"/>
              </w:rPr>
              <w:t>123</w:t>
            </w:r>
            <w:ins w:id="736" w:author="AUTHOR">
              <w:r w:rsidR="003E29DD" w:rsidRPr="00E52815">
                <w:rPr>
                  <w:b/>
                  <w:lang w:val="en-GB"/>
                </w:rPr>
                <w:t> </w:t>
              </w:r>
            </w:ins>
            <w:del w:id="737" w:author="AUTHOR">
              <w:r w:rsidRPr="00CA58C6" w:rsidDel="003E29DD">
                <w:rPr>
                  <w:lang w:val="fr-FR"/>
                </w:rPr>
                <w:delText xml:space="preserve"> </w:delText>
              </w:r>
            </w:del>
            <w:r w:rsidRPr="00CA58C6">
              <w:rPr>
                <w:lang w:val="en-GB"/>
              </w:rPr>
              <w:sym w:font="Symbol" w:char="F0B1"/>
            </w:r>
            <w:r w:rsidRPr="00CA58C6">
              <w:rPr>
                <w:lang w:val="fr-FR"/>
              </w:rPr>
              <w:t> </w:t>
            </w:r>
            <w:del w:id="738" w:author="AUTHOR">
              <w:r w:rsidRPr="00CA58C6" w:rsidDel="003E29DD">
                <w:rPr>
                  <w:lang w:val="fr-FR"/>
                </w:rPr>
                <w:delText xml:space="preserve"> </w:delText>
              </w:r>
            </w:del>
            <w:r w:rsidRPr="00CA58C6">
              <w:rPr>
                <w:lang w:val="fr-FR"/>
              </w:rPr>
              <w:t>36,0</w:t>
            </w:r>
          </w:p>
        </w:tc>
      </w:tr>
      <w:tr w:rsidR="00CA58C6" w:rsidRPr="00CA58C6" w14:paraId="4FC17353" w14:textId="77777777" w:rsidTr="00380380">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6A43DA9B" w14:textId="77777777" w:rsidR="00CA58C6" w:rsidRPr="00CA58C6" w:rsidRDefault="00CA58C6" w:rsidP="00484513">
            <w:pPr>
              <w:keepNext/>
              <w:keepLines/>
              <w:textAlignment w:val="top"/>
            </w:pPr>
            <w:r w:rsidRPr="00CA58C6">
              <w:t>C</w:t>
            </w:r>
            <w:r w:rsidRPr="00CA58C6">
              <w:rPr>
                <w:vertAlign w:val="subscript"/>
              </w:rPr>
              <w:t xml:space="preserve">max </w:t>
            </w:r>
            <w:r w:rsidRPr="00CA58C6">
              <w:t>acumulada</w:t>
            </w:r>
          </w:p>
        </w:tc>
        <w:tc>
          <w:tcPr>
            <w:tcW w:w="2977" w:type="dxa"/>
            <w:tcBorders>
              <w:top w:val="single" w:sz="4" w:space="0" w:color="auto"/>
              <w:left w:val="single" w:sz="4" w:space="0" w:color="auto"/>
              <w:bottom w:val="single" w:sz="4" w:space="0" w:color="auto"/>
              <w:right w:val="single" w:sz="4" w:space="0" w:color="auto"/>
            </w:tcBorders>
          </w:tcPr>
          <w:p w14:paraId="48265210" w14:textId="77777777" w:rsidR="00CA58C6" w:rsidRPr="00CA58C6" w:rsidRDefault="00CA58C6" w:rsidP="00484513">
            <w:pPr>
              <w:keepNext/>
              <w:keepLines/>
              <w:jc w:val="center"/>
              <w:textAlignment w:val="top"/>
            </w:pPr>
            <w:r w:rsidRPr="00CA58C6">
              <w:rPr>
                <w:lang w:val="fr-FR"/>
              </w:rPr>
              <w:t>1,42</w:t>
            </w:r>
          </w:p>
        </w:tc>
        <w:tc>
          <w:tcPr>
            <w:tcW w:w="2977" w:type="dxa"/>
            <w:tcBorders>
              <w:top w:val="single" w:sz="4" w:space="0" w:color="auto"/>
              <w:left w:val="single" w:sz="4" w:space="0" w:color="auto"/>
              <w:bottom w:val="single" w:sz="4" w:space="0" w:color="auto"/>
              <w:right w:val="single" w:sz="4" w:space="0" w:color="auto"/>
            </w:tcBorders>
          </w:tcPr>
          <w:p w14:paraId="0126FCEB" w14:textId="77777777" w:rsidR="00CA58C6" w:rsidRPr="00CA58C6" w:rsidRDefault="00CA58C6" w:rsidP="00484513">
            <w:pPr>
              <w:keepNext/>
              <w:keepLines/>
              <w:jc w:val="center"/>
              <w:textAlignment w:val="top"/>
              <w:rPr>
                <w:lang w:val="en-GB"/>
              </w:rPr>
            </w:pPr>
            <w:r w:rsidRPr="00CA58C6">
              <w:rPr>
                <w:lang w:val="fr-FR"/>
              </w:rPr>
              <w:t>1,37</w:t>
            </w:r>
          </w:p>
        </w:tc>
      </w:tr>
      <w:tr w:rsidR="00CA58C6" w:rsidRPr="00CA58C6" w14:paraId="644563EF" w14:textId="77777777" w:rsidTr="00380380">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B721A95" w14:textId="77777777" w:rsidR="00CA58C6" w:rsidRPr="00CA58C6" w:rsidRDefault="00CA58C6" w:rsidP="00484513">
            <w:pPr>
              <w:keepNext/>
              <w:keepLines/>
              <w:textAlignment w:val="top"/>
            </w:pPr>
            <w:r w:rsidRPr="00CA58C6">
              <w:t>C</w:t>
            </w:r>
            <w:r w:rsidRPr="00CA58C6">
              <w:rPr>
                <w:vertAlign w:val="subscript"/>
              </w:rPr>
              <w:t xml:space="preserve">min </w:t>
            </w:r>
            <w:r w:rsidRPr="00CA58C6">
              <w:t>acumulada</w:t>
            </w:r>
          </w:p>
        </w:tc>
        <w:tc>
          <w:tcPr>
            <w:tcW w:w="2977" w:type="dxa"/>
            <w:tcBorders>
              <w:top w:val="single" w:sz="4" w:space="0" w:color="auto"/>
              <w:left w:val="single" w:sz="4" w:space="0" w:color="auto"/>
              <w:bottom w:val="single" w:sz="4" w:space="0" w:color="auto"/>
              <w:right w:val="single" w:sz="4" w:space="0" w:color="auto"/>
            </w:tcBorders>
          </w:tcPr>
          <w:p w14:paraId="7372ACDA" w14:textId="77777777" w:rsidR="00CA58C6" w:rsidRPr="00CA58C6" w:rsidRDefault="00CA58C6" w:rsidP="00484513">
            <w:pPr>
              <w:keepNext/>
              <w:keepLines/>
              <w:jc w:val="center"/>
              <w:textAlignment w:val="top"/>
            </w:pPr>
            <w:r w:rsidRPr="00CA58C6">
              <w:t>3,20</w:t>
            </w:r>
          </w:p>
        </w:tc>
        <w:tc>
          <w:tcPr>
            <w:tcW w:w="2977" w:type="dxa"/>
            <w:tcBorders>
              <w:top w:val="single" w:sz="4" w:space="0" w:color="auto"/>
              <w:left w:val="single" w:sz="4" w:space="0" w:color="auto"/>
              <w:bottom w:val="single" w:sz="4" w:space="0" w:color="auto"/>
              <w:right w:val="single" w:sz="4" w:space="0" w:color="auto"/>
            </w:tcBorders>
          </w:tcPr>
          <w:p w14:paraId="115E2886" w14:textId="77777777" w:rsidR="00CA58C6" w:rsidRPr="00CA58C6" w:rsidRDefault="00CA58C6" w:rsidP="00484513">
            <w:pPr>
              <w:keepNext/>
              <w:keepLines/>
              <w:jc w:val="center"/>
              <w:textAlignment w:val="top"/>
              <w:rPr>
                <w:lang w:val="en-GB"/>
              </w:rPr>
            </w:pPr>
            <w:r w:rsidRPr="00CA58C6">
              <w:rPr>
                <w:lang w:val="en-GB"/>
              </w:rPr>
              <w:t>3,41</w:t>
            </w:r>
          </w:p>
        </w:tc>
      </w:tr>
      <w:tr w:rsidR="00CA58C6" w:rsidRPr="00CA58C6" w14:paraId="0F08F0C6" w14:textId="77777777" w:rsidTr="00380380">
        <w:trPr>
          <w:cantSplit/>
          <w:trHeight w:val="331"/>
        </w:trPr>
        <w:tc>
          <w:tcPr>
            <w:tcW w:w="2835" w:type="dxa"/>
            <w:tcBorders>
              <w:top w:val="single" w:sz="4" w:space="0" w:color="auto"/>
              <w:left w:val="single" w:sz="4" w:space="0" w:color="auto"/>
              <w:bottom w:val="single" w:sz="4" w:space="0" w:color="auto"/>
              <w:right w:val="single" w:sz="4" w:space="0" w:color="auto"/>
            </w:tcBorders>
          </w:tcPr>
          <w:p w14:paraId="5517BE0F" w14:textId="77777777" w:rsidR="00CA58C6" w:rsidRPr="00CA58C6" w:rsidRDefault="00CA58C6" w:rsidP="00484513">
            <w:pPr>
              <w:keepNext/>
              <w:keepLines/>
              <w:textAlignment w:val="top"/>
            </w:pPr>
            <w:r w:rsidRPr="00CA58C6">
              <w:t>C</w:t>
            </w:r>
            <w:r w:rsidRPr="00CA58C6">
              <w:rPr>
                <w:vertAlign w:val="subscript"/>
              </w:rPr>
              <w:t>media</w:t>
            </w:r>
            <w:r w:rsidRPr="00CA58C6">
              <w:t xml:space="preserve"> acumulada o AUC</w:t>
            </w:r>
            <w:r w:rsidRPr="00CA58C6">
              <w:rPr>
                <w:vertAlign w:val="subscript"/>
              </w:rPr>
              <w:t>τ</w:t>
            </w:r>
            <w:r w:rsidRPr="00CA58C6">
              <w:t>*</w:t>
            </w:r>
          </w:p>
        </w:tc>
        <w:tc>
          <w:tcPr>
            <w:tcW w:w="2977" w:type="dxa"/>
            <w:tcBorders>
              <w:top w:val="single" w:sz="4" w:space="0" w:color="auto"/>
              <w:left w:val="single" w:sz="4" w:space="0" w:color="auto"/>
              <w:bottom w:val="single" w:sz="4" w:space="0" w:color="auto"/>
              <w:right w:val="single" w:sz="4" w:space="0" w:color="auto"/>
            </w:tcBorders>
          </w:tcPr>
          <w:p w14:paraId="0AE3376B" w14:textId="77777777" w:rsidR="00CA58C6" w:rsidRPr="00CA58C6" w:rsidRDefault="00CA58C6" w:rsidP="00484513">
            <w:pPr>
              <w:keepNext/>
              <w:keepLines/>
              <w:jc w:val="center"/>
              <w:textAlignment w:val="top"/>
              <w:rPr>
                <w:lang w:val="en-GB"/>
              </w:rPr>
            </w:pPr>
            <w:r w:rsidRPr="00CA58C6">
              <w:rPr>
                <w:lang w:val="en-GB"/>
              </w:rPr>
              <w:t>2,01</w:t>
            </w:r>
          </w:p>
        </w:tc>
        <w:tc>
          <w:tcPr>
            <w:tcW w:w="2977" w:type="dxa"/>
            <w:tcBorders>
              <w:top w:val="single" w:sz="4" w:space="0" w:color="auto"/>
              <w:left w:val="single" w:sz="4" w:space="0" w:color="auto"/>
              <w:bottom w:val="single" w:sz="4" w:space="0" w:color="auto"/>
              <w:right w:val="single" w:sz="4" w:space="0" w:color="auto"/>
            </w:tcBorders>
          </w:tcPr>
          <w:p w14:paraId="49D1C1E9" w14:textId="77777777" w:rsidR="00CA58C6" w:rsidRPr="00CA58C6" w:rsidRDefault="00CA58C6" w:rsidP="00484513">
            <w:pPr>
              <w:keepNext/>
              <w:keepLines/>
              <w:jc w:val="center"/>
              <w:textAlignment w:val="top"/>
              <w:rPr>
                <w:lang w:val="en-GB"/>
              </w:rPr>
            </w:pPr>
            <w:r w:rsidRPr="00CA58C6">
              <w:rPr>
                <w:lang w:val="en-GB"/>
              </w:rPr>
              <w:t>1,95</w:t>
            </w:r>
          </w:p>
        </w:tc>
      </w:tr>
    </w:tbl>
    <w:p w14:paraId="65098956" w14:textId="285FAD54" w:rsidR="00CA58C6" w:rsidRPr="00F30AB8" w:rsidRDefault="00CA58C6" w:rsidP="00484513">
      <w:pPr>
        <w:keepNext/>
        <w:keepLines/>
        <w:textAlignment w:val="top"/>
        <w:rPr>
          <w:sz w:val="20"/>
          <w:szCs w:val="18"/>
          <w:lang w:val="es-ES"/>
        </w:rPr>
      </w:pPr>
      <w:r w:rsidRPr="00F30AB8">
        <w:rPr>
          <w:sz w:val="20"/>
          <w:szCs w:val="18"/>
          <w:lang w:val="es-ES"/>
        </w:rPr>
        <w:t>*</w:t>
      </w:r>
      <w:r w:rsidRPr="00F30AB8">
        <w:rPr>
          <w:sz w:val="20"/>
          <w:szCs w:val="18"/>
          <w:lang w:val="en-GB"/>
        </w:rPr>
        <w:t>τ</w:t>
      </w:r>
      <w:ins w:id="739" w:author="AUTHOR">
        <w:r w:rsidR="003E29DD" w:rsidRPr="00467FFD">
          <w:rPr>
            <w:sz w:val="18"/>
            <w:szCs w:val="18"/>
            <w:lang w:val="es-ES"/>
            <w:rPrChange w:id="740" w:author="AUTHOR">
              <w:rPr>
                <w:sz w:val="18"/>
                <w:szCs w:val="18"/>
                <w:lang w:val="en-GB"/>
              </w:rPr>
            </w:rPrChange>
          </w:rPr>
          <w:t> </w:t>
        </w:r>
        <w:r w:rsidR="003E29DD" w:rsidRPr="00F30AB8" w:rsidDel="003E29DD">
          <w:rPr>
            <w:sz w:val="20"/>
            <w:szCs w:val="18"/>
            <w:lang w:val="es-ES"/>
          </w:rPr>
          <w:t xml:space="preserve"> </w:t>
        </w:r>
      </w:ins>
      <w:del w:id="741" w:author="AUTHOR">
        <w:r w:rsidRPr="00F30AB8" w:rsidDel="003E29DD">
          <w:rPr>
            <w:sz w:val="20"/>
            <w:szCs w:val="18"/>
            <w:lang w:val="es-ES"/>
          </w:rPr>
          <w:delText xml:space="preserve"> </w:delText>
        </w:r>
      </w:del>
      <w:r w:rsidRPr="00F30AB8">
        <w:rPr>
          <w:sz w:val="20"/>
          <w:szCs w:val="18"/>
          <w:lang w:val="es-ES"/>
        </w:rPr>
        <w:t>=</w:t>
      </w:r>
      <w:ins w:id="742" w:author="AUTHOR">
        <w:r w:rsidR="003E29DD" w:rsidRPr="00467FFD">
          <w:rPr>
            <w:sz w:val="18"/>
            <w:szCs w:val="18"/>
            <w:lang w:val="es-ES"/>
            <w:rPrChange w:id="743" w:author="AUTHOR">
              <w:rPr>
                <w:sz w:val="18"/>
                <w:szCs w:val="18"/>
                <w:lang w:val="en-GB"/>
              </w:rPr>
            </w:rPrChange>
          </w:rPr>
          <w:t> </w:t>
        </w:r>
        <w:r w:rsidR="003E29DD" w:rsidRPr="00F30AB8" w:rsidDel="003E29DD">
          <w:rPr>
            <w:sz w:val="20"/>
            <w:szCs w:val="18"/>
            <w:lang w:val="es-ES"/>
          </w:rPr>
          <w:t xml:space="preserve"> </w:t>
        </w:r>
      </w:ins>
      <w:del w:id="744" w:author="AUTHOR">
        <w:r w:rsidRPr="00F30AB8" w:rsidDel="003E29DD">
          <w:rPr>
            <w:sz w:val="20"/>
            <w:szCs w:val="18"/>
            <w:lang w:val="es-ES"/>
          </w:rPr>
          <w:delText xml:space="preserve"> </w:delText>
        </w:r>
      </w:del>
      <w:r w:rsidRPr="00F30AB8">
        <w:rPr>
          <w:sz w:val="20"/>
          <w:szCs w:val="18"/>
          <w:lang w:val="es-ES"/>
        </w:rPr>
        <w:t>2</w:t>
      </w:r>
      <w:r w:rsidR="00C8792E">
        <w:rPr>
          <w:sz w:val="20"/>
          <w:szCs w:val="18"/>
          <w:lang w:val="es-ES"/>
        </w:rPr>
        <w:t> </w:t>
      </w:r>
      <w:r w:rsidRPr="00F30AB8">
        <w:rPr>
          <w:sz w:val="20"/>
          <w:szCs w:val="18"/>
          <w:lang w:val="es-ES"/>
        </w:rPr>
        <w:t xml:space="preserve">semanas para los regímenes </w:t>
      </w:r>
      <w:r w:rsidR="00476616" w:rsidRPr="00F30AB8">
        <w:rPr>
          <w:sz w:val="20"/>
          <w:szCs w:val="18"/>
          <w:lang w:val="es-ES"/>
        </w:rPr>
        <w:t>intravenosos</w:t>
      </w:r>
    </w:p>
    <w:p w14:paraId="39E684EE" w14:textId="77777777" w:rsidR="00CA58C6" w:rsidRPr="00CA58C6" w:rsidRDefault="00CA58C6" w:rsidP="00CA58C6">
      <w:pPr>
        <w:textAlignment w:val="top"/>
        <w:rPr>
          <w:lang w:val="es-ES"/>
        </w:rPr>
      </w:pPr>
    </w:p>
    <w:p w14:paraId="5B866C63" w14:textId="521577C7" w:rsidR="00CA58C6" w:rsidRPr="00CA58C6" w:rsidRDefault="00CA58C6" w:rsidP="00CA58C6">
      <w:pPr>
        <w:textAlignment w:val="top"/>
        <w:rPr>
          <w:lang w:val="es-ES"/>
        </w:rPr>
      </w:pPr>
      <w:r w:rsidRPr="00CA58C6">
        <w:rPr>
          <w:lang w:val="es-ES"/>
        </w:rPr>
        <w:t xml:space="preserve">Después de la administración de la dosis </w:t>
      </w:r>
      <w:r w:rsidR="00476616">
        <w:rPr>
          <w:lang w:val="es-ES"/>
        </w:rPr>
        <w:t>intravenosa</w:t>
      </w:r>
      <w:r w:rsidRPr="00CA58C6">
        <w:rPr>
          <w:lang w:val="es-ES"/>
        </w:rPr>
        <w:t>, aproximadamente el 90% del estado estacionario se alcanzó en la semana 8</w:t>
      </w:r>
      <w:r w:rsidR="00205482" w:rsidRPr="008A106B">
        <w:rPr>
          <w:lang w:val="es-ES_tradnl"/>
        </w:rPr>
        <w:t> </w:t>
      </w:r>
      <w:r w:rsidRPr="00CA58C6">
        <w:rPr>
          <w:lang w:val="es-ES"/>
        </w:rPr>
        <w:t>para ambos regímenes Q2W de 12</w:t>
      </w:r>
      <w:r w:rsidR="00205482" w:rsidRPr="008A106B">
        <w:rPr>
          <w:lang w:val="es-ES_tradnl"/>
        </w:rPr>
        <w:t> </w:t>
      </w:r>
      <w:r w:rsidRPr="00CA58C6">
        <w:rPr>
          <w:lang w:val="es-ES"/>
        </w:rPr>
        <w:t>mg/kg (peso &lt;</w:t>
      </w:r>
      <w:r w:rsidR="00205482" w:rsidRPr="008A106B">
        <w:rPr>
          <w:lang w:val="es-ES_tradnl"/>
        </w:rPr>
        <w:t> </w:t>
      </w:r>
      <w:r w:rsidRPr="00CA58C6">
        <w:rPr>
          <w:lang w:val="es-ES"/>
        </w:rPr>
        <w:t>30</w:t>
      </w:r>
      <w:r w:rsidR="00205482" w:rsidRPr="008A106B">
        <w:rPr>
          <w:lang w:val="es-ES_tradnl"/>
        </w:rPr>
        <w:t> </w:t>
      </w:r>
      <w:r w:rsidRPr="00CA58C6">
        <w:rPr>
          <w:lang w:val="es-ES"/>
        </w:rPr>
        <w:t>kg) y 8</w:t>
      </w:r>
      <w:r w:rsidR="00205482" w:rsidRPr="008A106B">
        <w:rPr>
          <w:lang w:val="es-ES_tradnl"/>
        </w:rPr>
        <w:t> </w:t>
      </w:r>
      <w:r w:rsidRPr="00CA58C6">
        <w:rPr>
          <w:lang w:val="es-ES"/>
        </w:rPr>
        <w:t>mg/kg (peso ≥</w:t>
      </w:r>
      <w:r w:rsidR="00205482" w:rsidRPr="008A106B">
        <w:rPr>
          <w:lang w:val="es-ES_tradnl"/>
        </w:rPr>
        <w:t> </w:t>
      </w:r>
      <w:r w:rsidRPr="00CA58C6">
        <w:rPr>
          <w:lang w:val="es-ES"/>
        </w:rPr>
        <w:t>30</w:t>
      </w:r>
      <w:r w:rsidR="00205482" w:rsidRPr="008A106B">
        <w:rPr>
          <w:lang w:val="es-ES_tradnl"/>
        </w:rPr>
        <w:t> </w:t>
      </w:r>
      <w:r w:rsidRPr="00CA58C6">
        <w:rPr>
          <w:lang w:val="es-ES"/>
        </w:rPr>
        <w:t>kg).</w:t>
      </w:r>
    </w:p>
    <w:p w14:paraId="4EF8E835" w14:textId="77777777" w:rsidR="007927FC" w:rsidRPr="008A106B" w:rsidRDefault="007927FC" w:rsidP="007927FC">
      <w:pPr>
        <w:textAlignment w:val="top"/>
        <w:rPr>
          <w:lang w:val="es-ES"/>
        </w:rPr>
      </w:pPr>
    </w:p>
    <w:p w14:paraId="3DF115B7" w14:textId="1CA0E0C4" w:rsidR="007927FC" w:rsidRDefault="007927FC" w:rsidP="007927FC">
      <w:pPr>
        <w:textAlignment w:val="top"/>
        <w:rPr>
          <w:lang w:val="es-ES"/>
        </w:rPr>
      </w:pPr>
      <w:r w:rsidRPr="008A106B">
        <w:rPr>
          <w:lang w:val="es-ES"/>
        </w:rPr>
        <w:t>En pacientes con AIJs, el volumen de dist</w:t>
      </w:r>
      <w:r w:rsidR="00CA58C6">
        <w:rPr>
          <w:lang w:val="es-ES"/>
        </w:rPr>
        <w:t>ribución central fue de 1,87</w:t>
      </w:r>
      <w:r w:rsidR="00205482" w:rsidRPr="008A106B">
        <w:rPr>
          <w:lang w:val="es-ES_tradnl"/>
        </w:rPr>
        <w:t> </w:t>
      </w:r>
      <w:r w:rsidR="00CA58C6">
        <w:rPr>
          <w:lang w:val="es-ES"/>
        </w:rPr>
        <w:t>l</w:t>
      </w:r>
      <w:r w:rsidRPr="008A106B">
        <w:rPr>
          <w:lang w:val="es-ES"/>
        </w:rPr>
        <w:t xml:space="preserve"> y el volumen de distribuci</w:t>
      </w:r>
      <w:r w:rsidR="00CA58C6">
        <w:rPr>
          <w:lang w:val="es-ES"/>
        </w:rPr>
        <w:t>ón periférico fue de 2,1</w:t>
      </w:r>
      <w:r w:rsidR="008020A7">
        <w:rPr>
          <w:lang w:val="es-ES"/>
        </w:rPr>
        <w:t>4</w:t>
      </w:r>
      <w:r w:rsidR="00205482" w:rsidRPr="008A106B">
        <w:rPr>
          <w:lang w:val="es-ES_tradnl"/>
        </w:rPr>
        <w:t> </w:t>
      </w:r>
      <w:r w:rsidR="00CA58C6">
        <w:rPr>
          <w:lang w:val="es-ES"/>
        </w:rPr>
        <w:t>l,</w:t>
      </w:r>
      <w:r w:rsidRPr="008A106B">
        <w:rPr>
          <w:lang w:val="es-ES"/>
        </w:rPr>
        <w:t xml:space="preserve"> resultando en un volumen de distribución en el equ</w:t>
      </w:r>
      <w:r w:rsidR="00CA58C6">
        <w:rPr>
          <w:lang w:val="es-ES"/>
        </w:rPr>
        <w:t>ilibrio de 4,01</w:t>
      </w:r>
      <w:r w:rsidR="00205482" w:rsidRPr="008A106B">
        <w:rPr>
          <w:lang w:val="es-ES_tradnl"/>
        </w:rPr>
        <w:t> </w:t>
      </w:r>
      <w:r w:rsidR="00CA58C6">
        <w:rPr>
          <w:lang w:val="es-ES"/>
        </w:rPr>
        <w:t>l</w:t>
      </w:r>
      <w:r w:rsidRPr="008A106B">
        <w:rPr>
          <w:lang w:val="es-ES"/>
        </w:rPr>
        <w:t>. El aclaramiento lineal estimado como parámetro en el análisis farmac</w:t>
      </w:r>
      <w:r w:rsidR="00CA58C6">
        <w:rPr>
          <w:lang w:val="es-ES"/>
        </w:rPr>
        <w:t>ocinético de la población, fue 5,7</w:t>
      </w:r>
      <w:r w:rsidR="00205482" w:rsidRPr="008A106B">
        <w:rPr>
          <w:lang w:val="es-ES_tradnl"/>
        </w:rPr>
        <w:t> </w:t>
      </w:r>
      <w:r w:rsidR="00CA58C6">
        <w:rPr>
          <w:lang w:val="es-ES"/>
        </w:rPr>
        <w:t>ml/h</w:t>
      </w:r>
      <w:r w:rsidRPr="008A106B">
        <w:rPr>
          <w:lang w:val="es-ES"/>
        </w:rPr>
        <w:t>.</w:t>
      </w:r>
    </w:p>
    <w:p w14:paraId="64DAECDD" w14:textId="77777777" w:rsidR="007927FC" w:rsidRPr="008A106B" w:rsidRDefault="007927FC" w:rsidP="007927FC">
      <w:pPr>
        <w:textAlignment w:val="top"/>
        <w:rPr>
          <w:lang w:val="es-ES"/>
        </w:rPr>
      </w:pPr>
    </w:p>
    <w:p w14:paraId="3DBDBCE4" w14:textId="288F20DA" w:rsidR="007927FC" w:rsidRPr="008A106B" w:rsidRDefault="007927FC" w:rsidP="007927FC">
      <w:pPr>
        <w:textAlignment w:val="top"/>
        <w:rPr>
          <w:lang w:val="es-ES"/>
        </w:rPr>
      </w:pPr>
      <w:r w:rsidRPr="008A106B">
        <w:rPr>
          <w:lang w:val="es-ES"/>
        </w:rPr>
        <w:t>La vida media de tocilizumab en p</w:t>
      </w:r>
      <w:r w:rsidR="00CA58C6">
        <w:rPr>
          <w:lang w:val="es-ES"/>
        </w:rPr>
        <w:t>acientes con AIJs es de hasta 16</w:t>
      </w:r>
      <w:r w:rsidR="00205482" w:rsidRPr="008A106B">
        <w:rPr>
          <w:lang w:val="es-ES_tradnl"/>
        </w:rPr>
        <w:t> </w:t>
      </w:r>
      <w:r w:rsidRPr="008A106B">
        <w:rPr>
          <w:lang w:val="es-ES"/>
        </w:rPr>
        <w:t>días para las dos categorías de peso (8</w:t>
      </w:r>
      <w:r w:rsidR="00205482" w:rsidRPr="008A106B">
        <w:rPr>
          <w:lang w:val="es-ES_tradnl"/>
        </w:rPr>
        <w:t> </w:t>
      </w:r>
      <w:r w:rsidRPr="008A106B">
        <w:rPr>
          <w:lang w:val="es-ES"/>
        </w:rPr>
        <w:t>mg/kg para pesos ≥</w:t>
      </w:r>
      <w:r w:rsidR="00205482" w:rsidRPr="008A106B">
        <w:rPr>
          <w:lang w:val="es-ES_tradnl"/>
        </w:rPr>
        <w:t> </w:t>
      </w:r>
      <w:r w:rsidRPr="008A106B">
        <w:rPr>
          <w:lang w:val="es-ES"/>
        </w:rPr>
        <w:t>30</w:t>
      </w:r>
      <w:r w:rsidR="00205482" w:rsidRPr="008A106B">
        <w:rPr>
          <w:lang w:val="es-ES_tradnl"/>
        </w:rPr>
        <w:t> </w:t>
      </w:r>
      <w:r w:rsidRPr="008A106B">
        <w:rPr>
          <w:lang w:val="es-ES"/>
        </w:rPr>
        <w:t>kg o 12</w:t>
      </w:r>
      <w:r w:rsidR="00205482" w:rsidRPr="008A106B">
        <w:rPr>
          <w:lang w:val="es-ES_tradnl"/>
        </w:rPr>
        <w:t> </w:t>
      </w:r>
      <w:r w:rsidRPr="008A106B">
        <w:rPr>
          <w:lang w:val="es-ES"/>
        </w:rPr>
        <w:t xml:space="preserve">mg/kg </w:t>
      </w:r>
      <w:del w:id="745" w:author="AUTHOR">
        <w:r w:rsidRPr="008A106B" w:rsidDel="00121531">
          <w:rPr>
            <w:lang w:val="es-ES"/>
          </w:rPr>
          <w:delText xml:space="preserve">o </w:delText>
        </w:r>
      </w:del>
      <w:r w:rsidRPr="008A106B">
        <w:rPr>
          <w:lang w:val="es-ES"/>
        </w:rPr>
        <w:t xml:space="preserve">para pesos &lt; </w:t>
      </w:r>
      <w:r w:rsidR="00205482" w:rsidRPr="008A106B">
        <w:rPr>
          <w:lang w:val="es-ES_tradnl"/>
        </w:rPr>
        <w:t> </w:t>
      </w:r>
      <w:r w:rsidRPr="008A106B">
        <w:rPr>
          <w:lang w:val="es-ES"/>
        </w:rPr>
        <w:t>30</w:t>
      </w:r>
      <w:r w:rsidR="00205482" w:rsidRPr="008A106B">
        <w:rPr>
          <w:lang w:val="es-ES_tradnl"/>
        </w:rPr>
        <w:t> </w:t>
      </w:r>
      <w:r w:rsidRPr="008A106B">
        <w:rPr>
          <w:lang w:val="es-ES"/>
        </w:rPr>
        <w:t>kg) en la semana</w:t>
      </w:r>
      <w:r w:rsidR="00205482" w:rsidRPr="008A106B">
        <w:rPr>
          <w:lang w:val="es-ES_tradnl"/>
        </w:rPr>
        <w:t> </w:t>
      </w:r>
      <w:r w:rsidRPr="008A106B">
        <w:rPr>
          <w:lang w:val="es-ES"/>
        </w:rPr>
        <w:t>12.</w:t>
      </w:r>
    </w:p>
    <w:p w14:paraId="3304522B" w14:textId="77777777" w:rsidR="007927FC" w:rsidRPr="008A106B" w:rsidRDefault="007927FC" w:rsidP="007927FC">
      <w:pPr>
        <w:textAlignment w:val="top"/>
        <w:rPr>
          <w:lang w:val="es-ES"/>
        </w:rPr>
      </w:pPr>
    </w:p>
    <w:p w14:paraId="47D0FF35" w14:textId="77777777" w:rsidR="007927FC" w:rsidRPr="008A106B" w:rsidRDefault="007927FC" w:rsidP="007927FC">
      <w:pPr>
        <w:textAlignment w:val="top"/>
        <w:rPr>
          <w:i/>
          <w:lang w:val="es-ES"/>
        </w:rPr>
      </w:pPr>
      <w:r w:rsidRPr="008A106B">
        <w:rPr>
          <w:i/>
          <w:lang w:val="es-ES"/>
        </w:rPr>
        <w:t>Pacientes con AIJp:</w:t>
      </w:r>
    </w:p>
    <w:p w14:paraId="37DB67F3" w14:textId="76F41578" w:rsidR="007927FC" w:rsidRPr="008A106B" w:rsidRDefault="007927FC" w:rsidP="007927FC">
      <w:pPr>
        <w:rPr>
          <w:lang w:val="es-ES" w:eastAsia="de-DE"/>
        </w:rPr>
      </w:pPr>
      <w:r w:rsidRPr="008A106B">
        <w:rPr>
          <w:lang w:val="es-ES" w:eastAsia="de-DE"/>
        </w:rPr>
        <w:t xml:space="preserve">Se determinó la farmacocinética </w:t>
      </w:r>
      <w:r w:rsidR="00CA58C6">
        <w:rPr>
          <w:lang w:val="es-ES" w:eastAsia="de-DE"/>
        </w:rPr>
        <w:t xml:space="preserve">en pacientes AIJp </w:t>
      </w:r>
      <w:r w:rsidRPr="008A106B">
        <w:rPr>
          <w:lang w:val="es-ES" w:eastAsia="de-DE"/>
        </w:rPr>
        <w:t xml:space="preserve">de tocilizumab usando un análisis de farmacocinética de poblaciones </w:t>
      </w:r>
      <w:r w:rsidR="00CA58C6" w:rsidRPr="00CA58C6">
        <w:rPr>
          <w:lang w:val="es-ES" w:eastAsia="de-DE"/>
        </w:rPr>
        <w:t>la cual incluyó 237</w:t>
      </w:r>
      <w:r w:rsidR="00205482" w:rsidRPr="008A106B">
        <w:rPr>
          <w:lang w:val="es-ES_tradnl"/>
        </w:rPr>
        <w:t> </w:t>
      </w:r>
      <w:r w:rsidR="00CA58C6" w:rsidRPr="00CA58C6">
        <w:rPr>
          <w:lang w:val="es-ES" w:eastAsia="de-DE"/>
        </w:rPr>
        <w:t>pacientes que fueron tratados con 8</w:t>
      </w:r>
      <w:r w:rsidR="00205482" w:rsidRPr="008A106B">
        <w:rPr>
          <w:lang w:val="es-ES_tradnl"/>
        </w:rPr>
        <w:t> </w:t>
      </w:r>
      <w:r w:rsidR="00CA58C6" w:rsidRPr="00CA58C6">
        <w:rPr>
          <w:lang w:val="es-ES" w:eastAsia="de-DE"/>
        </w:rPr>
        <w:t xml:space="preserve">mg/kg </w:t>
      </w:r>
      <w:r w:rsidR="00476616">
        <w:rPr>
          <w:lang w:val="es-ES" w:eastAsia="de-DE"/>
        </w:rPr>
        <w:t>intravenoso</w:t>
      </w:r>
      <w:r w:rsidR="00CA58C6" w:rsidRPr="00CA58C6">
        <w:rPr>
          <w:lang w:val="es-ES" w:eastAsia="de-DE"/>
        </w:rPr>
        <w:t xml:space="preserve"> cada 4</w:t>
      </w:r>
      <w:r w:rsidR="00205482" w:rsidRPr="008A106B">
        <w:rPr>
          <w:lang w:val="es-ES_tradnl"/>
        </w:rPr>
        <w:t> </w:t>
      </w:r>
      <w:r w:rsidR="00CA58C6" w:rsidRPr="00CA58C6">
        <w:rPr>
          <w:lang w:val="es-ES" w:eastAsia="de-DE"/>
        </w:rPr>
        <w:t>semanas (pacientes con peso ≥</w:t>
      </w:r>
      <w:r w:rsidR="00205482" w:rsidRPr="008A106B">
        <w:rPr>
          <w:lang w:val="es-ES_tradnl"/>
        </w:rPr>
        <w:t> </w:t>
      </w:r>
      <w:r w:rsidR="00CA58C6" w:rsidRPr="00CA58C6">
        <w:rPr>
          <w:lang w:val="es-ES" w:eastAsia="de-DE"/>
        </w:rPr>
        <w:t>30</w:t>
      </w:r>
      <w:r w:rsidR="00205482" w:rsidRPr="008A106B">
        <w:rPr>
          <w:lang w:val="es-ES_tradnl"/>
        </w:rPr>
        <w:t> </w:t>
      </w:r>
      <w:r w:rsidR="00CA58C6" w:rsidRPr="00CA58C6">
        <w:rPr>
          <w:lang w:val="es-ES" w:eastAsia="de-DE"/>
        </w:rPr>
        <w:t>kg), 10</w:t>
      </w:r>
      <w:r w:rsidR="00205482" w:rsidRPr="008A106B">
        <w:rPr>
          <w:lang w:val="es-ES_tradnl"/>
        </w:rPr>
        <w:t> </w:t>
      </w:r>
      <w:r w:rsidR="00CA58C6" w:rsidRPr="00CA58C6">
        <w:rPr>
          <w:lang w:val="es-ES" w:eastAsia="de-DE"/>
        </w:rPr>
        <w:t xml:space="preserve">mg/kg </w:t>
      </w:r>
      <w:r w:rsidR="00476616">
        <w:rPr>
          <w:lang w:val="es-ES" w:eastAsia="de-DE"/>
        </w:rPr>
        <w:t>intravenoso</w:t>
      </w:r>
      <w:r w:rsidR="00CA58C6" w:rsidRPr="00CA58C6">
        <w:rPr>
          <w:lang w:val="es-ES" w:eastAsia="de-DE"/>
        </w:rPr>
        <w:t xml:space="preserve"> cada 4</w:t>
      </w:r>
      <w:r w:rsidR="00205482" w:rsidRPr="008A106B">
        <w:rPr>
          <w:lang w:val="es-ES_tradnl"/>
        </w:rPr>
        <w:t> </w:t>
      </w:r>
      <w:r w:rsidR="00CA58C6" w:rsidRPr="00CA58C6">
        <w:rPr>
          <w:lang w:val="es-ES" w:eastAsia="de-DE"/>
        </w:rPr>
        <w:t>semanas (pacientes con peso &lt;</w:t>
      </w:r>
      <w:r w:rsidR="00205482" w:rsidRPr="008A106B">
        <w:rPr>
          <w:lang w:val="es-ES_tradnl"/>
        </w:rPr>
        <w:t> </w:t>
      </w:r>
      <w:r w:rsidR="00CA58C6" w:rsidRPr="00CA58C6">
        <w:rPr>
          <w:lang w:val="es-ES" w:eastAsia="de-DE"/>
        </w:rPr>
        <w:t>30</w:t>
      </w:r>
      <w:r w:rsidR="00205482" w:rsidRPr="008A106B">
        <w:rPr>
          <w:lang w:val="es-ES_tradnl"/>
        </w:rPr>
        <w:t> </w:t>
      </w:r>
      <w:r w:rsidR="00CA58C6" w:rsidRPr="00CA58C6">
        <w:rPr>
          <w:lang w:val="es-ES" w:eastAsia="de-DE"/>
        </w:rPr>
        <w:t>kg), 162</w:t>
      </w:r>
      <w:r w:rsidR="00205482" w:rsidRPr="008A106B">
        <w:rPr>
          <w:lang w:val="es-ES_tradnl"/>
        </w:rPr>
        <w:t> </w:t>
      </w:r>
      <w:r w:rsidR="00CA58C6" w:rsidRPr="00CA58C6">
        <w:rPr>
          <w:lang w:val="es-ES" w:eastAsia="de-DE"/>
        </w:rPr>
        <w:t xml:space="preserve">mg </w:t>
      </w:r>
      <w:r w:rsidR="00476616">
        <w:rPr>
          <w:lang w:val="es-ES" w:eastAsia="de-DE"/>
        </w:rPr>
        <w:t>subcutaneo</w:t>
      </w:r>
      <w:r w:rsidR="00CA58C6" w:rsidRPr="00CA58C6">
        <w:rPr>
          <w:lang w:val="es-ES" w:eastAsia="de-DE"/>
        </w:rPr>
        <w:t xml:space="preserve"> cada 2 semanas (pacientes con peso ≥</w:t>
      </w:r>
      <w:r w:rsidR="00205482" w:rsidRPr="008A106B">
        <w:rPr>
          <w:lang w:val="es-ES_tradnl"/>
        </w:rPr>
        <w:t> </w:t>
      </w:r>
      <w:r w:rsidR="00CA58C6" w:rsidRPr="00CA58C6">
        <w:rPr>
          <w:lang w:val="es-ES" w:eastAsia="de-DE"/>
        </w:rPr>
        <w:t>30</w:t>
      </w:r>
      <w:r w:rsidR="00205482" w:rsidRPr="008A106B">
        <w:rPr>
          <w:lang w:val="es-ES_tradnl"/>
        </w:rPr>
        <w:t> </w:t>
      </w:r>
      <w:r w:rsidR="00CA58C6" w:rsidRPr="00CA58C6">
        <w:rPr>
          <w:lang w:val="es-ES" w:eastAsia="de-DE"/>
        </w:rPr>
        <w:t>kg), o 162</w:t>
      </w:r>
      <w:r w:rsidR="00205482" w:rsidRPr="008A106B">
        <w:rPr>
          <w:lang w:val="es-ES_tradnl"/>
        </w:rPr>
        <w:t> </w:t>
      </w:r>
      <w:r w:rsidR="00CA58C6" w:rsidRPr="00CA58C6">
        <w:rPr>
          <w:lang w:val="es-ES" w:eastAsia="de-DE"/>
        </w:rPr>
        <w:t xml:space="preserve">mg </w:t>
      </w:r>
      <w:r w:rsidR="00476616">
        <w:rPr>
          <w:lang w:val="es-ES" w:eastAsia="de-DE"/>
        </w:rPr>
        <w:t>subcutaneo</w:t>
      </w:r>
      <w:r w:rsidR="00CA58C6" w:rsidRPr="00CA58C6">
        <w:rPr>
          <w:lang w:val="es-ES" w:eastAsia="de-DE"/>
        </w:rPr>
        <w:t xml:space="preserve"> cada 3</w:t>
      </w:r>
      <w:r w:rsidR="00205482" w:rsidRPr="008A106B">
        <w:rPr>
          <w:lang w:val="es-ES_tradnl"/>
        </w:rPr>
        <w:t> </w:t>
      </w:r>
      <w:r w:rsidR="00CA58C6" w:rsidRPr="00CA58C6">
        <w:rPr>
          <w:lang w:val="es-ES" w:eastAsia="de-DE"/>
        </w:rPr>
        <w:t xml:space="preserve">semanas (pacientes con peso </w:t>
      </w:r>
      <w:r w:rsidR="00205482">
        <w:rPr>
          <w:lang w:val="es-ES" w:eastAsia="de-DE"/>
        </w:rPr>
        <w:t xml:space="preserve">menos de </w:t>
      </w:r>
      <w:r w:rsidR="00CA58C6" w:rsidRPr="00CA58C6">
        <w:rPr>
          <w:lang w:val="es-ES" w:eastAsia="de-DE"/>
        </w:rPr>
        <w:t>30</w:t>
      </w:r>
      <w:r w:rsidR="00205482" w:rsidRPr="008A106B">
        <w:rPr>
          <w:lang w:val="es-ES_tradnl"/>
        </w:rPr>
        <w:t> </w:t>
      </w:r>
      <w:r w:rsidR="00CA58C6" w:rsidRPr="00CA58C6">
        <w:rPr>
          <w:lang w:val="es-ES" w:eastAsia="de-DE"/>
        </w:rPr>
        <w:t>kg).</w:t>
      </w:r>
      <w:r w:rsidR="00CA58C6" w:rsidRPr="008A106B">
        <w:rPr>
          <w:lang w:val="es-ES" w:eastAsia="de-DE"/>
        </w:rPr>
        <w:t xml:space="preserve"> </w:t>
      </w:r>
    </w:p>
    <w:p w14:paraId="772FAAFE" w14:textId="77777777" w:rsidR="007927FC" w:rsidRDefault="007927FC" w:rsidP="007927FC">
      <w:pPr>
        <w:rPr>
          <w:lang w:val="es-ES"/>
        </w:rPr>
      </w:pPr>
    </w:p>
    <w:p w14:paraId="7ABFCAAE" w14:textId="0CE89F0C" w:rsidR="00CA58C6" w:rsidRDefault="00CA58C6" w:rsidP="003569D6">
      <w:pPr>
        <w:keepNext/>
        <w:keepLines/>
        <w:rPr>
          <w:bCs/>
          <w:i/>
          <w:lang w:val="es-ES"/>
        </w:rPr>
      </w:pPr>
      <w:r w:rsidRPr="00CA58C6">
        <w:rPr>
          <w:bCs/>
          <w:i/>
          <w:lang w:val="es-ES"/>
        </w:rPr>
        <w:t>Tabla 1</w:t>
      </w:r>
      <w:r w:rsidR="00D50156">
        <w:rPr>
          <w:bCs/>
          <w:i/>
          <w:lang w:val="es-ES"/>
        </w:rPr>
        <w:t>2</w:t>
      </w:r>
      <w:r w:rsidRPr="00CA58C6">
        <w:rPr>
          <w:bCs/>
          <w:i/>
          <w:lang w:val="es-ES"/>
        </w:rPr>
        <w:t xml:space="preserve">. Valores medios previstos ± DE de los parámetros PK en estado estacionario después de la administración de la dosis </w:t>
      </w:r>
      <w:r w:rsidR="00476616">
        <w:rPr>
          <w:bCs/>
          <w:i/>
          <w:lang w:val="es-ES"/>
        </w:rPr>
        <w:t>intravenosa</w:t>
      </w:r>
      <w:r w:rsidR="00476616" w:rsidRPr="00CA58C6">
        <w:rPr>
          <w:bCs/>
          <w:i/>
          <w:lang w:val="es-ES"/>
        </w:rPr>
        <w:t xml:space="preserve"> </w:t>
      </w:r>
      <w:r w:rsidRPr="00CA58C6">
        <w:rPr>
          <w:bCs/>
          <w:i/>
          <w:lang w:val="es-ES"/>
        </w:rPr>
        <w:t>en pacientes con AIJp</w:t>
      </w:r>
    </w:p>
    <w:p w14:paraId="2ACF7185" w14:textId="77777777" w:rsidR="00D615B3" w:rsidRPr="00CA58C6" w:rsidRDefault="00D615B3" w:rsidP="003569D6">
      <w:pPr>
        <w:keepNext/>
        <w:keepLines/>
        <w:rPr>
          <w:bCs/>
          <w:i/>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CA58C6" w:rsidRPr="00CA58C6" w14:paraId="08D720FF" w14:textId="77777777" w:rsidTr="00380380">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7342BBFA" w14:textId="18B18DA4" w:rsidR="00CA58C6" w:rsidRPr="00CA58C6" w:rsidRDefault="00CA58C6" w:rsidP="00376697">
            <w:pPr>
              <w:keepNext/>
              <w:keepLines/>
            </w:pPr>
            <w:r w:rsidRPr="00CA58C6">
              <w:rPr>
                <w:b/>
              </w:rPr>
              <w:t xml:space="preserve">Parámetros PK de  </w:t>
            </w:r>
            <w:r w:rsidR="00C8792E">
              <w:rPr>
                <w:b/>
              </w:rPr>
              <w:t>t</w:t>
            </w:r>
            <w:r w:rsidR="00476616">
              <w:rPr>
                <w:b/>
              </w:rPr>
              <w:t>ocilizumab</w:t>
            </w:r>
          </w:p>
        </w:tc>
        <w:tc>
          <w:tcPr>
            <w:tcW w:w="2977" w:type="dxa"/>
            <w:tcBorders>
              <w:top w:val="single" w:sz="4" w:space="0" w:color="auto"/>
              <w:left w:val="single" w:sz="4" w:space="0" w:color="auto"/>
              <w:bottom w:val="single" w:sz="4" w:space="0" w:color="auto"/>
              <w:right w:val="single" w:sz="4" w:space="0" w:color="auto"/>
            </w:tcBorders>
            <w:hideMark/>
          </w:tcPr>
          <w:p w14:paraId="62325CA8" w14:textId="7C3C8453" w:rsidR="00CA58C6" w:rsidRPr="00CA58C6" w:rsidRDefault="00CA58C6" w:rsidP="003569D6">
            <w:pPr>
              <w:keepNext/>
              <w:keepLines/>
              <w:jc w:val="center"/>
              <w:rPr>
                <w:b/>
              </w:rPr>
            </w:pPr>
            <w:r w:rsidRPr="00CA58C6">
              <w:rPr>
                <w:b/>
              </w:rPr>
              <w:t>8</w:t>
            </w:r>
            <w:ins w:id="746" w:author="AUTHOR">
              <w:r w:rsidR="003E29DD" w:rsidRPr="00E52815">
                <w:rPr>
                  <w:b/>
                  <w:lang w:val="en-GB"/>
                </w:rPr>
                <w:t> </w:t>
              </w:r>
            </w:ins>
            <w:del w:id="747" w:author="AUTHOR">
              <w:r w:rsidRPr="00CA58C6" w:rsidDel="003E29DD">
                <w:rPr>
                  <w:b/>
                </w:rPr>
                <w:delText xml:space="preserve"> </w:delText>
              </w:r>
            </w:del>
            <w:r w:rsidRPr="00CA58C6">
              <w:rPr>
                <w:b/>
              </w:rPr>
              <w:t>mg/kg Q4W ≥ 30</w:t>
            </w:r>
            <w:ins w:id="748" w:author="AUTHOR">
              <w:r w:rsidR="003E29DD" w:rsidRPr="00E52815">
                <w:rPr>
                  <w:b/>
                  <w:lang w:val="en-GB"/>
                </w:rPr>
                <w:t> </w:t>
              </w:r>
            </w:ins>
            <w:del w:id="749" w:author="AUTHOR">
              <w:r w:rsidRPr="00CA58C6" w:rsidDel="003E29DD">
                <w:rPr>
                  <w:b/>
                </w:rPr>
                <w:delText xml:space="preserve"> </w:delText>
              </w:r>
            </w:del>
            <w:r w:rsidRPr="00CA58C6">
              <w:rPr>
                <w:b/>
              </w:rPr>
              <w:t>kg</w:t>
            </w:r>
          </w:p>
        </w:tc>
        <w:tc>
          <w:tcPr>
            <w:tcW w:w="2977" w:type="dxa"/>
            <w:tcBorders>
              <w:top w:val="single" w:sz="4" w:space="0" w:color="auto"/>
              <w:left w:val="single" w:sz="4" w:space="0" w:color="auto"/>
              <w:bottom w:val="single" w:sz="4" w:space="0" w:color="auto"/>
              <w:right w:val="single" w:sz="4" w:space="0" w:color="auto"/>
            </w:tcBorders>
            <w:hideMark/>
          </w:tcPr>
          <w:p w14:paraId="4119762B" w14:textId="77777777" w:rsidR="00CA58C6" w:rsidRPr="00CA58C6" w:rsidRDefault="00CA58C6" w:rsidP="003569D6">
            <w:pPr>
              <w:keepNext/>
              <w:keepLines/>
              <w:jc w:val="center"/>
              <w:rPr>
                <w:b/>
              </w:rPr>
            </w:pPr>
            <w:r w:rsidRPr="00CA58C6">
              <w:rPr>
                <w:b/>
              </w:rPr>
              <w:t xml:space="preserve">10 mg/kg Q4W </w:t>
            </w:r>
            <w:r w:rsidRPr="00E576A0">
              <w:t>inferior a</w:t>
            </w:r>
            <w:r w:rsidRPr="00CA58C6">
              <w:rPr>
                <w:b/>
              </w:rPr>
              <w:t xml:space="preserve"> 30 kg</w:t>
            </w:r>
          </w:p>
        </w:tc>
      </w:tr>
      <w:tr w:rsidR="00CA58C6" w:rsidRPr="00CA58C6" w14:paraId="766C9156" w14:textId="77777777" w:rsidTr="00380380">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40199427" w14:textId="77777777" w:rsidR="00CA58C6" w:rsidRPr="00CA58C6" w:rsidRDefault="00CA58C6" w:rsidP="003569D6">
            <w:pPr>
              <w:keepNext/>
              <w:keepLines/>
            </w:pPr>
            <w:r w:rsidRPr="00CA58C6">
              <w:t>C</w:t>
            </w:r>
            <w:r w:rsidRPr="00CA58C6">
              <w:rPr>
                <w:vertAlign w:val="subscript"/>
              </w:rPr>
              <w:t>max</w:t>
            </w:r>
            <w:r w:rsidRPr="00CA58C6">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30557AE1" w14:textId="2AF7F285" w:rsidR="00CA58C6" w:rsidRPr="00CA58C6" w:rsidRDefault="00CA58C6" w:rsidP="003569D6">
            <w:pPr>
              <w:keepNext/>
              <w:keepLines/>
              <w:jc w:val="center"/>
              <w:rPr>
                <w:u w:val="single"/>
                <w:lang w:val="en-GB"/>
              </w:rPr>
            </w:pPr>
            <w:r w:rsidRPr="00CA58C6">
              <w:rPr>
                <w:u w:val="single"/>
                <w:lang w:val="en-GB"/>
              </w:rPr>
              <w:t>183</w:t>
            </w:r>
            <w:r w:rsidR="00C8792E">
              <w:rPr>
                <w:u w:val="single"/>
                <w:lang w:val="en-GB"/>
              </w:rPr>
              <w:t> </w:t>
            </w:r>
            <w:r w:rsidRPr="00CA58C6">
              <w:rPr>
                <w:u w:val="single"/>
                <w:lang w:val="en-GB"/>
              </w:rPr>
              <w:t>±</w:t>
            </w:r>
            <w:r w:rsidR="00C8792E">
              <w:rPr>
                <w:u w:val="single"/>
                <w:lang w:val="en-GB"/>
              </w:rPr>
              <w:t> </w:t>
            </w:r>
            <w:r w:rsidRPr="00CA58C6">
              <w:rPr>
                <w:u w:val="single"/>
                <w:lang w:val="en-GB"/>
              </w:rPr>
              <w:t>42,3</w:t>
            </w:r>
          </w:p>
        </w:tc>
        <w:tc>
          <w:tcPr>
            <w:tcW w:w="2977" w:type="dxa"/>
            <w:tcBorders>
              <w:top w:val="single" w:sz="4" w:space="0" w:color="auto"/>
              <w:left w:val="single" w:sz="4" w:space="0" w:color="auto"/>
              <w:bottom w:val="single" w:sz="4" w:space="0" w:color="auto"/>
              <w:right w:val="single" w:sz="4" w:space="0" w:color="auto"/>
            </w:tcBorders>
            <w:hideMark/>
          </w:tcPr>
          <w:p w14:paraId="5A57D3FE" w14:textId="051F9C94" w:rsidR="00CA58C6" w:rsidRPr="00CA58C6" w:rsidRDefault="00CA58C6" w:rsidP="003569D6">
            <w:pPr>
              <w:keepNext/>
              <w:keepLines/>
              <w:jc w:val="center"/>
              <w:rPr>
                <w:u w:val="single"/>
                <w:lang w:val="en-GB"/>
              </w:rPr>
            </w:pPr>
            <w:r w:rsidRPr="00CA58C6">
              <w:rPr>
                <w:u w:val="single"/>
                <w:lang w:val="en-GB"/>
              </w:rPr>
              <w:t>168</w:t>
            </w:r>
            <w:r w:rsidR="00C8792E">
              <w:rPr>
                <w:u w:val="single"/>
                <w:lang w:val="en-GB"/>
              </w:rPr>
              <w:t> </w:t>
            </w:r>
            <w:r w:rsidRPr="00CA58C6">
              <w:rPr>
                <w:u w:val="single"/>
                <w:lang w:val="en-GB"/>
              </w:rPr>
              <w:sym w:font="Symbol" w:char="F0B1"/>
            </w:r>
            <w:r w:rsidRPr="00CA58C6">
              <w:rPr>
                <w:u w:val="single"/>
                <w:lang w:val="en-GB"/>
              </w:rPr>
              <w:t> 24,8</w:t>
            </w:r>
          </w:p>
        </w:tc>
      </w:tr>
      <w:tr w:rsidR="00CA58C6" w:rsidRPr="00CA58C6" w14:paraId="69A2625E" w14:textId="77777777" w:rsidTr="00380380">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3E1076D2" w14:textId="77777777" w:rsidR="00CA58C6" w:rsidRPr="00CA58C6" w:rsidRDefault="00CA58C6" w:rsidP="003569D6">
            <w:pPr>
              <w:keepNext/>
              <w:keepLines/>
            </w:pPr>
            <w:r w:rsidRPr="00CA58C6">
              <w:t>C</w:t>
            </w:r>
            <w:r w:rsidRPr="00CA58C6">
              <w:rPr>
                <w:vertAlign w:val="subscript"/>
              </w:rPr>
              <w:t>min</w:t>
            </w:r>
            <w:r w:rsidRPr="00CA58C6">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18AB2365" w14:textId="66DFD5C4" w:rsidR="00CA58C6" w:rsidRPr="00CA58C6" w:rsidRDefault="00CA58C6" w:rsidP="003569D6">
            <w:pPr>
              <w:keepNext/>
              <w:keepLines/>
              <w:jc w:val="center"/>
              <w:rPr>
                <w:u w:val="single"/>
                <w:lang w:val="en-GB"/>
              </w:rPr>
            </w:pPr>
            <w:r w:rsidRPr="00CA58C6">
              <w:rPr>
                <w:u w:val="single"/>
                <w:lang w:val="en-GB"/>
              </w:rPr>
              <w:t>6,55</w:t>
            </w:r>
            <w:r w:rsidR="00C8792E">
              <w:rPr>
                <w:u w:val="single"/>
                <w:lang w:val="en-GB"/>
              </w:rPr>
              <w:t> </w:t>
            </w:r>
            <w:r w:rsidRPr="00CA58C6">
              <w:rPr>
                <w:u w:val="single"/>
                <w:lang w:val="en-GB"/>
              </w:rPr>
              <w:t>±</w:t>
            </w:r>
            <w:r w:rsidR="00C8792E">
              <w:rPr>
                <w:u w:val="single"/>
                <w:lang w:val="en-GB"/>
              </w:rPr>
              <w:t> </w:t>
            </w:r>
            <w:r w:rsidRPr="00CA58C6">
              <w:rPr>
                <w:u w:val="single"/>
                <w:lang w:val="en-GB"/>
              </w:rPr>
              <w:t>7,93</w:t>
            </w:r>
          </w:p>
        </w:tc>
        <w:tc>
          <w:tcPr>
            <w:tcW w:w="2977" w:type="dxa"/>
            <w:tcBorders>
              <w:top w:val="single" w:sz="4" w:space="0" w:color="auto"/>
              <w:left w:val="single" w:sz="4" w:space="0" w:color="auto"/>
              <w:bottom w:val="single" w:sz="4" w:space="0" w:color="auto"/>
              <w:right w:val="single" w:sz="4" w:space="0" w:color="auto"/>
            </w:tcBorders>
            <w:hideMark/>
          </w:tcPr>
          <w:p w14:paraId="787989A4" w14:textId="3418BBFC" w:rsidR="00CA58C6" w:rsidRPr="00CA58C6" w:rsidRDefault="00CA58C6" w:rsidP="003569D6">
            <w:pPr>
              <w:keepNext/>
              <w:keepLines/>
              <w:jc w:val="center"/>
              <w:rPr>
                <w:u w:val="single"/>
                <w:lang w:val="en-GB"/>
              </w:rPr>
            </w:pPr>
            <w:r w:rsidRPr="00CA58C6">
              <w:rPr>
                <w:u w:val="single"/>
                <w:lang w:val="en-GB"/>
              </w:rPr>
              <w:t>1,47</w:t>
            </w:r>
            <w:r w:rsidR="00C8792E">
              <w:rPr>
                <w:u w:val="single"/>
                <w:lang w:val="en-GB"/>
              </w:rPr>
              <w:t> </w:t>
            </w:r>
            <w:r w:rsidRPr="00CA58C6">
              <w:rPr>
                <w:u w:val="single"/>
                <w:lang w:val="en-GB"/>
              </w:rPr>
              <w:sym w:font="Symbol" w:char="F0B1"/>
            </w:r>
            <w:r w:rsidRPr="00CA58C6">
              <w:rPr>
                <w:u w:val="single"/>
                <w:lang w:val="en-GB"/>
              </w:rPr>
              <w:t> 2,44</w:t>
            </w:r>
          </w:p>
        </w:tc>
      </w:tr>
      <w:tr w:rsidR="00CA58C6" w:rsidRPr="00CA58C6" w14:paraId="404F416A" w14:textId="77777777" w:rsidTr="00380380">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15A4B1DA" w14:textId="77777777" w:rsidR="00CA58C6" w:rsidRPr="00CA58C6" w:rsidRDefault="00CA58C6" w:rsidP="003569D6">
            <w:pPr>
              <w:keepNext/>
              <w:keepLines/>
            </w:pPr>
            <w:r w:rsidRPr="00CA58C6">
              <w:t>C</w:t>
            </w:r>
            <w:r w:rsidRPr="00CA58C6">
              <w:rPr>
                <w:vertAlign w:val="subscript"/>
              </w:rPr>
              <w:t>media</w:t>
            </w:r>
            <w:r w:rsidRPr="00CA58C6">
              <w:t xml:space="preserve"> (µg/ml)</w:t>
            </w:r>
          </w:p>
        </w:tc>
        <w:tc>
          <w:tcPr>
            <w:tcW w:w="2977" w:type="dxa"/>
            <w:tcBorders>
              <w:top w:val="single" w:sz="4" w:space="0" w:color="auto"/>
              <w:left w:val="single" w:sz="4" w:space="0" w:color="auto"/>
              <w:bottom w:val="single" w:sz="4" w:space="0" w:color="auto"/>
              <w:right w:val="single" w:sz="4" w:space="0" w:color="auto"/>
            </w:tcBorders>
            <w:hideMark/>
          </w:tcPr>
          <w:p w14:paraId="6A47BBC7" w14:textId="2EADFEFB" w:rsidR="00CA58C6" w:rsidRPr="00CA58C6" w:rsidRDefault="00CA58C6" w:rsidP="003569D6">
            <w:pPr>
              <w:keepNext/>
              <w:keepLines/>
              <w:jc w:val="center"/>
              <w:rPr>
                <w:u w:val="single"/>
                <w:lang w:val="en-GB"/>
              </w:rPr>
            </w:pPr>
            <w:r w:rsidRPr="00CA58C6">
              <w:rPr>
                <w:u w:val="single"/>
                <w:lang w:val="en-GB"/>
              </w:rPr>
              <w:t>42,2</w:t>
            </w:r>
            <w:r w:rsidR="00C8792E">
              <w:rPr>
                <w:u w:val="single"/>
                <w:lang w:val="en-GB"/>
              </w:rPr>
              <w:t> </w:t>
            </w:r>
            <w:r w:rsidRPr="00CA58C6">
              <w:rPr>
                <w:u w:val="single"/>
                <w:lang w:val="en-GB"/>
              </w:rPr>
              <w:t>±</w:t>
            </w:r>
            <w:r w:rsidR="00C8792E">
              <w:rPr>
                <w:u w:val="single"/>
                <w:lang w:val="en-GB"/>
              </w:rPr>
              <w:t> </w:t>
            </w:r>
            <w:r w:rsidRPr="00CA58C6">
              <w:rPr>
                <w:u w:val="single"/>
                <w:lang w:val="en-GB"/>
              </w:rPr>
              <w:t>13,4</w:t>
            </w:r>
          </w:p>
        </w:tc>
        <w:tc>
          <w:tcPr>
            <w:tcW w:w="2977" w:type="dxa"/>
            <w:tcBorders>
              <w:top w:val="single" w:sz="4" w:space="0" w:color="auto"/>
              <w:left w:val="single" w:sz="4" w:space="0" w:color="auto"/>
              <w:bottom w:val="single" w:sz="4" w:space="0" w:color="auto"/>
              <w:right w:val="single" w:sz="4" w:space="0" w:color="auto"/>
            </w:tcBorders>
            <w:hideMark/>
          </w:tcPr>
          <w:p w14:paraId="5CFBBB5A" w14:textId="641BC1AB" w:rsidR="00CA58C6" w:rsidRPr="00CA58C6" w:rsidRDefault="00CA58C6" w:rsidP="003569D6">
            <w:pPr>
              <w:keepNext/>
              <w:keepLines/>
              <w:jc w:val="center"/>
              <w:rPr>
                <w:u w:val="single"/>
                <w:lang w:val="en-GB"/>
              </w:rPr>
            </w:pPr>
            <w:r w:rsidRPr="00CA58C6">
              <w:rPr>
                <w:u w:val="single"/>
                <w:lang w:val="en-GB"/>
              </w:rPr>
              <w:t>31,6</w:t>
            </w:r>
            <w:r w:rsidR="00C8792E">
              <w:rPr>
                <w:u w:val="single"/>
                <w:lang w:val="en-GB"/>
              </w:rPr>
              <w:t> </w:t>
            </w:r>
            <w:r w:rsidRPr="00CA58C6">
              <w:rPr>
                <w:u w:val="single"/>
                <w:lang w:val="en-GB"/>
              </w:rPr>
              <w:sym w:font="Symbol" w:char="F0B1"/>
            </w:r>
            <w:r w:rsidRPr="00CA58C6">
              <w:rPr>
                <w:u w:val="single"/>
                <w:lang w:val="en-GB"/>
              </w:rPr>
              <w:t>  7,84</w:t>
            </w:r>
          </w:p>
        </w:tc>
      </w:tr>
      <w:tr w:rsidR="00CA58C6" w:rsidRPr="00CA58C6" w14:paraId="6717ED40" w14:textId="77777777" w:rsidTr="00380380">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B8D518E" w14:textId="77777777" w:rsidR="00CA58C6" w:rsidRPr="00CA58C6" w:rsidRDefault="00CA58C6" w:rsidP="003569D6">
            <w:pPr>
              <w:keepNext/>
              <w:keepLines/>
            </w:pPr>
            <w:r w:rsidRPr="00CA58C6">
              <w:t>C</w:t>
            </w:r>
            <w:r w:rsidRPr="00CA58C6">
              <w:rPr>
                <w:vertAlign w:val="subscript"/>
              </w:rPr>
              <w:t xml:space="preserve">max </w:t>
            </w:r>
            <w:r w:rsidRPr="00CA58C6">
              <w:t>acumulada</w:t>
            </w:r>
          </w:p>
        </w:tc>
        <w:tc>
          <w:tcPr>
            <w:tcW w:w="2977" w:type="dxa"/>
            <w:tcBorders>
              <w:top w:val="single" w:sz="4" w:space="0" w:color="auto"/>
              <w:left w:val="single" w:sz="4" w:space="0" w:color="auto"/>
              <w:bottom w:val="single" w:sz="4" w:space="0" w:color="auto"/>
              <w:right w:val="single" w:sz="4" w:space="0" w:color="auto"/>
            </w:tcBorders>
          </w:tcPr>
          <w:p w14:paraId="377E8A74" w14:textId="77777777" w:rsidR="00CA58C6" w:rsidRPr="00CA58C6" w:rsidRDefault="00CA58C6" w:rsidP="003569D6">
            <w:pPr>
              <w:keepNext/>
              <w:keepLines/>
              <w:jc w:val="center"/>
              <w:rPr>
                <w:u w:val="single"/>
                <w:lang w:val="en-GB"/>
              </w:rPr>
            </w:pPr>
            <w:r w:rsidRPr="00CA58C6">
              <w:rPr>
                <w:u w:val="single"/>
                <w:lang w:val="en-GB"/>
              </w:rPr>
              <w:t>1,04</w:t>
            </w:r>
          </w:p>
        </w:tc>
        <w:tc>
          <w:tcPr>
            <w:tcW w:w="2977" w:type="dxa"/>
            <w:tcBorders>
              <w:top w:val="single" w:sz="4" w:space="0" w:color="auto"/>
              <w:left w:val="single" w:sz="4" w:space="0" w:color="auto"/>
              <w:bottom w:val="single" w:sz="4" w:space="0" w:color="auto"/>
              <w:right w:val="single" w:sz="4" w:space="0" w:color="auto"/>
            </w:tcBorders>
          </w:tcPr>
          <w:p w14:paraId="0C926421" w14:textId="77777777" w:rsidR="00CA58C6" w:rsidRPr="00CA58C6" w:rsidRDefault="00CA58C6" w:rsidP="003569D6">
            <w:pPr>
              <w:keepNext/>
              <w:keepLines/>
              <w:jc w:val="center"/>
              <w:rPr>
                <w:u w:val="single"/>
                <w:lang w:val="en-GB"/>
              </w:rPr>
            </w:pPr>
            <w:r w:rsidRPr="00CA58C6">
              <w:rPr>
                <w:u w:val="single"/>
                <w:lang w:val="en-GB"/>
              </w:rPr>
              <w:t>1,01</w:t>
            </w:r>
          </w:p>
        </w:tc>
      </w:tr>
      <w:tr w:rsidR="00CA58C6" w:rsidRPr="00CA58C6" w14:paraId="4A3CB8B4" w14:textId="77777777" w:rsidTr="00380380">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1BF590FC" w14:textId="77777777" w:rsidR="00CA58C6" w:rsidRPr="00CA58C6" w:rsidRDefault="00CA58C6" w:rsidP="003569D6">
            <w:pPr>
              <w:keepNext/>
              <w:keepLines/>
            </w:pPr>
            <w:r w:rsidRPr="00CA58C6">
              <w:t>C</w:t>
            </w:r>
            <w:r w:rsidRPr="00CA58C6">
              <w:rPr>
                <w:vertAlign w:val="subscript"/>
              </w:rPr>
              <w:t xml:space="preserve">min </w:t>
            </w:r>
            <w:r w:rsidRPr="00CA58C6">
              <w:t>acumulada</w:t>
            </w:r>
          </w:p>
        </w:tc>
        <w:tc>
          <w:tcPr>
            <w:tcW w:w="2977" w:type="dxa"/>
            <w:tcBorders>
              <w:top w:val="single" w:sz="4" w:space="0" w:color="auto"/>
              <w:left w:val="single" w:sz="4" w:space="0" w:color="auto"/>
              <w:bottom w:val="single" w:sz="4" w:space="0" w:color="auto"/>
              <w:right w:val="single" w:sz="4" w:space="0" w:color="auto"/>
            </w:tcBorders>
          </w:tcPr>
          <w:p w14:paraId="36C7DA21" w14:textId="77777777" w:rsidR="00CA58C6" w:rsidRPr="00CA58C6" w:rsidRDefault="00CA58C6" w:rsidP="003569D6">
            <w:pPr>
              <w:keepNext/>
              <w:keepLines/>
              <w:jc w:val="center"/>
              <w:rPr>
                <w:u w:val="single"/>
                <w:lang w:val="en-GB"/>
              </w:rPr>
            </w:pPr>
            <w:r w:rsidRPr="00CA58C6">
              <w:rPr>
                <w:u w:val="single"/>
                <w:lang w:val="en-GB"/>
              </w:rPr>
              <w:t>2,22</w:t>
            </w:r>
          </w:p>
        </w:tc>
        <w:tc>
          <w:tcPr>
            <w:tcW w:w="2977" w:type="dxa"/>
            <w:tcBorders>
              <w:top w:val="single" w:sz="4" w:space="0" w:color="auto"/>
              <w:left w:val="single" w:sz="4" w:space="0" w:color="auto"/>
              <w:bottom w:val="single" w:sz="4" w:space="0" w:color="auto"/>
              <w:right w:val="single" w:sz="4" w:space="0" w:color="auto"/>
            </w:tcBorders>
          </w:tcPr>
          <w:p w14:paraId="2C0801E0" w14:textId="77777777" w:rsidR="00CA58C6" w:rsidRPr="00CA58C6" w:rsidRDefault="00CA58C6" w:rsidP="003569D6">
            <w:pPr>
              <w:keepNext/>
              <w:keepLines/>
              <w:jc w:val="center"/>
              <w:rPr>
                <w:u w:val="single"/>
                <w:lang w:val="en-GB"/>
              </w:rPr>
            </w:pPr>
            <w:r w:rsidRPr="00CA58C6">
              <w:rPr>
                <w:u w:val="single"/>
                <w:lang w:val="en-GB"/>
              </w:rPr>
              <w:t>1,43</w:t>
            </w:r>
          </w:p>
        </w:tc>
      </w:tr>
      <w:tr w:rsidR="00CA58C6" w:rsidRPr="00CA58C6" w14:paraId="1ED3BF38" w14:textId="77777777" w:rsidTr="00380380">
        <w:trPr>
          <w:cantSplit/>
          <w:trHeight w:val="331"/>
        </w:trPr>
        <w:tc>
          <w:tcPr>
            <w:tcW w:w="2835" w:type="dxa"/>
            <w:tcBorders>
              <w:top w:val="single" w:sz="4" w:space="0" w:color="auto"/>
              <w:left w:val="single" w:sz="4" w:space="0" w:color="auto"/>
              <w:bottom w:val="single" w:sz="4" w:space="0" w:color="auto"/>
              <w:right w:val="single" w:sz="4" w:space="0" w:color="auto"/>
            </w:tcBorders>
          </w:tcPr>
          <w:p w14:paraId="1686B26D" w14:textId="77777777" w:rsidR="00CA58C6" w:rsidRPr="00CA58C6" w:rsidRDefault="00CA58C6" w:rsidP="003569D6">
            <w:pPr>
              <w:keepNext/>
              <w:keepLines/>
            </w:pPr>
            <w:r w:rsidRPr="00CA58C6">
              <w:t>C</w:t>
            </w:r>
            <w:r w:rsidRPr="00CA58C6">
              <w:rPr>
                <w:vertAlign w:val="subscript"/>
              </w:rPr>
              <w:t>media</w:t>
            </w:r>
            <w:r w:rsidRPr="00CA58C6">
              <w:t xml:space="preserve"> acumulada o AUC</w:t>
            </w:r>
            <w:r w:rsidRPr="00CA58C6">
              <w:rPr>
                <w:vertAlign w:val="subscript"/>
              </w:rPr>
              <w:t>τ</w:t>
            </w:r>
            <w:r w:rsidRPr="00CA58C6">
              <w:t>*</w:t>
            </w:r>
          </w:p>
        </w:tc>
        <w:tc>
          <w:tcPr>
            <w:tcW w:w="2977" w:type="dxa"/>
            <w:tcBorders>
              <w:top w:val="single" w:sz="4" w:space="0" w:color="auto"/>
              <w:left w:val="single" w:sz="4" w:space="0" w:color="auto"/>
              <w:bottom w:val="single" w:sz="4" w:space="0" w:color="auto"/>
              <w:right w:val="single" w:sz="4" w:space="0" w:color="auto"/>
            </w:tcBorders>
          </w:tcPr>
          <w:p w14:paraId="4877BBB1" w14:textId="77777777" w:rsidR="00CA58C6" w:rsidRPr="00CA58C6" w:rsidRDefault="00CA58C6" w:rsidP="003569D6">
            <w:pPr>
              <w:keepNext/>
              <w:keepLines/>
              <w:jc w:val="center"/>
              <w:rPr>
                <w:u w:val="single"/>
                <w:lang w:val="en-GB"/>
              </w:rPr>
            </w:pPr>
            <w:r w:rsidRPr="00CA58C6">
              <w:rPr>
                <w:u w:val="single"/>
                <w:lang w:val="en-GB"/>
              </w:rPr>
              <w:t>1,16</w:t>
            </w:r>
          </w:p>
        </w:tc>
        <w:tc>
          <w:tcPr>
            <w:tcW w:w="2977" w:type="dxa"/>
            <w:tcBorders>
              <w:top w:val="single" w:sz="4" w:space="0" w:color="auto"/>
              <w:left w:val="single" w:sz="4" w:space="0" w:color="auto"/>
              <w:bottom w:val="single" w:sz="4" w:space="0" w:color="auto"/>
              <w:right w:val="single" w:sz="4" w:space="0" w:color="auto"/>
            </w:tcBorders>
          </w:tcPr>
          <w:p w14:paraId="346842B4" w14:textId="77777777" w:rsidR="00CA58C6" w:rsidRPr="00CA58C6" w:rsidRDefault="00CA58C6" w:rsidP="003569D6">
            <w:pPr>
              <w:keepNext/>
              <w:keepLines/>
              <w:jc w:val="center"/>
              <w:rPr>
                <w:u w:val="single"/>
                <w:lang w:val="en-GB"/>
              </w:rPr>
            </w:pPr>
            <w:r w:rsidRPr="00CA58C6">
              <w:rPr>
                <w:u w:val="single"/>
                <w:lang w:val="en-GB"/>
              </w:rPr>
              <w:t>1,05</w:t>
            </w:r>
          </w:p>
        </w:tc>
      </w:tr>
    </w:tbl>
    <w:p w14:paraId="3C5B9A4A" w14:textId="17E198D6" w:rsidR="00CA58C6" w:rsidRPr="00F30AB8" w:rsidRDefault="00CA58C6" w:rsidP="003569D6">
      <w:pPr>
        <w:keepNext/>
        <w:keepLines/>
        <w:rPr>
          <w:sz w:val="18"/>
          <w:szCs w:val="18"/>
          <w:lang w:val="es-ES"/>
        </w:rPr>
      </w:pPr>
      <w:r w:rsidRPr="00F30AB8">
        <w:rPr>
          <w:sz w:val="18"/>
          <w:szCs w:val="18"/>
          <w:lang w:val="es-ES"/>
        </w:rPr>
        <w:t>*</w:t>
      </w:r>
      <w:r w:rsidRPr="00F30AB8">
        <w:rPr>
          <w:sz w:val="18"/>
          <w:szCs w:val="18"/>
          <w:lang w:val="en-GB"/>
        </w:rPr>
        <w:t>τ</w:t>
      </w:r>
      <w:r w:rsidRPr="00F30AB8">
        <w:rPr>
          <w:sz w:val="18"/>
          <w:szCs w:val="18"/>
          <w:lang w:val="es-ES"/>
        </w:rPr>
        <w:t xml:space="preserve"> =4 semanas para los regimen</w:t>
      </w:r>
      <w:r w:rsidR="00F97391" w:rsidRPr="00F30AB8">
        <w:rPr>
          <w:sz w:val="18"/>
          <w:szCs w:val="18"/>
          <w:lang w:val="es-ES"/>
        </w:rPr>
        <w:t>e</w:t>
      </w:r>
      <w:r w:rsidRPr="00F30AB8">
        <w:rPr>
          <w:sz w:val="18"/>
          <w:szCs w:val="18"/>
          <w:lang w:val="es-ES"/>
        </w:rPr>
        <w:t xml:space="preserve">s </w:t>
      </w:r>
      <w:r w:rsidR="00476616" w:rsidRPr="00F30AB8">
        <w:rPr>
          <w:sz w:val="18"/>
          <w:szCs w:val="18"/>
          <w:lang w:val="es-ES"/>
        </w:rPr>
        <w:t>intravenosos</w:t>
      </w:r>
      <w:r w:rsidRPr="00F30AB8">
        <w:rPr>
          <w:sz w:val="18"/>
          <w:szCs w:val="18"/>
          <w:lang w:val="es-ES"/>
        </w:rPr>
        <w:t xml:space="preserve"> </w:t>
      </w:r>
    </w:p>
    <w:p w14:paraId="213AE5A5" w14:textId="77777777" w:rsidR="00CA58C6" w:rsidRPr="00E576A0" w:rsidRDefault="00CA58C6" w:rsidP="00CA58C6">
      <w:pPr>
        <w:rPr>
          <w:lang w:val="es-ES"/>
        </w:rPr>
      </w:pPr>
    </w:p>
    <w:p w14:paraId="6B88BFD5" w14:textId="6F00452C" w:rsidR="00CA58C6" w:rsidRPr="00CA58C6" w:rsidRDefault="00CA58C6" w:rsidP="00CA58C6">
      <w:pPr>
        <w:rPr>
          <w:lang w:val="es-ES"/>
        </w:rPr>
      </w:pPr>
      <w:r w:rsidRPr="00CA58C6">
        <w:rPr>
          <w:lang w:val="es-ES"/>
        </w:rPr>
        <w:t xml:space="preserve">Después de la administración de la dosis </w:t>
      </w:r>
      <w:r w:rsidR="00205482">
        <w:rPr>
          <w:lang w:val="es-ES"/>
        </w:rPr>
        <w:t>intravenosa</w:t>
      </w:r>
      <w:r w:rsidR="00205482" w:rsidRPr="00CA58C6">
        <w:rPr>
          <w:lang w:val="es-ES"/>
        </w:rPr>
        <w:t xml:space="preserve"> </w:t>
      </w:r>
      <w:r w:rsidRPr="00CA58C6">
        <w:rPr>
          <w:lang w:val="es-ES"/>
        </w:rPr>
        <w:t>de 10</w:t>
      </w:r>
      <w:r w:rsidR="00205482" w:rsidRPr="008A106B">
        <w:rPr>
          <w:lang w:val="es-ES_tradnl"/>
        </w:rPr>
        <w:t> </w:t>
      </w:r>
      <w:r w:rsidRPr="00CA58C6">
        <w:rPr>
          <w:lang w:val="es-ES"/>
        </w:rPr>
        <w:t>mg/kg (</w:t>
      </w:r>
      <w:r w:rsidR="00205482">
        <w:rPr>
          <w:lang w:val="es-ES"/>
        </w:rPr>
        <w:t>peso corporal</w:t>
      </w:r>
      <w:r w:rsidR="00205482" w:rsidRPr="00CA58C6">
        <w:rPr>
          <w:lang w:val="es-ES"/>
        </w:rPr>
        <w:t xml:space="preserve"> </w:t>
      </w:r>
      <w:r w:rsidRPr="00CA58C6">
        <w:rPr>
          <w:lang w:val="es-ES"/>
        </w:rPr>
        <w:t>&lt;</w:t>
      </w:r>
      <w:r w:rsidR="00205482" w:rsidRPr="008A106B">
        <w:rPr>
          <w:lang w:val="es-ES_tradnl"/>
        </w:rPr>
        <w:t> </w:t>
      </w:r>
      <w:r w:rsidRPr="00CA58C6">
        <w:rPr>
          <w:lang w:val="es-ES"/>
        </w:rPr>
        <w:t>30</w:t>
      </w:r>
      <w:r w:rsidR="00205482" w:rsidRPr="008A106B">
        <w:rPr>
          <w:lang w:val="es-ES_tradnl"/>
        </w:rPr>
        <w:t> </w:t>
      </w:r>
      <w:r w:rsidRPr="00CA58C6">
        <w:rPr>
          <w:lang w:val="es-ES"/>
        </w:rPr>
        <w:t>kg), aproximadamente el 90</w:t>
      </w:r>
      <w:ins w:id="750" w:author="AUTHOR">
        <w:r w:rsidR="003E29DD" w:rsidRPr="00467FFD">
          <w:rPr>
            <w:b/>
            <w:lang w:val="es-ES"/>
            <w:rPrChange w:id="751" w:author="AUTHOR">
              <w:rPr>
                <w:b/>
                <w:lang w:val="en-GB"/>
              </w:rPr>
            </w:rPrChange>
          </w:rPr>
          <w:t> </w:t>
        </w:r>
      </w:ins>
      <w:r w:rsidRPr="00CA58C6">
        <w:rPr>
          <w:lang w:val="es-ES"/>
        </w:rPr>
        <w:t>% del estado estacionario se alcanzó en la semana</w:t>
      </w:r>
      <w:r w:rsidR="00205482" w:rsidRPr="008A106B">
        <w:rPr>
          <w:lang w:val="es-ES_tradnl"/>
        </w:rPr>
        <w:t> </w:t>
      </w:r>
      <w:r w:rsidRPr="00CA58C6">
        <w:rPr>
          <w:lang w:val="es-ES"/>
        </w:rPr>
        <w:t>12 y en la semana</w:t>
      </w:r>
      <w:r w:rsidR="00205482" w:rsidRPr="008A106B">
        <w:rPr>
          <w:lang w:val="es-ES_tradnl"/>
        </w:rPr>
        <w:t> </w:t>
      </w:r>
      <w:r w:rsidRPr="00CA58C6">
        <w:rPr>
          <w:lang w:val="es-ES"/>
        </w:rPr>
        <w:t>16 para la dosis de 8</w:t>
      </w:r>
      <w:r w:rsidR="00205482" w:rsidRPr="008A106B">
        <w:rPr>
          <w:lang w:val="es-ES_tradnl"/>
        </w:rPr>
        <w:t> </w:t>
      </w:r>
      <w:r w:rsidRPr="00CA58C6">
        <w:rPr>
          <w:lang w:val="es-ES"/>
        </w:rPr>
        <w:t>mg/kg (</w:t>
      </w:r>
      <w:r w:rsidR="00476616">
        <w:rPr>
          <w:lang w:val="es-ES"/>
        </w:rPr>
        <w:t>peso co</w:t>
      </w:r>
      <w:r w:rsidR="00205482">
        <w:rPr>
          <w:lang w:val="es-ES"/>
        </w:rPr>
        <w:t>rporal</w:t>
      </w:r>
      <w:r w:rsidRPr="00CA58C6">
        <w:rPr>
          <w:lang w:val="es-ES"/>
        </w:rPr>
        <w:t xml:space="preserve"> ≥</w:t>
      </w:r>
      <w:r w:rsidR="00205482" w:rsidRPr="008A106B">
        <w:rPr>
          <w:lang w:val="es-ES_tradnl"/>
        </w:rPr>
        <w:t> </w:t>
      </w:r>
      <w:r w:rsidRPr="00CA58C6">
        <w:rPr>
          <w:lang w:val="es-ES"/>
        </w:rPr>
        <w:t>30</w:t>
      </w:r>
      <w:r w:rsidR="00205482" w:rsidRPr="008A106B">
        <w:rPr>
          <w:lang w:val="es-ES_tradnl"/>
        </w:rPr>
        <w:t> </w:t>
      </w:r>
      <w:r w:rsidRPr="00CA58C6">
        <w:rPr>
          <w:lang w:val="es-ES"/>
        </w:rPr>
        <w:t>kg).</w:t>
      </w:r>
    </w:p>
    <w:p w14:paraId="783446DC" w14:textId="77777777" w:rsidR="00CA58C6" w:rsidRPr="008A106B" w:rsidRDefault="00CA58C6" w:rsidP="007927FC">
      <w:pPr>
        <w:rPr>
          <w:lang w:val="es-ES"/>
        </w:rPr>
      </w:pPr>
    </w:p>
    <w:p w14:paraId="088F6920" w14:textId="4D7331E6" w:rsidR="007927FC" w:rsidRPr="008A106B" w:rsidRDefault="007927FC" w:rsidP="007927FC">
      <w:pPr>
        <w:rPr>
          <w:lang w:val="es-ES"/>
        </w:rPr>
      </w:pPr>
      <w:r w:rsidRPr="008A106B">
        <w:rPr>
          <w:lang w:val="es-ES"/>
        </w:rPr>
        <w:lastRenderedPageBreak/>
        <w:t>La semivida de tocilizumab en pacientes con AIJp es de hasta 16</w:t>
      </w:r>
      <w:r w:rsidR="00205482" w:rsidRPr="008A106B">
        <w:rPr>
          <w:lang w:val="es-ES_tradnl"/>
        </w:rPr>
        <w:t> </w:t>
      </w:r>
      <w:r w:rsidRPr="008A106B">
        <w:rPr>
          <w:lang w:val="es-ES"/>
        </w:rPr>
        <w:t>días para las dos categorías de peso (8 mg/kg para pesos ≥</w:t>
      </w:r>
      <w:r w:rsidR="00205482" w:rsidRPr="008A106B">
        <w:rPr>
          <w:lang w:val="es-ES_tradnl"/>
        </w:rPr>
        <w:t> </w:t>
      </w:r>
      <w:r w:rsidRPr="008A106B">
        <w:rPr>
          <w:lang w:val="es-ES"/>
        </w:rPr>
        <w:t>30 kg o 10 mg/kg para pesos &lt;</w:t>
      </w:r>
      <w:r w:rsidR="00205482" w:rsidRPr="008A106B">
        <w:rPr>
          <w:lang w:val="es-ES_tradnl"/>
        </w:rPr>
        <w:t> </w:t>
      </w:r>
      <w:r w:rsidRPr="008A106B">
        <w:rPr>
          <w:lang w:val="es-ES"/>
        </w:rPr>
        <w:t xml:space="preserve">30 kg) durante un intervalo de dosis en estado </w:t>
      </w:r>
      <w:r>
        <w:rPr>
          <w:lang w:val="es-ES"/>
        </w:rPr>
        <w:t>estacionario</w:t>
      </w:r>
      <w:r w:rsidRPr="008A106B">
        <w:rPr>
          <w:lang w:val="es-ES"/>
        </w:rPr>
        <w:t>.</w:t>
      </w:r>
    </w:p>
    <w:p w14:paraId="00C0A634" w14:textId="77777777" w:rsidR="007927FC" w:rsidRPr="008A106B" w:rsidRDefault="007927FC" w:rsidP="007927FC">
      <w:pPr>
        <w:textAlignment w:val="top"/>
        <w:rPr>
          <w:lang w:val="es-ES"/>
        </w:rPr>
      </w:pPr>
    </w:p>
    <w:p w14:paraId="79B4C77E" w14:textId="77777777" w:rsidR="007927FC" w:rsidRPr="008A106B" w:rsidRDefault="007927FC" w:rsidP="007927FC">
      <w:pPr>
        <w:keepNext/>
        <w:keepLines/>
        <w:ind w:left="567" w:hanging="567"/>
        <w:outlineLvl w:val="0"/>
        <w:rPr>
          <w:lang w:val="es-ES"/>
        </w:rPr>
      </w:pPr>
      <w:r w:rsidRPr="008A106B">
        <w:rPr>
          <w:b/>
          <w:bCs/>
          <w:lang w:val="es-ES"/>
        </w:rPr>
        <w:t>5.3</w:t>
      </w:r>
      <w:r w:rsidRPr="008A106B">
        <w:rPr>
          <w:b/>
          <w:bCs/>
          <w:lang w:val="es-ES"/>
        </w:rPr>
        <w:tab/>
      </w:r>
      <w:r w:rsidRPr="008A106B">
        <w:rPr>
          <w:b/>
          <w:bCs/>
          <w:lang w:val="es-ES_tradnl"/>
        </w:rPr>
        <w:t>Datos preclínicos sobre seguridad</w:t>
      </w:r>
    </w:p>
    <w:p w14:paraId="27562C3B" w14:textId="77777777" w:rsidR="007927FC" w:rsidRPr="008A106B" w:rsidRDefault="007927FC" w:rsidP="007927FC">
      <w:pPr>
        <w:keepNext/>
        <w:keepLines/>
        <w:rPr>
          <w:lang w:val="es-ES"/>
        </w:rPr>
      </w:pPr>
    </w:p>
    <w:p w14:paraId="2FEB9167" w14:textId="52EDB18F" w:rsidR="007927FC" w:rsidRPr="008A106B" w:rsidRDefault="007927FC" w:rsidP="007927FC">
      <w:pPr>
        <w:rPr>
          <w:lang w:val="es-ES"/>
        </w:rPr>
      </w:pPr>
      <w:r w:rsidRPr="008A106B">
        <w:rPr>
          <w:lang w:val="es-ES_tradnl"/>
        </w:rPr>
        <w:t xml:space="preserve">Los datos </w:t>
      </w:r>
      <w:r w:rsidR="00897B40">
        <w:rPr>
          <w:lang w:val="es-ES_tradnl"/>
        </w:rPr>
        <w:t>pre</w:t>
      </w:r>
      <w:r w:rsidRPr="008A106B">
        <w:rPr>
          <w:lang w:val="es-ES_tradnl"/>
        </w:rPr>
        <w:t xml:space="preserve">clínicos no </w:t>
      </w:r>
      <w:r w:rsidR="001D5582">
        <w:rPr>
          <w:lang w:val="es-ES_tradnl"/>
        </w:rPr>
        <w:t>muestran riesgos especiales</w:t>
      </w:r>
      <w:r w:rsidRPr="008A106B">
        <w:rPr>
          <w:lang w:val="es-ES_tradnl"/>
        </w:rPr>
        <w:t xml:space="preserve"> para los seres humanos </w:t>
      </w:r>
      <w:r w:rsidR="001D5582">
        <w:rPr>
          <w:lang w:val="es-ES_tradnl"/>
        </w:rPr>
        <w:t>según los</w:t>
      </w:r>
      <w:r w:rsidRPr="008A106B">
        <w:rPr>
          <w:lang w:val="es-ES_tradnl"/>
        </w:rPr>
        <w:t xml:space="preserve"> </w:t>
      </w:r>
      <w:del w:id="752" w:author="AUTHOR">
        <w:r w:rsidRPr="008A106B" w:rsidDel="00A93547">
          <w:rPr>
            <w:lang w:val="es-ES_tradnl"/>
          </w:rPr>
          <w:delText xml:space="preserve">estudios </w:delText>
        </w:r>
      </w:del>
      <w:ins w:id="753" w:author="AUTHOR">
        <w:r w:rsidR="00A93547">
          <w:rPr>
            <w:lang w:val="es-ES_tradnl"/>
          </w:rPr>
          <w:t>ensayos</w:t>
        </w:r>
        <w:r w:rsidR="00A93547" w:rsidRPr="008A106B">
          <w:rPr>
            <w:lang w:val="es-ES_tradnl"/>
          </w:rPr>
          <w:t xml:space="preserve"> </w:t>
        </w:r>
      </w:ins>
      <w:r w:rsidRPr="008A106B">
        <w:rPr>
          <w:lang w:val="es-ES_tradnl"/>
        </w:rPr>
        <w:t xml:space="preserve">convencionales </w:t>
      </w:r>
      <w:r w:rsidR="001D5582">
        <w:rPr>
          <w:lang w:val="es-ES_tradnl"/>
        </w:rPr>
        <w:t>de</w:t>
      </w:r>
      <w:r w:rsidRPr="008A106B">
        <w:rPr>
          <w:lang w:val="es-ES_tradnl"/>
        </w:rPr>
        <w:t xml:space="preserve"> farmacología de seguridad, toxicidad </w:t>
      </w:r>
      <w:r w:rsidR="001D5582">
        <w:rPr>
          <w:lang w:val="es-ES_tradnl"/>
        </w:rPr>
        <w:t>a</w:t>
      </w:r>
      <w:r w:rsidRPr="008A106B">
        <w:rPr>
          <w:lang w:val="es-ES_tradnl"/>
        </w:rPr>
        <w:t xml:space="preserve"> dosis repetidas y genotoxicidad.</w:t>
      </w:r>
      <w:r w:rsidRPr="008A106B">
        <w:rPr>
          <w:lang w:val="es-ES"/>
        </w:rPr>
        <w:t xml:space="preserve"> </w:t>
      </w:r>
    </w:p>
    <w:p w14:paraId="7B35D835" w14:textId="77777777" w:rsidR="007927FC" w:rsidRPr="008A106B" w:rsidRDefault="007927FC" w:rsidP="007927FC">
      <w:pPr>
        <w:rPr>
          <w:bCs/>
          <w:lang w:val="es-ES"/>
        </w:rPr>
      </w:pPr>
    </w:p>
    <w:p w14:paraId="5BB46782" w14:textId="77777777" w:rsidR="007927FC" w:rsidRPr="008A106B" w:rsidRDefault="007927FC" w:rsidP="007927FC">
      <w:pPr>
        <w:rPr>
          <w:lang w:val="es-ES"/>
        </w:rPr>
      </w:pPr>
      <w:r w:rsidRPr="008A106B">
        <w:rPr>
          <w:lang w:val="es-ES_tradnl"/>
        </w:rPr>
        <w:t xml:space="preserve">No se realizaron estudios de carcinogenia dado que los anticuerpos monoclonales IgG1 no se consideran potencialmente carcinogénicos. </w:t>
      </w:r>
      <w:r w:rsidRPr="008A106B">
        <w:rPr>
          <w:lang w:val="es-ES"/>
        </w:rPr>
        <w:t xml:space="preserve"> </w:t>
      </w:r>
    </w:p>
    <w:p w14:paraId="32F3C29D" w14:textId="77777777" w:rsidR="007927FC" w:rsidRPr="008A106B" w:rsidRDefault="007927FC" w:rsidP="007927FC">
      <w:pPr>
        <w:rPr>
          <w:lang w:val="es-ES"/>
        </w:rPr>
      </w:pPr>
    </w:p>
    <w:p w14:paraId="4C7DD973" w14:textId="693E6C49" w:rsidR="007927FC" w:rsidRPr="008A106B" w:rsidRDefault="007927FC" w:rsidP="007927FC">
      <w:pPr>
        <w:rPr>
          <w:lang w:val="es-ES"/>
        </w:rPr>
      </w:pPr>
      <w:r w:rsidRPr="008A106B">
        <w:rPr>
          <w:lang w:val="es-ES_tradnl"/>
        </w:rPr>
        <w:t xml:space="preserve">Los datos </w:t>
      </w:r>
      <w:r w:rsidR="00DA2AD7">
        <w:rPr>
          <w:lang w:val="es-ES_tradnl"/>
        </w:rPr>
        <w:t xml:space="preserve">de los </w:t>
      </w:r>
      <w:del w:id="754" w:author="AUTHOR">
        <w:r w:rsidR="00DA2AD7" w:rsidDel="00A93547">
          <w:rPr>
            <w:lang w:val="es-ES_tradnl"/>
          </w:rPr>
          <w:delText>estudios</w:delText>
        </w:r>
        <w:bookmarkStart w:id="755" w:name="_Hlk207629339"/>
        <w:r w:rsidR="00DA2AD7" w:rsidDel="00A93547">
          <w:rPr>
            <w:lang w:val="es-ES_tradnl"/>
          </w:rPr>
          <w:delText xml:space="preserve"> </w:delText>
        </w:r>
      </w:del>
      <w:ins w:id="756" w:author="AUTHOR">
        <w:r w:rsidR="00A93547">
          <w:rPr>
            <w:lang w:val="es-ES_tradnl"/>
          </w:rPr>
          <w:t>ensayos</w:t>
        </w:r>
        <w:bookmarkEnd w:id="755"/>
        <w:r w:rsidR="00A93547">
          <w:rPr>
            <w:lang w:val="es-ES_tradnl"/>
          </w:rPr>
          <w:t xml:space="preserve"> </w:t>
        </w:r>
        <w:r w:rsidR="00522B20" w:rsidRPr="00522B20">
          <w:rPr>
            <w:lang w:val="es-ES_tradnl"/>
          </w:rPr>
          <w:t>preclínico</w:t>
        </w:r>
        <w:r w:rsidR="00522B20">
          <w:rPr>
            <w:lang w:val="es-ES_tradnl"/>
          </w:rPr>
          <w:t>s</w:t>
        </w:r>
      </w:ins>
      <w:del w:id="757" w:author="AUTHOR">
        <w:r w:rsidRPr="008A106B" w:rsidDel="00522B20">
          <w:rPr>
            <w:lang w:val="es-ES_tradnl"/>
          </w:rPr>
          <w:delText>no</w:delText>
        </w:r>
        <w:r w:rsidR="00DA2AD7" w:rsidDel="00522B20">
          <w:rPr>
            <w:lang w:val="es-ES_tradnl"/>
          </w:rPr>
          <w:delText xml:space="preserve"> </w:delText>
        </w:r>
        <w:r w:rsidRPr="008A106B" w:rsidDel="00522B20">
          <w:rPr>
            <w:lang w:val="es-ES_tradnl"/>
          </w:rPr>
          <w:delText>clínicos</w:delText>
        </w:r>
      </w:del>
      <w:r w:rsidRPr="008A106B">
        <w:rPr>
          <w:lang w:val="es-ES_tradnl"/>
        </w:rPr>
        <w:t xml:space="preserve"> disponibles demostraron el efecto de IL-6 a la progresión maligna y la resistencia a la apoptosis de diversos tipos de cáncer, estos datos no sugieren un riesgo relevante para la iniciación y la progresión del cáncer bajo tratamiento con tocilizumab. Además, no se observaron lesiones proliferativas en un estudio crónico, de 6 meses, de toxicidad en macacos o en ratones con deficiencia de IL-6. </w:t>
      </w:r>
    </w:p>
    <w:p w14:paraId="130BF782" w14:textId="77777777" w:rsidR="007927FC" w:rsidRPr="008A106B" w:rsidRDefault="007927FC" w:rsidP="007927FC">
      <w:pPr>
        <w:rPr>
          <w:lang w:val="es-ES"/>
        </w:rPr>
      </w:pPr>
    </w:p>
    <w:p w14:paraId="4D22EAD3" w14:textId="52A1E977" w:rsidR="007927FC" w:rsidRPr="008A106B" w:rsidRDefault="007927FC" w:rsidP="007927FC">
      <w:pPr>
        <w:rPr>
          <w:lang w:val="es-ES"/>
        </w:rPr>
      </w:pPr>
      <w:r w:rsidRPr="008A106B">
        <w:rPr>
          <w:lang w:val="es-ES_tradnl"/>
        </w:rPr>
        <w:t xml:space="preserve">Los datos </w:t>
      </w:r>
      <w:r w:rsidR="00DA2AD7">
        <w:rPr>
          <w:lang w:val="es-ES_tradnl"/>
        </w:rPr>
        <w:t xml:space="preserve">de los </w:t>
      </w:r>
      <w:del w:id="758" w:author="AUTHOR">
        <w:r w:rsidR="00DA2AD7" w:rsidDel="00522B20">
          <w:rPr>
            <w:lang w:val="es-ES_tradnl"/>
          </w:rPr>
          <w:delText xml:space="preserve">estudios </w:delText>
        </w:r>
      </w:del>
      <w:ins w:id="759" w:author="AUTHOR">
        <w:r w:rsidR="00522B20">
          <w:rPr>
            <w:lang w:val="es-ES_tradnl"/>
          </w:rPr>
          <w:t xml:space="preserve">ensayos </w:t>
        </w:r>
      </w:ins>
      <w:del w:id="760" w:author="AUTHOR">
        <w:r w:rsidRPr="008A106B" w:rsidDel="00522B20">
          <w:rPr>
            <w:lang w:val="es-ES_tradnl"/>
          </w:rPr>
          <w:delText>no</w:delText>
        </w:r>
        <w:r w:rsidR="00DA2AD7" w:rsidDel="00522B20">
          <w:rPr>
            <w:lang w:val="es-ES_tradnl"/>
          </w:rPr>
          <w:delText xml:space="preserve"> </w:delText>
        </w:r>
        <w:r w:rsidRPr="008A106B" w:rsidDel="00522B20">
          <w:rPr>
            <w:lang w:val="es-ES_tradnl"/>
          </w:rPr>
          <w:delText>clín</w:delText>
        </w:r>
      </w:del>
      <w:ins w:id="761" w:author="AUTHOR">
        <w:r w:rsidR="00522B20" w:rsidRPr="00522B20">
          <w:rPr>
            <w:lang w:val="es-ES_tradnl"/>
          </w:rPr>
          <w:t>preclínico</w:t>
        </w:r>
      </w:ins>
      <w:r w:rsidRPr="008A106B">
        <w:rPr>
          <w:lang w:val="es-ES_tradnl"/>
        </w:rPr>
        <w:t xml:space="preserve">icos disponibles no sugieren un efecto sobre la fertilidad bajo el tratamiento con tocilizumab. No se observaron efectos sobre los órganos endocrinos activos y del aparato reproductor en un </w:t>
      </w:r>
      <w:del w:id="762" w:author="AUTHOR">
        <w:r w:rsidRPr="008A106B" w:rsidDel="00A93547">
          <w:rPr>
            <w:lang w:val="es-ES_tradnl"/>
          </w:rPr>
          <w:delText xml:space="preserve">estudio </w:delText>
        </w:r>
      </w:del>
      <w:ins w:id="763" w:author="AUTHOR">
        <w:r w:rsidR="00A93547">
          <w:rPr>
            <w:lang w:val="es-ES_tradnl"/>
          </w:rPr>
          <w:t>ensayo</w:t>
        </w:r>
        <w:r w:rsidR="00A93547" w:rsidRPr="008A106B">
          <w:rPr>
            <w:lang w:val="es-ES_tradnl"/>
          </w:rPr>
          <w:t xml:space="preserve"> </w:t>
        </w:r>
      </w:ins>
      <w:r w:rsidRPr="008A106B">
        <w:rPr>
          <w:lang w:val="es-ES_tradnl"/>
        </w:rPr>
        <w:t>de toxicidad crónica en macacos y el rendimiento reproductor no se vio afectado en ratones deficitarios en IL-6. Se observó que tocilizumab administrado a macacos durante la gestación precoz no tiene efecto lesivo directo o indirecto sobre el embarazo o el desarrollo embrionario-fetal.</w:t>
      </w:r>
      <w:r w:rsidRPr="008A106B">
        <w:rPr>
          <w:lang w:val="es-ES"/>
        </w:rPr>
        <w:t xml:space="preserve"> </w:t>
      </w:r>
      <w:r w:rsidRPr="008A106B">
        <w:rPr>
          <w:lang w:val="es-ES_tradnl"/>
        </w:rPr>
        <w:t>Sin embargo, se observó un leve aumento de los abortos / las muertes embrionarias-fetales con una alta exposición sistémica (&gt; 100 x la exposición humana) en el grupo de dosis alta de 50 mg/kg/día en comparación con placebo y otros grupos de dosis bajas.</w:t>
      </w:r>
      <w:r w:rsidRPr="008A106B">
        <w:rPr>
          <w:lang w:val="es-ES"/>
        </w:rPr>
        <w:t xml:space="preserve"> </w:t>
      </w:r>
      <w:r w:rsidRPr="008A106B">
        <w:rPr>
          <w:lang w:val="es-ES_tradnl"/>
        </w:rPr>
        <w:t xml:space="preserve">Aunque la IL-6 no parece ser una citocina crítica para el crecimiento fetal o el control inmunológico </w:t>
      </w:r>
      <w:proofErr w:type="gramStart"/>
      <w:r w:rsidRPr="008A106B">
        <w:rPr>
          <w:lang w:val="es-ES_tradnl"/>
        </w:rPr>
        <w:t>de la interfaz materno</w:t>
      </w:r>
      <w:proofErr w:type="gramEnd"/>
      <w:r w:rsidRPr="008A106B">
        <w:rPr>
          <w:lang w:val="es-ES_tradnl"/>
        </w:rPr>
        <w:t>/fetal, no puede excluirse una relación de este hallazgo con tocilizumab.</w:t>
      </w:r>
    </w:p>
    <w:p w14:paraId="4F978E1F" w14:textId="77777777" w:rsidR="007927FC" w:rsidRPr="008A106B" w:rsidRDefault="007927FC" w:rsidP="007927FC">
      <w:pPr>
        <w:rPr>
          <w:lang w:val="es-ES_tradnl"/>
        </w:rPr>
      </w:pPr>
    </w:p>
    <w:p w14:paraId="04342391" w14:textId="77777777" w:rsidR="007927FC" w:rsidRPr="008A106B" w:rsidRDefault="007927FC" w:rsidP="007927FC">
      <w:pPr>
        <w:rPr>
          <w:lang w:val="es-ES"/>
        </w:rPr>
      </w:pPr>
      <w:r w:rsidRPr="008A106B">
        <w:rPr>
          <w:lang w:val="es-ES"/>
        </w:rPr>
        <w:t>El tratamiento con un análogo de murina no ha supuesto toxicidad en ratones jóvenes. En particular, no ha habido alteración en el crecimiento esquelético, la función inmune y la maduración sexual.</w:t>
      </w:r>
    </w:p>
    <w:p w14:paraId="5F451F28" w14:textId="77777777" w:rsidR="007927FC" w:rsidRPr="008A106B" w:rsidRDefault="007927FC" w:rsidP="00FF2AFA">
      <w:pPr>
        <w:spacing w:line="220" w:lineRule="exact"/>
        <w:rPr>
          <w:lang w:val="es-ES"/>
        </w:rPr>
      </w:pPr>
    </w:p>
    <w:p w14:paraId="79C9252F" w14:textId="77777777" w:rsidR="007927FC" w:rsidRPr="008A106B" w:rsidRDefault="007927FC" w:rsidP="00FF2AFA">
      <w:pPr>
        <w:spacing w:line="220" w:lineRule="exact"/>
        <w:rPr>
          <w:lang w:val="es-ES"/>
        </w:rPr>
      </w:pPr>
    </w:p>
    <w:p w14:paraId="34A46C3E" w14:textId="77777777" w:rsidR="007927FC" w:rsidRPr="008A106B" w:rsidRDefault="007927FC" w:rsidP="003569D6">
      <w:pPr>
        <w:keepNext/>
        <w:keepLines/>
        <w:ind w:left="567" w:hanging="567"/>
        <w:rPr>
          <w:b/>
          <w:bCs/>
          <w:lang w:val="es-ES"/>
        </w:rPr>
      </w:pPr>
      <w:r w:rsidRPr="008A106B">
        <w:rPr>
          <w:b/>
          <w:bCs/>
          <w:lang w:val="es-ES"/>
        </w:rPr>
        <w:t>6.</w:t>
      </w:r>
      <w:r w:rsidRPr="008A106B">
        <w:rPr>
          <w:b/>
          <w:bCs/>
          <w:lang w:val="es-ES"/>
        </w:rPr>
        <w:tab/>
      </w:r>
      <w:r w:rsidRPr="008A106B">
        <w:rPr>
          <w:b/>
          <w:bCs/>
          <w:lang w:val="es-ES_tradnl"/>
        </w:rPr>
        <w:t>DATOS FARMACÉUTICOS</w:t>
      </w:r>
    </w:p>
    <w:p w14:paraId="22D95D38" w14:textId="77777777" w:rsidR="007927FC" w:rsidRPr="008A106B" w:rsidRDefault="007927FC" w:rsidP="003569D6">
      <w:pPr>
        <w:keepNext/>
        <w:keepLines/>
        <w:rPr>
          <w:lang w:val="es-ES"/>
        </w:rPr>
      </w:pPr>
    </w:p>
    <w:p w14:paraId="07D9E6E4" w14:textId="77777777" w:rsidR="007927FC" w:rsidRPr="008A106B" w:rsidRDefault="007927FC" w:rsidP="003569D6">
      <w:pPr>
        <w:keepNext/>
        <w:keepLines/>
        <w:ind w:left="567" w:hanging="567"/>
        <w:outlineLvl w:val="0"/>
        <w:rPr>
          <w:b/>
          <w:bCs/>
          <w:lang w:val="es-ES"/>
        </w:rPr>
      </w:pPr>
      <w:r w:rsidRPr="008A106B">
        <w:rPr>
          <w:b/>
          <w:bCs/>
          <w:lang w:val="es-ES"/>
        </w:rPr>
        <w:t>6.1</w:t>
      </w:r>
      <w:r w:rsidRPr="008A106B">
        <w:rPr>
          <w:b/>
          <w:bCs/>
          <w:lang w:val="es-ES"/>
        </w:rPr>
        <w:tab/>
      </w:r>
      <w:r w:rsidRPr="008A106B">
        <w:rPr>
          <w:b/>
          <w:bCs/>
          <w:lang w:val="es-ES_tradnl"/>
        </w:rPr>
        <w:t>Lista de excipientes</w:t>
      </w:r>
    </w:p>
    <w:p w14:paraId="4D7B7F7C" w14:textId="77777777" w:rsidR="007927FC" w:rsidRPr="008A106B" w:rsidRDefault="007927FC" w:rsidP="003569D6">
      <w:pPr>
        <w:keepNext/>
        <w:keepLines/>
        <w:ind w:left="567" w:hanging="567"/>
        <w:outlineLvl w:val="0"/>
        <w:rPr>
          <w:b/>
          <w:lang w:val="es-ES"/>
        </w:rPr>
      </w:pPr>
    </w:p>
    <w:p w14:paraId="15D69CE7" w14:textId="77777777" w:rsidR="007927FC" w:rsidRPr="008A106B" w:rsidRDefault="007927FC" w:rsidP="003569D6">
      <w:pPr>
        <w:keepNext/>
        <w:keepLines/>
        <w:ind w:left="567" w:hanging="567"/>
        <w:outlineLvl w:val="0"/>
        <w:rPr>
          <w:lang w:val="es-ES"/>
        </w:rPr>
      </w:pPr>
      <w:r w:rsidRPr="008A106B">
        <w:rPr>
          <w:lang w:val="es-ES_tradnl"/>
        </w:rPr>
        <w:t>Sacarosa</w:t>
      </w:r>
    </w:p>
    <w:p w14:paraId="654E1020" w14:textId="77777777" w:rsidR="00476616" w:rsidRPr="009F0D74" w:rsidRDefault="007927FC" w:rsidP="00376697">
      <w:pPr>
        <w:keepNext/>
        <w:keepLines/>
        <w:ind w:left="567" w:hanging="567"/>
        <w:outlineLvl w:val="0"/>
        <w:rPr>
          <w:bCs/>
          <w:lang w:val="es-ES"/>
        </w:rPr>
      </w:pPr>
      <w:r w:rsidRPr="009F0D74">
        <w:rPr>
          <w:bCs/>
          <w:lang w:val="es-ES"/>
        </w:rPr>
        <w:t>Polisorbato 80</w:t>
      </w:r>
      <w:r w:rsidR="00476616">
        <w:rPr>
          <w:bCs/>
          <w:lang w:val="es-ES"/>
        </w:rPr>
        <w:t xml:space="preserve"> </w:t>
      </w:r>
      <w:r w:rsidR="00476616" w:rsidRPr="00476616">
        <w:rPr>
          <w:bCs/>
          <w:lang w:val="es-ES"/>
        </w:rPr>
        <w:t>(E 433)</w:t>
      </w:r>
    </w:p>
    <w:p w14:paraId="7ECD7D07" w14:textId="77777777" w:rsidR="007927FC" w:rsidRPr="009F0D74" w:rsidRDefault="007927FC" w:rsidP="003569D6">
      <w:pPr>
        <w:keepNext/>
        <w:keepLines/>
        <w:ind w:left="567" w:hanging="567"/>
        <w:outlineLvl w:val="0"/>
        <w:rPr>
          <w:bCs/>
          <w:lang w:val="es-ES"/>
        </w:rPr>
      </w:pPr>
      <w:r w:rsidRPr="009F0D74">
        <w:rPr>
          <w:bCs/>
          <w:lang w:val="es-ES"/>
        </w:rPr>
        <w:t>Fosfato disódico dodecahidrato</w:t>
      </w:r>
      <w:r w:rsidR="00476616">
        <w:rPr>
          <w:bCs/>
          <w:lang w:val="es-ES"/>
        </w:rPr>
        <w:t xml:space="preserve"> (para ajuste de pH)</w:t>
      </w:r>
    </w:p>
    <w:p w14:paraId="0D6F6958" w14:textId="574E2D87" w:rsidR="007927FC" w:rsidRPr="008A106B" w:rsidRDefault="007927FC" w:rsidP="003569D6">
      <w:pPr>
        <w:keepNext/>
        <w:keepLines/>
        <w:ind w:left="567" w:hanging="567"/>
        <w:outlineLvl w:val="0"/>
        <w:rPr>
          <w:lang w:val="es-ES"/>
        </w:rPr>
      </w:pPr>
      <w:r w:rsidRPr="009F0D74">
        <w:rPr>
          <w:bCs/>
          <w:lang w:val="es-ES"/>
        </w:rPr>
        <w:t>Fosfato dihidrógeno sódico dihidrato</w:t>
      </w:r>
      <w:r w:rsidR="00476616">
        <w:rPr>
          <w:bCs/>
          <w:lang w:val="es-ES"/>
        </w:rPr>
        <w:t xml:space="preserve"> (para ajuste de </w:t>
      </w:r>
      <w:proofErr w:type="gramStart"/>
      <w:r w:rsidR="00476616">
        <w:rPr>
          <w:bCs/>
          <w:lang w:val="es-ES"/>
        </w:rPr>
        <w:t>pH)</w:t>
      </w:r>
      <w:r w:rsidRPr="008A106B">
        <w:rPr>
          <w:lang w:val="es-ES_tradnl"/>
        </w:rPr>
        <w:t>Agua</w:t>
      </w:r>
      <w:proofErr w:type="gramEnd"/>
      <w:r w:rsidRPr="008A106B">
        <w:rPr>
          <w:lang w:val="es-ES_tradnl"/>
        </w:rPr>
        <w:t xml:space="preserve"> para preparaciones inyectables</w:t>
      </w:r>
    </w:p>
    <w:p w14:paraId="06290347" w14:textId="77777777" w:rsidR="007927FC" w:rsidRPr="008A106B" w:rsidRDefault="007927FC" w:rsidP="003569D6">
      <w:pPr>
        <w:keepNext/>
        <w:keepLines/>
        <w:spacing w:line="220" w:lineRule="exact"/>
        <w:rPr>
          <w:iCs/>
          <w:lang w:val="es-ES"/>
        </w:rPr>
      </w:pPr>
    </w:p>
    <w:p w14:paraId="6E6F7802" w14:textId="77777777" w:rsidR="007927FC" w:rsidRPr="008A106B" w:rsidRDefault="007927FC" w:rsidP="003569D6">
      <w:pPr>
        <w:keepNext/>
        <w:keepLines/>
        <w:ind w:left="567" w:hanging="567"/>
        <w:outlineLvl w:val="0"/>
        <w:rPr>
          <w:lang w:val="es-ES"/>
        </w:rPr>
      </w:pPr>
      <w:r w:rsidRPr="008A106B">
        <w:rPr>
          <w:b/>
          <w:bCs/>
          <w:lang w:val="es-ES"/>
        </w:rPr>
        <w:t>6.2</w:t>
      </w:r>
      <w:r w:rsidRPr="008A106B">
        <w:rPr>
          <w:b/>
          <w:bCs/>
          <w:lang w:val="es-ES"/>
        </w:rPr>
        <w:tab/>
      </w:r>
      <w:r w:rsidRPr="008A106B">
        <w:rPr>
          <w:b/>
          <w:bCs/>
          <w:lang w:val="es-ES_tradnl"/>
        </w:rPr>
        <w:t>Incompatibilidades</w:t>
      </w:r>
    </w:p>
    <w:p w14:paraId="455BCDED" w14:textId="77777777" w:rsidR="007927FC" w:rsidRPr="008A106B" w:rsidRDefault="007927FC" w:rsidP="003569D6">
      <w:pPr>
        <w:keepNext/>
        <w:keepLines/>
        <w:rPr>
          <w:lang w:val="es-ES"/>
        </w:rPr>
      </w:pPr>
    </w:p>
    <w:p w14:paraId="6DF7D7D5" w14:textId="77777777" w:rsidR="007927FC" w:rsidRPr="008A106B" w:rsidRDefault="007927FC" w:rsidP="003569D6">
      <w:pPr>
        <w:keepNext/>
        <w:keepLines/>
        <w:rPr>
          <w:b/>
          <w:bCs/>
          <w:lang w:val="es-ES"/>
        </w:rPr>
      </w:pPr>
      <w:r w:rsidRPr="008A106B">
        <w:rPr>
          <w:lang w:val="es-ES_tradnl"/>
        </w:rPr>
        <w:t>Este medicamento no debe mezclarse con otros excepto los mencionados en la sección 6.6.</w:t>
      </w:r>
    </w:p>
    <w:p w14:paraId="5820054E" w14:textId="77777777" w:rsidR="007927FC" w:rsidRPr="008A106B" w:rsidRDefault="007927FC" w:rsidP="00FF2AFA">
      <w:pPr>
        <w:spacing w:line="220" w:lineRule="exact"/>
        <w:ind w:left="567" w:hanging="567"/>
        <w:outlineLvl w:val="0"/>
        <w:rPr>
          <w:lang w:val="es-ES"/>
        </w:rPr>
      </w:pPr>
    </w:p>
    <w:p w14:paraId="5F787626" w14:textId="77777777" w:rsidR="007927FC" w:rsidRPr="009F0D74" w:rsidRDefault="007927FC" w:rsidP="00FF2AFA">
      <w:pPr>
        <w:widowControl w:val="0"/>
        <w:ind w:left="567" w:hanging="567"/>
        <w:outlineLvl w:val="0"/>
        <w:rPr>
          <w:lang w:val="es-ES"/>
        </w:rPr>
      </w:pPr>
      <w:r w:rsidRPr="009F0D74">
        <w:rPr>
          <w:b/>
          <w:bCs/>
          <w:lang w:val="es-ES"/>
        </w:rPr>
        <w:t>6.3</w:t>
      </w:r>
      <w:r w:rsidRPr="009F0D74">
        <w:rPr>
          <w:b/>
          <w:bCs/>
          <w:lang w:val="es-ES"/>
        </w:rPr>
        <w:tab/>
        <w:t>Per</w:t>
      </w:r>
      <w:r w:rsidR="00BA76D8" w:rsidRPr="009F0D74">
        <w:rPr>
          <w:b/>
          <w:bCs/>
          <w:lang w:val="es-ES"/>
        </w:rPr>
        <w:t>i</w:t>
      </w:r>
      <w:r w:rsidRPr="009F0D74">
        <w:rPr>
          <w:b/>
          <w:bCs/>
          <w:lang w:val="es-ES"/>
        </w:rPr>
        <w:t>odo de validez</w:t>
      </w:r>
    </w:p>
    <w:p w14:paraId="2B597077" w14:textId="77777777" w:rsidR="007927FC" w:rsidRPr="009F0D74" w:rsidRDefault="007927FC" w:rsidP="00FF2AFA">
      <w:pPr>
        <w:widowControl w:val="0"/>
        <w:rPr>
          <w:lang w:val="es-ES"/>
        </w:rPr>
      </w:pPr>
    </w:p>
    <w:p w14:paraId="213C44D9" w14:textId="6D35803D" w:rsidR="00476616" w:rsidRPr="00F30AB8" w:rsidRDefault="007927FC" w:rsidP="00FF2AFA">
      <w:pPr>
        <w:widowControl w:val="0"/>
        <w:rPr>
          <w:u w:val="single"/>
          <w:lang w:val="es-ES"/>
        </w:rPr>
      </w:pPr>
      <w:r w:rsidRPr="00F30AB8">
        <w:rPr>
          <w:u w:val="single"/>
          <w:lang w:val="es-ES"/>
        </w:rPr>
        <w:t>Vial cerrado</w:t>
      </w:r>
    </w:p>
    <w:p w14:paraId="2029F47A" w14:textId="6B9D79A6" w:rsidR="007927FC" w:rsidRPr="009F0D74" w:rsidRDefault="00476616" w:rsidP="00FF2AFA">
      <w:pPr>
        <w:widowControl w:val="0"/>
        <w:rPr>
          <w:i/>
          <w:lang w:val="es-ES"/>
        </w:rPr>
      </w:pPr>
      <w:r>
        <w:rPr>
          <w:lang w:val="es-ES"/>
        </w:rPr>
        <w:t>3 años</w:t>
      </w:r>
    </w:p>
    <w:p w14:paraId="0494B647" w14:textId="77777777" w:rsidR="007927FC" w:rsidRPr="009F0D74" w:rsidRDefault="007927FC" w:rsidP="00FF2AFA">
      <w:pPr>
        <w:widowControl w:val="0"/>
        <w:rPr>
          <w:lang w:val="es-ES"/>
        </w:rPr>
      </w:pPr>
    </w:p>
    <w:p w14:paraId="58217FFB" w14:textId="77777777" w:rsidR="00476616" w:rsidRDefault="007927FC" w:rsidP="00FF2AFA">
      <w:pPr>
        <w:widowControl w:val="0"/>
        <w:rPr>
          <w:u w:val="single"/>
          <w:lang w:val="es-ES_tradnl"/>
        </w:rPr>
      </w:pPr>
      <w:r w:rsidRPr="00F30AB8">
        <w:rPr>
          <w:u w:val="single"/>
          <w:lang w:val="es-ES_tradnl"/>
        </w:rPr>
        <w:t>Producto diluido</w:t>
      </w:r>
    </w:p>
    <w:p w14:paraId="1837B73F" w14:textId="77777777" w:rsidR="00476616" w:rsidRPr="00F30AB8" w:rsidRDefault="00476616" w:rsidP="00FF2AFA">
      <w:pPr>
        <w:widowControl w:val="0"/>
        <w:rPr>
          <w:u w:val="single"/>
          <w:lang w:val="es-ES_tradnl"/>
        </w:rPr>
      </w:pPr>
    </w:p>
    <w:p w14:paraId="2C7DB76A" w14:textId="6278AFA5" w:rsidR="007927FC" w:rsidRPr="008A106B" w:rsidRDefault="007927FC" w:rsidP="00FF2AFA">
      <w:pPr>
        <w:widowControl w:val="0"/>
        <w:rPr>
          <w:lang w:val="es-ES"/>
        </w:rPr>
      </w:pPr>
      <w:r w:rsidRPr="008A106B">
        <w:rPr>
          <w:lang w:val="es-ES_tradnl"/>
        </w:rPr>
        <w:t>Después de la dilución, la solución preparada para perfusión es física y químicamente estable en solución para inyección de cloruro sódico 9 mg/ml (0,9 %)</w:t>
      </w:r>
      <w:r w:rsidR="002E6CA5">
        <w:rPr>
          <w:lang w:val="es-ES_tradnl"/>
        </w:rPr>
        <w:t>. Se puede almacenar durante 24</w:t>
      </w:r>
      <w:r w:rsidR="00205482" w:rsidRPr="008A106B">
        <w:rPr>
          <w:lang w:val="es-ES_tradnl"/>
        </w:rPr>
        <w:t> </w:t>
      </w:r>
      <w:r w:rsidR="002E6CA5">
        <w:rPr>
          <w:lang w:val="es-ES_tradnl"/>
        </w:rPr>
        <w:t>horas</w:t>
      </w:r>
      <w:r w:rsidRPr="008A106B">
        <w:rPr>
          <w:lang w:val="es-ES_tradnl"/>
        </w:rPr>
        <w:t xml:space="preserve"> a 30</w:t>
      </w:r>
      <w:r w:rsidR="00205482" w:rsidRPr="008A106B">
        <w:rPr>
          <w:lang w:val="es-ES_tradnl"/>
        </w:rPr>
        <w:t> </w:t>
      </w:r>
      <w:r w:rsidRPr="008A106B">
        <w:rPr>
          <w:lang w:val="es-ES_tradnl"/>
        </w:rPr>
        <w:t>ºC</w:t>
      </w:r>
      <w:r w:rsidR="00BE56EE">
        <w:rPr>
          <w:lang w:val="es-ES_tradnl"/>
        </w:rPr>
        <w:t xml:space="preserve"> </w:t>
      </w:r>
      <w:r w:rsidR="002E6CA5">
        <w:rPr>
          <w:lang w:val="es-ES_tradnl"/>
        </w:rPr>
        <w:t>y hasta 2</w:t>
      </w:r>
      <w:r w:rsidR="00205482" w:rsidRPr="008A106B">
        <w:rPr>
          <w:lang w:val="es-ES_tradnl"/>
        </w:rPr>
        <w:t> </w:t>
      </w:r>
      <w:r w:rsidR="002E6CA5">
        <w:rPr>
          <w:lang w:val="es-ES_tradnl"/>
        </w:rPr>
        <w:t xml:space="preserve">semanas en nevera entre </w:t>
      </w:r>
      <w:r w:rsidR="002E6CA5" w:rsidRPr="002E6CA5">
        <w:rPr>
          <w:lang w:val="es-ES_tradnl"/>
        </w:rPr>
        <w:t>2</w:t>
      </w:r>
      <w:r w:rsidR="00205482" w:rsidRPr="008A106B">
        <w:rPr>
          <w:lang w:val="es-ES_tradnl"/>
        </w:rPr>
        <w:t> </w:t>
      </w:r>
      <w:r w:rsidR="002E6CA5" w:rsidRPr="002E6CA5">
        <w:rPr>
          <w:lang w:val="es-ES_tradnl"/>
        </w:rPr>
        <w:t>°C</w:t>
      </w:r>
      <w:r w:rsidR="00205482" w:rsidRPr="00F30AB8">
        <w:rPr>
          <w:szCs w:val="22"/>
          <w:lang w:val="es-ES"/>
        </w:rPr>
        <w:t> </w:t>
      </w:r>
      <w:r w:rsidR="00205482" w:rsidRPr="00F30AB8">
        <w:rPr>
          <w:szCs w:val="22"/>
          <w:lang w:val="es-ES"/>
        </w:rPr>
        <w:noBreakHyphen/>
        <w:t> </w:t>
      </w:r>
      <w:r w:rsidR="002E6CA5" w:rsidRPr="002E6CA5">
        <w:rPr>
          <w:lang w:val="es-ES_tradnl"/>
        </w:rPr>
        <w:t>8</w:t>
      </w:r>
      <w:r w:rsidR="00205482" w:rsidRPr="008A106B">
        <w:rPr>
          <w:lang w:val="es-ES_tradnl"/>
        </w:rPr>
        <w:t> </w:t>
      </w:r>
      <w:r w:rsidR="002E6CA5" w:rsidRPr="002E6CA5">
        <w:rPr>
          <w:lang w:val="es-ES_tradnl"/>
        </w:rPr>
        <w:t>°C</w:t>
      </w:r>
      <w:r w:rsidRPr="008A106B">
        <w:rPr>
          <w:lang w:val="es-ES_tradnl"/>
        </w:rPr>
        <w:t>.</w:t>
      </w:r>
      <w:r w:rsidRPr="008A106B">
        <w:rPr>
          <w:lang w:val="es-ES"/>
        </w:rPr>
        <w:t xml:space="preserve"> </w:t>
      </w:r>
    </w:p>
    <w:p w14:paraId="6DF23AF1" w14:textId="77777777" w:rsidR="007927FC" w:rsidRPr="008A106B" w:rsidRDefault="007927FC" w:rsidP="00EF2448">
      <w:pPr>
        <w:keepNext/>
        <w:keepLines/>
        <w:rPr>
          <w:lang w:val="es-ES"/>
        </w:rPr>
      </w:pPr>
    </w:p>
    <w:p w14:paraId="00CC1CCD" w14:textId="067519E2" w:rsidR="007927FC" w:rsidRPr="008A106B" w:rsidRDefault="007927FC" w:rsidP="007927FC">
      <w:pPr>
        <w:rPr>
          <w:lang w:val="es-ES"/>
        </w:rPr>
      </w:pPr>
      <w:r w:rsidRPr="008A106B">
        <w:rPr>
          <w:lang w:val="es-ES_tradnl"/>
        </w:rPr>
        <w:t>Desde un punto de vista microbiológico, la solución preparada para perfusión debe usarse inmediatamente.</w:t>
      </w:r>
      <w:r w:rsidRPr="008A106B">
        <w:rPr>
          <w:lang w:val="es-ES"/>
        </w:rPr>
        <w:t xml:space="preserve"> </w:t>
      </w:r>
      <w:r w:rsidRPr="008A106B">
        <w:rPr>
          <w:lang w:val="es-ES_tradnl"/>
        </w:rPr>
        <w:t>Si no se usa inmediatamente, los tiempos de conservación en uso y las condiciones antes del uso son responsabilidad del usuario</w:t>
      </w:r>
      <w:r w:rsidRPr="008A106B">
        <w:rPr>
          <w:lang w:val="es-ES"/>
        </w:rPr>
        <w:t xml:space="preserve"> </w:t>
      </w:r>
      <w:r w:rsidRPr="008A106B">
        <w:rPr>
          <w:lang w:val="es-ES_tradnl"/>
        </w:rPr>
        <w:t>y no deberían superar las 24</w:t>
      </w:r>
      <w:r w:rsidR="00205482" w:rsidRPr="008A106B">
        <w:rPr>
          <w:lang w:val="es-ES_tradnl"/>
        </w:rPr>
        <w:t> </w:t>
      </w:r>
      <w:r w:rsidRPr="008A106B">
        <w:rPr>
          <w:lang w:val="es-ES_tradnl"/>
        </w:rPr>
        <w:t>horas a 2</w:t>
      </w:r>
      <w:r w:rsidR="00205482" w:rsidRPr="008A106B">
        <w:rPr>
          <w:lang w:val="es-ES_tradnl"/>
        </w:rPr>
        <w:t> </w:t>
      </w:r>
      <w:r w:rsidRPr="008A106B">
        <w:rPr>
          <w:lang w:val="es-ES_tradnl"/>
        </w:rPr>
        <w:t>ºC</w:t>
      </w:r>
      <w:r w:rsidR="00205482" w:rsidRPr="00F30AB8">
        <w:rPr>
          <w:szCs w:val="22"/>
          <w:lang w:val="es-ES"/>
        </w:rPr>
        <w:t> </w:t>
      </w:r>
      <w:r w:rsidR="00205482" w:rsidRPr="00F30AB8">
        <w:rPr>
          <w:szCs w:val="22"/>
          <w:lang w:val="es-ES"/>
        </w:rPr>
        <w:noBreakHyphen/>
        <w:t> </w:t>
      </w:r>
      <w:r w:rsidRPr="008A106B">
        <w:rPr>
          <w:lang w:val="es-ES_tradnl"/>
        </w:rPr>
        <w:t>8</w:t>
      </w:r>
      <w:r w:rsidR="00205482" w:rsidRPr="008A106B">
        <w:rPr>
          <w:lang w:val="es-ES_tradnl"/>
        </w:rPr>
        <w:t> </w:t>
      </w:r>
      <w:r w:rsidRPr="008A106B">
        <w:rPr>
          <w:lang w:val="es-ES_tradnl"/>
        </w:rPr>
        <w:t>ºC, a menos que la dilución haya tenido lugar en condiciones asépticas controladas y validadas.</w:t>
      </w:r>
      <w:r w:rsidRPr="008A106B">
        <w:rPr>
          <w:lang w:val="es-ES"/>
        </w:rPr>
        <w:t xml:space="preserve"> </w:t>
      </w:r>
    </w:p>
    <w:p w14:paraId="317991A8" w14:textId="77777777" w:rsidR="007927FC" w:rsidRPr="008A106B" w:rsidRDefault="007927FC" w:rsidP="007927FC">
      <w:pPr>
        <w:outlineLvl w:val="0"/>
        <w:rPr>
          <w:lang w:val="es-ES"/>
        </w:rPr>
      </w:pPr>
    </w:p>
    <w:p w14:paraId="1FD5A1D1" w14:textId="77777777" w:rsidR="007927FC" w:rsidRPr="008A106B" w:rsidRDefault="007927FC" w:rsidP="00484513">
      <w:pPr>
        <w:keepNext/>
        <w:keepLines/>
        <w:ind w:left="567" w:hanging="567"/>
        <w:outlineLvl w:val="0"/>
        <w:rPr>
          <w:b/>
          <w:bCs/>
          <w:lang w:val="es-ES"/>
        </w:rPr>
      </w:pPr>
      <w:r w:rsidRPr="008A106B">
        <w:rPr>
          <w:b/>
          <w:bCs/>
          <w:lang w:val="es-ES"/>
        </w:rPr>
        <w:t>6.4</w:t>
      </w:r>
      <w:r w:rsidRPr="008A106B">
        <w:rPr>
          <w:b/>
          <w:bCs/>
          <w:lang w:val="es-ES"/>
        </w:rPr>
        <w:tab/>
      </w:r>
      <w:r w:rsidRPr="008A106B">
        <w:rPr>
          <w:b/>
          <w:bCs/>
          <w:lang w:val="es-ES_tradnl"/>
        </w:rPr>
        <w:t>Precauciones especiales de conservación</w:t>
      </w:r>
    </w:p>
    <w:p w14:paraId="61AD8E5A" w14:textId="77777777" w:rsidR="007927FC" w:rsidRPr="008A106B" w:rsidRDefault="007927FC" w:rsidP="00484513">
      <w:pPr>
        <w:keepNext/>
        <w:keepLines/>
        <w:ind w:left="567" w:hanging="567"/>
        <w:outlineLvl w:val="0"/>
        <w:rPr>
          <w:lang w:val="es-ES"/>
        </w:rPr>
      </w:pPr>
    </w:p>
    <w:p w14:paraId="5A3AF676" w14:textId="556EB137" w:rsidR="007927FC" w:rsidRPr="008A106B" w:rsidRDefault="007927FC" w:rsidP="00484513">
      <w:pPr>
        <w:keepNext/>
        <w:keepLines/>
        <w:rPr>
          <w:lang w:val="es-ES"/>
        </w:rPr>
      </w:pPr>
      <w:r w:rsidRPr="008A106B">
        <w:rPr>
          <w:lang w:val="es-ES_tradnl"/>
        </w:rPr>
        <w:t>Conserve los viales en nevera (entre 2</w:t>
      </w:r>
      <w:r w:rsidR="00205482" w:rsidRPr="00F30AB8">
        <w:rPr>
          <w:szCs w:val="22"/>
          <w:lang w:val="es-ES"/>
        </w:rPr>
        <w:t> </w:t>
      </w:r>
      <w:r w:rsidRPr="008A106B">
        <w:rPr>
          <w:lang w:val="es-ES_tradnl"/>
        </w:rPr>
        <w:t>°C</w:t>
      </w:r>
      <w:r w:rsidR="00205482" w:rsidRPr="00F30AB8">
        <w:rPr>
          <w:szCs w:val="22"/>
          <w:lang w:val="es-ES"/>
        </w:rPr>
        <w:t> </w:t>
      </w:r>
      <w:r w:rsidR="00205482" w:rsidRPr="00F30AB8">
        <w:rPr>
          <w:szCs w:val="22"/>
          <w:lang w:val="es-ES"/>
        </w:rPr>
        <w:noBreakHyphen/>
        <w:t> </w:t>
      </w:r>
      <w:r w:rsidRPr="008A106B">
        <w:rPr>
          <w:lang w:val="es-ES_tradnl"/>
        </w:rPr>
        <w:t>8</w:t>
      </w:r>
      <w:r w:rsidR="00205482" w:rsidRPr="00F30AB8">
        <w:rPr>
          <w:szCs w:val="22"/>
          <w:lang w:val="es-ES"/>
        </w:rPr>
        <w:t> </w:t>
      </w:r>
      <w:r w:rsidRPr="008A106B">
        <w:rPr>
          <w:lang w:val="es-ES_tradnl"/>
        </w:rPr>
        <w:t>°C).</w:t>
      </w:r>
      <w:r w:rsidRPr="008A106B">
        <w:rPr>
          <w:lang w:val="es-ES"/>
        </w:rPr>
        <w:t xml:space="preserve"> </w:t>
      </w:r>
    </w:p>
    <w:p w14:paraId="230DF445" w14:textId="77777777" w:rsidR="007927FC" w:rsidRPr="008A106B" w:rsidRDefault="007927FC" w:rsidP="00484513">
      <w:pPr>
        <w:keepNext/>
        <w:keepLines/>
        <w:rPr>
          <w:lang w:val="es-ES"/>
        </w:rPr>
      </w:pPr>
      <w:r w:rsidRPr="008A106B">
        <w:rPr>
          <w:lang w:val="es-ES_tradnl"/>
        </w:rPr>
        <w:t>No congelar.</w:t>
      </w:r>
      <w:r w:rsidRPr="008A106B">
        <w:rPr>
          <w:lang w:val="es-ES"/>
        </w:rPr>
        <w:t xml:space="preserve"> </w:t>
      </w:r>
    </w:p>
    <w:p w14:paraId="6960C804" w14:textId="77777777" w:rsidR="007927FC" w:rsidRPr="008A106B" w:rsidRDefault="007927FC" w:rsidP="00484513">
      <w:pPr>
        <w:keepNext/>
        <w:keepLines/>
        <w:rPr>
          <w:lang w:val="es-ES"/>
        </w:rPr>
      </w:pPr>
    </w:p>
    <w:p w14:paraId="40E63033" w14:textId="77777777" w:rsidR="007927FC" w:rsidRPr="008A106B" w:rsidRDefault="007927FC" w:rsidP="00484513">
      <w:pPr>
        <w:keepNext/>
        <w:keepLines/>
        <w:rPr>
          <w:lang w:val="es-ES"/>
        </w:rPr>
      </w:pPr>
      <w:r w:rsidRPr="008A106B">
        <w:rPr>
          <w:lang w:val="es-ES_tradnl"/>
        </w:rPr>
        <w:t xml:space="preserve">Mantener </w:t>
      </w:r>
      <w:proofErr w:type="gramStart"/>
      <w:r w:rsidRPr="008A106B">
        <w:rPr>
          <w:lang w:val="es-ES_tradnl"/>
        </w:rPr>
        <w:t>los vial</w:t>
      </w:r>
      <w:proofErr w:type="gramEnd"/>
      <w:r w:rsidRPr="008A106B">
        <w:rPr>
          <w:lang w:val="es-ES_tradnl"/>
        </w:rPr>
        <w:t>(es) en el embalaje exterior para protegerlos de la luz.</w:t>
      </w:r>
    </w:p>
    <w:p w14:paraId="59D3D9D6" w14:textId="77777777" w:rsidR="007927FC" w:rsidRPr="008A106B" w:rsidRDefault="007927FC" w:rsidP="00484513">
      <w:pPr>
        <w:keepNext/>
        <w:keepLines/>
        <w:ind w:left="567" w:hanging="567"/>
        <w:outlineLvl w:val="0"/>
        <w:rPr>
          <w:lang w:val="es-ES"/>
        </w:rPr>
      </w:pPr>
    </w:p>
    <w:p w14:paraId="2F58C142" w14:textId="12917B14" w:rsidR="007927FC" w:rsidRPr="008A106B" w:rsidRDefault="007927FC" w:rsidP="006868F5">
      <w:pPr>
        <w:outlineLvl w:val="0"/>
        <w:rPr>
          <w:lang w:val="es-ES"/>
        </w:rPr>
      </w:pPr>
      <w:r w:rsidRPr="008A106B">
        <w:rPr>
          <w:lang w:val="es-ES_tradnl"/>
        </w:rPr>
        <w:t>Para las condiciones de conservación</w:t>
      </w:r>
      <w:r w:rsidR="00B86550">
        <w:rPr>
          <w:lang w:val="es-ES_tradnl"/>
        </w:rPr>
        <w:t xml:space="preserve"> </w:t>
      </w:r>
      <w:r w:rsidR="00BA76D8">
        <w:rPr>
          <w:lang w:val="es-ES_tradnl"/>
        </w:rPr>
        <w:t>tras la dilución del medicamento</w:t>
      </w:r>
      <w:r w:rsidRPr="008A106B">
        <w:rPr>
          <w:lang w:val="es-ES_tradnl"/>
        </w:rPr>
        <w:t>, ver sección</w:t>
      </w:r>
      <w:r w:rsidR="00205482" w:rsidRPr="00F30AB8">
        <w:rPr>
          <w:szCs w:val="22"/>
          <w:lang w:val="es-ES"/>
        </w:rPr>
        <w:t> </w:t>
      </w:r>
      <w:r w:rsidRPr="008A106B">
        <w:rPr>
          <w:lang w:val="es-ES_tradnl"/>
        </w:rPr>
        <w:t>6.3.</w:t>
      </w:r>
    </w:p>
    <w:p w14:paraId="7AFAC4A2" w14:textId="77777777" w:rsidR="007927FC" w:rsidRPr="008A106B" w:rsidRDefault="007927FC" w:rsidP="007927FC">
      <w:pPr>
        <w:rPr>
          <w:lang w:val="es-ES"/>
        </w:rPr>
      </w:pPr>
    </w:p>
    <w:p w14:paraId="01567BE2" w14:textId="77777777" w:rsidR="007927FC" w:rsidRPr="008A106B" w:rsidRDefault="007927FC" w:rsidP="007927FC">
      <w:pPr>
        <w:keepNext/>
        <w:ind w:left="567" w:hanging="567"/>
        <w:outlineLvl w:val="0"/>
        <w:rPr>
          <w:b/>
          <w:bCs/>
          <w:lang w:val="es-ES"/>
        </w:rPr>
      </w:pPr>
      <w:r w:rsidRPr="008A106B">
        <w:rPr>
          <w:b/>
          <w:bCs/>
          <w:lang w:val="es-ES"/>
        </w:rPr>
        <w:t>6.5</w:t>
      </w:r>
      <w:r w:rsidRPr="008A106B">
        <w:rPr>
          <w:b/>
          <w:bCs/>
          <w:lang w:val="es-ES"/>
        </w:rPr>
        <w:tab/>
      </w:r>
      <w:r w:rsidRPr="008A106B">
        <w:rPr>
          <w:b/>
          <w:bCs/>
          <w:lang w:val="es-ES_tradnl"/>
        </w:rPr>
        <w:t>Naturaleza y contenido del envase</w:t>
      </w:r>
    </w:p>
    <w:p w14:paraId="6DDB387C" w14:textId="77777777" w:rsidR="007927FC" w:rsidRPr="008A106B" w:rsidRDefault="007927FC" w:rsidP="007927FC">
      <w:pPr>
        <w:keepNext/>
        <w:rPr>
          <w:lang w:val="es-ES"/>
        </w:rPr>
      </w:pPr>
    </w:p>
    <w:p w14:paraId="0E12CD69" w14:textId="77777777" w:rsidR="007927FC" w:rsidRPr="008A106B" w:rsidRDefault="007927FC" w:rsidP="007927FC">
      <w:pPr>
        <w:rPr>
          <w:lang w:val="es-ES"/>
        </w:rPr>
      </w:pPr>
      <w:r w:rsidRPr="008A106B">
        <w:rPr>
          <w:lang w:val="es-ES_tradnl"/>
        </w:rPr>
        <w:t>RoActemra se suministra en vial de (vidrio tipo I) con un tapón (de goma de butilo) que contiene 4</w:t>
      </w:r>
      <w:r w:rsidR="00205482" w:rsidRPr="00F30AB8">
        <w:rPr>
          <w:szCs w:val="22"/>
          <w:lang w:val="es-ES"/>
        </w:rPr>
        <w:t> </w:t>
      </w:r>
      <w:r w:rsidRPr="008A106B">
        <w:rPr>
          <w:lang w:val="es-ES_tradnl"/>
        </w:rPr>
        <w:t>ml, 10</w:t>
      </w:r>
      <w:r w:rsidR="00205482" w:rsidRPr="00F30AB8">
        <w:rPr>
          <w:szCs w:val="22"/>
          <w:lang w:val="es-ES"/>
        </w:rPr>
        <w:t> </w:t>
      </w:r>
      <w:r w:rsidRPr="008A106B">
        <w:rPr>
          <w:lang w:val="es-ES_tradnl"/>
        </w:rPr>
        <w:t>ml, o 20</w:t>
      </w:r>
      <w:r w:rsidR="00205482" w:rsidRPr="00F30AB8">
        <w:rPr>
          <w:szCs w:val="22"/>
          <w:lang w:val="es-ES"/>
        </w:rPr>
        <w:t> </w:t>
      </w:r>
      <w:r w:rsidRPr="008A106B">
        <w:rPr>
          <w:lang w:val="es-ES_tradnl"/>
        </w:rPr>
        <w:t>ml de concentrado.</w:t>
      </w:r>
      <w:r w:rsidRPr="008A106B">
        <w:rPr>
          <w:lang w:val="es-ES"/>
        </w:rPr>
        <w:t xml:space="preserve"> Envases</w:t>
      </w:r>
      <w:r w:rsidRPr="008A106B">
        <w:rPr>
          <w:lang w:val="es-ES_tradnl"/>
        </w:rPr>
        <w:t xml:space="preserve"> de 1 y 4 viales.</w:t>
      </w:r>
    </w:p>
    <w:p w14:paraId="025EE46E" w14:textId="77777777" w:rsidR="007927FC" w:rsidRPr="008A106B" w:rsidRDefault="007927FC" w:rsidP="007927FC">
      <w:pPr>
        <w:rPr>
          <w:lang w:val="es-ES"/>
        </w:rPr>
      </w:pPr>
    </w:p>
    <w:p w14:paraId="0D6DF4AE" w14:textId="77777777" w:rsidR="007927FC" w:rsidRPr="006868F5" w:rsidRDefault="007927FC" w:rsidP="007927FC">
      <w:pPr>
        <w:rPr>
          <w:lang w:val="es-ES_tradnl"/>
        </w:rPr>
      </w:pPr>
      <w:r w:rsidRPr="008A106B">
        <w:rPr>
          <w:lang w:val="es-ES_tradnl"/>
        </w:rPr>
        <w:t xml:space="preserve">Puede que </w:t>
      </w:r>
      <w:r w:rsidR="00BA76D8">
        <w:rPr>
          <w:lang w:val="es-ES_tradnl"/>
        </w:rPr>
        <w:t>solamente estén comercializados algunos tamaños de envases.</w:t>
      </w:r>
    </w:p>
    <w:p w14:paraId="4E506AD7" w14:textId="77777777" w:rsidR="007927FC" w:rsidRPr="008A106B" w:rsidRDefault="007927FC" w:rsidP="007927FC">
      <w:pPr>
        <w:ind w:left="567" w:hanging="567"/>
        <w:outlineLvl w:val="0"/>
        <w:rPr>
          <w:b/>
          <w:lang w:val="es-ES"/>
        </w:rPr>
      </w:pPr>
    </w:p>
    <w:p w14:paraId="7E1F8A5A" w14:textId="77777777" w:rsidR="007927FC" w:rsidRPr="008A106B" w:rsidRDefault="007927FC" w:rsidP="007927FC">
      <w:pPr>
        <w:keepNext/>
        <w:ind w:left="567" w:hanging="567"/>
        <w:outlineLvl w:val="0"/>
        <w:rPr>
          <w:lang w:val="es-ES"/>
        </w:rPr>
      </w:pPr>
      <w:r w:rsidRPr="008A106B">
        <w:rPr>
          <w:b/>
          <w:bCs/>
          <w:lang w:val="es-ES"/>
        </w:rPr>
        <w:t>6.6</w:t>
      </w:r>
      <w:r w:rsidRPr="008A106B">
        <w:rPr>
          <w:b/>
          <w:bCs/>
          <w:lang w:val="es-ES"/>
        </w:rPr>
        <w:tab/>
      </w:r>
      <w:r w:rsidRPr="008A106B">
        <w:rPr>
          <w:b/>
          <w:bCs/>
          <w:lang w:val="es-ES_tradnl"/>
        </w:rPr>
        <w:t>Precauciones especiales de eliminación y otras manipulaciones</w:t>
      </w:r>
    </w:p>
    <w:p w14:paraId="1B0B8D24" w14:textId="77777777" w:rsidR="007927FC" w:rsidRPr="008A106B" w:rsidRDefault="007927FC" w:rsidP="007927FC">
      <w:pPr>
        <w:keepNext/>
        <w:rPr>
          <w:lang w:val="es-ES"/>
        </w:rPr>
      </w:pPr>
    </w:p>
    <w:p w14:paraId="25326E07" w14:textId="77777777" w:rsidR="007927FC" w:rsidRDefault="007927FC" w:rsidP="007927FC">
      <w:pPr>
        <w:keepNext/>
        <w:rPr>
          <w:u w:val="single"/>
          <w:lang w:val="es-ES"/>
        </w:rPr>
      </w:pPr>
      <w:r w:rsidRPr="008A106B">
        <w:rPr>
          <w:u w:val="single"/>
          <w:lang w:val="es-ES"/>
        </w:rPr>
        <w:t>Instrucciones para la dilución previa a la administración</w:t>
      </w:r>
    </w:p>
    <w:p w14:paraId="1AB3D51E" w14:textId="77777777" w:rsidR="00476616" w:rsidRPr="008A106B" w:rsidRDefault="00476616" w:rsidP="007927FC">
      <w:pPr>
        <w:keepNext/>
        <w:rPr>
          <w:u w:val="single"/>
          <w:lang w:val="es-ES"/>
        </w:rPr>
      </w:pPr>
    </w:p>
    <w:p w14:paraId="000399D2" w14:textId="722B578C" w:rsidR="007927FC" w:rsidRPr="008A106B" w:rsidRDefault="007927FC" w:rsidP="007927FC">
      <w:pPr>
        <w:rPr>
          <w:lang w:val="es-ES_tradnl"/>
        </w:rPr>
      </w:pPr>
      <w:r w:rsidRPr="008A106B">
        <w:rPr>
          <w:lang w:val="es-ES_tradnl"/>
        </w:rPr>
        <w:t>Los medicamentos parenterales deben inspeccionarse visualmente antes de la administración por si tienen partículas o cambio de color. Sólo deben diluirse las soluciones que sean transparentes a opalescentes, incoloras a amarillo pálido y carentes de partículas visibles.</w:t>
      </w:r>
      <w:r w:rsidR="00281BC8" w:rsidRPr="00BE3753">
        <w:rPr>
          <w:lang w:val="es-ES"/>
        </w:rPr>
        <w:t xml:space="preserve"> </w:t>
      </w:r>
      <w:r w:rsidR="00281BC8" w:rsidRPr="00281BC8">
        <w:rPr>
          <w:lang w:val="es-ES_tradnl"/>
        </w:rPr>
        <w:t>Utilice una aguja y una jeringa estéril para preparar</w:t>
      </w:r>
      <w:r w:rsidR="00281BC8">
        <w:rPr>
          <w:lang w:val="es-ES_tradnl"/>
        </w:rPr>
        <w:t xml:space="preserve"> </w:t>
      </w:r>
      <w:r w:rsidR="00476616">
        <w:rPr>
          <w:lang w:val="es-ES_tradnl"/>
        </w:rPr>
        <w:t>el medicamento.</w:t>
      </w:r>
    </w:p>
    <w:p w14:paraId="2530D06D" w14:textId="77777777" w:rsidR="007927FC" w:rsidRPr="008A106B" w:rsidRDefault="007927FC" w:rsidP="007927FC">
      <w:pPr>
        <w:rPr>
          <w:lang w:val="es-ES_tradnl"/>
        </w:rPr>
      </w:pPr>
    </w:p>
    <w:p w14:paraId="5CB8B5D9" w14:textId="0E675014" w:rsidR="00603458" w:rsidRPr="00F30AB8" w:rsidRDefault="007927FC" w:rsidP="007927FC">
      <w:pPr>
        <w:rPr>
          <w:i/>
          <w:lang w:val="es-ES"/>
        </w:rPr>
      </w:pPr>
      <w:r w:rsidRPr="00F30AB8">
        <w:rPr>
          <w:i/>
          <w:lang w:val="es-ES_tradnl"/>
        </w:rPr>
        <w:t xml:space="preserve">Pacientes </w:t>
      </w:r>
      <w:r w:rsidR="00476616" w:rsidRPr="00F30AB8">
        <w:rPr>
          <w:i/>
          <w:lang w:val="es-ES_tradnl"/>
        </w:rPr>
        <w:t xml:space="preserve">adultos </w:t>
      </w:r>
      <w:r w:rsidRPr="00F30AB8">
        <w:rPr>
          <w:i/>
          <w:lang w:val="es-ES_tradnl"/>
        </w:rPr>
        <w:t>con AR</w:t>
      </w:r>
      <w:r w:rsidR="0085789E" w:rsidRPr="00F30AB8">
        <w:rPr>
          <w:i/>
          <w:lang w:val="es-ES_tradnl"/>
        </w:rPr>
        <w:t>,</w:t>
      </w:r>
      <w:r w:rsidR="005764C6" w:rsidRPr="00F30AB8">
        <w:rPr>
          <w:i/>
          <w:lang w:val="es-ES_tradnl"/>
        </w:rPr>
        <w:t xml:space="preserve"> SLC </w:t>
      </w:r>
      <w:r w:rsidR="005764C6" w:rsidRPr="00F30AB8">
        <w:rPr>
          <w:i/>
          <w:lang w:val="es-ES"/>
        </w:rPr>
        <w:t>(con peso ≥</w:t>
      </w:r>
      <w:r w:rsidR="00205482" w:rsidRPr="00F30AB8">
        <w:rPr>
          <w:szCs w:val="22"/>
          <w:lang w:val="es-ES"/>
        </w:rPr>
        <w:t> </w:t>
      </w:r>
      <w:r w:rsidR="005764C6" w:rsidRPr="00F30AB8">
        <w:rPr>
          <w:i/>
          <w:lang w:val="es-ES"/>
        </w:rPr>
        <w:t>30 kg)</w:t>
      </w:r>
      <w:r w:rsidR="0085789E" w:rsidRPr="00F30AB8">
        <w:rPr>
          <w:i/>
          <w:lang w:val="es-ES"/>
        </w:rPr>
        <w:t xml:space="preserve"> </w:t>
      </w:r>
      <w:proofErr w:type="gramStart"/>
      <w:r w:rsidR="0085789E" w:rsidRPr="00F30AB8">
        <w:rPr>
          <w:i/>
          <w:lang w:val="es-ES"/>
        </w:rPr>
        <w:t xml:space="preserve">y </w:t>
      </w:r>
      <w:r w:rsidR="00205482">
        <w:rPr>
          <w:i/>
          <w:lang w:val="es-ES"/>
        </w:rPr>
        <w:t xml:space="preserve"> </w:t>
      </w:r>
      <w:r w:rsidR="0085789E" w:rsidRPr="00F30AB8">
        <w:rPr>
          <w:i/>
          <w:lang w:val="es-ES"/>
        </w:rPr>
        <w:t>COVID</w:t>
      </w:r>
      <w:proofErr w:type="gramEnd"/>
      <w:r w:rsidR="0085789E" w:rsidRPr="00F30AB8">
        <w:rPr>
          <w:i/>
          <w:lang w:val="es-ES"/>
        </w:rPr>
        <w:t>-19</w:t>
      </w:r>
    </w:p>
    <w:p w14:paraId="35251BBD" w14:textId="07ECF66B" w:rsidR="007927FC" w:rsidRPr="008A106B" w:rsidRDefault="007927FC" w:rsidP="007927FC">
      <w:pPr>
        <w:rPr>
          <w:lang w:val="es-ES"/>
        </w:rPr>
      </w:pPr>
      <w:r w:rsidRPr="008A106B">
        <w:rPr>
          <w:lang w:val="es-ES_tradnl"/>
        </w:rPr>
        <w:t>Retire de una bolsa de perfusión de 100 ml un volumen de solución para inyección estéril y apirógena de cloruro sódico 9 mg/ml (0,9 %) igual que el volumen de concentrado necesario para la dosis del paciente, en condiciones asépticas. La cantidad necesaria de concentrado (0,4 ml/kg) debe ser retirada del vial y colocada en los 100 ml de la bolsa de perfusión. El volumen final debe ser de 100 ml. Para mezclar la solución, invierta suavemente la bolsa de perfusión para evitar la formación de espuma.</w:t>
      </w:r>
      <w:r w:rsidRPr="008A106B">
        <w:rPr>
          <w:lang w:val="es-ES"/>
        </w:rPr>
        <w:t xml:space="preserve"> </w:t>
      </w:r>
    </w:p>
    <w:p w14:paraId="6BA5F1FB" w14:textId="77777777" w:rsidR="007927FC" w:rsidRPr="008A106B" w:rsidRDefault="007927FC" w:rsidP="007927FC">
      <w:pPr>
        <w:rPr>
          <w:u w:val="single"/>
          <w:lang w:val="es-ES"/>
        </w:rPr>
      </w:pPr>
    </w:p>
    <w:p w14:paraId="58411F98" w14:textId="28B60F09" w:rsidR="007927FC" w:rsidRPr="00F30AB8" w:rsidRDefault="00476616" w:rsidP="007927FC">
      <w:pPr>
        <w:rPr>
          <w:i/>
          <w:lang w:val="es-ES"/>
        </w:rPr>
      </w:pPr>
      <w:r w:rsidRPr="00F30AB8">
        <w:rPr>
          <w:i/>
          <w:lang w:val="es-ES"/>
        </w:rPr>
        <w:t>P</w:t>
      </w:r>
      <w:r w:rsidR="007927FC" w:rsidRPr="00F30AB8">
        <w:rPr>
          <w:i/>
          <w:lang w:val="es-ES"/>
        </w:rPr>
        <w:t>oblación pediátrica</w:t>
      </w:r>
    </w:p>
    <w:p w14:paraId="5565FC55" w14:textId="77777777" w:rsidR="007927FC" w:rsidRPr="008A106B" w:rsidRDefault="007927FC" w:rsidP="007927FC">
      <w:pPr>
        <w:rPr>
          <w:u w:val="single"/>
          <w:lang w:val="es-ES"/>
        </w:rPr>
      </w:pPr>
    </w:p>
    <w:p w14:paraId="448E3B38" w14:textId="77777777" w:rsidR="007927FC" w:rsidRPr="00F30AB8" w:rsidRDefault="007927FC" w:rsidP="007927FC">
      <w:pPr>
        <w:rPr>
          <w:i/>
          <w:u w:val="single"/>
          <w:lang w:val="es-ES"/>
        </w:rPr>
      </w:pPr>
      <w:r w:rsidRPr="00F30AB8">
        <w:rPr>
          <w:i/>
          <w:u w:val="single"/>
          <w:lang w:val="es-ES"/>
        </w:rPr>
        <w:t>Pacientes con AIJs</w:t>
      </w:r>
      <w:r w:rsidR="005764C6" w:rsidRPr="00F30AB8">
        <w:rPr>
          <w:i/>
          <w:u w:val="single"/>
          <w:lang w:val="es-ES"/>
        </w:rPr>
        <w:t>,</w:t>
      </w:r>
      <w:r w:rsidRPr="00F30AB8">
        <w:rPr>
          <w:i/>
          <w:u w:val="single"/>
          <w:lang w:val="es-ES"/>
        </w:rPr>
        <w:t xml:space="preserve"> AIJp</w:t>
      </w:r>
      <w:r w:rsidR="005764C6" w:rsidRPr="00F30AB8">
        <w:rPr>
          <w:i/>
          <w:u w:val="single"/>
          <w:lang w:val="es-ES"/>
        </w:rPr>
        <w:t xml:space="preserve"> y SLC</w:t>
      </w:r>
      <w:r w:rsidRPr="00F30AB8">
        <w:rPr>
          <w:i/>
          <w:u w:val="single"/>
          <w:lang w:val="es-ES"/>
        </w:rPr>
        <w:t xml:space="preserve"> con peso ≥ 30 kg</w:t>
      </w:r>
    </w:p>
    <w:p w14:paraId="1F82B43A" w14:textId="18217C44" w:rsidR="007927FC" w:rsidRPr="008A106B" w:rsidRDefault="007927FC" w:rsidP="007927FC">
      <w:pPr>
        <w:rPr>
          <w:lang w:val="es-ES"/>
        </w:rPr>
      </w:pPr>
      <w:r w:rsidRPr="008A106B">
        <w:rPr>
          <w:lang w:val="es-ES"/>
        </w:rPr>
        <w:t>Retire de una bolsa de perfusión de 100 ml un volumen de solución para inyección estéril y apirógena de cloruro sódico 9</w:t>
      </w:r>
      <w:r w:rsidR="00205482" w:rsidRPr="00BB710F">
        <w:rPr>
          <w:i/>
          <w:u w:val="single"/>
          <w:lang w:val="es-ES"/>
        </w:rPr>
        <w:t> </w:t>
      </w:r>
      <w:r w:rsidRPr="008A106B">
        <w:rPr>
          <w:lang w:val="es-ES"/>
        </w:rPr>
        <w:t>mg/ml (0,9</w:t>
      </w:r>
      <w:r w:rsidR="005A2FFB">
        <w:rPr>
          <w:lang w:val="es-ES"/>
        </w:rPr>
        <w:t xml:space="preserve"> </w:t>
      </w:r>
      <w:r w:rsidRPr="008A106B">
        <w:rPr>
          <w:lang w:val="es-ES"/>
        </w:rPr>
        <w:t>%) igual que el volumen de concentrado necesario para la dosis del paciente, en condiciones asépticas. La cantidad necesaria de concentrado (</w:t>
      </w:r>
      <w:r w:rsidRPr="008A106B">
        <w:rPr>
          <w:b/>
          <w:lang w:val="es-ES"/>
        </w:rPr>
        <w:t>0,4 ml/kg</w:t>
      </w:r>
      <w:r w:rsidRPr="008A106B">
        <w:rPr>
          <w:lang w:val="es-ES"/>
        </w:rPr>
        <w:t xml:space="preserve">) debe ser retirada del vial y colocada en los 100 ml de la bolsa de perfusión. El volumen final debe ser 100 ml. Para mezclar la solución, invierta suavemente la bolsa de perfusión para evitar la formación de espuma. </w:t>
      </w:r>
    </w:p>
    <w:p w14:paraId="7448E996" w14:textId="77777777" w:rsidR="007927FC" w:rsidRPr="008A106B" w:rsidRDefault="007927FC" w:rsidP="007927FC">
      <w:pPr>
        <w:rPr>
          <w:lang w:val="es-ES"/>
        </w:rPr>
      </w:pPr>
    </w:p>
    <w:p w14:paraId="2C361B80" w14:textId="57A8F8DF" w:rsidR="007927FC" w:rsidRPr="00F30AB8" w:rsidRDefault="007927FC" w:rsidP="007927FC">
      <w:pPr>
        <w:rPr>
          <w:i/>
          <w:u w:val="single"/>
          <w:lang w:val="es-ES"/>
        </w:rPr>
      </w:pPr>
      <w:r w:rsidRPr="00F30AB8">
        <w:rPr>
          <w:i/>
          <w:u w:val="single"/>
          <w:lang w:val="es-ES"/>
        </w:rPr>
        <w:t>Pacientes con AIJs</w:t>
      </w:r>
      <w:r w:rsidR="005764C6" w:rsidRPr="00F30AB8">
        <w:rPr>
          <w:i/>
          <w:u w:val="single"/>
          <w:lang w:val="es-ES"/>
        </w:rPr>
        <w:t xml:space="preserve"> y SLC</w:t>
      </w:r>
      <w:r w:rsidRPr="00F30AB8">
        <w:rPr>
          <w:i/>
          <w:u w:val="single"/>
          <w:lang w:val="es-ES"/>
        </w:rPr>
        <w:t xml:space="preserve"> con peso &lt; 30</w:t>
      </w:r>
      <w:r w:rsidR="00205482" w:rsidRPr="00BB710F">
        <w:rPr>
          <w:i/>
          <w:u w:val="single"/>
          <w:lang w:val="es-ES"/>
        </w:rPr>
        <w:t> </w:t>
      </w:r>
      <w:r w:rsidRPr="00F30AB8">
        <w:rPr>
          <w:i/>
          <w:u w:val="single"/>
          <w:lang w:val="es-ES"/>
        </w:rPr>
        <w:t>kg</w:t>
      </w:r>
    </w:p>
    <w:p w14:paraId="32C9C8A7" w14:textId="77777777" w:rsidR="007927FC" w:rsidRPr="008A106B" w:rsidRDefault="007927FC" w:rsidP="007927FC">
      <w:pPr>
        <w:rPr>
          <w:lang w:val="es-ES"/>
        </w:rPr>
      </w:pPr>
      <w:r w:rsidRPr="008A106B">
        <w:rPr>
          <w:lang w:val="es-ES_tradnl"/>
        </w:rPr>
        <w:t>Retire de una bolsa de perfusión de 50 ml un volumen de solución para inyección estéril y apirógena de cloruro sódico 9 mg/ml (0,9 %) igual que el volumen de concentrado de RoActemra necesario para la dosis del paciente, en condiciones asépticas. La cantidad necesaria de concentrado de RoActemra (</w:t>
      </w:r>
      <w:r w:rsidRPr="008A106B">
        <w:rPr>
          <w:b/>
          <w:lang w:val="es-ES_tradnl"/>
        </w:rPr>
        <w:t>0,6 ml/kg</w:t>
      </w:r>
      <w:r w:rsidRPr="008A106B">
        <w:rPr>
          <w:lang w:val="es-ES_tradnl"/>
        </w:rPr>
        <w:t>) debe ser retirada del vial y colocada en los 50 ml de la bolsa de perfusión. El volumen final debe ser de 50 ml. Para mezclar la solución, invierta suavemente la bolsa de perfusión para evitar la formación de espuma.</w:t>
      </w:r>
      <w:r w:rsidRPr="008A106B">
        <w:rPr>
          <w:lang w:val="es-ES"/>
        </w:rPr>
        <w:t xml:space="preserve"> </w:t>
      </w:r>
    </w:p>
    <w:p w14:paraId="02238FA1" w14:textId="77777777" w:rsidR="007927FC" w:rsidRPr="008A106B" w:rsidRDefault="007927FC" w:rsidP="007927FC">
      <w:pPr>
        <w:rPr>
          <w:lang w:val="es-ES"/>
        </w:rPr>
      </w:pPr>
    </w:p>
    <w:p w14:paraId="2949C89D" w14:textId="77777777" w:rsidR="007927FC" w:rsidRPr="00F30AB8" w:rsidRDefault="007927FC" w:rsidP="00FF2AFA">
      <w:pPr>
        <w:keepNext/>
        <w:keepLines/>
        <w:spacing w:line="240" w:lineRule="exact"/>
        <w:rPr>
          <w:i/>
          <w:u w:val="single"/>
          <w:lang w:val="es-ES"/>
        </w:rPr>
      </w:pPr>
      <w:r w:rsidRPr="00F30AB8">
        <w:rPr>
          <w:i/>
          <w:u w:val="single"/>
          <w:lang w:val="es-ES"/>
        </w:rPr>
        <w:lastRenderedPageBreak/>
        <w:t>Pacientes con AIJp con peso &lt; 30 kg</w:t>
      </w:r>
    </w:p>
    <w:p w14:paraId="0EA20090" w14:textId="08605762" w:rsidR="007927FC" w:rsidRPr="008A106B" w:rsidRDefault="007927FC" w:rsidP="00FF2AFA">
      <w:pPr>
        <w:keepNext/>
        <w:keepLines/>
        <w:spacing w:line="240" w:lineRule="exact"/>
        <w:rPr>
          <w:lang w:val="es-ES"/>
        </w:rPr>
      </w:pPr>
      <w:r w:rsidRPr="008A106B">
        <w:rPr>
          <w:lang w:val="es-ES"/>
        </w:rPr>
        <w:t>Retire de una bolsa de perfusión de 50 ml, un volumen de solución para inyección estéril y apirógena de cloruro sódico 9 mg/ml (0,9</w:t>
      </w:r>
      <w:r w:rsidR="005A2FFB">
        <w:rPr>
          <w:lang w:val="es-ES"/>
        </w:rPr>
        <w:t xml:space="preserve"> </w:t>
      </w:r>
      <w:r w:rsidRPr="008A106B">
        <w:rPr>
          <w:lang w:val="es-ES"/>
        </w:rPr>
        <w:t>%) igual que el volumen de concentrado de RoActemra necesario para la dosis del paciente, en condiciones asépticas. La cantidad necesaria de concentrado de RoActemra (</w:t>
      </w:r>
      <w:r w:rsidRPr="008A106B">
        <w:rPr>
          <w:b/>
          <w:lang w:val="es-ES"/>
        </w:rPr>
        <w:t>0,5 ml/kg</w:t>
      </w:r>
      <w:r w:rsidRPr="008A106B">
        <w:rPr>
          <w:lang w:val="es-ES"/>
        </w:rPr>
        <w:t>) debe ser retirada del vial y colocada en los 50</w:t>
      </w:r>
      <w:r w:rsidR="00205482" w:rsidRPr="00BB710F">
        <w:rPr>
          <w:i/>
          <w:u w:val="single"/>
          <w:lang w:val="es-ES"/>
        </w:rPr>
        <w:t> </w:t>
      </w:r>
      <w:r w:rsidRPr="008A106B">
        <w:rPr>
          <w:lang w:val="es-ES"/>
        </w:rPr>
        <w:t>ml de la bolsa de perfusión. El volumen final debe ser de 50 ml. Para mezclar la solución, invierta suavemente la bolsa de perfusión para evitar la formación de espuma.</w:t>
      </w:r>
    </w:p>
    <w:p w14:paraId="77FC5067" w14:textId="77777777" w:rsidR="007927FC" w:rsidRDefault="007927FC" w:rsidP="007927FC">
      <w:pPr>
        <w:rPr>
          <w:lang w:val="es-ES"/>
        </w:rPr>
      </w:pPr>
    </w:p>
    <w:p w14:paraId="25A5732F" w14:textId="77777777" w:rsidR="00476616" w:rsidRDefault="00476616" w:rsidP="007927FC">
      <w:pPr>
        <w:rPr>
          <w:lang w:val="es-ES"/>
        </w:rPr>
      </w:pPr>
      <w:r w:rsidRPr="00476616">
        <w:rPr>
          <w:lang w:val="es-ES"/>
        </w:rPr>
        <w:t xml:space="preserve">Cuando se diluye con cloruro de sodio 9 mg/ml (0,9 %) en solución inyectable, RoActemra es compatible con bolsas de perfusión intravenosa de </w:t>
      </w:r>
      <w:proofErr w:type="gramStart"/>
      <w:r w:rsidRPr="00476616">
        <w:rPr>
          <w:lang w:val="es-ES"/>
        </w:rPr>
        <w:t>poli(</w:t>
      </w:r>
      <w:proofErr w:type="gramEnd"/>
      <w:r w:rsidRPr="00476616">
        <w:rPr>
          <w:lang w:val="es-ES"/>
        </w:rPr>
        <w:t>cloruro de vinilo) (PVC), polietileno (PE) y polipropileno (PP).</w:t>
      </w:r>
    </w:p>
    <w:p w14:paraId="57409DFA" w14:textId="77777777" w:rsidR="00AF6710" w:rsidRPr="00376697" w:rsidRDefault="00AF6710" w:rsidP="007927FC">
      <w:pPr>
        <w:rPr>
          <w:lang w:val="es-ES"/>
        </w:rPr>
      </w:pPr>
    </w:p>
    <w:p w14:paraId="64F959BB" w14:textId="77777777" w:rsidR="007927FC" w:rsidRPr="008A106B" w:rsidRDefault="007927FC" w:rsidP="007927FC">
      <w:pPr>
        <w:rPr>
          <w:lang w:val="es-ES"/>
        </w:rPr>
      </w:pPr>
      <w:r w:rsidRPr="008A106B">
        <w:rPr>
          <w:lang w:val="es-ES_tradnl"/>
        </w:rPr>
        <w:t>RoActemra se suministra en viales de uso único.</w:t>
      </w:r>
    </w:p>
    <w:p w14:paraId="4CF459F0" w14:textId="77777777" w:rsidR="007927FC" w:rsidRPr="008A106B" w:rsidRDefault="007927FC" w:rsidP="007927FC">
      <w:pPr>
        <w:rPr>
          <w:lang w:val="es-ES_tradnl"/>
        </w:rPr>
      </w:pPr>
    </w:p>
    <w:p w14:paraId="552B2174" w14:textId="77777777" w:rsidR="007927FC" w:rsidRPr="008A106B" w:rsidRDefault="00EB7B6A" w:rsidP="007927FC">
      <w:pPr>
        <w:rPr>
          <w:lang w:val="es-ES"/>
        </w:rPr>
      </w:pPr>
      <w:r w:rsidRPr="006868F5">
        <w:rPr>
          <w:lang w:val="es-ES"/>
        </w:rPr>
        <w:t>La eliminación del medicamento no utilizado y de todos los materiales que hayan estado en contacto con él se realizará de acuerdo con la normativa local.</w:t>
      </w:r>
    </w:p>
    <w:p w14:paraId="72AF541A" w14:textId="77777777" w:rsidR="007927FC" w:rsidRPr="008A106B" w:rsidRDefault="007927FC" w:rsidP="007927FC">
      <w:pPr>
        <w:rPr>
          <w:lang w:val="es-ES"/>
        </w:rPr>
      </w:pPr>
    </w:p>
    <w:p w14:paraId="4B3A580A" w14:textId="77777777" w:rsidR="007927FC" w:rsidRPr="008A106B" w:rsidRDefault="007927FC" w:rsidP="007927FC">
      <w:pPr>
        <w:rPr>
          <w:lang w:val="es-ES"/>
        </w:rPr>
      </w:pPr>
    </w:p>
    <w:p w14:paraId="1850555F" w14:textId="77777777" w:rsidR="007927FC" w:rsidRPr="008A106B" w:rsidRDefault="007927FC" w:rsidP="007927FC">
      <w:pPr>
        <w:keepNext/>
        <w:ind w:left="562" w:hanging="562"/>
        <w:rPr>
          <w:lang w:val="es-ES"/>
        </w:rPr>
      </w:pPr>
      <w:r w:rsidRPr="008A106B">
        <w:rPr>
          <w:b/>
          <w:bCs/>
          <w:lang w:val="es-ES"/>
        </w:rPr>
        <w:t>7.</w:t>
      </w:r>
      <w:r w:rsidRPr="008A106B">
        <w:rPr>
          <w:b/>
          <w:bCs/>
          <w:lang w:val="es-ES"/>
        </w:rPr>
        <w:tab/>
      </w:r>
      <w:r w:rsidRPr="008A106B">
        <w:rPr>
          <w:b/>
          <w:bCs/>
          <w:lang w:val="es-ES_tradnl"/>
        </w:rPr>
        <w:t>TITULAR DE LA AUTORIZACIÓN DE COMERCIALIZACIÓN:</w:t>
      </w:r>
    </w:p>
    <w:p w14:paraId="5CE7D9E7" w14:textId="77777777" w:rsidR="007927FC" w:rsidRPr="008A106B" w:rsidRDefault="007927FC" w:rsidP="007927FC">
      <w:pPr>
        <w:keepNext/>
        <w:rPr>
          <w:lang w:val="es-ES"/>
        </w:rPr>
      </w:pPr>
    </w:p>
    <w:p w14:paraId="459F5C31" w14:textId="77777777" w:rsidR="00293699" w:rsidRPr="00EF2448" w:rsidRDefault="00293699" w:rsidP="00293699">
      <w:pPr>
        <w:keepNext/>
        <w:rPr>
          <w:lang w:val="de-DE"/>
        </w:rPr>
      </w:pPr>
      <w:r w:rsidRPr="00EF2448">
        <w:rPr>
          <w:lang w:val="de-DE"/>
        </w:rPr>
        <w:t xml:space="preserve">Roche Registration GmbH </w:t>
      </w:r>
    </w:p>
    <w:p w14:paraId="0DA0A583" w14:textId="77777777" w:rsidR="00293699" w:rsidRPr="00EF2448" w:rsidRDefault="00293699" w:rsidP="00293699">
      <w:pPr>
        <w:keepNext/>
        <w:rPr>
          <w:lang w:val="de-DE"/>
        </w:rPr>
      </w:pPr>
      <w:r w:rsidRPr="00EF2448">
        <w:rPr>
          <w:lang w:val="de-DE"/>
        </w:rPr>
        <w:t>Emil-Barell-Strasse 1</w:t>
      </w:r>
    </w:p>
    <w:p w14:paraId="66FA40AB" w14:textId="77777777" w:rsidR="00293699" w:rsidRPr="00F30AB8" w:rsidRDefault="00293699" w:rsidP="00293699">
      <w:pPr>
        <w:keepNext/>
        <w:rPr>
          <w:lang w:val="pt-PT"/>
        </w:rPr>
      </w:pPr>
      <w:r w:rsidRPr="00F30AB8">
        <w:rPr>
          <w:lang w:val="pt-PT"/>
        </w:rPr>
        <w:t>79639 Grenzach-Wyhlen</w:t>
      </w:r>
    </w:p>
    <w:p w14:paraId="298FD529" w14:textId="77777777" w:rsidR="007927FC" w:rsidRPr="008A106B" w:rsidRDefault="00293699" w:rsidP="007927FC">
      <w:pPr>
        <w:rPr>
          <w:lang w:val="es-ES"/>
        </w:rPr>
      </w:pPr>
      <w:r w:rsidRPr="00EF2448">
        <w:rPr>
          <w:lang w:val="es-ES"/>
        </w:rPr>
        <w:t>Alemania</w:t>
      </w:r>
    </w:p>
    <w:p w14:paraId="0DF15519" w14:textId="77777777" w:rsidR="007927FC" w:rsidRDefault="007927FC" w:rsidP="007927FC">
      <w:pPr>
        <w:rPr>
          <w:lang w:val="es-ES"/>
        </w:rPr>
      </w:pPr>
    </w:p>
    <w:p w14:paraId="7E5A5354" w14:textId="77777777" w:rsidR="00387A47" w:rsidRPr="008A106B" w:rsidRDefault="00387A47" w:rsidP="007927FC">
      <w:pPr>
        <w:rPr>
          <w:lang w:val="es-ES"/>
        </w:rPr>
      </w:pPr>
    </w:p>
    <w:p w14:paraId="6A3BC702" w14:textId="77777777" w:rsidR="007927FC" w:rsidRPr="008A106B" w:rsidRDefault="007927FC" w:rsidP="007927FC">
      <w:pPr>
        <w:ind w:left="567" w:hanging="567"/>
        <w:rPr>
          <w:b/>
          <w:bCs/>
          <w:lang w:val="es-ES"/>
        </w:rPr>
      </w:pPr>
      <w:r w:rsidRPr="008A106B">
        <w:rPr>
          <w:b/>
          <w:bCs/>
          <w:lang w:val="es-ES"/>
        </w:rPr>
        <w:t>8.</w:t>
      </w:r>
      <w:r w:rsidRPr="008A106B">
        <w:rPr>
          <w:b/>
          <w:bCs/>
          <w:lang w:val="es-ES"/>
        </w:rPr>
        <w:tab/>
      </w:r>
      <w:r w:rsidRPr="008A106B">
        <w:rPr>
          <w:b/>
          <w:bCs/>
          <w:lang w:val="es-ES_tradnl"/>
        </w:rPr>
        <w:t>NÚMEROS DE AUTORIZACIÓN DE COMERCIALIZACIÓN</w:t>
      </w:r>
      <w:r w:rsidRPr="008A106B">
        <w:rPr>
          <w:b/>
          <w:bCs/>
          <w:lang w:val="es-ES"/>
        </w:rPr>
        <w:t xml:space="preserve"> </w:t>
      </w:r>
    </w:p>
    <w:p w14:paraId="124E7D8F" w14:textId="77777777" w:rsidR="007927FC" w:rsidRPr="008A106B" w:rsidRDefault="007927FC" w:rsidP="007927FC">
      <w:pPr>
        <w:rPr>
          <w:lang w:val="es-ES"/>
        </w:rPr>
      </w:pPr>
    </w:p>
    <w:p w14:paraId="683384A7" w14:textId="77777777" w:rsidR="007927FC" w:rsidRPr="00EF2448" w:rsidRDefault="007927FC" w:rsidP="007927FC">
      <w:pPr>
        <w:rPr>
          <w:lang w:val="pt-BR"/>
        </w:rPr>
      </w:pPr>
      <w:r w:rsidRPr="00EF2448">
        <w:rPr>
          <w:lang w:val="pt-BR"/>
        </w:rPr>
        <w:t>EU/1/08/492/001</w:t>
      </w:r>
    </w:p>
    <w:p w14:paraId="1B74F33B" w14:textId="77777777" w:rsidR="007927FC" w:rsidRPr="008A106B" w:rsidRDefault="007927FC" w:rsidP="007927FC">
      <w:pPr>
        <w:rPr>
          <w:lang w:val="pt-BR"/>
        </w:rPr>
      </w:pPr>
      <w:r w:rsidRPr="008A106B">
        <w:rPr>
          <w:lang w:val="pt-BR"/>
        </w:rPr>
        <w:t>EU/1/08/492/002</w:t>
      </w:r>
    </w:p>
    <w:p w14:paraId="70A3DBDF" w14:textId="77777777" w:rsidR="007927FC" w:rsidRPr="008A106B" w:rsidRDefault="007927FC" w:rsidP="007927FC">
      <w:pPr>
        <w:rPr>
          <w:lang w:val="pt-BR"/>
        </w:rPr>
      </w:pPr>
      <w:r w:rsidRPr="008A106B">
        <w:rPr>
          <w:lang w:val="pt-BR"/>
        </w:rPr>
        <w:t>EU/1/08/492/003</w:t>
      </w:r>
    </w:p>
    <w:p w14:paraId="5936F81D" w14:textId="77777777" w:rsidR="007927FC" w:rsidRPr="008A106B" w:rsidRDefault="007927FC" w:rsidP="007927FC">
      <w:pPr>
        <w:rPr>
          <w:lang w:val="pt-BR"/>
        </w:rPr>
      </w:pPr>
      <w:r w:rsidRPr="008A106B">
        <w:rPr>
          <w:lang w:val="pt-BR"/>
        </w:rPr>
        <w:t>EU/1/08/492/004</w:t>
      </w:r>
    </w:p>
    <w:p w14:paraId="2CD9655A" w14:textId="77777777" w:rsidR="007927FC" w:rsidRPr="008A106B" w:rsidRDefault="007927FC" w:rsidP="007927FC">
      <w:pPr>
        <w:rPr>
          <w:lang w:val="pt-BR"/>
        </w:rPr>
      </w:pPr>
      <w:r w:rsidRPr="008A106B">
        <w:rPr>
          <w:lang w:val="pt-BR"/>
        </w:rPr>
        <w:t>EU/1/08/492/005</w:t>
      </w:r>
    </w:p>
    <w:p w14:paraId="2B11E7FE" w14:textId="77777777" w:rsidR="007927FC" w:rsidRPr="00EF2448" w:rsidRDefault="007927FC" w:rsidP="007927FC">
      <w:pPr>
        <w:rPr>
          <w:lang w:val="es-ES"/>
        </w:rPr>
      </w:pPr>
      <w:r w:rsidRPr="00EF2448">
        <w:rPr>
          <w:lang w:val="es-ES"/>
        </w:rPr>
        <w:t>EU/1/08/492/006</w:t>
      </w:r>
    </w:p>
    <w:p w14:paraId="68FDBAE3" w14:textId="77777777" w:rsidR="007927FC" w:rsidRPr="00EF2448" w:rsidRDefault="007927FC" w:rsidP="007927FC">
      <w:pPr>
        <w:rPr>
          <w:lang w:val="es-ES"/>
        </w:rPr>
      </w:pPr>
    </w:p>
    <w:p w14:paraId="68F77878" w14:textId="77777777" w:rsidR="007927FC" w:rsidRPr="00EF2448" w:rsidRDefault="007927FC" w:rsidP="007927FC">
      <w:pPr>
        <w:rPr>
          <w:lang w:val="es-ES"/>
        </w:rPr>
      </w:pPr>
    </w:p>
    <w:p w14:paraId="78D583E8" w14:textId="77777777" w:rsidR="007927FC" w:rsidRPr="008A106B" w:rsidRDefault="007927FC" w:rsidP="004B2673">
      <w:pPr>
        <w:keepNext/>
        <w:keepLines/>
        <w:ind w:left="567" w:hanging="567"/>
        <w:rPr>
          <w:lang w:val="es-ES"/>
        </w:rPr>
      </w:pPr>
      <w:r w:rsidRPr="008A106B">
        <w:rPr>
          <w:b/>
          <w:bCs/>
          <w:lang w:val="es-ES"/>
        </w:rPr>
        <w:t>9.</w:t>
      </w:r>
      <w:r w:rsidRPr="008A106B">
        <w:rPr>
          <w:b/>
          <w:bCs/>
          <w:lang w:val="es-ES"/>
        </w:rPr>
        <w:tab/>
      </w:r>
      <w:r w:rsidRPr="008A106B">
        <w:rPr>
          <w:b/>
          <w:bCs/>
          <w:lang w:val="es-ES_tradnl"/>
        </w:rPr>
        <w:t>FECHA DE LA PRIMERA AUTORIZACIÓN/RENOVACIÓN DE LA AUTORIZACIÓN</w:t>
      </w:r>
    </w:p>
    <w:p w14:paraId="32326633" w14:textId="77777777" w:rsidR="007927FC" w:rsidRPr="008A106B" w:rsidRDefault="007927FC" w:rsidP="004B2673">
      <w:pPr>
        <w:keepNext/>
        <w:keepLines/>
        <w:rPr>
          <w:lang w:val="es-ES"/>
        </w:rPr>
      </w:pPr>
    </w:p>
    <w:p w14:paraId="52878360" w14:textId="77777777" w:rsidR="007927FC" w:rsidRDefault="007927FC" w:rsidP="004B2673">
      <w:pPr>
        <w:keepNext/>
        <w:keepLines/>
        <w:rPr>
          <w:lang w:val="es-ES"/>
        </w:rPr>
      </w:pPr>
      <w:r>
        <w:rPr>
          <w:lang w:val="es-ES"/>
        </w:rPr>
        <w:t xml:space="preserve">Fecha de la primera autorización: </w:t>
      </w:r>
      <w:r w:rsidRPr="008A106B">
        <w:rPr>
          <w:lang w:val="es-ES"/>
        </w:rPr>
        <w:t>16</w:t>
      </w:r>
      <w:r w:rsidR="003172D4">
        <w:rPr>
          <w:lang w:val="es-ES"/>
        </w:rPr>
        <w:t>/e</w:t>
      </w:r>
      <w:r w:rsidRPr="008A106B">
        <w:rPr>
          <w:lang w:val="es-ES"/>
        </w:rPr>
        <w:t>nero</w:t>
      </w:r>
      <w:r w:rsidR="003172D4">
        <w:rPr>
          <w:lang w:val="es-ES"/>
        </w:rPr>
        <w:t>/</w:t>
      </w:r>
      <w:r w:rsidRPr="008A106B">
        <w:rPr>
          <w:lang w:val="es-ES"/>
        </w:rPr>
        <w:t>2009</w:t>
      </w:r>
    </w:p>
    <w:p w14:paraId="33C7D357" w14:textId="77777777" w:rsidR="007927FC" w:rsidRPr="008A106B" w:rsidRDefault="00485762" w:rsidP="004B2673">
      <w:pPr>
        <w:keepNext/>
        <w:keepLines/>
        <w:rPr>
          <w:lang w:val="es-ES"/>
        </w:rPr>
      </w:pPr>
      <w:r w:rsidRPr="000911DD">
        <w:rPr>
          <w:lang w:val="es-ES"/>
        </w:rPr>
        <w:t xml:space="preserve">Fecha de la última </w:t>
      </w:r>
      <w:r w:rsidR="00EB7B6A">
        <w:rPr>
          <w:lang w:val="es-ES"/>
        </w:rPr>
        <w:t>renovación</w:t>
      </w:r>
      <w:r w:rsidRPr="000911DD">
        <w:rPr>
          <w:lang w:val="es-ES"/>
        </w:rPr>
        <w:t>: 25</w:t>
      </w:r>
      <w:r w:rsidR="003172D4">
        <w:rPr>
          <w:lang w:val="es-ES"/>
        </w:rPr>
        <w:t>/</w:t>
      </w:r>
      <w:r w:rsidR="00293699">
        <w:rPr>
          <w:lang w:val="es-ES"/>
        </w:rPr>
        <w:t>septiembre</w:t>
      </w:r>
      <w:r w:rsidR="003172D4">
        <w:rPr>
          <w:lang w:val="es-ES"/>
        </w:rPr>
        <w:t>/</w:t>
      </w:r>
      <w:r w:rsidRPr="000911DD">
        <w:rPr>
          <w:lang w:val="es-ES"/>
        </w:rPr>
        <w:t>2013</w:t>
      </w:r>
    </w:p>
    <w:p w14:paraId="140385CD" w14:textId="77777777" w:rsidR="007927FC" w:rsidRDefault="007927FC" w:rsidP="004B2673">
      <w:pPr>
        <w:keepNext/>
        <w:keepLines/>
        <w:rPr>
          <w:lang w:val="es-ES"/>
        </w:rPr>
      </w:pPr>
    </w:p>
    <w:p w14:paraId="6630D11A" w14:textId="77777777" w:rsidR="00817DCE" w:rsidRPr="008A106B" w:rsidRDefault="00817DCE" w:rsidP="007927FC">
      <w:pPr>
        <w:rPr>
          <w:lang w:val="es-ES"/>
        </w:rPr>
      </w:pPr>
    </w:p>
    <w:p w14:paraId="79D2C528" w14:textId="77777777" w:rsidR="007927FC" w:rsidRDefault="007927FC" w:rsidP="007927FC">
      <w:pPr>
        <w:keepNext/>
        <w:ind w:left="567" w:hanging="567"/>
        <w:rPr>
          <w:b/>
          <w:bCs/>
          <w:lang w:val="es-ES_tradnl"/>
        </w:rPr>
      </w:pPr>
      <w:r w:rsidRPr="008A106B">
        <w:rPr>
          <w:b/>
          <w:bCs/>
          <w:lang w:val="es-ES"/>
        </w:rPr>
        <w:t>10.</w:t>
      </w:r>
      <w:r w:rsidRPr="008A106B">
        <w:rPr>
          <w:b/>
          <w:bCs/>
          <w:lang w:val="es-ES"/>
        </w:rPr>
        <w:tab/>
      </w:r>
      <w:r w:rsidRPr="008A106B">
        <w:rPr>
          <w:b/>
          <w:bCs/>
          <w:lang w:val="es-ES_tradnl"/>
        </w:rPr>
        <w:t>FECHA DE LA REVISIÓN DEL TEXTO</w:t>
      </w:r>
    </w:p>
    <w:p w14:paraId="25E29342" w14:textId="77777777" w:rsidR="007927FC" w:rsidRDefault="007927FC" w:rsidP="007927FC">
      <w:pPr>
        <w:keepNext/>
        <w:ind w:left="567" w:hanging="567"/>
        <w:rPr>
          <w:b/>
          <w:bCs/>
          <w:lang w:val="es-ES_tradnl"/>
        </w:rPr>
      </w:pPr>
    </w:p>
    <w:p w14:paraId="00380B0B" w14:textId="249C3405" w:rsidR="007927FC" w:rsidRPr="008A106B" w:rsidRDefault="00A26F38" w:rsidP="007927FC">
      <w:pPr>
        <w:numPr>
          <w:ilvl w:val="12"/>
          <w:numId w:val="0"/>
        </w:numPr>
        <w:tabs>
          <w:tab w:val="left" w:pos="567"/>
        </w:tabs>
        <w:ind w:right="-2"/>
        <w:rPr>
          <w:noProof/>
          <w:lang w:val="es-ES"/>
        </w:rPr>
      </w:pPr>
      <w:r>
        <w:rPr>
          <w:lang w:val="es-ES_tradnl"/>
        </w:rPr>
        <w:t>La</w:t>
      </w:r>
      <w:r w:rsidR="00F97391">
        <w:rPr>
          <w:lang w:val="es-ES_tradnl"/>
        </w:rPr>
        <w:t xml:space="preserve"> </w:t>
      </w:r>
      <w:r w:rsidR="007927FC" w:rsidRPr="008A106B">
        <w:rPr>
          <w:lang w:val="es-ES_tradnl"/>
        </w:rPr>
        <w:t xml:space="preserve">información detallada de este medicamento </w:t>
      </w:r>
      <w:r>
        <w:rPr>
          <w:lang w:val="es-ES_tradnl"/>
        </w:rPr>
        <w:t xml:space="preserve">está disponible </w:t>
      </w:r>
      <w:r w:rsidR="007927FC" w:rsidRPr="008A106B">
        <w:rPr>
          <w:lang w:val="es-ES_tradnl"/>
        </w:rPr>
        <w:t xml:space="preserve">en </w:t>
      </w:r>
      <w:r>
        <w:rPr>
          <w:lang w:val="es-ES_tradnl"/>
        </w:rPr>
        <w:t xml:space="preserve">la página </w:t>
      </w:r>
      <w:r w:rsidR="007927FC" w:rsidRPr="008A106B">
        <w:rPr>
          <w:lang w:val="es-ES_tradnl"/>
        </w:rPr>
        <w:t>web de la Agencia Europea de Medicamentos</w:t>
      </w:r>
      <w:r w:rsidR="00205482" w:rsidRPr="00F30AB8">
        <w:rPr>
          <w:noProof/>
          <w:szCs w:val="22"/>
          <w:lang w:val="es-ES"/>
        </w:rPr>
        <w:t xml:space="preserve"> </w:t>
      </w:r>
      <w:r w:rsidR="00205482">
        <w:fldChar w:fldCharType="begin"/>
      </w:r>
      <w:r w:rsidR="00205482" w:rsidRPr="00467FFD">
        <w:rPr>
          <w:lang w:val="es-ES"/>
          <w:rPrChange w:id="764" w:author="AUTHOR">
            <w:rPr/>
          </w:rPrChange>
        </w:rPr>
        <w:instrText>HYPERLINK "https://www.ema.europa.eu/"</w:instrText>
      </w:r>
      <w:r w:rsidR="00205482">
        <w:fldChar w:fldCharType="separate"/>
      </w:r>
      <w:r w:rsidR="00205482" w:rsidRPr="00F30AB8">
        <w:rPr>
          <w:rStyle w:val="Hyperlink"/>
          <w:szCs w:val="22"/>
          <w:lang w:val="es-ES"/>
        </w:rPr>
        <w:t>https://www.ema.europa.eu.</w:t>
      </w:r>
      <w:r w:rsidR="00205482">
        <w:fldChar w:fldCharType="end"/>
      </w:r>
      <w:r w:rsidR="007927FC" w:rsidRPr="008A106B">
        <w:rPr>
          <w:lang w:val="es-ES_tradnl"/>
        </w:rPr>
        <w:t>.</w:t>
      </w:r>
    </w:p>
    <w:p w14:paraId="010C6417" w14:textId="77777777" w:rsidR="007927FC" w:rsidRPr="007A38AF" w:rsidRDefault="007927FC" w:rsidP="007927FC">
      <w:pPr>
        <w:rPr>
          <w:lang w:val="es-ES"/>
        </w:rPr>
      </w:pPr>
    </w:p>
    <w:p w14:paraId="53687795" w14:textId="77777777" w:rsidR="00752FD8" w:rsidRPr="008A106B" w:rsidRDefault="00F55F8B" w:rsidP="00752FD8">
      <w:pPr>
        <w:ind w:left="567" w:hanging="567"/>
        <w:rPr>
          <w:lang w:val="es-ES"/>
        </w:rPr>
      </w:pPr>
      <w:r>
        <w:rPr>
          <w:noProof/>
          <w:lang w:val="es-ES"/>
        </w:rPr>
        <w:br w:type="page"/>
      </w:r>
      <w:r w:rsidR="00752FD8" w:rsidRPr="008A106B">
        <w:rPr>
          <w:b/>
          <w:bCs/>
          <w:lang w:val="es-ES"/>
        </w:rPr>
        <w:lastRenderedPageBreak/>
        <w:t>1.</w:t>
      </w:r>
      <w:r w:rsidR="00752FD8" w:rsidRPr="008A106B">
        <w:rPr>
          <w:b/>
          <w:bCs/>
          <w:lang w:val="es-ES"/>
        </w:rPr>
        <w:tab/>
      </w:r>
      <w:r w:rsidR="00752FD8" w:rsidRPr="008A106B">
        <w:rPr>
          <w:b/>
          <w:bCs/>
          <w:lang w:val="es-ES_tradnl"/>
        </w:rPr>
        <w:t>NOMBRE DEL MEDICAMENTO</w:t>
      </w:r>
    </w:p>
    <w:p w14:paraId="69C0844D" w14:textId="77777777" w:rsidR="00752FD8" w:rsidRPr="008A106B" w:rsidRDefault="00752FD8" w:rsidP="00752FD8">
      <w:pPr>
        <w:rPr>
          <w:iCs/>
          <w:lang w:val="es-ES"/>
        </w:rPr>
      </w:pPr>
    </w:p>
    <w:p w14:paraId="19A07616" w14:textId="17847D0F" w:rsidR="00752FD8" w:rsidRDefault="00752FD8" w:rsidP="00752FD8">
      <w:pPr>
        <w:rPr>
          <w:lang w:val="es-ES_tradnl"/>
        </w:rPr>
      </w:pPr>
      <w:r w:rsidRPr="008A106B">
        <w:rPr>
          <w:lang w:val="es-ES_tradnl"/>
        </w:rPr>
        <w:t xml:space="preserve">RoActemra </w:t>
      </w:r>
      <w:r>
        <w:rPr>
          <w:lang w:val="es-ES_tradnl"/>
        </w:rPr>
        <w:t>162</w:t>
      </w:r>
      <w:r w:rsidR="00290A07">
        <w:rPr>
          <w:lang w:val="es-ES_tradnl"/>
        </w:rPr>
        <w:t> </w:t>
      </w:r>
      <w:r>
        <w:rPr>
          <w:lang w:val="es-ES_tradnl"/>
        </w:rPr>
        <w:t>mg</w:t>
      </w:r>
      <w:r w:rsidRPr="008A106B">
        <w:rPr>
          <w:lang w:val="es-ES_tradnl"/>
        </w:rPr>
        <w:t xml:space="preserve"> solución </w:t>
      </w:r>
      <w:r w:rsidR="006F46C7">
        <w:rPr>
          <w:lang w:val="es-ES_tradnl"/>
        </w:rPr>
        <w:t xml:space="preserve">inyectable </w:t>
      </w:r>
      <w:r>
        <w:rPr>
          <w:lang w:val="es-ES_tradnl"/>
        </w:rPr>
        <w:t>en jeringa precargada.</w:t>
      </w:r>
    </w:p>
    <w:p w14:paraId="3BDEE3FD" w14:textId="77777777" w:rsidR="00752FD8" w:rsidRDefault="00752FD8" w:rsidP="00752FD8">
      <w:pPr>
        <w:rPr>
          <w:lang w:val="es-ES_tradnl"/>
        </w:rPr>
      </w:pPr>
    </w:p>
    <w:p w14:paraId="70DD2B03" w14:textId="77777777" w:rsidR="00817DCE" w:rsidRDefault="00817DCE" w:rsidP="00752FD8">
      <w:pPr>
        <w:rPr>
          <w:lang w:val="es-ES_tradnl"/>
        </w:rPr>
      </w:pPr>
    </w:p>
    <w:p w14:paraId="6FC80494" w14:textId="77777777" w:rsidR="00834462" w:rsidRDefault="00834462" w:rsidP="00834462">
      <w:pPr>
        <w:widowControl w:val="0"/>
        <w:ind w:left="567" w:hanging="567"/>
        <w:rPr>
          <w:b/>
          <w:bCs/>
          <w:lang w:val="es-ES_tradnl"/>
        </w:rPr>
      </w:pPr>
      <w:r w:rsidRPr="008A106B">
        <w:rPr>
          <w:b/>
          <w:bCs/>
          <w:lang w:val="es-ES"/>
        </w:rPr>
        <w:t>2.</w:t>
      </w:r>
      <w:r w:rsidRPr="008A106B">
        <w:rPr>
          <w:b/>
          <w:bCs/>
          <w:lang w:val="es-ES"/>
        </w:rPr>
        <w:tab/>
      </w:r>
      <w:r w:rsidRPr="008A106B">
        <w:rPr>
          <w:b/>
          <w:bCs/>
          <w:lang w:val="es-ES_tradnl"/>
        </w:rPr>
        <w:t>COMPOSICIÓN CUALITATIVA Y CUANTITATIVA</w:t>
      </w:r>
    </w:p>
    <w:p w14:paraId="67649095" w14:textId="77777777" w:rsidR="00834462" w:rsidRDefault="00834462" w:rsidP="00834462">
      <w:pPr>
        <w:widowControl w:val="0"/>
        <w:ind w:left="567" w:hanging="567"/>
        <w:rPr>
          <w:lang w:val="es-ES"/>
        </w:rPr>
      </w:pPr>
    </w:p>
    <w:p w14:paraId="180B96D9" w14:textId="33C4EEA8" w:rsidR="00853CE6" w:rsidRDefault="00853CE6" w:rsidP="00853CE6">
      <w:pPr>
        <w:rPr>
          <w:lang w:val="es-ES"/>
        </w:rPr>
      </w:pPr>
      <w:r>
        <w:rPr>
          <w:lang w:val="es-ES"/>
        </w:rPr>
        <w:t>Cada jeringa precargada contiene 162</w:t>
      </w:r>
      <w:r w:rsidR="00290A07">
        <w:rPr>
          <w:lang w:val="es-ES"/>
        </w:rPr>
        <w:t> </w:t>
      </w:r>
      <w:r>
        <w:rPr>
          <w:lang w:val="es-ES"/>
        </w:rPr>
        <w:t>mg de tocilizumab en 0,9</w:t>
      </w:r>
      <w:r w:rsidR="00290A07">
        <w:rPr>
          <w:lang w:val="es-ES"/>
        </w:rPr>
        <w:t> </w:t>
      </w:r>
      <w:r>
        <w:rPr>
          <w:lang w:val="es-ES"/>
        </w:rPr>
        <w:t>ml.</w:t>
      </w:r>
    </w:p>
    <w:p w14:paraId="0FA6B9D5" w14:textId="77777777" w:rsidR="00853CE6" w:rsidRPr="008A106B" w:rsidRDefault="00853CE6" w:rsidP="00834462">
      <w:pPr>
        <w:widowControl w:val="0"/>
        <w:ind w:left="567" w:hanging="567"/>
        <w:rPr>
          <w:lang w:val="es-ES"/>
        </w:rPr>
      </w:pPr>
    </w:p>
    <w:p w14:paraId="0A33E04C" w14:textId="1C3DD082" w:rsidR="00834462" w:rsidRPr="008A106B" w:rsidRDefault="00834462" w:rsidP="00834462">
      <w:pPr>
        <w:rPr>
          <w:lang w:val="es-ES"/>
        </w:rPr>
      </w:pPr>
      <w:r>
        <w:rPr>
          <w:lang w:val="es-ES"/>
        </w:rPr>
        <w:t xml:space="preserve">Tocilizumab es un </w:t>
      </w:r>
      <w:r w:rsidRPr="008A106B">
        <w:rPr>
          <w:lang w:val="es-ES_tradnl"/>
        </w:rPr>
        <w:t xml:space="preserve">anticuerpo monoclonal </w:t>
      </w:r>
      <w:r>
        <w:rPr>
          <w:lang w:val="es-ES_tradnl"/>
        </w:rPr>
        <w:t xml:space="preserve">de la </w:t>
      </w:r>
      <w:ins w:id="765" w:author="AUTHOR">
        <w:r w:rsidR="00522B20" w:rsidRPr="00522B20">
          <w:rPr>
            <w:lang w:val="es-ES_tradnl"/>
          </w:rPr>
          <w:t xml:space="preserve">subclase </w:t>
        </w:r>
      </w:ins>
      <w:r>
        <w:rPr>
          <w:lang w:val="es-ES_tradnl"/>
        </w:rPr>
        <w:t>inmunoglobulina G1(</w:t>
      </w:r>
      <w:r w:rsidRPr="008A106B">
        <w:rPr>
          <w:lang w:val="es-ES_tradnl"/>
        </w:rPr>
        <w:t>IgG1</w:t>
      </w:r>
      <w:r>
        <w:rPr>
          <w:lang w:val="es-ES_tradnl"/>
        </w:rPr>
        <w:t>)</w:t>
      </w:r>
      <w:r w:rsidRPr="008A106B">
        <w:rPr>
          <w:lang w:val="es-ES_tradnl"/>
        </w:rPr>
        <w:t xml:space="preserve"> recombinante humaniza</w:t>
      </w:r>
      <w:r>
        <w:rPr>
          <w:lang w:val="es-ES_tradnl"/>
        </w:rPr>
        <w:t>do</w:t>
      </w:r>
      <w:del w:id="766" w:author="AUTHOR">
        <w:r w:rsidRPr="008A106B" w:rsidDel="00522B20">
          <w:rPr>
            <w:lang w:val="es-ES_tradnl"/>
          </w:rPr>
          <w:delText xml:space="preserve">, </w:delText>
        </w:r>
        <w:r w:rsidDel="00522B20">
          <w:rPr>
            <w:lang w:val="es-ES_tradnl"/>
          </w:rPr>
          <w:delText>subclase</w:delText>
        </w:r>
      </w:del>
      <w:r w:rsidR="00D60ABF">
        <w:rPr>
          <w:lang w:val="es-ES_tradnl"/>
        </w:rPr>
        <w:t>.</w:t>
      </w:r>
    </w:p>
    <w:p w14:paraId="033074C4" w14:textId="77777777" w:rsidR="00834462" w:rsidRDefault="00834462" w:rsidP="00834462">
      <w:pPr>
        <w:rPr>
          <w:lang w:val="es-ES"/>
        </w:rPr>
      </w:pPr>
    </w:p>
    <w:p w14:paraId="74FC3CAC" w14:textId="77777777" w:rsidR="00D60ABF" w:rsidRPr="00F30AB8" w:rsidRDefault="00D60ABF" w:rsidP="00D60ABF">
      <w:pPr>
        <w:rPr>
          <w:u w:val="single"/>
          <w:lang w:val="es-ES"/>
        </w:rPr>
      </w:pPr>
      <w:r w:rsidRPr="00F30AB8">
        <w:rPr>
          <w:u w:val="single"/>
          <w:lang w:val="es-ES"/>
        </w:rPr>
        <w:t>Excipientes con efecto</w:t>
      </w:r>
      <w:r w:rsidRPr="00376697">
        <w:rPr>
          <w:u w:val="single"/>
          <w:lang w:val="es-ES"/>
        </w:rPr>
        <w:t xml:space="preserve"> conocido</w:t>
      </w:r>
    </w:p>
    <w:p w14:paraId="0C0D1FD3" w14:textId="46E45CB3" w:rsidR="00D60ABF" w:rsidRDefault="00290A07" w:rsidP="00834462">
      <w:pPr>
        <w:rPr>
          <w:lang w:val="es-ES"/>
        </w:rPr>
      </w:pPr>
      <w:r>
        <w:rPr>
          <w:lang w:val="es-ES"/>
        </w:rPr>
        <w:t>Cada jeringa de 162 mg/0,9 ml contiene 0,18 mg (0,2 </w:t>
      </w:r>
      <w:r w:rsidR="00D60ABF" w:rsidRPr="00D60ABF">
        <w:rPr>
          <w:lang w:val="es-ES"/>
        </w:rPr>
        <w:t>mg/ml) de polisorbato 80.</w:t>
      </w:r>
    </w:p>
    <w:p w14:paraId="6E8AA563" w14:textId="41C50BE7" w:rsidR="00834462" w:rsidRPr="008A106B" w:rsidRDefault="00834462" w:rsidP="00834462">
      <w:pPr>
        <w:rPr>
          <w:lang w:val="es-ES"/>
        </w:rPr>
      </w:pPr>
      <w:r w:rsidRPr="008A106B">
        <w:rPr>
          <w:lang w:val="es-ES_tradnl"/>
        </w:rPr>
        <w:t>Para consultar la lista completa de excipientes</w:t>
      </w:r>
      <w:r>
        <w:rPr>
          <w:lang w:val="es-ES_tradnl"/>
        </w:rPr>
        <w:t>,</w:t>
      </w:r>
      <w:r w:rsidRPr="008A106B">
        <w:rPr>
          <w:lang w:val="es-ES_tradnl"/>
        </w:rPr>
        <w:t xml:space="preserve"> ver sección</w:t>
      </w:r>
      <w:r w:rsidR="00290A07">
        <w:rPr>
          <w:lang w:val="es-ES_tradnl"/>
        </w:rPr>
        <w:t> </w:t>
      </w:r>
      <w:r w:rsidRPr="008A106B">
        <w:rPr>
          <w:lang w:val="es-ES_tradnl"/>
        </w:rPr>
        <w:t>6.1</w:t>
      </w:r>
    </w:p>
    <w:p w14:paraId="57F7A898" w14:textId="77777777" w:rsidR="00834462" w:rsidRPr="008A106B" w:rsidRDefault="00834462" w:rsidP="00834462">
      <w:pPr>
        <w:rPr>
          <w:lang w:val="es-ES"/>
        </w:rPr>
      </w:pPr>
    </w:p>
    <w:p w14:paraId="530BC322" w14:textId="77777777" w:rsidR="00834462" w:rsidRPr="008A106B" w:rsidRDefault="00834462" w:rsidP="00834462">
      <w:pPr>
        <w:rPr>
          <w:lang w:val="es-ES"/>
        </w:rPr>
      </w:pPr>
    </w:p>
    <w:p w14:paraId="0549C91F" w14:textId="77777777" w:rsidR="00834462" w:rsidRPr="008A106B" w:rsidRDefault="00834462" w:rsidP="00834462">
      <w:pPr>
        <w:ind w:left="567" w:hanging="567"/>
        <w:rPr>
          <w:caps/>
          <w:lang w:val="es-ES"/>
        </w:rPr>
      </w:pPr>
      <w:r w:rsidRPr="008A106B">
        <w:rPr>
          <w:b/>
          <w:bCs/>
          <w:lang w:val="es-ES"/>
        </w:rPr>
        <w:t>3.</w:t>
      </w:r>
      <w:r w:rsidRPr="008A106B">
        <w:rPr>
          <w:b/>
          <w:bCs/>
          <w:lang w:val="es-ES"/>
        </w:rPr>
        <w:tab/>
      </w:r>
      <w:r w:rsidRPr="008A106B">
        <w:rPr>
          <w:b/>
          <w:bCs/>
          <w:lang w:val="es-ES_tradnl"/>
        </w:rPr>
        <w:t>FORMA FARMACÉUTICA</w:t>
      </w:r>
    </w:p>
    <w:p w14:paraId="7AB54E99" w14:textId="77777777" w:rsidR="00834462" w:rsidRPr="008A106B" w:rsidRDefault="00834462" w:rsidP="00834462">
      <w:pPr>
        <w:rPr>
          <w:lang w:val="es-ES"/>
        </w:rPr>
      </w:pPr>
    </w:p>
    <w:p w14:paraId="18954775" w14:textId="3F6684B2" w:rsidR="00834462" w:rsidRPr="008A106B" w:rsidRDefault="00834462" w:rsidP="00834462">
      <w:pPr>
        <w:rPr>
          <w:lang w:val="es-ES"/>
        </w:rPr>
      </w:pPr>
      <w:r>
        <w:rPr>
          <w:lang w:val="es-ES_tradnl"/>
        </w:rPr>
        <w:t>Solución inyectable</w:t>
      </w:r>
      <w:r w:rsidR="009250E6">
        <w:rPr>
          <w:lang w:val="es-ES_tradnl"/>
        </w:rPr>
        <w:t xml:space="preserve"> </w:t>
      </w:r>
      <w:r w:rsidR="00D60ABF">
        <w:rPr>
          <w:lang w:val="es-ES_tradnl"/>
        </w:rPr>
        <w:t>(inyectable)</w:t>
      </w:r>
      <w:r w:rsidR="00853CE6">
        <w:rPr>
          <w:lang w:val="es-ES_tradnl"/>
        </w:rPr>
        <w:t>.</w:t>
      </w:r>
    </w:p>
    <w:p w14:paraId="31E3215B" w14:textId="77777777" w:rsidR="00834462" w:rsidRPr="008A106B" w:rsidRDefault="00834462" w:rsidP="00834462">
      <w:pPr>
        <w:rPr>
          <w:lang w:val="es-ES"/>
        </w:rPr>
      </w:pPr>
    </w:p>
    <w:p w14:paraId="5A52F076" w14:textId="46DBF4DB" w:rsidR="00834462" w:rsidRPr="008A106B" w:rsidRDefault="00834462" w:rsidP="00834462">
      <w:pPr>
        <w:rPr>
          <w:szCs w:val="22"/>
          <w:lang w:val="es-ES"/>
        </w:rPr>
      </w:pPr>
      <w:r w:rsidRPr="008A106B">
        <w:rPr>
          <w:lang w:val="es-ES_tradnl"/>
        </w:rPr>
        <w:t>Solución incolora a amarillo pálido</w:t>
      </w:r>
      <w:r w:rsidR="00D60ABF">
        <w:rPr>
          <w:lang w:val="es-ES_tradnl"/>
        </w:rPr>
        <w:t xml:space="preserve"> con un pH de 5,5-6,5 y una osmolalidad de 200-</w:t>
      </w:r>
      <w:proofErr w:type="gramStart"/>
      <w:r w:rsidR="00D60ABF">
        <w:rPr>
          <w:lang w:val="es-ES_tradnl"/>
        </w:rPr>
        <w:t xml:space="preserve">372  </w:t>
      </w:r>
      <w:r w:rsidR="00D60ABF" w:rsidRPr="006E7A39">
        <w:rPr>
          <w:lang w:val="es-ES_tradnl"/>
        </w:rPr>
        <w:t>mOsm</w:t>
      </w:r>
      <w:proofErr w:type="gramEnd"/>
      <w:r w:rsidR="00D60ABF" w:rsidRPr="006E7A39">
        <w:rPr>
          <w:lang w:val="es-ES_tradnl"/>
        </w:rPr>
        <w:t>/kg</w:t>
      </w:r>
      <w:r w:rsidR="00D60ABF">
        <w:rPr>
          <w:lang w:val="es-ES_tradnl"/>
        </w:rPr>
        <w:t>.</w:t>
      </w:r>
    </w:p>
    <w:p w14:paraId="3ADFBDF4" w14:textId="77777777" w:rsidR="00834462" w:rsidRDefault="00834462" w:rsidP="00834462">
      <w:pPr>
        <w:rPr>
          <w:lang w:val="es-ES"/>
        </w:rPr>
      </w:pPr>
    </w:p>
    <w:p w14:paraId="27233C14" w14:textId="77777777" w:rsidR="00350DE1" w:rsidRPr="008A106B" w:rsidRDefault="00350DE1" w:rsidP="00834462">
      <w:pPr>
        <w:rPr>
          <w:lang w:val="es-ES"/>
        </w:rPr>
      </w:pPr>
    </w:p>
    <w:p w14:paraId="34870060" w14:textId="77777777" w:rsidR="00834462" w:rsidRPr="008A106B" w:rsidRDefault="00834462" w:rsidP="00834462">
      <w:pPr>
        <w:ind w:left="567" w:hanging="567"/>
        <w:rPr>
          <w:caps/>
          <w:lang w:val="es-ES"/>
        </w:rPr>
      </w:pPr>
      <w:r w:rsidRPr="008A106B">
        <w:rPr>
          <w:b/>
          <w:bCs/>
          <w:caps/>
          <w:lang w:val="es-ES"/>
        </w:rPr>
        <w:t>4.</w:t>
      </w:r>
      <w:r w:rsidRPr="008A106B">
        <w:rPr>
          <w:b/>
          <w:bCs/>
          <w:caps/>
          <w:lang w:val="es-ES"/>
        </w:rPr>
        <w:tab/>
      </w:r>
      <w:r w:rsidRPr="008A106B">
        <w:rPr>
          <w:b/>
          <w:bCs/>
          <w:caps/>
          <w:lang w:val="es-ES_tradnl"/>
        </w:rPr>
        <w:t>DATOS CLÍNICOS</w:t>
      </w:r>
    </w:p>
    <w:p w14:paraId="3A262856" w14:textId="77777777" w:rsidR="00834462" w:rsidRPr="008A106B" w:rsidRDefault="00834462" w:rsidP="00834462">
      <w:pPr>
        <w:rPr>
          <w:lang w:val="es-ES"/>
        </w:rPr>
      </w:pPr>
    </w:p>
    <w:p w14:paraId="64E62D54" w14:textId="77777777" w:rsidR="00834462" w:rsidRDefault="00834462" w:rsidP="00834462">
      <w:pPr>
        <w:ind w:left="567" w:hanging="567"/>
        <w:outlineLvl w:val="0"/>
        <w:rPr>
          <w:b/>
          <w:bCs/>
          <w:lang w:val="es-ES_tradnl"/>
        </w:rPr>
      </w:pPr>
      <w:r w:rsidRPr="008A106B">
        <w:rPr>
          <w:b/>
          <w:bCs/>
          <w:lang w:val="es-ES"/>
        </w:rPr>
        <w:t>4.1</w:t>
      </w:r>
      <w:r w:rsidRPr="008A106B">
        <w:rPr>
          <w:b/>
          <w:bCs/>
          <w:lang w:val="es-ES"/>
        </w:rPr>
        <w:tab/>
      </w:r>
      <w:r w:rsidRPr="008A106B">
        <w:rPr>
          <w:b/>
          <w:bCs/>
          <w:lang w:val="es-ES_tradnl"/>
        </w:rPr>
        <w:t>Indicaciones terapéuticas</w:t>
      </w:r>
    </w:p>
    <w:p w14:paraId="6D65D14B" w14:textId="77777777" w:rsidR="00D60ABF" w:rsidRDefault="00D60ABF" w:rsidP="00834462">
      <w:pPr>
        <w:ind w:left="567" w:hanging="567"/>
        <w:outlineLvl w:val="0"/>
        <w:rPr>
          <w:b/>
          <w:bCs/>
          <w:lang w:val="es-ES_tradnl"/>
        </w:rPr>
      </w:pPr>
    </w:p>
    <w:p w14:paraId="761B2C05" w14:textId="77777777" w:rsidR="00D60ABF" w:rsidRPr="00F30AB8" w:rsidRDefault="00D60ABF" w:rsidP="00834462">
      <w:pPr>
        <w:ind w:left="567" w:hanging="567"/>
        <w:outlineLvl w:val="0"/>
        <w:rPr>
          <w:u w:val="single"/>
          <w:lang w:val="es-ES"/>
        </w:rPr>
      </w:pPr>
      <w:r w:rsidRPr="00F30AB8">
        <w:rPr>
          <w:u w:val="single"/>
          <w:lang w:val="es-ES"/>
        </w:rPr>
        <w:t>Artritis reumatoide (AR)</w:t>
      </w:r>
    </w:p>
    <w:p w14:paraId="0B74ACBD" w14:textId="77777777" w:rsidR="00834462" w:rsidRPr="008A106B" w:rsidRDefault="00834462" w:rsidP="00834462">
      <w:pPr>
        <w:rPr>
          <w:lang w:val="es-ES"/>
        </w:rPr>
      </w:pPr>
    </w:p>
    <w:p w14:paraId="161377F3" w14:textId="77777777" w:rsidR="00865A96" w:rsidRDefault="00834462" w:rsidP="00834462">
      <w:pPr>
        <w:rPr>
          <w:lang w:val="es-ES_tradnl"/>
        </w:rPr>
      </w:pPr>
      <w:r w:rsidRPr="008A106B">
        <w:rPr>
          <w:lang w:val="es-ES_tradnl"/>
        </w:rPr>
        <w:t>RoActemra está indicado, en combinación con metotrexato (MTX), para</w:t>
      </w:r>
      <w:r w:rsidR="00865A96">
        <w:rPr>
          <w:lang w:val="es-ES_tradnl"/>
        </w:rPr>
        <w:t>:</w:t>
      </w:r>
    </w:p>
    <w:p w14:paraId="03ED5BFB" w14:textId="77777777" w:rsidR="00603458" w:rsidRDefault="00603458" w:rsidP="00834462">
      <w:pPr>
        <w:rPr>
          <w:lang w:val="es-ES_tradnl"/>
        </w:rPr>
      </w:pPr>
    </w:p>
    <w:p w14:paraId="43EE5039" w14:textId="6296FB47" w:rsidR="00865A96" w:rsidRDefault="00865A96" w:rsidP="00865A96">
      <w:pPr>
        <w:ind w:left="360" w:hanging="360"/>
        <w:rPr>
          <w:lang w:val="es-ES"/>
        </w:rPr>
      </w:pPr>
      <w:r w:rsidRPr="005D1C98">
        <w:rPr>
          <w:noProof/>
          <w:sz w:val="28"/>
          <w:szCs w:val="28"/>
          <w:lang w:val="es-ES"/>
        </w:rPr>
        <w:t>•</w:t>
      </w:r>
      <w:r w:rsidRPr="005D1C98">
        <w:rPr>
          <w:noProof/>
          <w:sz w:val="24"/>
          <w:szCs w:val="24"/>
          <w:lang w:val="es-ES"/>
        </w:rPr>
        <w:tab/>
      </w:r>
      <w:r>
        <w:rPr>
          <w:lang w:val="es-ES"/>
        </w:rPr>
        <w:t>e</w:t>
      </w:r>
      <w:r w:rsidRPr="00E67AA6">
        <w:rPr>
          <w:lang w:val="es-ES"/>
        </w:rPr>
        <w:t xml:space="preserve">l tratamiento de </w:t>
      </w:r>
      <w:r>
        <w:rPr>
          <w:lang w:val="es-ES"/>
        </w:rPr>
        <w:t xml:space="preserve">AR grave, activa </w:t>
      </w:r>
      <w:r w:rsidRPr="00E67AA6">
        <w:rPr>
          <w:lang w:val="es-ES"/>
        </w:rPr>
        <w:t xml:space="preserve">y progresiva en adultos </w:t>
      </w:r>
      <w:r>
        <w:rPr>
          <w:lang w:val="es-ES"/>
        </w:rPr>
        <w:t>no</w:t>
      </w:r>
      <w:r w:rsidRPr="00E67AA6">
        <w:rPr>
          <w:lang w:val="es-ES"/>
        </w:rPr>
        <w:t xml:space="preserve"> tratados previamente con MTX. </w:t>
      </w:r>
    </w:p>
    <w:p w14:paraId="288882B6" w14:textId="77777777" w:rsidR="00865A96" w:rsidRDefault="002B29A0" w:rsidP="002B29A0">
      <w:pPr>
        <w:ind w:left="360" w:hanging="360"/>
        <w:rPr>
          <w:lang w:val="es-ES_tradnl"/>
        </w:rPr>
      </w:pPr>
      <w:r w:rsidRPr="005D1C98">
        <w:rPr>
          <w:noProof/>
          <w:sz w:val="28"/>
          <w:szCs w:val="28"/>
          <w:lang w:val="es-ES"/>
        </w:rPr>
        <w:t>•</w:t>
      </w:r>
      <w:r>
        <w:rPr>
          <w:noProof/>
          <w:sz w:val="28"/>
          <w:szCs w:val="28"/>
          <w:lang w:val="es-ES"/>
        </w:rPr>
        <w:tab/>
      </w:r>
      <w:r w:rsidR="00834462" w:rsidRPr="008A106B">
        <w:rPr>
          <w:lang w:val="es-ES_tradnl"/>
        </w:rPr>
        <w:t xml:space="preserve">el tratamiento de la </w:t>
      </w:r>
      <w:r w:rsidR="00865A96">
        <w:rPr>
          <w:lang w:val="es-ES_tradnl"/>
        </w:rPr>
        <w:t>AR</w:t>
      </w:r>
      <w:r w:rsidR="00834462" w:rsidRPr="008A106B">
        <w:rPr>
          <w:lang w:val="es-ES_tradnl"/>
        </w:rPr>
        <w:t xml:space="preserve"> activa de moderada a grave en pacientes adultos con respuesta inadecuada o intolerancia a un tratamiento previo con uno o más </w:t>
      </w:r>
      <w:r w:rsidR="00834462" w:rsidRPr="008A106B">
        <w:rPr>
          <w:szCs w:val="22"/>
          <w:lang w:val="es-ES"/>
        </w:rPr>
        <w:t>fármacos antirreumáticos modificadores de la enfermedad</w:t>
      </w:r>
      <w:r w:rsidR="00834462" w:rsidRPr="008A106B">
        <w:rPr>
          <w:lang w:val="es-ES_tradnl"/>
        </w:rPr>
        <w:t xml:space="preserve"> (FAMEs) o con antagonistas del factor de necrosis tumoral (TNF). </w:t>
      </w:r>
    </w:p>
    <w:p w14:paraId="180B3817" w14:textId="77777777" w:rsidR="00865A96" w:rsidRDefault="00865A96" w:rsidP="00865A96">
      <w:pPr>
        <w:rPr>
          <w:lang w:val="es-ES_tradnl"/>
        </w:rPr>
      </w:pPr>
    </w:p>
    <w:p w14:paraId="01739823" w14:textId="77777777" w:rsidR="00834462" w:rsidRDefault="00834462" w:rsidP="00865A96">
      <w:pPr>
        <w:rPr>
          <w:lang w:val="es-ES_tradnl"/>
        </w:rPr>
      </w:pPr>
      <w:r w:rsidRPr="008A106B">
        <w:rPr>
          <w:lang w:val="es-ES_tradnl"/>
        </w:rPr>
        <w:t xml:space="preserve">En estos pacientes RoActemra puede ser administrado como monoterapia en caso de intolerancia a MTX o cuando el tratamiento continuado con MTX es inadecuado. </w:t>
      </w:r>
    </w:p>
    <w:p w14:paraId="4AA018A8" w14:textId="77777777" w:rsidR="00834462" w:rsidRPr="008A106B" w:rsidRDefault="00834462" w:rsidP="00834462">
      <w:pPr>
        <w:rPr>
          <w:lang w:val="es-ES"/>
        </w:rPr>
      </w:pPr>
    </w:p>
    <w:p w14:paraId="7ADEC9BC" w14:textId="77777777" w:rsidR="00834462" w:rsidRDefault="00D35F73" w:rsidP="00834462">
      <w:pPr>
        <w:rPr>
          <w:rFonts w:eastAsia="SimSun"/>
          <w:szCs w:val="22"/>
          <w:lang w:val="es-ES" w:eastAsia="zh-CN"/>
        </w:rPr>
      </w:pPr>
      <w:r w:rsidRPr="006868F5">
        <w:rPr>
          <w:rFonts w:eastAsia="SimSun"/>
          <w:szCs w:val="22"/>
          <w:lang w:val="es-ES" w:eastAsia="zh-CN" w:bidi="th-TH"/>
        </w:rPr>
        <w:t>RoActemra</w:t>
      </w:r>
      <w:r w:rsidR="00834462" w:rsidRPr="008A106B">
        <w:rPr>
          <w:rFonts w:eastAsia="SimSun"/>
          <w:szCs w:val="22"/>
          <w:lang w:val="es-ES" w:eastAsia="zh-CN"/>
        </w:rPr>
        <w:t xml:space="preserve"> ha demostrado reducir la tasa de progresión del daño articular medido a través de análisis radiológico y mejorar la función física, cuando se administra en combinación con metotrexato</w:t>
      </w:r>
      <w:r w:rsidR="00834462">
        <w:rPr>
          <w:rFonts w:eastAsia="SimSun"/>
          <w:szCs w:val="22"/>
          <w:lang w:val="es-ES" w:eastAsia="zh-CN"/>
        </w:rPr>
        <w:t>.</w:t>
      </w:r>
    </w:p>
    <w:p w14:paraId="4FEE1B65" w14:textId="77777777" w:rsidR="00EC2F5D" w:rsidRDefault="00EC2F5D" w:rsidP="00834462">
      <w:pPr>
        <w:rPr>
          <w:rFonts w:eastAsia="SimSun"/>
          <w:szCs w:val="22"/>
          <w:lang w:val="es-ES" w:eastAsia="zh-CN"/>
        </w:rPr>
      </w:pPr>
    </w:p>
    <w:p w14:paraId="7C9DD352" w14:textId="77777777" w:rsidR="00EC2F5D" w:rsidRPr="00F30AB8" w:rsidRDefault="00EC2F5D" w:rsidP="00834462">
      <w:pPr>
        <w:rPr>
          <w:rFonts w:eastAsia="SimSun"/>
          <w:szCs w:val="22"/>
          <w:u w:val="single"/>
          <w:lang w:val="es-ES" w:eastAsia="zh-CN"/>
        </w:rPr>
      </w:pPr>
      <w:r w:rsidRPr="00F30AB8">
        <w:rPr>
          <w:rFonts w:eastAsia="SimSun"/>
          <w:szCs w:val="22"/>
          <w:u w:val="single"/>
          <w:lang w:val="es-ES" w:eastAsia="zh-CN"/>
        </w:rPr>
        <w:t>Artritis idiopática juvenil sistémica (AIJs)</w:t>
      </w:r>
    </w:p>
    <w:p w14:paraId="4DC0E4A1" w14:textId="77777777" w:rsidR="00CD597F" w:rsidRDefault="00CD597F" w:rsidP="00CD597F">
      <w:pPr>
        <w:rPr>
          <w:rFonts w:eastAsia="SimSun"/>
          <w:szCs w:val="22"/>
          <w:lang w:val="es-ES" w:eastAsia="zh-CN"/>
        </w:rPr>
      </w:pPr>
    </w:p>
    <w:p w14:paraId="7C0FC76E" w14:textId="16A7D6E9" w:rsidR="000C11F0" w:rsidRDefault="000C11F0" w:rsidP="00CD597F">
      <w:pPr>
        <w:rPr>
          <w:rFonts w:eastAsia="SimSun"/>
          <w:szCs w:val="22"/>
          <w:lang w:val="es-ES" w:eastAsia="zh-CN"/>
        </w:rPr>
      </w:pPr>
      <w:r w:rsidRPr="000C11F0">
        <w:rPr>
          <w:rFonts w:eastAsia="SimSun"/>
          <w:szCs w:val="22"/>
          <w:lang w:val="es-ES" w:eastAsia="zh-CN"/>
        </w:rPr>
        <w:t xml:space="preserve">RoActemra está indicado para el tratamiento AIJs activa en pacientes desde 1 año de edad </w:t>
      </w:r>
      <w:r w:rsidR="00F97391">
        <w:rPr>
          <w:rFonts w:eastAsia="SimSun"/>
          <w:szCs w:val="22"/>
          <w:lang w:val="es-ES" w:eastAsia="zh-CN"/>
        </w:rPr>
        <w:t>y</w:t>
      </w:r>
      <w:r w:rsidRPr="000C11F0">
        <w:rPr>
          <w:rFonts w:eastAsia="SimSun"/>
          <w:szCs w:val="22"/>
          <w:lang w:val="es-ES" w:eastAsia="zh-CN"/>
        </w:rPr>
        <w:t xml:space="preserve"> mayores, que no han respondido a</w:t>
      </w:r>
      <w:r w:rsidR="009250E6">
        <w:rPr>
          <w:rFonts w:eastAsia="SimSun"/>
          <w:szCs w:val="22"/>
          <w:lang w:val="es-ES" w:eastAsia="zh-CN"/>
        </w:rPr>
        <w:t>decuadamente a tratamientos</w:t>
      </w:r>
      <w:r w:rsidRPr="000C11F0">
        <w:rPr>
          <w:rFonts w:eastAsia="SimSun"/>
          <w:szCs w:val="22"/>
          <w:lang w:val="es-ES" w:eastAsia="zh-CN"/>
        </w:rPr>
        <w:t xml:space="preserve"> anteriores con </w:t>
      </w:r>
      <w:r w:rsidR="00EC2F5D">
        <w:rPr>
          <w:rFonts w:eastAsia="SimSun"/>
          <w:szCs w:val="22"/>
          <w:lang w:val="es-ES" w:eastAsia="zh-CN"/>
        </w:rPr>
        <w:t>antiinflamatorios no esteroideos (</w:t>
      </w:r>
      <w:r w:rsidRPr="000C11F0">
        <w:rPr>
          <w:rFonts w:eastAsia="SimSun"/>
          <w:szCs w:val="22"/>
          <w:lang w:val="es-ES" w:eastAsia="zh-CN"/>
        </w:rPr>
        <w:t>AINEs</w:t>
      </w:r>
      <w:r w:rsidR="00EC2F5D">
        <w:rPr>
          <w:rFonts w:eastAsia="SimSun"/>
          <w:szCs w:val="22"/>
          <w:lang w:val="es-ES" w:eastAsia="zh-CN"/>
        </w:rPr>
        <w:t>)</w:t>
      </w:r>
      <w:r w:rsidRPr="000C11F0">
        <w:rPr>
          <w:rFonts w:eastAsia="SimSun"/>
          <w:szCs w:val="22"/>
          <w:lang w:val="es-ES" w:eastAsia="zh-CN"/>
        </w:rPr>
        <w:t xml:space="preserve"> y corticoides sistémicos. RoActemra puede ser administrado como monoterapia (en caso de intolerancia a MTX o cuando el tratamiento con MTX no es adecuado) o en combinación con MTX</w:t>
      </w:r>
      <w:r w:rsidR="00D36E98">
        <w:rPr>
          <w:rFonts w:eastAsia="SimSun"/>
          <w:szCs w:val="22"/>
          <w:lang w:val="es-ES" w:eastAsia="zh-CN"/>
        </w:rPr>
        <w:t>.</w:t>
      </w:r>
    </w:p>
    <w:p w14:paraId="0462CA17" w14:textId="77777777" w:rsidR="00EC2F5D" w:rsidRDefault="00EC2F5D" w:rsidP="00CD597F">
      <w:pPr>
        <w:rPr>
          <w:rFonts w:eastAsia="SimSun"/>
          <w:szCs w:val="22"/>
          <w:lang w:val="es-ES" w:eastAsia="zh-CN"/>
        </w:rPr>
      </w:pPr>
    </w:p>
    <w:p w14:paraId="5CEF8309" w14:textId="77777777" w:rsidR="00EC2F5D" w:rsidRDefault="00EC2F5D" w:rsidP="00CD597F">
      <w:pPr>
        <w:rPr>
          <w:rFonts w:eastAsia="SimSun"/>
          <w:szCs w:val="22"/>
          <w:lang w:val="es-ES" w:eastAsia="zh-CN"/>
        </w:rPr>
      </w:pPr>
      <w:r>
        <w:rPr>
          <w:rFonts w:eastAsia="SimSun"/>
          <w:szCs w:val="22"/>
          <w:lang w:val="es-ES" w:eastAsia="zh-CN"/>
        </w:rPr>
        <w:t>A</w:t>
      </w:r>
      <w:r w:rsidRPr="008A106B">
        <w:rPr>
          <w:rFonts w:eastAsia="SimSun"/>
          <w:szCs w:val="22"/>
          <w:lang w:val="es-ES" w:eastAsia="zh-CN"/>
        </w:rPr>
        <w:t>rtritis idiopática juvenil poliarticular (AIJ</w:t>
      </w:r>
      <w:r>
        <w:rPr>
          <w:rFonts w:eastAsia="SimSun"/>
          <w:szCs w:val="22"/>
          <w:lang w:val="es-ES" w:eastAsia="zh-CN"/>
        </w:rPr>
        <w:t>p)</w:t>
      </w:r>
    </w:p>
    <w:p w14:paraId="6B82D053" w14:textId="77777777" w:rsidR="00EC2F5D" w:rsidRDefault="00EC2F5D" w:rsidP="00CD597F">
      <w:pPr>
        <w:rPr>
          <w:rFonts w:eastAsia="SimSun"/>
          <w:szCs w:val="22"/>
          <w:lang w:val="es-ES" w:eastAsia="zh-CN"/>
        </w:rPr>
      </w:pPr>
    </w:p>
    <w:p w14:paraId="66743DDB" w14:textId="62640415" w:rsidR="00CD597F" w:rsidRPr="00F30AB8" w:rsidRDefault="00CD597F" w:rsidP="00CD597F">
      <w:pPr>
        <w:rPr>
          <w:lang w:val="es-ES"/>
        </w:rPr>
      </w:pPr>
      <w:r w:rsidRPr="008A106B">
        <w:rPr>
          <w:rFonts w:eastAsia="SimSun"/>
          <w:szCs w:val="22"/>
          <w:lang w:val="es-ES" w:eastAsia="zh-CN"/>
        </w:rPr>
        <w:t>RoActemra en combinación con</w:t>
      </w:r>
      <w:r w:rsidR="00EC2F5D">
        <w:rPr>
          <w:rFonts w:eastAsia="SimSun"/>
          <w:szCs w:val="22"/>
          <w:lang w:val="es-ES" w:eastAsia="zh-CN"/>
        </w:rPr>
        <w:t xml:space="preserve"> </w:t>
      </w:r>
      <w:r w:rsidRPr="008A106B">
        <w:rPr>
          <w:rFonts w:eastAsia="SimSun"/>
          <w:szCs w:val="22"/>
          <w:lang w:val="es-ES" w:eastAsia="zh-CN"/>
        </w:rPr>
        <w:t xml:space="preserve">MTX está indicado para el tratamiento de </w:t>
      </w:r>
      <w:proofErr w:type="gramStart"/>
      <w:r w:rsidRPr="008A106B">
        <w:rPr>
          <w:rFonts w:eastAsia="SimSun"/>
          <w:szCs w:val="22"/>
          <w:lang w:val="es-ES" w:eastAsia="zh-CN"/>
        </w:rPr>
        <w:t>AIJ</w:t>
      </w:r>
      <w:r>
        <w:rPr>
          <w:rFonts w:eastAsia="SimSun"/>
          <w:szCs w:val="22"/>
          <w:lang w:val="es-ES" w:eastAsia="zh-CN"/>
        </w:rPr>
        <w:t>p</w:t>
      </w:r>
      <w:r w:rsidR="00EC2F5D">
        <w:rPr>
          <w:rFonts w:eastAsia="SimSun"/>
          <w:szCs w:val="22"/>
          <w:lang w:val="es-ES" w:eastAsia="zh-CN"/>
        </w:rPr>
        <w:t>,(</w:t>
      </w:r>
      <w:proofErr w:type="gramEnd"/>
      <w:r w:rsidRPr="008A106B">
        <w:rPr>
          <w:rFonts w:eastAsia="SimSun"/>
          <w:szCs w:val="22"/>
          <w:lang w:val="es-ES" w:eastAsia="zh-CN"/>
        </w:rPr>
        <w:t>factor reumatoide positivo o negativo y oligoartritis extendida) en pacientes de 2</w:t>
      </w:r>
      <w:r w:rsidR="00EC2F5D">
        <w:rPr>
          <w:rFonts w:eastAsia="SimSun"/>
          <w:szCs w:val="22"/>
          <w:lang w:val="es-ES" w:eastAsia="zh-CN"/>
        </w:rPr>
        <w:t> </w:t>
      </w:r>
      <w:r w:rsidRPr="008A106B">
        <w:rPr>
          <w:rFonts w:eastAsia="SimSun"/>
          <w:szCs w:val="22"/>
          <w:lang w:val="es-ES" w:eastAsia="zh-CN"/>
        </w:rPr>
        <w:t>años</w:t>
      </w:r>
      <w:r>
        <w:rPr>
          <w:rFonts w:eastAsia="SimSun"/>
          <w:szCs w:val="22"/>
          <w:lang w:val="es-ES" w:eastAsia="zh-CN"/>
        </w:rPr>
        <w:t xml:space="preserve"> de edad y mayores</w:t>
      </w:r>
      <w:r w:rsidRPr="008A106B">
        <w:rPr>
          <w:rFonts w:eastAsia="SimSun"/>
          <w:szCs w:val="22"/>
          <w:lang w:val="es-ES" w:eastAsia="zh-CN"/>
        </w:rPr>
        <w:t xml:space="preserve">, que no han respondido adecuadamente al tratamiento previo con MTX. </w:t>
      </w:r>
    </w:p>
    <w:p w14:paraId="1475EEDA" w14:textId="77777777" w:rsidR="00CD597F" w:rsidRDefault="00CD597F" w:rsidP="00CD597F">
      <w:pPr>
        <w:rPr>
          <w:lang w:val="es-ES_tradnl"/>
        </w:rPr>
      </w:pPr>
      <w:r w:rsidRPr="008A106B">
        <w:rPr>
          <w:lang w:val="es-ES_tradnl"/>
        </w:rPr>
        <w:t xml:space="preserve">RoActemra puede ser administrado como monoterapia en caso de intolerancia a MTX o cuando el tratamiento continuado con MTX es inadecuado. </w:t>
      </w:r>
    </w:p>
    <w:p w14:paraId="0B58D114" w14:textId="77777777" w:rsidR="00D35F73" w:rsidRDefault="00D35F73" w:rsidP="00834462">
      <w:pPr>
        <w:rPr>
          <w:rFonts w:eastAsia="SimSun"/>
          <w:szCs w:val="22"/>
          <w:lang w:val="es-ES_tradnl" w:eastAsia="zh-CN"/>
        </w:rPr>
      </w:pPr>
    </w:p>
    <w:p w14:paraId="6959A25D" w14:textId="77777777" w:rsidR="00EC2F5D" w:rsidRDefault="00EC2F5D" w:rsidP="00834462">
      <w:pPr>
        <w:rPr>
          <w:rFonts w:eastAsia="SimSun"/>
          <w:szCs w:val="22"/>
          <w:u w:val="single"/>
          <w:lang w:val="es-ES" w:eastAsia="zh-CN"/>
        </w:rPr>
      </w:pPr>
      <w:r w:rsidRPr="00F30AB8">
        <w:rPr>
          <w:rFonts w:eastAsia="SimSun"/>
          <w:szCs w:val="22"/>
          <w:u w:val="single"/>
          <w:lang w:val="es-ES" w:eastAsia="zh-CN"/>
        </w:rPr>
        <w:t>Arteritis de Células Gigantes (ACG)</w:t>
      </w:r>
    </w:p>
    <w:p w14:paraId="2EB6A92C" w14:textId="77777777" w:rsidR="00EC2F5D" w:rsidRPr="00F30AB8" w:rsidRDefault="00EC2F5D" w:rsidP="00834462">
      <w:pPr>
        <w:rPr>
          <w:rFonts w:eastAsia="SimSun"/>
          <w:szCs w:val="22"/>
          <w:u w:val="single"/>
          <w:lang w:val="es-ES_tradnl" w:eastAsia="zh-CN"/>
        </w:rPr>
      </w:pPr>
    </w:p>
    <w:p w14:paraId="3084B93A" w14:textId="6870B8A5" w:rsidR="00D35F73" w:rsidRDefault="00D35F73" w:rsidP="00834462">
      <w:pPr>
        <w:rPr>
          <w:rFonts w:eastAsia="SimSun"/>
          <w:szCs w:val="22"/>
          <w:lang w:val="es-ES" w:eastAsia="zh-CN"/>
        </w:rPr>
      </w:pPr>
      <w:r w:rsidRPr="001E21B5">
        <w:rPr>
          <w:rFonts w:eastAsia="SimSun"/>
          <w:szCs w:val="22"/>
          <w:lang w:val="es-ES" w:eastAsia="zh-CN"/>
        </w:rPr>
        <w:t>RoActemra</w:t>
      </w:r>
      <w:r w:rsidR="008204EA" w:rsidRPr="002009C1">
        <w:rPr>
          <w:rFonts w:eastAsia="SimSun"/>
          <w:szCs w:val="22"/>
          <w:lang w:val="es-ES" w:eastAsia="zh-CN"/>
        </w:rPr>
        <w:t xml:space="preserve"> </w:t>
      </w:r>
      <w:r w:rsidR="00603458" w:rsidRPr="00606BCF">
        <w:rPr>
          <w:rFonts w:eastAsia="SimSun"/>
          <w:szCs w:val="22"/>
          <w:lang w:val="es-ES" w:eastAsia="zh-CN"/>
        </w:rPr>
        <w:t>está indicado</w:t>
      </w:r>
      <w:r w:rsidR="008204EA" w:rsidRPr="006C05BA">
        <w:rPr>
          <w:rFonts w:eastAsia="SimSun"/>
          <w:szCs w:val="22"/>
          <w:lang w:val="es-ES" w:eastAsia="zh-CN"/>
        </w:rPr>
        <w:t xml:space="preserve"> </w:t>
      </w:r>
      <w:r w:rsidR="00165F0C" w:rsidRPr="006C05BA">
        <w:rPr>
          <w:rFonts w:eastAsia="SimSun"/>
          <w:szCs w:val="22"/>
          <w:lang w:val="es-ES" w:eastAsia="zh-CN"/>
        </w:rPr>
        <w:t>para el tratamiento de ACG en pacientes adultos.</w:t>
      </w:r>
    </w:p>
    <w:p w14:paraId="6EC2C168" w14:textId="77777777" w:rsidR="0081631A" w:rsidRDefault="0081631A" w:rsidP="00834462">
      <w:pPr>
        <w:rPr>
          <w:rFonts w:eastAsia="SimSun"/>
          <w:szCs w:val="22"/>
          <w:lang w:val="es-ES" w:eastAsia="zh-CN"/>
        </w:rPr>
      </w:pPr>
    </w:p>
    <w:p w14:paraId="40829CBB" w14:textId="77777777" w:rsidR="00834462" w:rsidRPr="008A106B" w:rsidRDefault="00834462" w:rsidP="00834462">
      <w:pPr>
        <w:keepNext/>
        <w:keepLines/>
        <w:ind w:left="567" w:hanging="567"/>
        <w:outlineLvl w:val="0"/>
        <w:rPr>
          <w:b/>
          <w:bCs/>
          <w:lang w:val="es-ES"/>
        </w:rPr>
      </w:pPr>
      <w:r w:rsidRPr="008A106B">
        <w:rPr>
          <w:b/>
          <w:bCs/>
          <w:lang w:val="es-ES"/>
        </w:rPr>
        <w:t>4.2</w:t>
      </w:r>
      <w:r w:rsidRPr="008A106B">
        <w:rPr>
          <w:b/>
          <w:bCs/>
          <w:lang w:val="es-ES"/>
        </w:rPr>
        <w:tab/>
      </w:r>
      <w:r w:rsidRPr="008A106B">
        <w:rPr>
          <w:b/>
          <w:bCs/>
          <w:lang w:val="es-ES_tradnl"/>
        </w:rPr>
        <w:t>Posología y forma de administración</w:t>
      </w:r>
    </w:p>
    <w:p w14:paraId="6DC385C7" w14:textId="77777777" w:rsidR="00834462" w:rsidRPr="008A106B" w:rsidRDefault="00834462" w:rsidP="00834462">
      <w:pPr>
        <w:keepNext/>
        <w:keepLines/>
        <w:rPr>
          <w:b/>
          <w:lang w:val="es-ES"/>
        </w:rPr>
      </w:pPr>
    </w:p>
    <w:p w14:paraId="00F006F4" w14:textId="15D06377" w:rsidR="001E12A7" w:rsidRDefault="0058095D" w:rsidP="00834462">
      <w:pPr>
        <w:rPr>
          <w:lang w:val="es-ES_tradnl"/>
        </w:rPr>
      </w:pPr>
      <w:r w:rsidRPr="00981FA3">
        <w:rPr>
          <w:lang w:val="es-ES"/>
        </w:rPr>
        <w:t xml:space="preserve">La formulación de tocilizumab </w:t>
      </w:r>
      <w:r w:rsidR="00EC2F5D">
        <w:rPr>
          <w:lang w:val="es-ES"/>
        </w:rPr>
        <w:t>subcutáneo</w:t>
      </w:r>
      <w:r w:rsidRPr="00981FA3">
        <w:rPr>
          <w:lang w:val="es-ES"/>
        </w:rPr>
        <w:t xml:space="preserve"> se administra </w:t>
      </w:r>
      <w:r w:rsidR="00E64DFA" w:rsidRPr="006616E4">
        <w:rPr>
          <w:lang w:val="es-ES"/>
        </w:rPr>
        <w:t>en</w:t>
      </w:r>
      <w:r w:rsidRPr="00981FA3">
        <w:rPr>
          <w:lang w:val="es-ES"/>
        </w:rPr>
        <w:t xml:space="preserve"> </w:t>
      </w:r>
      <w:r w:rsidR="00306E60" w:rsidRPr="00A4450C">
        <w:rPr>
          <w:lang w:val="es-ES"/>
        </w:rPr>
        <w:t>jeringa</w:t>
      </w:r>
      <w:r w:rsidR="00E64DFA" w:rsidRPr="006616E4">
        <w:rPr>
          <w:lang w:val="es-ES"/>
        </w:rPr>
        <w:t>s</w:t>
      </w:r>
      <w:r w:rsidR="00306E60" w:rsidRPr="00981FA3">
        <w:rPr>
          <w:lang w:val="es-ES"/>
        </w:rPr>
        <w:t xml:space="preserve"> precargada</w:t>
      </w:r>
      <w:r w:rsidR="00E64DFA" w:rsidRPr="006616E4">
        <w:rPr>
          <w:lang w:val="es-ES"/>
        </w:rPr>
        <w:t>s</w:t>
      </w:r>
      <w:r w:rsidR="00306E60" w:rsidRPr="00981FA3">
        <w:rPr>
          <w:lang w:val="es-ES"/>
        </w:rPr>
        <w:t xml:space="preserve"> de </w:t>
      </w:r>
      <w:r w:rsidR="00306E60" w:rsidRPr="00A4450C">
        <w:rPr>
          <w:lang w:val="es-ES"/>
        </w:rPr>
        <w:t>un solo uso</w:t>
      </w:r>
      <w:r w:rsidR="00E64DFA" w:rsidRPr="00A4450C">
        <w:rPr>
          <w:lang w:val="es-ES"/>
        </w:rPr>
        <w:t>, equipadas en un dispositivo de seguridad para la aguja.</w:t>
      </w:r>
      <w:r>
        <w:rPr>
          <w:lang w:val="es-ES"/>
        </w:rPr>
        <w:t xml:space="preserve"> </w:t>
      </w:r>
      <w:r w:rsidR="00834462" w:rsidRPr="008A106B">
        <w:rPr>
          <w:lang w:val="es-ES_tradnl"/>
        </w:rPr>
        <w:t xml:space="preserve">El tratamiento debe ser iniciado por profesionales sanitarios con experiencia en el diagnóstico y el tratamiento de </w:t>
      </w:r>
      <w:r w:rsidR="00834462">
        <w:rPr>
          <w:lang w:val="es-ES_tradnl"/>
        </w:rPr>
        <w:t>AR</w:t>
      </w:r>
      <w:r>
        <w:rPr>
          <w:lang w:val="es-ES_tradnl"/>
        </w:rPr>
        <w:t>,</w:t>
      </w:r>
      <w:r w:rsidR="00C500F1" w:rsidRPr="00C500F1">
        <w:rPr>
          <w:lang w:val="es-ES_tradnl"/>
        </w:rPr>
        <w:t xml:space="preserve"> </w:t>
      </w:r>
      <w:r w:rsidR="00C500F1">
        <w:rPr>
          <w:lang w:val="es-ES_tradnl"/>
        </w:rPr>
        <w:t>AIJs</w:t>
      </w:r>
      <w:r w:rsidR="00F97391">
        <w:rPr>
          <w:lang w:val="es-ES_tradnl"/>
        </w:rPr>
        <w:t>,</w:t>
      </w:r>
      <w:r>
        <w:rPr>
          <w:lang w:val="es-ES_tradnl"/>
        </w:rPr>
        <w:t xml:space="preserve"> AIJp</w:t>
      </w:r>
      <w:r w:rsidR="00165F0C">
        <w:rPr>
          <w:lang w:val="es-ES_tradnl"/>
        </w:rPr>
        <w:t xml:space="preserve"> y/o ACG</w:t>
      </w:r>
      <w:r w:rsidR="00834462" w:rsidRPr="008A106B">
        <w:rPr>
          <w:lang w:val="es-ES_tradnl"/>
        </w:rPr>
        <w:t xml:space="preserve">. </w:t>
      </w:r>
      <w:r>
        <w:rPr>
          <w:lang w:val="es-ES_tradnl"/>
        </w:rPr>
        <w:t>La primera inyección debe</w:t>
      </w:r>
      <w:r w:rsidR="00E64DFA">
        <w:rPr>
          <w:lang w:val="es-ES_tradnl"/>
        </w:rPr>
        <w:t xml:space="preserve"> ser</w:t>
      </w:r>
      <w:r>
        <w:rPr>
          <w:lang w:val="es-ES_tradnl"/>
        </w:rPr>
        <w:t xml:space="preserve"> ad</w:t>
      </w:r>
      <w:r w:rsidR="00E64DFA">
        <w:rPr>
          <w:lang w:val="es-ES_tradnl"/>
        </w:rPr>
        <w:t>ministrada</w:t>
      </w:r>
      <w:r>
        <w:rPr>
          <w:lang w:val="es-ES_tradnl"/>
        </w:rPr>
        <w:t xml:space="preserve"> bajo la supervisión de un profesional sanitari</w:t>
      </w:r>
      <w:r w:rsidR="003D6FC3">
        <w:rPr>
          <w:lang w:val="es-ES_tradnl"/>
        </w:rPr>
        <w:t xml:space="preserve">o cualificado. El paciente </w:t>
      </w:r>
      <w:r w:rsidR="00C500F1">
        <w:rPr>
          <w:lang w:val="es-ES_tradnl"/>
        </w:rPr>
        <w:t xml:space="preserve">o padre/tutor </w:t>
      </w:r>
      <w:r w:rsidR="003D6FC3">
        <w:rPr>
          <w:lang w:val="es-ES_tradnl"/>
        </w:rPr>
        <w:t>puede</w:t>
      </w:r>
      <w:r>
        <w:rPr>
          <w:lang w:val="es-ES_tradnl"/>
        </w:rPr>
        <w:t xml:space="preserve"> </w:t>
      </w:r>
      <w:del w:id="767" w:author="AUTHOR">
        <w:r w:rsidDel="000C7D20">
          <w:rPr>
            <w:lang w:val="es-ES_tradnl"/>
          </w:rPr>
          <w:delText>auto</w:delText>
        </w:r>
      </w:del>
      <w:r>
        <w:rPr>
          <w:lang w:val="es-ES_tradnl"/>
        </w:rPr>
        <w:t xml:space="preserve">inyectarse </w:t>
      </w:r>
      <w:r w:rsidR="00EC2F5D">
        <w:rPr>
          <w:lang w:val="es-ES_tradnl"/>
        </w:rPr>
        <w:t xml:space="preserve">el medicamento </w:t>
      </w:r>
      <w:r>
        <w:rPr>
          <w:lang w:val="es-ES_tradnl"/>
        </w:rPr>
        <w:t xml:space="preserve">solo si el médico </w:t>
      </w:r>
      <w:r w:rsidR="003D6FC3">
        <w:rPr>
          <w:lang w:val="es-ES_tradnl"/>
        </w:rPr>
        <w:t xml:space="preserve">determina que </w:t>
      </w:r>
      <w:r>
        <w:rPr>
          <w:lang w:val="es-ES_tradnl"/>
        </w:rPr>
        <w:t xml:space="preserve">es </w:t>
      </w:r>
      <w:r w:rsidR="00A4450C">
        <w:rPr>
          <w:lang w:val="es-ES_tradnl"/>
        </w:rPr>
        <w:t>adecuado</w:t>
      </w:r>
      <w:r w:rsidR="00752811">
        <w:rPr>
          <w:lang w:val="es-ES_tradnl"/>
        </w:rPr>
        <w:t>,</w:t>
      </w:r>
      <w:r w:rsidR="003D6FC3">
        <w:rPr>
          <w:lang w:val="es-ES_tradnl"/>
        </w:rPr>
        <w:t xml:space="preserve"> el paciente </w:t>
      </w:r>
      <w:r w:rsidR="00DF0C07">
        <w:rPr>
          <w:lang w:val="es-ES_tradnl"/>
        </w:rPr>
        <w:t xml:space="preserve">o padre/tutor </w:t>
      </w:r>
      <w:r w:rsidR="003D6FC3">
        <w:rPr>
          <w:lang w:val="es-ES_tradnl"/>
        </w:rPr>
        <w:t>est</w:t>
      </w:r>
      <w:r w:rsidR="00A4450C">
        <w:rPr>
          <w:lang w:val="es-ES_tradnl"/>
        </w:rPr>
        <w:t>á</w:t>
      </w:r>
      <w:r>
        <w:rPr>
          <w:lang w:val="es-ES_tradnl"/>
        </w:rPr>
        <w:t xml:space="preserve"> de acuerdo </w:t>
      </w:r>
      <w:r w:rsidR="00A4450C">
        <w:rPr>
          <w:lang w:val="es-ES_tradnl"/>
        </w:rPr>
        <w:t>e</w:t>
      </w:r>
      <w:r>
        <w:rPr>
          <w:lang w:val="es-ES_tradnl"/>
        </w:rPr>
        <w:t xml:space="preserve">n realizar </w:t>
      </w:r>
      <w:r w:rsidR="001E12A7">
        <w:rPr>
          <w:lang w:val="es-ES_tradnl"/>
        </w:rPr>
        <w:t>un seguimiento cuando</w:t>
      </w:r>
      <w:r w:rsidR="003D6FC3">
        <w:rPr>
          <w:lang w:val="es-ES_tradnl"/>
        </w:rPr>
        <w:t xml:space="preserve"> sea necesario </w:t>
      </w:r>
      <w:r w:rsidR="00752811">
        <w:rPr>
          <w:lang w:val="es-ES_tradnl"/>
        </w:rPr>
        <w:t>y ha</w:t>
      </w:r>
      <w:r w:rsidR="00E64DFA">
        <w:rPr>
          <w:lang w:val="es-ES"/>
        </w:rPr>
        <w:t xml:space="preserve"> sido</w:t>
      </w:r>
      <w:r w:rsidR="001E12A7">
        <w:rPr>
          <w:lang w:val="es-ES"/>
        </w:rPr>
        <w:t xml:space="preserve"> instruido</w:t>
      </w:r>
      <w:r w:rsidR="001E12A7" w:rsidRPr="006616E4">
        <w:rPr>
          <w:lang w:val="es-ES"/>
        </w:rPr>
        <w:t xml:space="preserve"> </w:t>
      </w:r>
      <w:r w:rsidR="003D6FC3">
        <w:rPr>
          <w:lang w:val="es-ES"/>
        </w:rPr>
        <w:t>en</w:t>
      </w:r>
      <w:r w:rsidR="001E12A7" w:rsidRPr="006616E4">
        <w:rPr>
          <w:lang w:val="es-ES"/>
        </w:rPr>
        <w:t xml:space="preserve"> la técnica de inyección adecuada</w:t>
      </w:r>
      <w:r w:rsidR="001E12A7">
        <w:rPr>
          <w:lang w:val="es-ES_tradnl"/>
        </w:rPr>
        <w:t xml:space="preserve">. </w:t>
      </w:r>
    </w:p>
    <w:p w14:paraId="1347623C" w14:textId="77777777" w:rsidR="001E12A7" w:rsidRDefault="001E12A7" w:rsidP="00834462">
      <w:pPr>
        <w:rPr>
          <w:lang w:val="es-ES_tradnl"/>
        </w:rPr>
      </w:pPr>
    </w:p>
    <w:p w14:paraId="349055FD" w14:textId="499713CD" w:rsidR="001E12A7" w:rsidRDefault="00D15B53" w:rsidP="00834462">
      <w:pPr>
        <w:rPr>
          <w:lang w:val="es-ES_tradnl"/>
        </w:rPr>
      </w:pPr>
      <w:r>
        <w:rPr>
          <w:lang w:val="es-ES_tradnl"/>
        </w:rPr>
        <w:t>En l</w:t>
      </w:r>
      <w:r w:rsidR="003D6FC3">
        <w:rPr>
          <w:lang w:val="es-ES_tradnl"/>
        </w:rPr>
        <w:t>os pacientes que cambien</w:t>
      </w:r>
      <w:r w:rsidR="001E12A7" w:rsidRPr="001E12A7">
        <w:rPr>
          <w:lang w:val="es-ES_tradnl"/>
        </w:rPr>
        <w:t xml:space="preserve"> del tratamiento con tocilizumab </w:t>
      </w:r>
      <w:r w:rsidR="00EC2F5D">
        <w:rPr>
          <w:lang w:val="es-ES_tradnl"/>
        </w:rPr>
        <w:t>intravenoso</w:t>
      </w:r>
      <w:r w:rsidR="001E12A7" w:rsidRPr="001E12A7">
        <w:rPr>
          <w:lang w:val="es-ES_tradnl"/>
        </w:rPr>
        <w:t xml:space="preserve"> a la administración </w:t>
      </w:r>
      <w:r w:rsidR="00EC2F5D">
        <w:rPr>
          <w:lang w:val="es-ES"/>
        </w:rPr>
        <w:t>subcutánea</w:t>
      </w:r>
      <w:r w:rsidR="003D6FC3">
        <w:rPr>
          <w:lang w:val="es-ES_tradnl"/>
        </w:rPr>
        <w:t>,</w:t>
      </w:r>
      <w:r w:rsidR="001E12A7" w:rsidRPr="001E12A7">
        <w:rPr>
          <w:lang w:val="es-ES_tradnl"/>
        </w:rPr>
        <w:t xml:space="preserve"> </w:t>
      </w:r>
      <w:r w:rsidR="0099469F">
        <w:rPr>
          <w:lang w:val="es-ES_tradnl"/>
        </w:rPr>
        <w:t xml:space="preserve">se </w:t>
      </w:r>
      <w:r w:rsidR="001E12A7" w:rsidRPr="001E12A7">
        <w:rPr>
          <w:lang w:val="es-ES_tradnl"/>
        </w:rPr>
        <w:t xml:space="preserve">debe </w:t>
      </w:r>
      <w:r w:rsidR="0052516B">
        <w:rPr>
          <w:lang w:val="es-ES_tradnl"/>
        </w:rPr>
        <w:t xml:space="preserve">administrar la primera dosis </w:t>
      </w:r>
      <w:r w:rsidR="00EC2F5D">
        <w:rPr>
          <w:lang w:val="es-ES"/>
        </w:rPr>
        <w:t>subcutánea</w:t>
      </w:r>
      <w:r w:rsidR="001E12A7" w:rsidRPr="001E12A7">
        <w:rPr>
          <w:lang w:val="es-ES_tradnl"/>
        </w:rPr>
        <w:t xml:space="preserve"> en el momento de la </w:t>
      </w:r>
      <w:r>
        <w:rPr>
          <w:lang w:val="es-ES_tradnl"/>
        </w:rPr>
        <w:t>siguiente</w:t>
      </w:r>
      <w:r w:rsidR="001E12A7" w:rsidRPr="001E12A7">
        <w:rPr>
          <w:lang w:val="es-ES_tradnl"/>
        </w:rPr>
        <w:t xml:space="preserve"> dosis </w:t>
      </w:r>
      <w:r w:rsidR="00EC2F5D">
        <w:rPr>
          <w:lang w:val="es-ES_tradnl"/>
        </w:rPr>
        <w:t>intravenosa</w:t>
      </w:r>
      <w:r w:rsidR="00EC2F5D" w:rsidRPr="001E12A7">
        <w:rPr>
          <w:lang w:val="es-ES_tradnl"/>
        </w:rPr>
        <w:t xml:space="preserve"> </w:t>
      </w:r>
      <w:r w:rsidR="001E12A7" w:rsidRPr="001E12A7">
        <w:rPr>
          <w:lang w:val="es-ES_tradnl"/>
        </w:rPr>
        <w:t>programada</w:t>
      </w:r>
      <w:r>
        <w:rPr>
          <w:lang w:val="es-ES_tradnl"/>
        </w:rPr>
        <w:t>,</w:t>
      </w:r>
      <w:r w:rsidR="001E12A7" w:rsidRPr="001E12A7">
        <w:rPr>
          <w:lang w:val="es-ES_tradnl"/>
        </w:rPr>
        <w:t xml:space="preserve"> bajo la supervisión de un prof</w:t>
      </w:r>
      <w:r w:rsidR="0052516B">
        <w:rPr>
          <w:lang w:val="es-ES_tradnl"/>
        </w:rPr>
        <w:t>esional sanitario</w:t>
      </w:r>
      <w:r w:rsidR="001E12A7" w:rsidRPr="001E12A7">
        <w:rPr>
          <w:lang w:val="es-ES_tradnl"/>
        </w:rPr>
        <w:t xml:space="preserve"> c</w:t>
      </w:r>
      <w:r w:rsidR="0052516B">
        <w:rPr>
          <w:lang w:val="es-ES_tradnl"/>
        </w:rPr>
        <w:t>u</w:t>
      </w:r>
      <w:r w:rsidR="001E12A7" w:rsidRPr="001E12A7">
        <w:rPr>
          <w:lang w:val="es-ES_tradnl"/>
        </w:rPr>
        <w:t>alificado.</w:t>
      </w:r>
    </w:p>
    <w:p w14:paraId="203FA71D" w14:textId="77777777" w:rsidR="001E12A7" w:rsidRDefault="001E12A7" w:rsidP="00834462">
      <w:pPr>
        <w:rPr>
          <w:lang w:val="es-ES_tradnl"/>
        </w:rPr>
      </w:pPr>
    </w:p>
    <w:p w14:paraId="34A36546" w14:textId="5426A6B7" w:rsidR="00F01C27" w:rsidRDefault="00834462" w:rsidP="00834462">
      <w:pPr>
        <w:rPr>
          <w:ins w:id="768" w:author="AUTHOR"/>
          <w:lang w:val="es-ES_tradnl"/>
        </w:rPr>
      </w:pPr>
      <w:r w:rsidRPr="00F01C27">
        <w:rPr>
          <w:lang w:val="es-ES_tradnl"/>
        </w:rPr>
        <w:t xml:space="preserve">Todos los pacientes tratados con RoActemra deben recibir la Tarjeta </w:t>
      </w:r>
      <w:r w:rsidR="00EA64BB" w:rsidRPr="00F01C27">
        <w:rPr>
          <w:lang w:val="es-ES_tradnl"/>
        </w:rPr>
        <w:t xml:space="preserve">para </w:t>
      </w:r>
      <w:proofErr w:type="gramStart"/>
      <w:r w:rsidR="00EA64BB" w:rsidRPr="00F01C27">
        <w:rPr>
          <w:lang w:val="es-ES_tradnl"/>
        </w:rPr>
        <w:t xml:space="preserve">el </w:t>
      </w:r>
      <w:r w:rsidRPr="00F01C27">
        <w:rPr>
          <w:lang w:val="es-ES_tradnl"/>
        </w:rPr>
        <w:t xml:space="preserve"> Paciente</w:t>
      </w:r>
      <w:proofErr w:type="gramEnd"/>
      <w:r w:rsidRPr="00F01C27">
        <w:rPr>
          <w:lang w:val="es-ES_tradnl"/>
        </w:rPr>
        <w:t>.</w:t>
      </w:r>
      <w:r>
        <w:rPr>
          <w:lang w:val="es-ES_tradnl"/>
        </w:rPr>
        <w:t xml:space="preserve"> </w:t>
      </w:r>
    </w:p>
    <w:p w14:paraId="004E2796" w14:textId="77777777" w:rsidR="00F01C27" w:rsidRDefault="00F01C27" w:rsidP="00834462">
      <w:pPr>
        <w:rPr>
          <w:lang w:val="es-ES_tradnl"/>
        </w:rPr>
      </w:pPr>
    </w:p>
    <w:p w14:paraId="224551C7" w14:textId="3A096A86" w:rsidR="00834462" w:rsidRPr="00B12848" w:rsidRDefault="00834462" w:rsidP="00834462">
      <w:pPr>
        <w:rPr>
          <w:lang w:val="es-ES_tradnl"/>
        </w:rPr>
      </w:pPr>
      <w:r>
        <w:rPr>
          <w:lang w:val="es-ES_tradnl"/>
        </w:rPr>
        <w:t xml:space="preserve">Debe evaluarse la capacidad del paciente </w:t>
      </w:r>
      <w:r w:rsidR="001E12A7">
        <w:rPr>
          <w:lang w:val="es-ES_tradnl"/>
        </w:rPr>
        <w:t>o</w:t>
      </w:r>
      <w:ins w:id="769" w:author="AUTHOR">
        <w:r w:rsidR="000C7D20">
          <w:rPr>
            <w:lang w:val="es-ES_tradnl"/>
          </w:rPr>
          <w:t xml:space="preserve"> de su</w:t>
        </w:r>
      </w:ins>
      <w:r w:rsidR="001E12A7">
        <w:rPr>
          <w:lang w:val="es-ES_tradnl"/>
        </w:rPr>
        <w:t xml:space="preserve"> padre/tutor </w:t>
      </w:r>
      <w:r>
        <w:rPr>
          <w:lang w:val="es-ES_tradnl"/>
        </w:rPr>
        <w:t xml:space="preserve">para utilizar la administración subcutánea en su casa </w:t>
      </w:r>
      <w:r w:rsidR="00165F0C">
        <w:rPr>
          <w:lang w:val="es-ES_tradnl"/>
        </w:rPr>
        <w:t xml:space="preserve">y se debe </w:t>
      </w:r>
      <w:r>
        <w:rPr>
          <w:lang w:val="es-ES_tradnl"/>
        </w:rPr>
        <w:t xml:space="preserve">instruir a los pacientes </w:t>
      </w:r>
      <w:r w:rsidR="001E12A7">
        <w:rPr>
          <w:lang w:val="es-ES_tradnl"/>
        </w:rPr>
        <w:t xml:space="preserve">o </w:t>
      </w:r>
      <w:ins w:id="770" w:author="AUTHOR">
        <w:del w:id="771" w:author="AUTHOR">
          <w:r w:rsidR="000C7D20" w:rsidDel="000A0637">
            <w:rPr>
              <w:lang w:val="es-ES_tradnl"/>
            </w:rPr>
            <w:delText>d</w:delText>
          </w:r>
        </w:del>
        <w:r w:rsidR="000C7D20">
          <w:rPr>
            <w:lang w:val="es-ES_tradnl"/>
          </w:rPr>
          <w:t xml:space="preserve">a su </w:t>
        </w:r>
      </w:ins>
      <w:r w:rsidR="001E12A7">
        <w:rPr>
          <w:lang w:val="es-ES_tradnl"/>
        </w:rPr>
        <w:t xml:space="preserve">padre/tutor </w:t>
      </w:r>
      <w:r w:rsidR="00CD597F">
        <w:rPr>
          <w:lang w:val="es-ES_tradnl"/>
        </w:rPr>
        <w:t xml:space="preserve">antes de la administración de la siguiente dosis </w:t>
      </w:r>
      <w:r>
        <w:rPr>
          <w:lang w:val="es-ES_tradnl"/>
        </w:rPr>
        <w:t xml:space="preserve">para que informen a  los profesionales sanitarios si experimentan síntomas de una reacción alérgica. Los pacientes </w:t>
      </w:r>
      <w:r w:rsidRPr="00286CDE">
        <w:rPr>
          <w:lang w:val="es-ES_tradnl"/>
        </w:rPr>
        <w:t>deben solicitar atención</w:t>
      </w:r>
      <w:r>
        <w:rPr>
          <w:lang w:val="es-ES_tradnl"/>
        </w:rPr>
        <w:t xml:space="preserve"> médica inmediata si desarrollan síntomas de reacciones alérgicas graves (ver sección</w:t>
      </w:r>
      <w:r w:rsidR="00290A07">
        <w:rPr>
          <w:lang w:val="es-ES_tradnl"/>
        </w:rPr>
        <w:t> </w:t>
      </w:r>
      <w:r>
        <w:rPr>
          <w:lang w:val="es-ES_tradnl"/>
        </w:rPr>
        <w:t>4.4).</w:t>
      </w:r>
    </w:p>
    <w:p w14:paraId="585EFF81" w14:textId="77777777" w:rsidR="00834462" w:rsidRPr="008A106B" w:rsidRDefault="00834462" w:rsidP="00834462">
      <w:pPr>
        <w:ind w:left="567" w:hanging="567"/>
        <w:rPr>
          <w:noProof/>
          <w:lang w:val="es-ES"/>
        </w:rPr>
      </w:pPr>
    </w:p>
    <w:p w14:paraId="4F7CEB41" w14:textId="77777777" w:rsidR="00834462" w:rsidRDefault="00834462" w:rsidP="00834462">
      <w:pPr>
        <w:keepNext/>
        <w:autoSpaceDE w:val="0"/>
        <w:autoSpaceDN w:val="0"/>
        <w:adjustRightInd w:val="0"/>
        <w:rPr>
          <w:u w:val="single"/>
          <w:lang w:val="es-ES_tradnl"/>
        </w:rPr>
      </w:pPr>
      <w:r w:rsidRPr="003F7D0C">
        <w:rPr>
          <w:u w:val="single"/>
          <w:lang w:val="es-ES_tradnl"/>
        </w:rPr>
        <w:t>Posología</w:t>
      </w:r>
    </w:p>
    <w:p w14:paraId="0659EBF7" w14:textId="77777777" w:rsidR="007C3769" w:rsidRDefault="007C3769" w:rsidP="00834462">
      <w:pPr>
        <w:keepNext/>
        <w:autoSpaceDE w:val="0"/>
        <w:autoSpaceDN w:val="0"/>
        <w:adjustRightInd w:val="0"/>
        <w:rPr>
          <w:szCs w:val="22"/>
          <w:lang w:val="es-ES"/>
        </w:rPr>
      </w:pPr>
    </w:p>
    <w:p w14:paraId="42BE23EB" w14:textId="77A76EC4" w:rsidR="007C3769" w:rsidRPr="00F30AB8" w:rsidRDefault="000C7D20" w:rsidP="00834462">
      <w:pPr>
        <w:keepNext/>
        <w:autoSpaceDE w:val="0"/>
        <w:autoSpaceDN w:val="0"/>
        <w:adjustRightInd w:val="0"/>
        <w:rPr>
          <w:i/>
          <w:lang w:val="es-ES"/>
        </w:rPr>
      </w:pPr>
      <w:ins w:id="772" w:author="AUTHOR">
        <w:r>
          <w:rPr>
            <w:i/>
            <w:szCs w:val="22"/>
            <w:lang w:val="es-ES"/>
          </w:rPr>
          <w:t xml:space="preserve">Pacientes con </w:t>
        </w:r>
      </w:ins>
      <w:r w:rsidR="007C3769" w:rsidRPr="00F30AB8">
        <w:rPr>
          <w:i/>
          <w:szCs w:val="22"/>
          <w:lang w:val="es-ES"/>
        </w:rPr>
        <w:t>AR</w:t>
      </w:r>
    </w:p>
    <w:p w14:paraId="1374C943" w14:textId="547C3013" w:rsidR="00834462" w:rsidRPr="008A106B" w:rsidRDefault="00834462" w:rsidP="00834462">
      <w:pPr>
        <w:autoSpaceDE w:val="0"/>
        <w:autoSpaceDN w:val="0"/>
        <w:adjustRightInd w:val="0"/>
        <w:rPr>
          <w:sz w:val="20"/>
          <w:lang w:val="es-ES"/>
        </w:rPr>
      </w:pPr>
      <w:r w:rsidRPr="008A106B">
        <w:rPr>
          <w:lang w:val="es-ES_tradnl"/>
        </w:rPr>
        <w:t xml:space="preserve">La posología recomendada es de </w:t>
      </w:r>
      <w:r>
        <w:rPr>
          <w:lang w:val="es-ES_tradnl"/>
        </w:rPr>
        <w:t>162</w:t>
      </w:r>
      <w:r w:rsidR="00EC2F5D">
        <w:rPr>
          <w:lang w:val="es-ES_tradnl"/>
        </w:rPr>
        <w:t> </w:t>
      </w:r>
      <w:r>
        <w:rPr>
          <w:lang w:val="es-ES_tradnl"/>
        </w:rPr>
        <w:t>mg vía subcutánea una vez por semana.</w:t>
      </w:r>
      <w:r w:rsidRPr="008A106B">
        <w:rPr>
          <w:lang w:val="es-ES_tradnl"/>
        </w:rPr>
        <w:t xml:space="preserve"> </w:t>
      </w:r>
    </w:p>
    <w:p w14:paraId="0259CF7C" w14:textId="77777777" w:rsidR="00834462" w:rsidRPr="008A106B" w:rsidRDefault="00834462" w:rsidP="00834462">
      <w:pPr>
        <w:rPr>
          <w:lang w:val="es-ES"/>
        </w:rPr>
      </w:pPr>
    </w:p>
    <w:p w14:paraId="4A7967BE" w14:textId="4EF075B7" w:rsidR="00CA1B1E" w:rsidRDefault="00CA1B1E" w:rsidP="00CA1B1E">
      <w:pPr>
        <w:rPr>
          <w:lang w:val="es-ES"/>
        </w:rPr>
      </w:pPr>
      <w:r w:rsidRPr="00CA1B1E">
        <w:rPr>
          <w:lang w:val="es-ES"/>
        </w:rPr>
        <w:t xml:space="preserve">Hay información limitada disponible sobre el cambio de pacientes de la formulación intravenosa a subcutánea de </w:t>
      </w:r>
      <w:r w:rsidR="00EC2F5D">
        <w:rPr>
          <w:lang w:val="es-ES"/>
        </w:rPr>
        <w:t>tocilizumab</w:t>
      </w:r>
      <w:r w:rsidR="00EC2F5D" w:rsidRPr="00CA1B1E">
        <w:rPr>
          <w:lang w:val="es-ES"/>
        </w:rPr>
        <w:t xml:space="preserve"> </w:t>
      </w:r>
      <w:r w:rsidRPr="00CA1B1E">
        <w:rPr>
          <w:lang w:val="es-ES"/>
        </w:rPr>
        <w:t xml:space="preserve">a dosis fija. </w:t>
      </w:r>
      <w:del w:id="773" w:author="AUTHOR">
        <w:r w:rsidRPr="00CA1B1E" w:rsidDel="00656295">
          <w:rPr>
            <w:lang w:val="es-ES"/>
          </w:rPr>
          <w:delText>Una vez iniciado el cambio e</w:delText>
        </w:r>
      </w:del>
      <w:ins w:id="774" w:author="AUTHOR">
        <w:r w:rsidR="00656295">
          <w:rPr>
            <w:lang w:val="es-ES"/>
          </w:rPr>
          <w:t>E</w:t>
        </w:r>
      </w:ins>
      <w:r w:rsidRPr="00CA1B1E">
        <w:rPr>
          <w:lang w:val="es-ES"/>
        </w:rPr>
        <w:t>l intervalo de dosis debería ser una vez a la semana.</w:t>
      </w:r>
      <w:r>
        <w:rPr>
          <w:lang w:val="es-ES"/>
        </w:rPr>
        <w:t xml:space="preserve"> </w:t>
      </w:r>
    </w:p>
    <w:p w14:paraId="2E8DB77F" w14:textId="77777777" w:rsidR="00834462" w:rsidRDefault="00834462" w:rsidP="00834462">
      <w:pPr>
        <w:rPr>
          <w:lang w:val="es-ES"/>
        </w:rPr>
      </w:pPr>
    </w:p>
    <w:p w14:paraId="0DC55AF5" w14:textId="77777777" w:rsidR="00834462" w:rsidRDefault="00834462" w:rsidP="00834462">
      <w:pPr>
        <w:rPr>
          <w:lang w:val="es-ES"/>
        </w:rPr>
      </w:pPr>
      <w:r>
        <w:rPr>
          <w:lang w:val="es-ES"/>
        </w:rPr>
        <w:t>Los pacientes que cambien de la formulación intravenosa a la formulación subcutánea</w:t>
      </w:r>
      <w:r w:rsidR="00C5327A">
        <w:rPr>
          <w:lang w:val="es-ES"/>
        </w:rPr>
        <w:t>,</w:t>
      </w:r>
      <w:r>
        <w:rPr>
          <w:lang w:val="es-ES"/>
        </w:rPr>
        <w:t xml:space="preserve"> deberán administrarse su primera dosis subcutánea en lugar de la siguiente dosis intravenosa programada</w:t>
      </w:r>
      <w:r w:rsidR="00C5327A">
        <w:rPr>
          <w:lang w:val="es-ES"/>
        </w:rPr>
        <w:t>,</w:t>
      </w:r>
      <w:r>
        <w:rPr>
          <w:lang w:val="es-ES"/>
        </w:rPr>
        <w:t xml:space="preserve"> bajo la supervisión de un profesional sanitario cualificado.</w:t>
      </w:r>
    </w:p>
    <w:p w14:paraId="673F17FB" w14:textId="77777777" w:rsidR="007C3769" w:rsidRDefault="007C3769" w:rsidP="00834462">
      <w:pPr>
        <w:rPr>
          <w:lang w:val="es-ES"/>
        </w:rPr>
      </w:pPr>
    </w:p>
    <w:p w14:paraId="7A87F41D" w14:textId="0454A3D5" w:rsidR="007C3769" w:rsidRPr="00F30AB8" w:rsidRDefault="000C7D20" w:rsidP="00834462">
      <w:pPr>
        <w:rPr>
          <w:i/>
          <w:lang w:val="es-ES"/>
        </w:rPr>
      </w:pPr>
      <w:ins w:id="775" w:author="AUTHOR">
        <w:r>
          <w:rPr>
            <w:i/>
            <w:lang w:val="es-ES"/>
          </w:rPr>
          <w:t xml:space="preserve">Pacientes con </w:t>
        </w:r>
      </w:ins>
      <w:r w:rsidR="007C3769" w:rsidRPr="00F30AB8">
        <w:rPr>
          <w:i/>
          <w:lang w:val="es-ES"/>
        </w:rPr>
        <w:t>ACG</w:t>
      </w:r>
    </w:p>
    <w:p w14:paraId="4CACE702" w14:textId="1D4B35E2" w:rsidR="007C3769" w:rsidRPr="001E21B5" w:rsidRDefault="007C3769" w:rsidP="00834462">
      <w:pPr>
        <w:rPr>
          <w:szCs w:val="22"/>
          <w:lang w:val="es-ES"/>
        </w:rPr>
      </w:pPr>
      <w:r w:rsidRPr="00606BCF">
        <w:rPr>
          <w:lang w:val="es-ES_tradnl"/>
        </w:rPr>
        <w:t xml:space="preserve">La </w:t>
      </w:r>
      <w:r w:rsidR="00953197" w:rsidRPr="006C05BA">
        <w:rPr>
          <w:lang w:val="es-ES_tradnl"/>
        </w:rPr>
        <w:t>posología recomendada es una dosi</w:t>
      </w:r>
      <w:r w:rsidR="00953197" w:rsidRPr="00C22F3F">
        <w:rPr>
          <w:lang w:val="es-ES_tradnl"/>
        </w:rPr>
        <w:t xml:space="preserve">s de </w:t>
      </w:r>
      <w:r w:rsidRPr="00C22F3F">
        <w:rPr>
          <w:lang w:val="es-ES_tradnl"/>
        </w:rPr>
        <w:t>162</w:t>
      </w:r>
      <w:r w:rsidR="004A2E72">
        <w:rPr>
          <w:lang w:val="es-ES_tradnl"/>
        </w:rPr>
        <w:t> </w:t>
      </w:r>
      <w:r w:rsidRPr="00C22F3F">
        <w:rPr>
          <w:lang w:val="es-ES_tradnl"/>
        </w:rPr>
        <w:t xml:space="preserve">mg </w:t>
      </w:r>
      <w:r w:rsidR="00953197" w:rsidRPr="00C22F3F">
        <w:rPr>
          <w:lang w:val="es-ES_tradnl"/>
        </w:rPr>
        <w:t xml:space="preserve">por </w:t>
      </w:r>
      <w:r w:rsidRPr="00C22F3F">
        <w:rPr>
          <w:lang w:val="es-ES_tradnl"/>
        </w:rPr>
        <w:t>vía subcutánea una vez por semana en combinación con u</w:t>
      </w:r>
      <w:r w:rsidR="00660CD0" w:rsidRPr="00C22F3F">
        <w:rPr>
          <w:lang w:val="es-ES_tradnl"/>
        </w:rPr>
        <w:t>n</w:t>
      </w:r>
      <w:r w:rsidR="00B86550" w:rsidRPr="00C22F3F">
        <w:rPr>
          <w:lang w:val="es-ES_tradnl"/>
        </w:rPr>
        <w:t>a reducción gradual</w:t>
      </w:r>
      <w:r w:rsidR="00B91447" w:rsidRPr="00C22F3F">
        <w:rPr>
          <w:lang w:val="es-ES_tradnl"/>
        </w:rPr>
        <w:t xml:space="preserve"> </w:t>
      </w:r>
      <w:r w:rsidR="00660CD0" w:rsidRPr="00C22F3F">
        <w:rPr>
          <w:lang w:val="es-ES_tradnl"/>
        </w:rPr>
        <w:t xml:space="preserve">de </w:t>
      </w:r>
      <w:r w:rsidR="00067748" w:rsidRPr="00C22F3F">
        <w:rPr>
          <w:lang w:val="es-ES_tradnl"/>
        </w:rPr>
        <w:t>glucocorticoides.</w:t>
      </w:r>
      <w:r w:rsidR="00660CD0" w:rsidRPr="00C22F3F">
        <w:rPr>
          <w:lang w:val="es-ES_tradnl"/>
        </w:rPr>
        <w:t xml:space="preserve"> </w:t>
      </w:r>
      <w:r w:rsidR="00953197" w:rsidRPr="00C22F3F">
        <w:rPr>
          <w:lang w:val="es-ES_tradnl"/>
        </w:rPr>
        <w:t xml:space="preserve">Se puede usar </w:t>
      </w:r>
      <w:r w:rsidR="00EC2F5D">
        <w:rPr>
          <w:lang w:val="es-ES_tradnl"/>
        </w:rPr>
        <w:t>este medicamento</w:t>
      </w:r>
      <w:r w:rsidR="00660CD0" w:rsidRPr="006868F5">
        <w:rPr>
          <w:szCs w:val="22"/>
          <w:lang w:val="es-ES"/>
        </w:rPr>
        <w:t xml:space="preserve"> </w:t>
      </w:r>
      <w:r w:rsidR="00953197" w:rsidRPr="001E21B5">
        <w:rPr>
          <w:szCs w:val="22"/>
          <w:lang w:val="es-ES"/>
        </w:rPr>
        <w:t xml:space="preserve">en monoterapia </w:t>
      </w:r>
      <w:r w:rsidR="00660CD0" w:rsidRPr="006868F5">
        <w:rPr>
          <w:szCs w:val="22"/>
          <w:lang w:val="es-ES"/>
        </w:rPr>
        <w:t xml:space="preserve">tras </w:t>
      </w:r>
      <w:r w:rsidR="00660CD0" w:rsidRPr="001E21B5">
        <w:rPr>
          <w:szCs w:val="22"/>
          <w:lang w:val="es-ES"/>
        </w:rPr>
        <w:t>la suspensión de</w:t>
      </w:r>
      <w:r w:rsidR="00660CD0" w:rsidRPr="006868F5">
        <w:rPr>
          <w:szCs w:val="22"/>
          <w:lang w:val="es-ES"/>
        </w:rPr>
        <w:t xml:space="preserve"> los glucocorticoid</w:t>
      </w:r>
      <w:r w:rsidR="00660CD0" w:rsidRPr="001E21B5">
        <w:rPr>
          <w:szCs w:val="22"/>
          <w:lang w:val="es-ES"/>
        </w:rPr>
        <w:t>e</w:t>
      </w:r>
      <w:r w:rsidR="00660CD0" w:rsidRPr="006868F5">
        <w:rPr>
          <w:szCs w:val="22"/>
          <w:lang w:val="es-ES"/>
        </w:rPr>
        <w:t>s.</w:t>
      </w:r>
    </w:p>
    <w:p w14:paraId="202715EA" w14:textId="7656C2B6" w:rsidR="00B12746" w:rsidRPr="00C22F3F" w:rsidRDefault="00EC2F5D" w:rsidP="00834462">
      <w:pPr>
        <w:rPr>
          <w:szCs w:val="22"/>
          <w:lang w:val="es-ES"/>
        </w:rPr>
      </w:pPr>
      <w:r>
        <w:rPr>
          <w:szCs w:val="22"/>
          <w:lang w:val="es-ES"/>
        </w:rPr>
        <w:t>Tocilizumab</w:t>
      </w:r>
      <w:r w:rsidRPr="00606BCF">
        <w:rPr>
          <w:szCs w:val="22"/>
          <w:lang w:val="es-ES"/>
        </w:rPr>
        <w:t xml:space="preserve"> </w:t>
      </w:r>
      <w:r w:rsidR="00B12746" w:rsidRPr="00606BCF">
        <w:rPr>
          <w:szCs w:val="22"/>
          <w:lang w:val="es-ES"/>
        </w:rPr>
        <w:t>en monoterapia no debe ser usado para el tratamien</w:t>
      </w:r>
      <w:r w:rsidR="00B12746" w:rsidRPr="006C05BA">
        <w:rPr>
          <w:szCs w:val="22"/>
          <w:lang w:val="es-ES"/>
        </w:rPr>
        <w:t>to de recaídas agudas (ver sección</w:t>
      </w:r>
      <w:r>
        <w:rPr>
          <w:szCs w:val="22"/>
          <w:lang w:val="es-ES"/>
        </w:rPr>
        <w:t> </w:t>
      </w:r>
      <w:r w:rsidR="00B12746" w:rsidRPr="006C05BA">
        <w:rPr>
          <w:szCs w:val="22"/>
          <w:lang w:val="es-ES"/>
        </w:rPr>
        <w:t>4.4).</w:t>
      </w:r>
    </w:p>
    <w:p w14:paraId="168071D9" w14:textId="77777777" w:rsidR="00CF4BCA" w:rsidRPr="00C22F3F" w:rsidRDefault="00CF4BCA" w:rsidP="00834462">
      <w:pPr>
        <w:rPr>
          <w:szCs w:val="22"/>
          <w:lang w:val="es-ES"/>
        </w:rPr>
      </w:pPr>
    </w:p>
    <w:p w14:paraId="589C6261" w14:textId="7978A963" w:rsidR="00B12746" w:rsidRDefault="00B12746" w:rsidP="00834462">
      <w:pPr>
        <w:rPr>
          <w:lang w:val="es-ES"/>
        </w:rPr>
      </w:pPr>
      <w:r w:rsidRPr="00C22F3F">
        <w:rPr>
          <w:lang w:val="es-ES"/>
        </w:rPr>
        <w:t>Debido a la naturaleza crónica de ACG, tratamientos</w:t>
      </w:r>
      <w:r w:rsidR="007961E6" w:rsidRPr="00C22F3F">
        <w:rPr>
          <w:lang w:val="es-ES"/>
        </w:rPr>
        <w:t xml:space="preserve"> superiores a 52</w:t>
      </w:r>
      <w:r w:rsidR="00290A07">
        <w:rPr>
          <w:lang w:val="es-ES"/>
        </w:rPr>
        <w:t> </w:t>
      </w:r>
      <w:r w:rsidR="007961E6" w:rsidRPr="00C22F3F">
        <w:rPr>
          <w:lang w:val="es-ES"/>
        </w:rPr>
        <w:t xml:space="preserve">semanas se deben regir por </w:t>
      </w:r>
      <w:r w:rsidRPr="00C22F3F">
        <w:rPr>
          <w:lang w:val="es-ES"/>
        </w:rPr>
        <w:t>la actividad de la enfermedad, el criterio del m</w:t>
      </w:r>
      <w:r w:rsidR="007961E6" w:rsidRPr="00C22F3F">
        <w:rPr>
          <w:lang w:val="es-ES"/>
        </w:rPr>
        <w:t>édico y</w:t>
      </w:r>
      <w:r w:rsidRPr="00C22F3F">
        <w:rPr>
          <w:lang w:val="es-ES"/>
        </w:rPr>
        <w:t xml:space="preserve"> la elección del paciente.</w:t>
      </w:r>
    </w:p>
    <w:p w14:paraId="02770732" w14:textId="77777777" w:rsidR="00B12746" w:rsidRDefault="00B12746" w:rsidP="00834462">
      <w:pPr>
        <w:rPr>
          <w:lang w:val="es-ES"/>
        </w:rPr>
      </w:pPr>
    </w:p>
    <w:p w14:paraId="2B5BC87B" w14:textId="77777777" w:rsidR="007C3769" w:rsidRDefault="00EC2F5D" w:rsidP="006616E4">
      <w:pPr>
        <w:keepNext/>
        <w:keepLines/>
        <w:rPr>
          <w:ins w:id="776" w:author="AUTHOR"/>
          <w:i/>
          <w:lang w:val="es-ES"/>
        </w:rPr>
      </w:pPr>
      <w:r w:rsidRPr="00F30AB8">
        <w:rPr>
          <w:i/>
          <w:lang w:val="es-ES"/>
        </w:rPr>
        <w:lastRenderedPageBreak/>
        <w:t xml:space="preserve">Pacientes con </w:t>
      </w:r>
      <w:r w:rsidR="00CF4BCA" w:rsidRPr="00F30AB8">
        <w:rPr>
          <w:i/>
          <w:lang w:val="es-ES"/>
        </w:rPr>
        <w:t>AR y ACG</w:t>
      </w:r>
    </w:p>
    <w:p w14:paraId="67489F39" w14:textId="77777777" w:rsidR="00F01C27" w:rsidRPr="00F30AB8" w:rsidRDefault="00F01C27" w:rsidP="006616E4">
      <w:pPr>
        <w:keepNext/>
        <w:keepLines/>
        <w:rPr>
          <w:i/>
          <w:lang w:val="es-ES"/>
        </w:rPr>
      </w:pPr>
    </w:p>
    <w:p w14:paraId="7B26DCD1" w14:textId="2507431D" w:rsidR="00834462" w:rsidRPr="00F30AB8" w:rsidRDefault="00834462" w:rsidP="006616E4">
      <w:pPr>
        <w:keepNext/>
        <w:keepLines/>
        <w:rPr>
          <w:i/>
          <w:u w:val="single"/>
          <w:lang w:val="es-ES"/>
        </w:rPr>
      </w:pPr>
      <w:r w:rsidRPr="00F30AB8">
        <w:rPr>
          <w:i/>
          <w:u w:val="single"/>
          <w:lang w:val="es-ES"/>
        </w:rPr>
        <w:t>Ajustes de dosis si los valores de laboratorio están fuera de los parámetros normales (ver sección</w:t>
      </w:r>
      <w:r w:rsidR="00EC2F5D" w:rsidRPr="00F30AB8">
        <w:rPr>
          <w:i/>
          <w:u w:val="single"/>
          <w:lang w:val="es-ES"/>
        </w:rPr>
        <w:t> </w:t>
      </w:r>
      <w:r w:rsidRPr="00F30AB8">
        <w:rPr>
          <w:i/>
          <w:u w:val="single"/>
          <w:lang w:val="es-ES"/>
        </w:rPr>
        <w:t>4.4)</w:t>
      </w:r>
      <w:r w:rsidR="00EC7ADA" w:rsidRPr="00F30AB8">
        <w:rPr>
          <w:i/>
          <w:u w:val="single"/>
          <w:lang w:val="es-ES"/>
        </w:rPr>
        <w:t>.</w:t>
      </w:r>
    </w:p>
    <w:p w14:paraId="1CF22F5F" w14:textId="77777777" w:rsidR="00834462" w:rsidRPr="008A106B" w:rsidRDefault="00834462" w:rsidP="006616E4">
      <w:pPr>
        <w:keepNext/>
        <w:keepLines/>
        <w:rPr>
          <w:lang w:val="es-ES"/>
        </w:rPr>
      </w:pPr>
    </w:p>
    <w:p w14:paraId="1210034A" w14:textId="77777777" w:rsidR="00834462" w:rsidRPr="008A106B" w:rsidRDefault="00834462" w:rsidP="006616E4">
      <w:pPr>
        <w:keepNext/>
        <w:keepLines/>
        <w:rPr>
          <w:lang w:val="es-ES"/>
        </w:rPr>
      </w:pPr>
      <w:r w:rsidRPr="008A106B">
        <w:rPr>
          <w:lang w:val="es-ES"/>
        </w:rPr>
        <w:sym w:font="Symbol" w:char="F0B7"/>
      </w:r>
      <w:r w:rsidRPr="008A106B">
        <w:rPr>
          <w:lang w:val="es-ES"/>
        </w:rPr>
        <w:tab/>
        <w:t>Enzimas hepáticas fuera de los valores normales</w:t>
      </w:r>
    </w:p>
    <w:p w14:paraId="0B5AF511" w14:textId="77777777" w:rsidR="00834462" w:rsidRPr="008A106B" w:rsidRDefault="00834462" w:rsidP="006616E4">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7137"/>
      </w:tblGrid>
      <w:tr w:rsidR="00834462" w:rsidRPr="005A5612" w14:paraId="013DE7BB" w14:textId="77777777" w:rsidTr="003E3A62">
        <w:tc>
          <w:tcPr>
            <w:tcW w:w="2040" w:type="dxa"/>
          </w:tcPr>
          <w:p w14:paraId="3B785615" w14:textId="77777777" w:rsidR="00834462" w:rsidRPr="005A5612" w:rsidRDefault="00834462" w:rsidP="006616E4">
            <w:pPr>
              <w:pStyle w:val="TextTi12"/>
              <w:keepNext/>
              <w:keepLines/>
              <w:jc w:val="center"/>
              <w:rPr>
                <w:sz w:val="22"/>
                <w:szCs w:val="22"/>
              </w:rPr>
            </w:pPr>
            <w:r w:rsidRPr="005A5612">
              <w:rPr>
                <w:sz w:val="22"/>
                <w:szCs w:val="22"/>
              </w:rPr>
              <w:t>Valor de laboratorio</w:t>
            </w:r>
          </w:p>
        </w:tc>
        <w:tc>
          <w:tcPr>
            <w:tcW w:w="8040" w:type="dxa"/>
          </w:tcPr>
          <w:p w14:paraId="128B335B" w14:textId="77777777" w:rsidR="00834462" w:rsidRPr="005A5612" w:rsidRDefault="00834462" w:rsidP="006616E4">
            <w:pPr>
              <w:pStyle w:val="TextTi12"/>
              <w:keepNext/>
              <w:keepLines/>
              <w:jc w:val="center"/>
              <w:rPr>
                <w:sz w:val="22"/>
                <w:szCs w:val="22"/>
              </w:rPr>
            </w:pPr>
            <w:r w:rsidRPr="005A5612">
              <w:rPr>
                <w:sz w:val="22"/>
                <w:szCs w:val="22"/>
              </w:rPr>
              <w:t>Acción</w:t>
            </w:r>
          </w:p>
        </w:tc>
      </w:tr>
      <w:tr w:rsidR="00834462" w:rsidRPr="00541248" w14:paraId="2CD97D63" w14:textId="77777777" w:rsidTr="003E3A62">
        <w:tc>
          <w:tcPr>
            <w:tcW w:w="2040" w:type="dxa"/>
          </w:tcPr>
          <w:p w14:paraId="3EEF90DA" w14:textId="49DB9AD3" w:rsidR="00834462" w:rsidRPr="005A5612" w:rsidRDefault="0044664D" w:rsidP="006616E4">
            <w:pPr>
              <w:pStyle w:val="TextTi12"/>
              <w:keepNext/>
              <w:keepLines/>
              <w:rPr>
                <w:sz w:val="22"/>
                <w:szCs w:val="22"/>
                <w:lang w:val="es-ES"/>
              </w:rPr>
            </w:pPr>
            <w:r w:rsidRPr="00F30AB8">
              <w:rPr>
                <w:rFonts w:eastAsia="MS Mincho"/>
                <w:sz w:val="22"/>
                <w:szCs w:val="22"/>
                <w:lang w:val="es-ES" w:eastAsia="ja-JP"/>
              </w:rPr>
              <w:t>&gt; 1 a 3 × </w:t>
            </w:r>
            <w:r w:rsidR="00834462" w:rsidRPr="005A5612">
              <w:rPr>
                <w:sz w:val="22"/>
                <w:szCs w:val="22"/>
                <w:lang w:val="es-ES"/>
              </w:rPr>
              <w:t xml:space="preserve"> Límite superior de Normalidad (LSN) </w:t>
            </w:r>
          </w:p>
        </w:tc>
        <w:tc>
          <w:tcPr>
            <w:tcW w:w="8040" w:type="dxa"/>
          </w:tcPr>
          <w:p w14:paraId="0794E393" w14:textId="77777777" w:rsidR="00834462" w:rsidRPr="005A5612" w:rsidRDefault="00834462" w:rsidP="006616E4">
            <w:pPr>
              <w:pStyle w:val="TextTi12"/>
              <w:keepNext/>
              <w:keepLines/>
              <w:rPr>
                <w:sz w:val="22"/>
                <w:szCs w:val="22"/>
                <w:lang w:val="es-ES"/>
              </w:rPr>
            </w:pPr>
            <w:r w:rsidRPr="005A5612">
              <w:rPr>
                <w:sz w:val="22"/>
                <w:szCs w:val="22"/>
                <w:lang w:val="es-ES"/>
              </w:rPr>
              <w:t xml:space="preserve">Si procede, modificar la dosis de la medicación concomitante </w:t>
            </w:r>
            <w:r w:rsidR="001F6C6F">
              <w:rPr>
                <w:sz w:val="22"/>
                <w:szCs w:val="22"/>
                <w:lang w:val="es-ES"/>
              </w:rPr>
              <w:t xml:space="preserve">de </w:t>
            </w:r>
            <w:r w:rsidRPr="005A5612">
              <w:rPr>
                <w:sz w:val="22"/>
                <w:szCs w:val="22"/>
                <w:lang w:val="es-ES"/>
              </w:rPr>
              <w:t>FAMEs</w:t>
            </w:r>
            <w:r w:rsidR="00A15E3D">
              <w:rPr>
                <w:sz w:val="22"/>
                <w:szCs w:val="22"/>
                <w:lang w:val="es-ES"/>
              </w:rPr>
              <w:t xml:space="preserve"> </w:t>
            </w:r>
            <w:r w:rsidR="00E057AA">
              <w:rPr>
                <w:sz w:val="22"/>
                <w:szCs w:val="22"/>
                <w:lang w:val="es-ES"/>
              </w:rPr>
              <w:t>(AR) o agentes inmunomoduladores (ACG)</w:t>
            </w:r>
            <w:r w:rsidRPr="005A5612">
              <w:rPr>
                <w:sz w:val="22"/>
                <w:szCs w:val="22"/>
                <w:lang w:val="es-ES"/>
              </w:rPr>
              <w:t xml:space="preserve">. </w:t>
            </w:r>
          </w:p>
          <w:p w14:paraId="75EB3E50" w14:textId="17B3DB45" w:rsidR="00834462" w:rsidRPr="005A5612" w:rsidRDefault="00834462" w:rsidP="006616E4">
            <w:pPr>
              <w:pStyle w:val="TextTi12"/>
              <w:keepNext/>
              <w:keepLines/>
              <w:rPr>
                <w:lang w:val="es-ES_tradnl"/>
              </w:rPr>
            </w:pPr>
            <w:r w:rsidRPr="005A5612">
              <w:rPr>
                <w:sz w:val="22"/>
                <w:szCs w:val="22"/>
                <w:lang w:val="es-ES"/>
              </w:rPr>
              <w:t xml:space="preserve">Si el incremento continúa dentro de este rango, reducir la frecuencia de dosis de </w:t>
            </w:r>
            <w:r w:rsidR="00EC2F5D">
              <w:rPr>
                <w:sz w:val="22"/>
                <w:szCs w:val="22"/>
                <w:lang w:val="es-ES"/>
              </w:rPr>
              <w:t>tocilizumab</w:t>
            </w:r>
            <w:r w:rsidR="00EC2F5D" w:rsidRPr="005A5612">
              <w:rPr>
                <w:sz w:val="22"/>
                <w:szCs w:val="22"/>
                <w:lang w:val="es-ES"/>
              </w:rPr>
              <w:t xml:space="preserve"> </w:t>
            </w:r>
            <w:r w:rsidRPr="005A5612">
              <w:rPr>
                <w:sz w:val="22"/>
                <w:szCs w:val="22"/>
                <w:lang w:val="es-ES"/>
              </w:rPr>
              <w:t>a la inyección cada dos semanas o interrumpir la administración</w:t>
            </w:r>
            <w:r w:rsidR="00AA396B">
              <w:rPr>
                <w:sz w:val="22"/>
                <w:szCs w:val="22"/>
                <w:lang w:val="es-ES"/>
              </w:rPr>
              <w:t xml:space="preserve"> </w:t>
            </w:r>
            <w:r w:rsidRPr="005A5612">
              <w:rPr>
                <w:sz w:val="22"/>
                <w:szCs w:val="22"/>
                <w:lang w:val="es-ES"/>
              </w:rPr>
              <w:t xml:space="preserve">hasta que los valores de </w:t>
            </w:r>
            <w:r w:rsidRPr="005A5612">
              <w:rPr>
                <w:sz w:val="22"/>
                <w:szCs w:val="22"/>
                <w:lang w:val="es-ES_tradnl"/>
              </w:rPr>
              <w:t>alanina aminotransferasa (ALT) o aspartato aminotransferasa</w:t>
            </w:r>
            <w:r w:rsidR="001F6C6F">
              <w:rPr>
                <w:sz w:val="22"/>
                <w:szCs w:val="22"/>
                <w:lang w:val="es-ES_tradnl"/>
              </w:rPr>
              <w:t xml:space="preserve"> (AST)</w:t>
            </w:r>
            <w:r w:rsidRPr="005A5612">
              <w:rPr>
                <w:sz w:val="22"/>
                <w:szCs w:val="22"/>
                <w:lang w:val="es-ES_tradnl"/>
              </w:rPr>
              <w:t xml:space="preserve"> se normalicen.</w:t>
            </w:r>
          </w:p>
          <w:p w14:paraId="5CC280F1" w14:textId="77777777" w:rsidR="00834462" w:rsidRPr="005A5612" w:rsidRDefault="00834462" w:rsidP="006616E4">
            <w:pPr>
              <w:pStyle w:val="TextTi12"/>
              <w:keepNext/>
              <w:keepLines/>
              <w:rPr>
                <w:sz w:val="22"/>
                <w:szCs w:val="22"/>
                <w:lang w:val="es-ES"/>
              </w:rPr>
            </w:pPr>
            <w:r w:rsidRPr="005A5612">
              <w:rPr>
                <w:sz w:val="22"/>
                <w:szCs w:val="22"/>
                <w:lang w:val="es-ES"/>
              </w:rPr>
              <w:t>Reestablecer la administración de RoActemra con la inyección semanal o cada dos semanas, según sea clínicamente apropiado.</w:t>
            </w:r>
          </w:p>
        </w:tc>
      </w:tr>
      <w:tr w:rsidR="00834462" w:rsidRPr="00541248" w14:paraId="6B80FD5E" w14:textId="77777777" w:rsidTr="003E3A62">
        <w:tc>
          <w:tcPr>
            <w:tcW w:w="2040" w:type="dxa"/>
          </w:tcPr>
          <w:p w14:paraId="175535A5" w14:textId="7D4050DC" w:rsidR="00834462" w:rsidRPr="005A5612" w:rsidRDefault="0044664D" w:rsidP="006616E4">
            <w:pPr>
              <w:pStyle w:val="TextTi12"/>
              <w:keepNext/>
              <w:keepLines/>
              <w:jc w:val="left"/>
              <w:rPr>
                <w:sz w:val="22"/>
                <w:szCs w:val="22"/>
                <w:lang w:val="es-ES"/>
              </w:rPr>
            </w:pPr>
            <w:r w:rsidRPr="00F30AB8">
              <w:rPr>
                <w:rFonts w:eastAsia="MS Mincho"/>
                <w:szCs w:val="22"/>
                <w:lang w:val="es-ES"/>
              </w:rPr>
              <w:t> </w:t>
            </w:r>
            <w:r>
              <w:rPr>
                <w:rFonts w:eastAsia="MS Mincho"/>
                <w:sz w:val="22"/>
                <w:szCs w:val="22"/>
                <w:lang w:val="en-GB" w:eastAsia="ja-JP"/>
              </w:rPr>
              <w:t>&gt; 3 a</w:t>
            </w:r>
            <w:r w:rsidRPr="00945212">
              <w:rPr>
                <w:rFonts w:eastAsia="MS Mincho"/>
                <w:sz w:val="22"/>
                <w:szCs w:val="22"/>
                <w:lang w:val="en-GB" w:eastAsia="ja-JP"/>
              </w:rPr>
              <w:t xml:space="preserve"> 5 × </w:t>
            </w:r>
            <w:r>
              <w:rPr>
                <w:rFonts w:eastAsia="MS Mincho"/>
                <w:sz w:val="22"/>
                <w:szCs w:val="22"/>
                <w:lang w:val="en-GB" w:eastAsia="ja-JP"/>
              </w:rPr>
              <w:t>LSN</w:t>
            </w:r>
            <w:r w:rsidRPr="005A5612" w:rsidDel="0044664D">
              <w:rPr>
                <w:sz w:val="22"/>
                <w:szCs w:val="22"/>
                <w:lang w:val="es-ES"/>
              </w:rPr>
              <w:t xml:space="preserve"> </w:t>
            </w:r>
          </w:p>
        </w:tc>
        <w:tc>
          <w:tcPr>
            <w:tcW w:w="8040" w:type="dxa"/>
          </w:tcPr>
          <w:p w14:paraId="3AF7C0C6" w14:textId="6819F286" w:rsidR="00834462" w:rsidRPr="005A5612" w:rsidRDefault="00834462" w:rsidP="006616E4">
            <w:pPr>
              <w:keepNext/>
              <w:keepLines/>
              <w:rPr>
                <w:lang w:val="es-ES_tradnl"/>
              </w:rPr>
            </w:pPr>
            <w:r w:rsidRPr="005A5612">
              <w:rPr>
                <w:lang w:val="es-ES_tradnl"/>
              </w:rPr>
              <w:t xml:space="preserve">Debe interrumpirse el tratamiento hasta que los valores sean &lt; 3 </w:t>
            </w:r>
            <w:r w:rsidR="00290A07" w:rsidRPr="00F30AB8">
              <w:rPr>
                <w:rFonts w:eastAsia="MS Mincho"/>
                <w:szCs w:val="22"/>
                <w:lang w:val="es-ES"/>
              </w:rPr>
              <w:t>×</w:t>
            </w:r>
            <w:r w:rsidRPr="005A5612">
              <w:rPr>
                <w:lang w:val="es-ES_tradnl"/>
              </w:rPr>
              <w:t xml:space="preserve"> LSN y seguir las recomendaciones indicadas arriba, para valores &gt; 1 a 3 </w:t>
            </w:r>
            <w:r w:rsidR="00290A07" w:rsidRPr="00F30AB8">
              <w:rPr>
                <w:rFonts w:eastAsia="MS Mincho"/>
                <w:szCs w:val="22"/>
                <w:lang w:val="es-ES"/>
              </w:rPr>
              <w:t>×</w:t>
            </w:r>
            <w:r w:rsidRPr="005A5612">
              <w:rPr>
                <w:lang w:val="es-ES_tradnl"/>
              </w:rPr>
              <w:t xml:space="preserve"> LSN. </w:t>
            </w:r>
          </w:p>
          <w:p w14:paraId="4DAB50DC" w14:textId="77777777" w:rsidR="00834462" w:rsidRPr="005A5612" w:rsidRDefault="00834462" w:rsidP="006616E4">
            <w:pPr>
              <w:keepNext/>
              <w:keepLines/>
              <w:rPr>
                <w:lang w:val="es-ES_tradnl"/>
              </w:rPr>
            </w:pPr>
          </w:p>
          <w:p w14:paraId="4049D519" w14:textId="6F65408F" w:rsidR="00834462" w:rsidRPr="005A5612" w:rsidRDefault="00834462" w:rsidP="006616E4">
            <w:pPr>
              <w:pStyle w:val="TextTi12"/>
              <w:keepNext/>
              <w:keepLines/>
              <w:rPr>
                <w:sz w:val="22"/>
                <w:szCs w:val="22"/>
                <w:lang w:val="es-ES"/>
              </w:rPr>
            </w:pPr>
            <w:r w:rsidRPr="005A5612">
              <w:rPr>
                <w:sz w:val="22"/>
                <w:szCs w:val="22"/>
                <w:lang w:val="es-ES"/>
              </w:rPr>
              <w:t xml:space="preserve">Si continúan los valores &gt; 3 </w:t>
            </w:r>
            <w:r w:rsidR="00290A07" w:rsidRPr="00F30AB8">
              <w:rPr>
                <w:rFonts w:eastAsia="MS Mincho"/>
                <w:sz w:val="22"/>
                <w:szCs w:val="22"/>
                <w:lang w:val="es-ES"/>
              </w:rPr>
              <w:t>×</w:t>
            </w:r>
            <w:r w:rsidRPr="005A5612">
              <w:rPr>
                <w:sz w:val="22"/>
                <w:szCs w:val="22"/>
                <w:lang w:val="es-ES"/>
              </w:rPr>
              <w:t xml:space="preserve"> LSN (confirmado por pruebas repetidas, ver sección</w:t>
            </w:r>
            <w:r w:rsidR="00AA396B">
              <w:rPr>
                <w:sz w:val="22"/>
                <w:szCs w:val="22"/>
                <w:lang w:val="es-ES"/>
              </w:rPr>
              <w:t> </w:t>
            </w:r>
            <w:r w:rsidRPr="005A5612">
              <w:rPr>
                <w:sz w:val="22"/>
                <w:szCs w:val="22"/>
                <w:lang w:val="es-ES"/>
              </w:rPr>
              <w:t>4.4), hay que interrumpir el tratamiento.</w:t>
            </w:r>
          </w:p>
        </w:tc>
      </w:tr>
      <w:tr w:rsidR="00834462" w:rsidRPr="005A5612" w14:paraId="582CE689" w14:textId="77777777" w:rsidTr="003E3A62">
        <w:tc>
          <w:tcPr>
            <w:tcW w:w="2040" w:type="dxa"/>
          </w:tcPr>
          <w:p w14:paraId="4E84DE75" w14:textId="73382AAF" w:rsidR="00834462" w:rsidRPr="005A5612" w:rsidRDefault="0044664D">
            <w:pPr>
              <w:pStyle w:val="TextTi12"/>
              <w:keepNext/>
              <w:keepLines/>
              <w:rPr>
                <w:sz w:val="22"/>
                <w:szCs w:val="22"/>
              </w:rPr>
            </w:pPr>
            <w:r w:rsidRPr="00F30AB8">
              <w:rPr>
                <w:rFonts w:eastAsia="MS Mincho"/>
                <w:sz w:val="22"/>
                <w:szCs w:val="22"/>
                <w:lang w:val="es-ES" w:eastAsia="ja-JP"/>
              </w:rPr>
              <w:t> </w:t>
            </w:r>
            <w:r w:rsidRPr="00945212">
              <w:rPr>
                <w:rFonts w:eastAsia="MS Mincho"/>
                <w:sz w:val="22"/>
                <w:szCs w:val="22"/>
                <w:lang w:val="en-GB" w:eastAsia="ja-JP"/>
              </w:rPr>
              <w:t>&gt; 5 × </w:t>
            </w:r>
            <w:r>
              <w:rPr>
                <w:rFonts w:eastAsia="MS Mincho"/>
                <w:sz w:val="22"/>
                <w:szCs w:val="22"/>
                <w:lang w:val="en-GB" w:eastAsia="ja-JP"/>
              </w:rPr>
              <w:t>LSN</w:t>
            </w:r>
          </w:p>
        </w:tc>
        <w:tc>
          <w:tcPr>
            <w:tcW w:w="8040" w:type="dxa"/>
          </w:tcPr>
          <w:p w14:paraId="5A570A24" w14:textId="4CCA673F" w:rsidR="00834462" w:rsidRPr="005A5612" w:rsidRDefault="00834462" w:rsidP="006616E4">
            <w:pPr>
              <w:pStyle w:val="TextTi12"/>
              <w:keepNext/>
              <w:keepLines/>
              <w:jc w:val="left"/>
              <w:rPr>
                <w:sz w:val="22"/>
                <w:szCs w:val="22"/>
                <w:lang w:val="es-ES"/>
              </w:rPr>
            </w:pPr>
            <w:r w:rsidRPr="005A5612">
              <w:rPr>
                <w:sz w:val="22"/>
                <w:szCs w:val="22"/>
                <w:lang w:val="es-ES"/>
              </w:rPr>
              <w:t>Interrumpir el tratamiento.</w:t>
            </w:r>
          </w:p>
        </w:tc>
      </w:tr>
    </w:tbl>
    <w:p w14:paraId="4D94FF58" w14:textId="77777777" w:rsidR="00834462" w:rsidRPr="008A106B" w:rsidRDefault="00834462" w:rsidP="006616E4">
      <w:pPr>
        <w:keepNext/>
        <w:keepLines/>
        <w:rPr>
          <w:lang w:val="es-ES"/>
        </w:rPr>
      </w:pPr>
    </w:p>
    <w:p w14:paraId="6814AA2F" w14:textId="77777777" w:rsidR="00834462" w:rsidRPr="008A106B" w:rsidRDefault="00834462" w:rsidP="00834462">
      <w:pPr>
        <w:keepNext/>
        <w:keepLines/>
        <w:rPr>
          <w:lang w:val="es-ES"/>
        </w:rPr>
      </w:pPr>
      <w:r w:rsidRPr="008A106B">
        <w:rPr>
          <w:lang w:val="es-ES"/>
        </w:rPr>
        <w:sym w:font="Symbol" w:char="F0B7"/>
      </w:r>
      <w:r w:rsidRPr="008A106B">
        <w:rPr>
          <w:lang w:val="es-ES"/>
        </w:rPr>
        <w:tab/>
        <w:t xml:space="preserve">Bajo Recuento Absoluto de Neutrófilos (RAN) </w:t>
      </w:r>
    </w:p>
    <w:p w14:paraId="7BD1B765" w14:textId="77777777" w:rsidR="00834462" w:rsidRPr="008A106B" w:rsidRDefault="00834462" w:rsidP="00834462">
      <w:pPr>
        <w:keepNext/>
        <w:keepLines/>
        <w:rPr>
          <w:lang w:val="es-ES"/>
        </w:rPr>
      </w:pPr>
    </w:p>
    <w:p w14:paraId="3775943B" w14:textId="535030F3" w:rsidR="00834462" w:rsidRPr="008A106B" w:rsidRDefault="00834462" w:rsidP="00834462">
      <w:pPr>
        <w:keepNext/>
        <w:keepLines/>
        <w:rPr>
          <w:lang w:val="es-ES"/>
        </w:rPr>
      </w:pPr>
      <w:r w:rsidRPr="008A106B">
        <w:rPr>
          <w:lang w:val="es-ES"/>
        </w:rPr>
        <w:t xml:space="preserve">No se recomienda iniciar el tratamiento, en pacientes que no han sido tratados previamente con </w:t>
      </w:r>
      <w:r w:rsidR="005D309C">
        <w:rPr>
          <w:lang w:val="es-ES"/>
        </w:rPr>
        <w:t>tocilizumab</w:t>
      </w:r>
      <w:r w:rsidRPr="008A106B">
        <w:rPr>
          <w:lang w:val="es-ES"/>
        </w:rPr>
        <w:t xml:space="preserve">, si el recuento absoluto de neutrófilos está por debajo de </w:t>
      </w:r>
      <w:r w:rsidRPr="008A106B">
        <w:rPr>
          <w:bCs/>
          <w:lang w:val="es-ES"/>
        </w:rPr>
        <w:t xml:space="preserve">2 </w:t>
      </w:r>
      <w:r w:rsidR="00290A07" w:rsidRPr="00F30AB8">
        <w:rPr>
          <w:rFonts w:eastAsia="MS Mincho"/>
          <w:szCs w:val="22"/>
          <w:lang w:val="es-ES"/>
        </w:rPr>
        <w:t>×</w:t>
      </w:r>
      <w:r w:rsidRPr="008A106B">
        <w:rPr>
          <w:bCs/>
          <w:lang w:val="es-ES"/>
        </w:rPr>
        <w:t xml:space="preserve"> 10</w:t>
      </w:r>
      <w:r w:rsidRPr="008A106B">
        <w:rPr>
          <w:bCs/>
          <w:vertAlign w:val="superscript"/>
          <w:lang w:val="es-ES"/>
        </w:rPr>
        <w:t>9</w:t>
      </w:r>
      <w:r w:rsidRPr="008A106B">
        <w:rPr>
          <w:bCs/>
          <w:lang w:val="es-ES"/>
        </w:rPr>
        <w:t>/l.</w:t>
      </w:r>
    </w:p>
    <w:p w14:paraId="34C45CB2" w14:textId="77777777" w:rsidR="00834462" w:rsidRPr="008A106B" w:rsidRDefault="00834462" w:rsidP="00834462">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4"/>
        <w:gridCol w:w="7087"/>
      </w:tblGrid>
      <w:tr w:rsidR="00834462" w:rsidRPr="005A5612" w14:paraId="108D738A" w14:textId="77777777" w:rsidTr="003E3A62">
        <w:tc>
          <w:tcPr>
            <w:tcW w:w="2040" w:type="dxa"/>
          </w:tcPr>
          <w:p w14:paraId="6C24FA85" w14:textId="098C68F5" w:rsidR="00834462" w:rsidRPr="005A5612" w:rsidRDefault="00834462">
            <w:pPr>
              <w:pStyle w:val="TextTi12"/>
              <w:keepNext/>
              <w:keepLines/>
              <w:jc w:val="center"/>
              <w:rPr>
                <w:sz w:val="22"/>
                <w:szCs w:val="22"/>
                <w:lang w:val="es-ES"/>
              </w:rPr>
            </w:pPr>
            <w:r w:rsidRPr="005A5612">
              <w:rPr>
                <w:sz w:val="22"/>
                <w:szCs w:val="22"/>
                <w:lang w:val="es-ES"/>
              </w:rPr>
              <w:t>Valores de laboratorio</w:t>
            </w:r>
            <w:r w:rsidRPr="005A5612">
              <w:rPr>
                <w:sz w:val="22"/>
                <w:szCs w:val="22"/>
                <w:lang w:val="es-ES"/>
              </w:rPr>
              <w:br/>
              <w:t>(células</w:t>
            </w:r>
            <w:r w:rsidR="003A172F" w:rsidRPr="00F30AB8">
              <w:rPr>
                <w:rFonts w:eastAsia="MS Mincho"/>
                <w:sz w:val="22"/>
                <w:szCs w:val="22"/>
                <w:lang w:val="es-ES" w:eastAsia="ja-JP"/>
              </w:rPr>
              <w:t> × 10</w:t>
            </w:r>
            <w:r w:rsidR="003A172F" w:rsidRPr="00F30AB8">
              <w:rPr>
                <w:rFonts w:eastAsia="MS Mincho"/>
                <w:sz w:val="22"/>
                <w:szCs w:val="22"/>
                <w:vertAlign w:val="superscript"/>
                <w:lang w:val="es-ES" w:eastAsia="ja-JP"/>
              </w:rPr>
              <w:t>9</w:t>
            </w:r>
            <w:r w:rsidR="003A172F" w:rsidRPr="00F30AB8">
              <w:rPr>
                <w:rFonts w:eastAsia="MS Mincho"/>
                <w:sz w:val="22"/>
                <w:szCs w:val="22"/>
                <w:lang w:val="es-ES" w:eastAsia="ja-JP"/>
              </w:rPr>
              <w:t>/l</w:t>
            </w:r>
            <w:r w:rsidRPr="005A5612">
              <w:rPr>
                <w:sz w:val="22"/>
                <w:szCs w:val="22"/>
                <w:lang w:val="es-ES"/>
              </w:rPr>
              <w:t>)</w:t>
            </w:r>
          </w:p>
        </w:tc>
        <w:tc>
          <w:tcPr>
            <w:tcW w:w="8040" w:type="dxa"/>
          </w:tcPr>
          <w:p w14:paraId="61ABA2B2" w14:textId="77777777" w:rsidR="00834462" w:rsidRPr="005A5612" w:rsidRDefault="00834462" w:rsidP="003E3A62">
            <w:pPr>
              <w:pStyle w:val="TextTi12"/>
              <w:keepNext/>
              <w:keepLines/>
              <w:jc w:val="center"/>
              <w:rPr>
                <w:sz w:val="22"/>
                <w:szCs w:val="22"/>
                <w:lang w:val="fr-FR"/>
              </w:rPr>
            </w:pPr>
            <w:r w:rsidRPr="005A5612">
              <w:rPr>
                <w:sz w:val="22"/>
                <w:szCs w:val="22"/>
                <w:lang w:val="fr-FR"/>
              </w:rPr>
              <w:t>Acción</w:t>
            </w:r>
          </w:p>
        </w:tc>
      </w:tr>
      <w:tr w:rsidR="00834462" w:rsidRPr="005A5612" w14:paraId="01C9AEBE" w14:textId="77777777" w:rsidTr="003E3A62">
        <w:tc>
          <w:tcPr>
            <w:tcW w:w="2040" w:type="dxa"/>
          </w:tcPr>
          <w:p w14:paraId="1D9625B0" w14:textId="6AA33CE4" w:rsidR="00834462" w:rsidRPr="005A5612" w:rsidRDefault="003A172F" w:rsidP="003E3A62">
            <w:pPr>
              <w:pStyle w:val="TextTi12"/>
              <w:keepNext/>
              <w:keepLines/>
              <w:rPr>
                <w:sz w:val="22"/>
                <w:szCs w:val="22"/>
                <w:lang w:val="fr-FR"/>
              </w:rPr>
            </w:pPr>
            <w:r>
              <w:rPr>
                <w:rFonts w:eastAsia="MS Mincho"/>
                <w:sz w:val="22"/>
                <w:szCs w:val="22"/>
                <w:lang w:val="en-GB" w:eastAsia="ja-JP"/>
              </w:rPr>
              <w:t>R</w:t>
            </w:r>
            <w:r w:rsidRPr="00945212">
              <w:rPr>
                <w:rFonts w:eastAsia="MS Mincho"/>
                <w:sz w:val="22"/>
                <w:szCs w:val="22"/>
                <w:lang w:val="en-GB" w:eastAsia="ja-JP"/>
              </w:rPr>
              <w:t>AN</w:t>
            </w:r>
            <w:del w:id="777" w:author="AUTHOR">
              <w:r w:rsidRPr="00945212" w:rsidDel="00656295">
                <w:rPr>
                  <w:rFonts w:eastAsia="MS Mincho"/>
                  <w:sz w:val="22"/>
                  <w:szCs w:val="22"/>
                  <w:lang w:val="en-GB" w:eastAsia="ja-JP"/>
                </w:rPr>
                <w:delText>C</w:delText>
              </w:r>
            </w:del>
            <w:r w:rsidRPr="00945212">
              <w:rPr>
                <w:rFonts w:eastAsia="MS Mincho"/>
                <w:sz w:val="22"/>
                <w:szCs w:val="22"/>
                <w:lang w:val="en-GB" w:eastAsia="ja-JP"/>
              </w:rPr>
              <w:t>&gt; 1</w:t>
            </w:r>
          </w:p>
        </w:tc>
        <w:tc>
          <w:tcPr>
            <w:tcW w:w="8040" w:type="dxa"/>
          </w:tcPr>
          <w:p w14:paraId="24309F64" w14:textId="77777777" w:rsidR="00834462" w:rsidRPr="005A5612" w:rsidRDefault="00834462" w:rsidP="003E3A62">
            <w:pPr>
              <w:keepNext/>
              <w:keepLines/>
              <w:rPr>
                <w:lang w:val="es-ES"/>
              </w:rPr>
            </w:pPr>
            <w:r w:rsidRPr="005A5612">
              <w:rPr>
                <w:szCs w:val="22"/>
                <w:lang w:val="es-ES"/>
              </w:rPr>
              <w:t>Mantener la dosis.</w:t>
            </w:r>
          </w:p>
          <w:p w14:paraId="785F799F" w14:textId="77777777" w:rsidR="00834462" w:rsidRPr="005A5612" w:rsidRDefault="00834462" w:rsidP="003E3A62">
            <w:pPr>
              <w:pStyle w:val="TextTi12"/>
              <w:keepNext/>
              <w:keepLines/>
              <w:rPr>
                <w:sz w:val="22"/>
                <w:szCs w:val="22"/>
                <w:lang w:val="es-ES"/>
              </w:rPr>
            </w:pPr>
          </w:p>
        </w:tc>
      </w:tr>
      <w:tr w:rsidR="00834462" w:rsidRPr="00541248" w14:paraId="7F2516B3" w14:textId="77777777" w:rsidTr="003E3A62">
        <w:tc>
          <w:tcPr>
            <w:tcW w:w="2040" w:type="dxa"/>
          </w:tcPr>
          <w:p w14:paraId="31416ABE" w14:textId="1363F862" w:rsidR="00834462" w:rsidRPr="005A5612" w:rsidRDefault="003A172F">
            <w:pPr>
              <w:pStyle w:val="TextTi12"/>
              <w:keepNext/>
              <w:keepLines/>
              <w:rPr>
                <w:sz w:val="22"/>
                <w:szCs w:val="22"/>
                <w:lang w:val="fr-FR"/>
              </w:rPr>
            </w:pPr>
            <w:r>
              <w:rPr>
                <w:rFonts w:eastAsia="MS Mincho"/>
                <w:sz w:val="22"/>
                <w:szCs w:val="22"/>
                <w:lang w:val="en-GB" w:eastAsia="ja-JP"/>
              </w:rPr>
              <w:t>RAN 0,5 a</w:t>
            </w:r>
            <w:r w:rsidRPr="00945212">
              <w:rPr>
                <w:rFonts w:eastAsia="MS Mincho"/>
                <w:sz w:val="22"/>
                <w:szCs w:val="22"/>
                <w:lang w:val="en-GB" w:eastAsia="ja-JP"/>
              </w:rPr>
              <w:t xml:space="preserve"> 1</w:t>
            </w:r>
          </w:p>
        </w:tc>
        <w:tc>
          <w:tcPr>
            <w:tcW w:w="8040" w:type="dxa"/>
          </w:tcPr>
          <w:p w14:paraId="35A8CBF3" w14:textId="4079063C" w:rsidR="00834462" w:rsidRPr="005A5612" w:rsidRDefault="00834462" w:rsidP="003E3A62">
            <w:pPr>
              <w:pStyle w:val="TextTi12"/>
              <w:keepNext/>
              <w:keepLines/>
              <w:rPr>
                <w:sz w:val="22"/>
                <w:szCs w:val="22"/>
                <w:lang w:val="es-ES"/>
              </w:rPr>
            </w:pPr>
            <w:r w:rsidRPr="005A5612">
              <w:rPr>
                <w:sz w:val="22"/>
                <w:szCs w:val="22"/>
                <w:lang w:val="es-ES"/>
              </w:rPr>
              <w:t xml:space="preserve">Interrumpir </w:t>
            </w:r>
            <w:del w:id="778" w:author="AUTHOR">
              <w:r w:rsidRPr="005A5612" w:rsidDel="00656295">
                <w:rPr>
                  <w:sz w:val="22"/>
                  <w:szCs w:val="22"/>
                  <w:lang w:val="es-ES"/>
                </w:rPr>
                <w:delText>el tratamiento con</w:delText>
              </w:r>
            </w:del>
            <w:ins w:id="779" w:author="AUTHOR">
              <w:r w:rsidR="00656295">
                <w:rPr>
                  <w:sz w:val="22"/>
                  <w:szCs w:val="22"/>
                  <w:lang w:val="es-ES"/>
                </w:rPr>
                <w:t>la administración de</w:t>
              </w:r>
            </w:ins>
            <w:r w:rsidRPr="005A5612">
              <w:rPr>
                <w:sz w:val="22"/>
                <w:szCs w:val="22"/>
                <w:lang w:val="es-ES"/>
              </w:rPr>
              <w:t xml:space="preserve"> </w:t>
            </w:r>
            <w:r w:rsidR="005D309C">
              <w:rPr>
                <w:sz w:val="22"/>
                <w:szCs w:val="22"/>
                <w:lang w:val="es-ES"/>
              </w:rPr>
              <w:t>tocilizumab</w:t>
            </w:r>
            <w:r w:rsidRPr="005A5612">
              <w:rPr>
                <w:sz w:val="22"/>
                <w:szCs w:val="22"/>
                <w:lang w:val="es-ES"/>
              </w:rPr>
              <w:t>.</w:t>
            </w:r>
          </w:p>
          <w:p w14:paraId="27A4FA5A" w14:textId="258C2427" w:rsidR="00834462" w:rsidRPr="005A5612" w:rsidRDefault="00834462">
            <w:pPr>
              <w:pStyle w:val="TextTi12"/>
              <w:keepNext/>
              <w:keepLines/>
              <w:rPr>
                <w:sz w:val="22"/>
                <w:szCs w:val="22"/>
                <w:lang w:val="es-ES"/>
              </w:rPr>
            </w:pPr>
            <w:r w:rsidRPr="005A5612">
              <w:rPr>
                <w:sz w:val="22"/>
                <w:szCs w:val="22"/>
                <w:lang w:val="es-ES"/>
              </w:rPr>
              <w:t xml:space="preserve">Cuando el RAN aumente </w:t>
            </w:r>
            <w:r w:rsidR="003A172F" w:rsidRPr="00F30AB8">
              <w:rPr>
                <w:rFonts w:eastAsia="MS Mincho"/>
                <w:sz w:val="22"/>
                <w:szCs w:val="22"/>
                <w:lang w:val="es-ES" w:eastAsia="ja-JP"/>
              </w:rPr>
              <w:t> &gt; 1 × 10</w:t>
            </w:r>
            <w:r w:rsidR="003A172F" w:rsidRPr="00F30AB8">
              <w:rPr>
                <w:rFonts w:eastAsia="MS Mincho"/>
                <w:sz w:val="22"/>
                <w:szCs w:val="22"/>
                <w:vertAlign w:val="superscript"/>
                <w:lang w:val="es-ES" w:eastAsia="ja-JP"/>
              </w:rPr>
              <w:t>9</w:t>
            </w:r>
            <w:r w:rsidR="003A172F" w:rsidRPr="00F30AB8">
              <w:rPr>
                <w:rFonts w:eastAsia="MS Mincho"/>
                <w:sz w:val="22"/>
                <w:szCs w:val="22"/>
                <w:lang w:val="es-ES" w:eastAsia="ja-JP"/>
              </w:rPr>
              <w:t>/</w:t>
            </w:r>
            <w:r w:rsidR="003A172F">
              <w:rPr>
                <w:rFonts w:eastAsia="MS Mincho"/>
                <w:sz w:val="22"/>
                <w:szCs w:val="22"/>
                <w:lang w:val="es-ES" w:eastAsia="ja-JP"/>
              </w:rPr>
              <w:t>l</w:t>
            </w:r>
            <w:r w:rsidR="003A172F" w:rsidRPr="00F30AB8">
              <w:rPr>
                <w:rFonts w:eastAsia="MS Mincho"/>
                <w:sz w:val="22"/>
                <w:szCs w:val="22"/>
                <w:lang w:val="es-ES" w:eastAsia="ja-JP"/>
              </w:rPr>
              <w:t xml:space="preserve"> </w:t>
            </w:r>
            <w:r w:rsidRPr="005A5612">
              <w:rPr>
                <w:sz w:val="22"/>
                <w:szCs w:val="22"/>
                <w:lang w:val="es-ES"/>
              </w:rPr>
              <w:t xml:space="preserve"> reestablecer el tratamiento  administrando una inyección cada dos semanas y aumentarlo a una inyección por semana, si es clínicamente apropiado.</w:t>
            </w:r>
          </w:p>
        </w:tc>
      </w:tr>
      <w:tr w:rsidR="00834462" w:rsidRPr="005A5612" w14:paraId="1D8A7E05" w14:textId="77777777" w:rsidTr="003E3A62">
        <w:tc>
          <w:tcPr>
            <w:tcW w:w="2040" w:type="dxa"/>
          </w:tcPr>
          <w:p w14:paraId="4CE4C038" w14:textId="0C53BD05" w:rsidR="00834462" w:rsidRPr="005A5612" w:rsidRDefault="003A172F" w:rsidP="00DE55C8">
            <w:pPr>
              <w:pStyle w:val="TextTi12"/>
              <w:rPr>
                <w:sz w:val="22"/>
                <w:szCs w:val="22"/>
              </w:rPr>
            </w:pPr>
            <w:r>
              <w:rPr>
                <w:rFonts w:eastAsia="MS Mincho"/>
                <w:sz w:val="22"/>
                <w:szCs w:val="22"/>
                <w:lang w:val="en-GB" w:eastAsia="ja-JP"/>
              </w:rPr>
              <w:t>RAN</w:t>
            </w:r>
            <w:r w:rsidRPr="00945212">
              <w:rPr>
                <w:rFonts w:eastAsia="MS Mincho"/>
                <w:sz w:val="22"/>
                <w:szCs w:val="22"/>
                <w:lang w:val="en-GB" w:eastAsia="ja-JP"/>
              </w:rPr>
              <w:t> </w:t>
            </w:r>
            <w:r>
              <w:rPr>
                <w:rFonts w:eastAsia="MS Mincho"/>
                <w:sz w:val="22"/>
                <w:szCs w:val="22"/>
                <w:lang w:val="en-GB" w:eastAsia="ja-JP"/>
              </w:rPr>
              <w:t>&lt; 0,</w:t>
            </w:r>
            <w:r w:rsidRPr="00945212">
              <w:rPr>
                <w:rFonts w:eastAsia="MS Mincho"/>
                <w:sz w:val="22"/>
                <w:szCs w:val="22"/>
                <w:lang w:val="en-GB" w:eastAsia="ja-JP"/>
              </w:rPr>
              <w:t>5</w:t>
            </w:r>
          </w:p>
        </w:tc>
        <w:tc>
          <w:tcPr>
            <w:tcW w:w="8040" w:type="dxa"/>
          </w:tcPr>
          <w:p w14:paraId="7EAF1375" w14:textId="03871BEC" w:rsidR="00834462" w:rsidRPr="005A5612" w:rsidRDefault="00834462" w:rsidP="003E3A62">
            <w:pPr>
              <w:pStyle w:val="TextTi12"/>
              <w:rPr>
                <w:sz w:val="22"/>
                <w:szCs w:val="22"/>
                <w:lang w:val="es-ES"/>
              </w:rPr>
            </w:pPr>
            <w:r w:rsidRPr="005A5612">
              <w:rPr>
                <w:sz w:val="22"/>
                <w:szCs w:val="22"/>
                <w:lang w:val="es-ES"/>
              </w:rPr>
              <w:t>Interrumpir el tratamiento.</w:t>
            </w:r>
          </w:p>
        </w:tc>
      </w:tr>
    </w:tbl>
    <w:p w14:paraId="65114BDF" w14:textId="77777777" w:rsidR="00834462" w:rsidRPr="008A106B" w:rsidRDefault="00834462" w:rsidP="00834462">
      <w:pPr>
        <w:rPr>
          <w:lang w:val="es-ES"/>
        </w:rPr>
      </w:pPr>
    </w:p>
    <w:p w14:paraId="6398A3D8" w14:textId="77777777" w:rsidR="00834462" w:rsidRPr="008A106B" w:rsidRDefault="00834462" w:rsidP="00A06E43">
      <w:pPr>
        <w:keepNext/>
        <w:rPr>
          <w:lang w:val="es-ES"/>
        </w:rPr>
      </w:pPr>
      <w:r w:rsidRPr="008A106B">
        <w:rPr>
          <w:lang w:val="es-ES"/>
        </w:rPr>
        <w:lastRenderedPageBreak/>
        <w:sym w:font="Symbol" w:char="F0B7"/>
      </w:r>
      <w:r w:rsidRPr="008A106B">
        <w:rPr>
          <w:lang w:val="es-ES"/>
        </w:rPr>
        <w:tab/>
        <w:t>Bajo recuento de plaquetas</w:t>
      </w:r>
    </w:p>
    <w:p w14:paraId="71D27CA4" w14:textId="77777777" w:rsidR="00834462" w:rsidRPr="008A106B" w:rsidRDefault="00834462" w:rsidP="00817DCE">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9"/>
        <w:gridCol w:w="7072"/>
      </w:tblGrid>
      <w:tr w:rsidR="00834462" w:rsidRPr="005A5612" w14:paraId="336BE43D" w14:textId="77777777" w:rsidTr="003E3A62">
        <w:tc>
          <w:tcPr>
            <w:tcW w:w="2040" w:type="dxa"/>
          </w:tcPr>
          <w:p w14:paraId="3304A45A" w14:textId="5A90FADF" w:rsidR="00834462" w:rsidRPr="005A5612" w:rsidRDefault="00834462">
            <w:pPr>
              <w:pStyle w:val="TextTi12"/>
              <w:keepNext/>
              <w:jc w:val="left"/>
              <w:rPr>
                <w:sz w:val="22"/>
                <w:szCs w:val="22"/>
                <w:lang w:val="es-ES"/>
              </w:rPr>
            </w:pPr>
            <w:r w:rsidRPr="005A5612">
              <w:rPr>
                <w:sz w:val="22"/>
                <w:szCs w:val="22"/>
                <w:lang w:val="es-ES"/>
              </w:rPr>
              <w:t>Valores de laboratorio</w:t>
            </w:r>
            <w:r w:rsidRPr="005A5612">
              <w:rPr>
                <w:sz w:val="22"/>
                <w:szCs w:val="22"/>
                <w:lang w:val="es-ES"/>
              </w:rPr>
              <w:br/>
              <w:t>(células</w:t>
            </w:r>
            <w:r w:rsidR="003A172F" w:rsidRPr="00F30AB8">
              <w:rPr>
                <w:rFonts w:eastAsia="MS Mincho"/>
                <w:sz w:val="22"/>
                <w:szCs w:val="22"/>
                <w:lang w:val="es-ES" w:eastAsia="ja-JP"/>
              </w:rPr>
              <w:t> × 10</w:t>
            </w:r>
            <w:r w:rsidR="003A172F" w:rsidRPr="00F30AB8">
              <w:rPr>
                <w:rFonts w:eastAsia="MS Mincho"/>
                <w:sz w:val="22"/>
                <w:szCs w:val="22"/>
                <w:vertAlign w:val="superscript"/>
                <w:lang w:val="es-ES" w:eastAsia="ja-JP"/>
              </w:rPr>
              <w:t>3</w:t>
            </w:r>
            <w:r w:rsidR="003A172F" w:rsidRPr="00F30AB8">
              <w:rPr>
                <w:rFonts w:eastAsia="MS Mincho"/>
                <w:sz w:val="22"/>
                <w:szCs w:val="22"/>
                <w:lang w:val="es-ES" w:eastAsia="ja-JP"/>
              </w:rPr>
              <w:t>/µl</w:t>
            </w:r>
            <w:r w:rsidRPr="005A5612">
              <w:rPr>
                <w:sz w:val="22"/>
                <w:szCs w:val="22"/>
                <w:lang w:val="es-ES"/>
              </w:rPr>
              <w:t>)</w:t>
            </w:r>
          </w:p>
        </w:tc>
        <w:tc>
          <w:tcPr>
            <w:tcW w:w="8040" w:type="dxa"/>
          </w:tcPr>
          <w:p w14:paraId="5421E570" w14:textId="77777777" w:rsidR="00834462" w:rsidRPr="005A5612" w:rsidRDefault="00834462" w:rsidP="00817DCE">
            <w:pPr>
              <w:pStyle w:val="TextTi12"/>
              <w:keepNext/>
              <w:jc w:val="center"/>
              <w:rPr>
                <w:sz w:val="22"/>
                <w:szCs w:val="22"/>
                <w:lang w:val="fr-FR"/>
              </w:rPr>
            </w:pPr>
            <w:r w:rsidRPr="005A5612">
              <w:rPr>
                <w:sz w:val="22"/>
                <w:szCs w:val="22"/>
                <w:lang w:val="fr-FR"/>
              </w:rPr>
              <w:t>Acción</w:t>
            </w:r>
          </w:p>
        </w:tc>
      </w:tr>
      <w:tr w:rsidR="00834462" w:rsidRPr="00541248" w14:paraId="1FF2EC33" w14:textId="77777777" w:rsidTr="003E3A62">
        <w:tc>
          <w:tcPr>
            <w:tcW w:w="2040" w:type="dxa"/>
          </w:tcPr>
          <w:p w14:paraId="4D1FB6E0" w14:textId="77777777" w:rsidR="00834462" w:rsidRPr="005A5612" w:rsidRDefault="00834462" w:rsidP="00817DCE">
            <w:pPr>
              <w:pStyle w:val="TextTi12"/>
              <w:keepNext/>
              <w:rPr>
                <w:sz w:val="22"/>
                <w:szCs w:val="22"/>
                <w:lang w:val="fr-FR"/>
              </w:rPr>
            </w:pPr>
            <w:r w:rsidRPr="005A5612">
              <w:rPr>
                <w:sz w:val="22"/>
                <w:szCs w:val="22"/>
                <w:lang w:val="fr-FR"/>
              </w:rPr>
              <w:t>50 a 100</w:t>
            </w:r>
          </w:p>
        </w:tc>
        <w:tc>
          <w:tcPr>
            <w:tcW w:w="8040" w:type="dxa"/>
          </w:tcPr>
          <w:p w14:paraId="54B78A7D" w14:textId="75D99DE7" w:rsidR="00834462" w:rsidRPr="005A5612" w:rsidRDefault="00834462" w:rsidP="00817DCE">
            <w:pPr>
              <w:pStyle w:val="TextTi12"/>
              <w:keepNext/>
              <w:rPr>
                <w:sz w:val="22"/>
                <w:szCs w:val="22"/>
                <w:lang w:val="es-ES"/>
              </w:rPr>
            </w:pPr>
            <w:r w:rsidRPr="005A5612">
              <w:rPr>
                <w:sz w:val="22"/>
                <w:szCs w:val="22"/>
                <w:lang w:val="es-ES"/>
              </w:rPr>
              <w:t xml:space="preserve">Interrumpir </w:t>
            </w:r>
            <w:del w:id="780" w:author="AUTHOR">
              <w:r w:rsidRPr="005A5612" w:rsidDel="00656295">
                <w:rPr>
                  <w:sz w:val="22"/>
                  <w:szCs w:val="22"/>
                  <w:lang w:val="es-ES"/>
                </w:rPr>
                <w:delText>el tratamiento</w:delText>
              </w:r>
            </w:del>
            <w:ins w:id="781" w:author="AUTHOR">
              <w:r w:rsidR="00656295">
                <w:rPr>
                  <w:sz w:val="22"/>
                  <w:szCs w:val="22"/>
                  <w:lang w:val="es-ES"/>
                </w:rPr>
                <w:t>la administración de tocilizumab</w:t>
              </w:r>
            </w:ins>
            <w:r w:rsidR="00876C53">
              <w:rPr>
                <w:sz w:val="22"/>
                <w:szCs w:val="22"/>
                <w:lang w:val="es-ES"/>
              </w:rPr>
              <w:t>.</w:t>
            </w:r>
            <w:r w:rsidRPr="005A5612">
              <w:rPr>
                <w:sz w:val="22"/>
                <w:szCs w:val="22"/>
                <w:lang w:val="es-ES"/>
              </w:rPr>
              <w:t xml:space="preserve"> </w:t>
            </w:r>
          </w:p>
          <w:p w14:paraId="2048B275" w14:textId="7DC31B5D" w:rsidR="00834462" w:rsidRPr="005A5612" w:rsidRDefault="00834462">
            <w:pPr>
              <w:pStyle w:val="TextTi12"/>
              <w:keepNext/>
              <w:rPr>
                <w:sz w:val="22"/>
                <w:szCs w:val="22"/>
                <w:lang w:val="es-ES"/>
              </w:rPr>
            </w:pPr>
            <w:r w:rsidRPr="005A5612">
              <w:rPr>
                <w:sz w:val="22"/>
                <w:szCs w:val="22"/>
                <w:lang w:val="es-ES"/>
              </w:rPr>
              <w:t xml:space="preserve">Cuando el recuento de </w:t>
            </w:r>
            <w:proofErr w:type="gramStart"/>
            <w:r w:rsidRPr="005A5612">
              <w:rPr>
                <w:sz w:val="22"/>
                <w:szCs w:val="22"/>
                <w:lang w:val="es-ES"/>
              </w:rPr>
              <w:t xml:space="preserve">plaquetas </w:t>
            </w:r>
            <w:r w:rsidR="003A172F" w:rsidRPr="00F30AB8">
              <w:rPr>
                <w:rFonts w:eastAsia="MS Mincho"/>
                <w:sz w:val="22"/>
                <w:szCs w:val="22"/>
                <w:lang w:val="es-ES" w:eastAsia="ja-JP"/>
              </w:rPr>
              <w:t> &gt;</w:t>
            </w:r>
            <w:proofErr w:type="gramEnd"/>
            <w:r w:rsidR="003A172F" w:rsidRPr="00F30AB8">
              <w:rPr>
                <w:rFonts w:eastAsia="MS Mincho"/>
                <w:sz w:val="22"/>
                <w:szCs w:val="22"/>
                <w:lang w:val="es-ES" w:eastAsia="ja-JP"/>
              </w:rPr>
              <w:t> 100 × 10</w:t>
            </w:r>
            <w:r w:rsidR="003A172F" w:rsidRPr="00F30AB8">
              <w:rPr>
                <w:rFonts w:eastAsia="MS Mincho"/>
                <w:sz w:val="22"/>
                <w:szCs w:val="22"/>
                <w:vertAlign w:val="superscript"/>
                <w:lang w:val="es-ES" w:eastAsia="ja-JP"/>
              </w:rPr>
              <w:t>3</w:t>
            </w:r>
            <w:r w:rsidR="003A172F" w:rsidRPr="00F30AB8">
              <w:rPr>
                <w:rFonts w:eastAsia="MS Mincho"/>
                <w:sz w:val="22"/>
                <w:szCs w:val="22"/>
                <w:lang w:val="es-ES" w:eastAsia="ja-JP"/>
              </w:rPr>
              <w:t xml:space="preserve">/µl </w:t>
            </w:r>
            <w:r w:rsidRPr="005A5612">
              <w:rPr>
                <w:sz w:val="22"/>
                <w:szCs w:val="22"/>
                <w:lang w:val="es-ES"/>
              </w:rPr>
              <w:t xml:space="preserve"> reestablecer el tratamiento administrando una inyección cada dos semanas y aumentarlo a una inyección por semana, si es clínicamente apropiado. </w:t>
            </w:r>
          </w:p>
        </w:tc>
      </w:tr>
      <w:tr w:rsidR="00834462" w:rsidRPr="005A5612" w14:paraId="1D36D256" w14:textId="77777777" w:rsidTr="003E3A62">
        <w:tc>
          <w:tcPr>
            <w:tcW w:w="2040" w:type="dxa"/>
          </w:tcPr>
          <w:p w14:paraId="455C351F" w14:textId="40FDBE50" w:rsidR="00834462" w:rsidRPr="006868F5" w:rsidRDefault="003A172F" w:rsidP="003E3A62">
            <w:pPr>
              <w:pStyle w:val="TextTi12"/>
              <w:rPr>
                <w:sz w:val="22"/>
                <w:szCs w:val="22"/>
                <w:lang w:val="es-ES"/>
              </w:rPr>
            </w:pPr>
            <w:r w:rsidRPr="00F30AB8">
              <w:rPr>
                <w:rFonts w:eastAsia="MS Mincho"/>
                <w:sz w:val="22"/>
                <w:szCs w:val="22"/>
                <w:lang w:val="es-ES" w:eastAsia="ja-JP"/>
              </w:rPr>
              <w:t> </w:t>
            </w:r>
            <w:r w:rsidRPr="00945212">
              <w:rPr>
                <w:rFonts w:eastAsia="MS Mincho"/>
                <w:sz w:val="22"/>
                <w:szCs w:val="22"/>
                <w:lang w:val="en-GB" w:eastAsia="ja-JP"/>
              </w:rPr>
              <w:t>&lt; 50</w:t>
            </w:r>
          </w:p>
        </w:tc>
        <w:tc>
          <w:tcPr>
            <w:tcW w:w="8040" w:type="dxa"/>
          </w:tcPr>
          <w:p w14:paraId="7D6EC2DF" w14:textId="617AE2E5" w:rsidR="00834462" w:rsidRPr="005A5612" w:rsidRDefault="00834462" w:rsidP="003E3A62">
            <w:pPr>
              <w:pStyle w:val="TextTi12"/>
              <w:rPr>
                <w:sz w:val="22"/>
                <w:szCs w:val="22"/>
                <w:lang w:val="es-ES"/>
              </w:rPr>
            </w:pPr>
            <w:r w:rsidRPr="005A5612">
              <w:rPr>
                <w:sz w:val="22"/>
                <w:szCs w:val="22"/>
                <w:lang w:val="es-ES"/>
              </w:rPr>
              <w:t xml:space="preserve">Interrumpir el tratamiento. </w:t>
            </w:r>
          </w:p>
        </w:tc>
      </w:tr>
    </w:tbl>
    <w:p w14:paraId="5B2FE151" w14:textId="77777777" w:rsidR="00834462" w:rsidRDefault="00834462" w:rsidP="00834462">
      <w:pPr>
        <w:rPr>
          <w:u w:val="single"/>
          <w:lang w:val="es-ES"/>
        </w:rPr>
      </w:pPr>
    </w:p>
    <w:p w14:paraId="56E3C37B" w14:textId="31C5F123" w:rsidR="00C8163B" w:rsidRPr="00467FFD" w:rsidRDefault="000C7D20" w:rsidP="00834462">
      <w:pPr>
        <w:rPr>
          <w:i/>
          <w:iCs/>
          <w:u w:val="single"/>
          <w:lang w:val="es-ES"/>
          <w:rPrChange w:id="782" w:author="AUTHOR">
            <w:rPr>
              <w:u w:val="single"/>
              <w:lang w:val="es-ES"/>
            </w:rPr>
          </w:rPrChange>
        </w:rPr>
      </w:pPr>
      <w:ins w:id="783" w:author="AUTHOR">
        <w:r w:rsidRPr="00467FFD">
          <w:rPr>
            <w:i/>
            <w:iCs/>
            <w:lang w:val="es-ES"/>
            <w:rPrChange w:id="784" w:author="AUTHOR">
              <w:rPr>
                <w:lang w:val="es-ES"/>
              </w:rPr>
            </w:rPrChange>
          </w:rPr>
          <w:t xml:space="preserve">Pacientes con </w:t>
        </w:r>
      </w:ins>
      <w:r w:rsidR="00C8163B" w:rsidRPr="00467FFD">
        <w:rPr>
          <w:i/>
          <w:iCs/>
          <w:lang w:val="es-ES"/>
          <w:rPrChange w:id="785" w:author="AUTHOR">
            <w:rPr>
              <w:lang w:val="es-ES"/>
            </w:rPr>
          </w:rPrChange>
        </w:rPr>
        <w:t>AR y ACG</w:t>
      </w:r>
    </w:p>
    <w:p w14:paraId="7ACF2477" w14:textId="77777777" w:rsidR="00834462" w:rsidRPr="00F30AB8" w:rsidRDefault="00834462" w:rsidP="00834462">
      <w:pPr>
        <w:rPr>
          <w:i/>
          <w:u w:val="single"/>
          <w:lang w:val="es-ES"/>
        </w:rPr>
      </w:pPr>
      <w:r w:rsidRPr="00F30AB8">
        <w:rPr>
          <w:i/>
          <w:u w:val="single"/>
          <w:lang w:val="es-ES"/>
        </w:rPr>
        <w:t>Omisión de dosis</w:t>
      </w:r>
    </w:p>
    <w:p w14:paraId="77B6E0D0" w14:textId="6F26E5CE" w:rsidR="00CA1B1E" w:rsidRPr="00FF1EDA" w:rsidRDefault="00CA1B1E" w:rsidP="00CA1B1E">
      <w:pPr>
        <w:rPr>
          <w:lang w:val="es-ES"/>
        </w:rPr>
      </w:pPr>
      <w:r>
        <w:rPr>
          <w:lang w:val="es-ES"/>
        </w:rPr>
        <w:t xml:space="preserve">Si un paciente no se administra la inyección de </w:t>
      </w:r>
      <w:r w:rsidR="005D309C">
        <w:rPr>
          <w:lang w:val="es-ES"/>
        </w:rPr>
        <w:t xml:space="preserve">tocilizumab </w:t>
      </w:r>
      <w:r>
        <w:rPr>
          <w:lang w:val="es-ES"/>
        </w:rPr>
        <w:t>subcutáneo semanal</w:t>
      </w:r>
      <w:r w:rsidR="00F97391">
        <w:rPr>
          <w:lang w:val="es-ES"/>
        </w:rPr>
        <w:t xml:space="preserve"> </w:t>
      </w:r>
      <w:r>
        <w:rPr>
          <w:lang w:val="es-ES"/>
        </w:rPr>
        <w:t>dentro de los 7</w:t>
      </w:r>
      <w:r w:rsidR="00290A07">
        <w:rPr>
          <w:lang w:val="es-ES"/>
        </w:rPr>
        <w:t> </w:t>
      </w:r>
      <w:r>
        <w:rPr>
          <w:lang w:val="es-ES"/>
        </w:rPr>
        <w:t xml:space="preserve">días de la dosis programada, </w:t>
      </w:r>
      <w:r w:rsidR="000F0B01">
        <w:rPr>
          <w:lang w:val="es-ES"/>
        </w:rPr>
        <w:t>se debe indicar al paciente que se debe</w:t>
      </w:r>
      <w:r>
        <w:rPr>
          <w:lang w:val="es-ES"/>
        </w:rPr>
        <w:t xml:space="preserve"> administrar la dosis olvidada en el siguiente día programado</w:t>
      </w:r>
      <w:r w:rsidR="00C5327A">
        <w:rPr>
          <w:lang w:val="es-ES"/>
        </w:rPr>
        <w:t>.</w:t>
      </w:r>
      <w:r w:rsidRPr="00FF1EDA">
        <w:rPr>
          <w:color w:val="FFFF00"/>
          <w:lang w:val="es-ES"/>
        </w:rPr>
        <w:t xml:space="preserve"> </w:t>
      </w:r>
      <w:r w:rsidRPr="00CA1B1E">
        <w:rPr>
          <w:lang w:val="es-ES"/>
        </w:rPr>
        <w:t xml:space="preserve">Si un paciente que se administra </w:t>
      </w:r>
      <w:r w:rsidR="005D309C">
        <w:rPr>
          <w:lang w:val="es-ES"/>
        </w:rPr>
        <w:t>tocilizumab</w:t>
      </w:r>
      <w:r w:rsidR="005D309C" w:rsidRPr="00CA1B1E">
        <w:rPr>
          <w:lang w:val="es-ES"/>
        </w:rPr>
        <w:t xml:space="preserve"> </w:t>
      </w:r>
      <w:r w:rsidRPr="00CA1B1E">
        <w:rPr>
          <w:lang w:val="es-ES"/>
        </w:rPr>
        <w:t>subcutáneo cada dos semanas olvida la inyección subcutánea dentro de los 7</w:t>
      </w:r>
      <w:r w:rsidR="005D309C">
        <w:rPr>
          <w:lang w:val="es-ES"/>
        </w:rPr>
        <w:t> </w:t>
      </w:r>
      <w:r w:rsidRPr="00CA1B1E">
        <w:rPr>
          <w:lang w:val="es-ES"/>
        </w:rPr>
        <w:t>días de la dosis programada, él /ella deberá ser instruido para administrarse la dosis olvidada inmediatamente y la siguiente dosis en el siguiente día programado.</w:t>
      </w:r>
    </w:p>
    <w:p w14:paraId="3DDB87DE" w14:textId="77777777" w:rsidR="00834462" w:rsidRPr="00286CDE" w:rsidRDefault="00834462" w:rsidP="00834462">
      <w:pPr>
        <w:rPr>
          <w:lang w:val="es-ES"/>
        </w:rPr>
      </w:pPr>
    </w:p>
    <w:p w14:paraId="29F836AD" w14:textId="77777777" w:rsidR="00834462" w:rsidRPr="008A106B" w:rsidRDefault="00834462" w:rsidP="00834462">
      <w:pPr>
        <w:keepNext/>
        <w:ind w:left="567" w:hanging="567"/>
        <w:rPr>
          <w:iCs/>
          <w:noProof/>
          <w:u w:val="single"/>
          <w:lang w:val="es-ES"/>
        </w:rPr>
      </w:pPr>
      <w:r w:rsidRPr="008A106B">
        <w:rPr>
          <w:iCs/>
          <w:u w:val="single"/>
          <w:lang w:val="es-ES_tradnl"/>
        </w:rPr>
        <w:t>Poblaciones especiales</w:t>
      </w:r>
    </w:p>
    <w:p w14:paraId="32565B52" w14:textId="77777777" w:rsidR="00834462" w:rsidRPr="008A106B" w:rsidRDefault="00834462" w:rsidP="00834462">
      <w:pPr>
        <w:rPr>
          <w:iCs/>
          <w:lang w:val="es-ES"/>
        </w:rPr>
      </w:pPr>
    </w:p>
    <w:p w14:paraId="35FA35C7" w14:textId="77777777" w:rsidR="00834462" w:rsidRDefault="00834462" w:rsidP="00834462">
      <w:pPr>
        <w:rPr>
          <w:i/>
          <w:iCs/>
          <w:lang w:val="es-ES_tradnl"/>
        </w:rPr>
      </w:pPr>
      <w:r w:rsidRPr="008A106B">
        <w:rPr>
          <w:i/>
          <w:iCs/>
          <w:lang w:val="es-ES_tradnl"/>
        </w:rPr>
        <w:t xml:space="preserve">Pacientes de edad avanzada: </w:t>
      </w:r>
    </w:p>
    <w:p w14:paraId="5AEDD6BA" w14:textId="52CD574F" w:rsidR="00834462" w:rsidRPr="008A106B" w:rsidRDefault="00834462" w:rsidP="00834462">
      <w:pPr>
        <w:rPr>
          <w:noProof/>
          <w:lang w:val="es-ES"/>
        </w:rPr>
      </w:pPr>
      <w:r w:rsidRPr="008A106B">
        <w:rPr>
          <w:lang w:val="es-ES_tradnl"/>
        </w:rPr>
        <w:t xml:space="preserve">No se requiere el ajuste de dosis en pacientes </w:t>
      </w:r>
      <w:r w:rsidR="0038472E">
        <w:rPr>
          <w:lang w:val="es-ES_tradnl"/>
        </w:rPr>
        <w:t xml:space="preserve">de edad avanzada </w:t>
      </w:r>
      <w:r w:rsidRPr="008A106B">
        <w:rPr>
          <w:lang w:val="es-ES_tradnl"/>
        </w:rPr>
        <w:t xml:space="preserve">de </w:t>
      </w:r>
      <w:r w:rsidR="0038472E">
        <w:rPr>
          <w:lang w:val="es-ES_tradnl"/>
        </w:rPr>
        <w:t>&gt;</w:t>
      </w:r>
      <w:r w:rsidR="00C42D3A" w:rsidRPr="006868F5">
        <w:rPr>
          <w:szCs w:val="22"/>
          <w:lang w:val="es-ES"/>
        </w:rPr>
        <w:t> </w:t>
      </w:r>
      <w:r w:rsidRPr="008A106B">
        <w:rPr>
          <w:lang w:val="es-ES_tradnl"/>
        </w:rPr>
        <w:t>65</w:t>
      </w:r>
      <w:r w:rsidR="005D309C">
        <w:rPr>
          <w:lang w:val="es-ES_tradnl"/>
        </w:rPr>
        <w:t> </w:t>
      </w:r>
      <w:r w:rsidRPr="008A106B">
        <w:rPr>
          <w:lang w:val="es-ES_tradnl"/>
        </w:rPr>
        <w:t xml:space="preserve">años </w:t>
      </w:r>
      <w:r w:rsidR="00D709C1">
        <w:rPr>
          <w:lang w:val="es-ES_tradnl"/>
        </w:rPr>
        <w:t>de edad</w:t>
      </w:r>
      <w:r w:rsidRPr="008A106B">
        <w:rPr>
          <w:lang w:val="es-ES_tradnl"/>
        </w:rPr>
        <w:t>.</w:t>
      </w:r>
      <w:r w:rsidRPr="008A106B">
        <w:rPr>
          <w:noProof/>
          <w:lang w:val="es-ES"/>
        </w:rPr>
        <w:t xml:space="preserve"> </w:t>
      </w:r>
    </w:p>
    <w:p w14:paraId="715389B0" w14:textId="77777777" w:rsidR="00834462" w:rsidRPr="008A106B" w:rsidRDefault="00834462" w:rsidP="00834462">
      <w:pPr>
        <w:rPr>
          <w:noProof/>
          <w:lang w:val="es-ES"/>
        </w:rPr>
      </w:pPr>
    </w:p>
    <w:p w14:paraId="2CD62943" w14:textId="77777777" w:rsidR="00834462" w:rsidRDefault="00834462" w:rsidP="00834462">
      <w:pPr>
        <w:rPr>
          <w:i/>
          <w:iCs/>
          <w:lang w:val="es-ES_tradnl"/>
        </w:rPr>
      </w:pPr>
      <w:r w:rsidRPr="008A106B">
        <w:rPr>
          <w:i/>
          <w:iCs/>
          <w:lang w:val="es-ES_tradnl"/>
        </w:rPr>
        <w:t xml:space="preserve">Insuficiencia renal: </w:t>
      </w:r>
    </w:p>
    <w:p w14:paraId="2EF9C0CA" w14:textId="25963D50" w:rsidR="00834462" w:rsidRPr="008A106B" w:rsidRDefault="00834462" w:rsidP="00834462">
      <w:pPr>
        <w:rPr>
          <w:noProof/>
          <w:lang w:val="es-ES"/>
        </w:rPr>
      </w:pPr>
      <w:r w:rsidRPr="008A106B">
        <w:rPr>
          <w:lang w:val="es-ES_tradnl"/>
        </w:rPr>
        <w:t>No se requiere ajuste de</w:t>
      </w:r>
      <w:r>
        <w:rPr>
          <w:lang w:val="es-ES_tradnl"/>
        </w:rPr>
        <w:t xml:space="preserve"> </w:t>
      </w:r>
      <w:r w:rsidRPr="008A106B">
        <w:rPr>
          <w:lang w:val="es-ES_tradnl"/>
        </w:rPr>
        <w:t>dosis en pacientes con insuficiencia renal leve</w:t>
      </w:r>
      <w:r w:rsidR="003F5A98">
        <w:rPr>
          <w:lang w:val="es-ES_tradnl"/>
        </w:rPr>
        <w:t xml:space="preserve"> o moderada</w:t>
      </w:r>
      <w:r w:rsidRPr="008A106B">
        <w:rPr>
          <w:lang w:val="es-ES_tradnl"/>
        </w:rPr>
        <w:t xml:space="preserve">. </w:t>
      </w:r>
      <w:r w:rsidR="001F2600">
        <w:rPr>
          <w:lang w:val="es-ES_tradnl"/>
        </w:rPr>
        <w:t>t</w:t>
      </w:r>
      <w:r w:rsidR="005D309C">
        <w:rPr>
          <w:lang w:val="es-ES_tradnl"/>
        </w:rPr>
        <w:t>ocilizumab</w:t>
      </w:r>
      <w:r w:rsidR="005D309C" w:rsidRPr="008A106B">
        <w:rPr>
          <w:lang w:val="es-ES_tradnl"/>
        </w:rPr>
        <w:t xml:space="preserve"> </w:t>
      </w:r>
      <w:r w:rsidRPr="008A106B">
        <w:rPr>
          <w:lang w:val="es-ES_tradnl"/>
        </w:rPr>
        <w:t>no ha sido estudiado en pacientes con insuficiencia renal grave (ver sección</w:t>
      </w:r>
      <w:r w:rsidR="005D309C">
        <w:rPr>
          <w:lang w:val="es-ES_tradnl"/>
        </w:rPr>
        <w:t> </w:t>
      </w:r>
      <w:r w:rsidRPr="008A106B">
        <w:rPr>
          <w:lang w:val="es-ES_tradnl"/>
        </w:rPr>
        <w:t>5.2). La función renal debe ser estrechamente vigilada en estos pacientes.</w:t>
      </w:r>
    </w:p>
    <w:p w14:paraId="3E65C9DE" w14:textId="77777777" w:rsidR="00834462" w:rsidRPr="008A106B" w:rsidRDefault="00834462" w:rsidP="00834462">
      <w:pPr>
        <w:rPr>
          <w:noProof/>
          <w:lang w:val="es-ES"/>
        </w:rPr>
      </w:pPr>
    </w:p>
    <w:p w14:paraId="61FE243C" w14:textId="77777777" w:rsidR="00834462" w:rsidRDefault="00834462" w:rsidP="00834462">
      <w:pPr>
        <w:rPr>
          <w:i/>
          <w:iCs/>
          <w:noProof/>
          <w:lang w:val="es-ES"/>
        </w:rPr>
      </w:pPr>
      <w:r w:rsidRPr="008A106B">
        <w:rPr>
          <w:i/>
          <w:iCs/>
          <w:lang w:val="es-ES_tradnl"/>
        </w:rPr>
        <w:t>Insuficiencia hepática:</w:t>
      </w:r>
      <w:r w:rsidRPr="008A106B">
        <w:rPr>
          <w:i/>
          <w:iCs/>
          <w:noProof/>
          <w:lang w:val="es-ES"/>
        </w:rPr>
        <w:t xml:space="preserve"> </w:t>
      </w:r>
    </w:p>
    <w:p w14:paraId="6DC102C9" w14:textId="0FBADFE9" w:rsidR="00834462" w:rsidRPr="008A106B" w:rsidRDefault="00834462" w:rsidP="00834462">
      <w:pPr>
        <w:rPr>
          <w:lang w:val="es-ES_tradnl"/>
        </w:rPr>
      </w:pPr>
      <w:r w:rsidRPr="008A106B">
        <w:rPr>
          <w:lang w:val="es-ES_tradnl"/>
        </w:rPr>
        <w:t xml:space="preserve">No se ha estudiado </w:t>
      </w:r>
      <w:r w:rsidR="001F2600">
        <w:rPr>
          <w:lang w:val="es-ES_tradnl"/>
        </w:rPr>
        <w:t>t</w:t>
      </w:r>
      <w:r w:rsidR="00290A07">
        <w:rPr>
          <w:lang w:val="es-ES_tradnl"/>
        </w:rPr>
        <w:t>ocilizumab</w:t>
      </w:r>
      <w:r w:rsidR="00290A07" w:rsidRPr="008A106B">
        <w:rPr>
          <w:lang w:val="es-ES_tradnl"/>
        </w:rPr>
        <w:t xml:space="preserve"> </w:t>
      </w:r>
      <w:r w:rsidRPr="008A106B">
        <w:rPr>
          <w:lang w:val="es-ES_tradnl"/>
        </w:rPr>
        <w:t>en pacientes con insuficiencia hepática.</w:t>
      </w:r>
      <w:r w:rsidRPr="008A106B">
        <w:rPr>
          <w:lang w:val="es-ES"/>
        </w:rPr>
        <w:t xml:space="preserve"> </w:t>
      </w:r>
      <w:r w:rsidRPr="008A106B">
        <w:rPr>
          <w:lang w:val="es-ES_tradnl"/>
        </w:rPr>
        <w:t>Por tanto, no pueden hacerse recomendaciones sobre la dosis.</w:t>
      </w:r>
    </w:p>
    <w:p w14:paraId="2094D5ED" w14:textId="77777777" w:rsidR="00834462" w:rsidRDefault="00834462" w:rsidP="00834462">
      <w:pPr>
        <w:rPr>
          <w:lang w:val="es-ES_tradnl"/>
        </w:rPr>
      </w:pPr>
    </w:p>
    <w:p w14:paraId="08DFB726" w14:textId="77777777" w:rsidR="00834462" w:rsidRPr="00494459" w:rsidRDefault="00834462" w:rsidP="006868F5">
      <w:pPr>
        <w:keepNext/>
        <w:rPr>
          <w:i/>
          <w:lang w:val="es-ES_tradnl"/>
        </w:rPr>
      </w:pPr>
      <w:r w:rsidRPr="00494459">
        <w:rPr>
          <w:i/>
          <w:lang w:val="es-ES_tradnl"/>
        </w:rPr>
        <w:t>Población Pediátrica</w:t>
      </w:r>
    </w:p>
    <w:p w14:paraId="0981DC50" w14:textId="0F2CA9D1" w:rsidR="00834462" w:rsidRDefault="00834462" w:rsidP="00834462">
      <w:pPr>
        <w:rPr>
          <w:lang w:val="es-ES_tradnl"/>
        </w:rPr>
      </w:pPr>
      <w:r>
        <w:rPr>
          <w:lang w:val="es-ES_tradnl"/>
        </w:rPr>
        <w:t xml:space="preserve">No se ha establecido la seguridad y la eficacia de la formulación subcutánea de </w:t>
      </w:r>
      <w:r w:rsidR="005D309C">
        <w:rPr>
          <w:lang w:val="es-ES_tradnl"/>
        </w:rPr>
        <w:t xml:space="preserve">tocilizumab </w:t>
      </w:r>
      <w:r>
        <w:rPr>
          <w:lang w:val="es-ES_tradnl"/>
        </w:rPr>
        <w:t xml:space="preserve">en niños desde el nacimiento hasta los menores de </w:t>
      </w:r>
      <w:r w:rsidR="003D3FB4">
        <w:rPr>
          <w:lang w:val="es-ES_tradnl"/>
        </w:rPr>
        <w:t>1</w:t>
      </w:r>
      <w:r w:rsidR="00CD597F">
        <w:rPr>
          <w:lang w:val="es-ES_tradnl"/>
        </w:rPr>
        <w:t xml:space="preserve"> </w:t>
      </w:r>
      <w:r>
        <w:rPr>
          <w:lang w:val="es-ES_tradnl"/>
        </w:rPr>
        <w:t>año</w:t>
      </w:r>
      <w:r w:rsidR="00D709C1">
        <w:rPr>
          <w:lang w:val="es-ES_tradnl"/>
        </w:rPr>
        <w:t xml:space="preserve"> de edad</w:t>
      </w:r>
      <w:r>
        <w:rPr>
          <w:lang w:val="es-ES_tradnl"/>
        </w:rPr>
        <w:t>.</w:t>
      </w:r>
      <w:r w:rsidR="000D6881">
        <w:rPr>
          <w:lang w:val="es-ES_tradnl"/>
        </w:rPr>
        <w:t xml:space="preserve"> </w:t>
      </w:r>
      <w:r w:rsidR="009250E6">
        <w:rPr>
          <w:lang w:val="es-ES_tradnl"/>
        </w:rPr>
        <w:t>No hay datos disponibles</w:t>
      </w:r>
      <w:r>
        <w:rPr>
          <w:lang w:val="es-ES_tradnl"/>
        </w:rPr>
        <w:t>.</w:t>
      </w:r>
    </w:p>
    <w:p w14:paraId="55EDA2AE" w14:textId="77777777" w:rsidR="00C8163B" w:rsidRDefault="00C8163B" w:rsidP="00834462">
      <w:pPr>
        <w:rPr>
          <w:lang w:val="es-ES_tradnl"/>
        </w:rPr>
      </w:pPr>
    </w:p>
    <w:p w14:paraId="1886E134" w14:textId="77777777" w:rsidR="00C8163B" w:rsidRDefault="00C8163B" w:rsidP="00C8163B">
      <w:pPr>
        <w:rPr>
          <w:lang w:val="es-ES_tradnl"/>
        </w:rPr>
      </w:pPr>
      <w:r w:rsidRPr="008A106B">
        <w:rPr>
          <w:noProof/>
          <w:lang w:val="es-ES"/>
        </w:rPr>
        <w:t>Un cambio</w:t>
      </w:r>
      <w:r>
        <w:rPr>
          <w:noProof/>
          <w:lang w:val="es-ES"/>
        </w:rPr>
        <w:t xml:space="preserve"> en la dosis únicamente se debe</w:t>
      </w:r>
      <w:r w:rsidRPr="008A106B">
        <w:rPr>
          <w:noProof/>
          <w:lang w:val="es-ES"/>
        </w:rPr>
        <w:t xml:space="preserve"> justificar por un cambio sus</w:t>
      </w:r>
      <w:r>
        <w:rPr>
          <w:noProof/>
          <w:lang w:val="es-ES"/>
        </w:rPr>
        <w:t>tancial en el peso del paciente</w:t>
      </w:r>
      <w:r>
        <w:rPr>
          <w:lang w:val="es-ES_tradnl"/>
        </w:rPr>
        <w:t>.</w:t>
      </w:r>
    </w:p>
    <w:p w14:paraId="097A4243" w14:textId="3F7B64EF" w:rsidR="00C310A7" w:rsidRDefault="005D309C" w:rsidP="00834462">
      <w:pPr>
        <w:rPr>
          <w:lang w:val="es-ES_tradnl"/>
        </w:rPr>
      </w:pPr>
      <w:r>
        <w:rPr>
          <w:lang w:val="es-ES_tradnl"/>
        </w:rPr>
        <w:t xml:space="preserve">tocilizumab </w:t>
      </w:r>
      <w:r w:rsidR="00C8163B">
        <w:rPr>
          <w:lang w:val="es-ES_tradnl"/>
        </w:rPr>
        <w:t>puede ser utilizado en monoterapia o en combinación con MTX</w:t>
      </w:r>
    </w:p>
    <w:p w14:paraId="324CCAEC" w14:textId="77777777" w:rsidR="00C8163B" w:rsidRDefault="00C8163B" w:rsidP="00834462">
      <w:pPr>
        <w:rPr>
          <w:lang w:val="es-ES_tradnl"/>
        </w:rPr>
      </w:pPr>
    </w:p>
    <w:p w14:paraId="47119D9F" w14:textId="6518D864" w:rsidR="00C8163B" w:rsidRPr="00F30AB8" w:rsidRDefault="00C8163B" w:rsidP="00C8163B">
      <w:pPr>
        <w:rPr>
          <w:u w:val="single"/>
          <w:lang w:val="es-ES_tradnl"/>
        </w:rPr>
      </w:pPr>
      <w:r w:rsidRPr="00F30AB8">
        <w:rPr>
          <w:i/>
          <w:u w:val="single"/>
          <w:lang w:val="es-ES_tradnl"/>
        </w:rPr>
        <w:t xml:space="preserve">Pacientes </w:t>
      </w:r>
      <w:ins w:id="786" w:author="AUTHOR">
        <w:r w:rsidR="00656295">
          <w:rPr>
            <w:i/>
            <w:u w:val="single"/>
            <w:lang w:val="es-ES_tradnl"/>
          </w:rPr>
          <w:t xml:space="preserve">con </w:t>
        </w:r>
      </w:ins>
      <w:r w:rsidRPr="00F30AB8">
        <w:rPr>
          <w:i/>
          <w:u w:val="single"/>
          <w:lang w:val="es-ES_tradnl"/>
        </w:rPr>
        <w:t>AIJs</w:t>
      </w:r>
    </w:p>
    <w:p w14:paraId="09D8A718" w14:textId="189A0631" w:rsidR="00C8163B" w:rsidRDefault="00C8163B" w:rsidP="00C8163B">
      <w:pPr>
        <w:rPr>
          <w:lang w:val="es-ES_tradnl"/>
        </w:rPr>
      </w:pPr>
      <w:r>
        <w:rPr>
          <w:lang w:val="es-ES_tradnl"/>
        </w:rPr>
        <w:t>En pacientes mayores de 1 año de edad, la dosis recomendada es de 162</w:t>
      </w:r>
      <w:r w:rsidR="005D309C">
        <w:rPr>
          <w:lang w:val="es-ES_tradnl"/>
        </w:rPr>
        <w:t> </w:t>
      </w:r>
      <w:r>
        <w:rPr>
          <w:lang w:val="es-ES_tradnl"/>
        </w:rPr>
        <w:t>mg por vía subcutánea una vez por semana en pacientes con un peso mayor o igual a 30</w:t>
      </w:r>
      <w:r w:rsidR="005D309C">
        <w:rPr>
          <w:lang w:val="es-ES_tradnl"/>
        </w:rPr>
        <w:t> </w:t>
      </w:r>
      <w:r>
        <w:rPr>
          <w:lang w:val="es-ES_tradnl"/>
        </w:rPr>
        <w:t>kg, o de 162</w:t>
      </w:r>
      <w:r w:rsidR="005D309C">
        <w:rPr>
          <w:lang w:val="es-ES_tradnl"/>
        </w:rPr>
        <w:t> </w:t>
      </w:r>
      <w:r>
        <w:rPr>
          <w:lang w:val="es-ES_tradnl"/>
        </w:rPr>
        <w:t>mg por vía subcutánea una vez cada 2</w:t>
      </w:r>
      <w:r w:rsidR="005D309C">
        <w:rPr>
          <w:lang w:val="es-ES_tradnl"/>
        </w:rPr>
        <w:t> </w:t>
      </w:r>
      <w:r>
        <w:rPr>
          <w:lang w:val="es-ES_tradnl"/>
        </w:rPr>
        <w:t>semanas en pacientes con un peso menor de 30</w:t>
      </w:r>
      <w:r w:rsidR="005D309C">
        <w:rPr>
          <w:lang w:val="es-ES_tradnl"/>
        </w:rPr>
        <w:t> </w:t>
      </w:r>
      <w:r>
        <w:rPr>
          <w:lang w:val="es-ES_tradnl"/>
        </w:rPr>
        <w:t xml:space="preserve">kg. </w:t>
      </w:r>
    </w:p>
    <w:p w14:paraId="578EFE63" w14:textId="6FED6177" w:rsidR="00C8163B" w:rsidRDefault="00C8163B" w:rsidP="00C8163B">
      <w:pPr>
        <w:rPr>
          <w:lang w:val="es-ES_tradnl"/>
        </w:rPr>
      </w:pPr>
      <w:r>
        <w:rPr>
          <w:lang w:val="es-ES_tradnl"/>
        </w:rPr>
        <w:t>Los pacientes deben tener un peso mínimo de 10</w:t>
      </w:r>
      <w:r w:rsidR="005D309C">
        <w:rPr>
          <w:lang w:val="es-ES_tradnl"/>
        </w:rPr>
        <w:t> </w:t>
      </w:r>
      <w:r>
        <w:rPr>
          <w:lang w:val="es-ES_tradnl"/>
        </w:rPr>
        <w:t xml:space="preserve">kg cuando sean tratados con </w:t>
      </w:r>
      <w:r w:rsidR="005D309C">
        <w:rPr>
          <w:lang w:val="es-ES_tradnl"/>
        </w:rPr>
        <w:t xml:space="preserve">tocilizumab </w:t>
      </w:r>
      <w:r>
        <w:rPr>
          <w:lang w:val="es-ES_tradnl"/>
        </w:rPr>
        <w:t>subcutáneo.</w:t>
      </w:r>
    </w:p>
    <w:p w14:paraId="23C1FE6C" w14:textId="77777777" w:rsidR="00C8163B" w:rsidRDefault="00C8163B" w:rsidP="00834462">
      <w:pPr>
        <w:rPr>
          <w:lang w:val="es-ES_tradnl"/>
        </w:rPr>
      </w:pPr>
    </w:p>
    <w:p w14:paraId="0FEB330C" w14:textId="10E96034" w:rsidR="00C310A7" w:rsidRDefault="00C310A7" w:rsidP="00834462">
      <w:pPr>
        <w:rPr>
          <w:lang w:val="es-ES_tradnl"/>
        </w:rPr>
      </w:pPr>
      <w:r w:rsidRPr="00F30AB8">
        <w:rPr>
          <w:i/>
          <w:u w:val="single"/>
          <w:lang w:val="es-ES_tradnl"/>
        </w:rPr>
        <w:t xml:space="preserve">Pacientes </w:t>
      </w:r>
      <w:ins w:id="787" w:author="AUTHOR">
        <w:r w:rsidR="00656295">
          <w:rPr>
            <w:i/>
            <w:u w:val="single"/>
            <w:lang w:val="es-ES_tradnl"/>
          </w:rPr>
          <w:t xml:space="preserve">con </w:t>
        </w:r>
      </w:ins>
      <w:r w:rsidRPr="00F30AB8">
        <w:rPr>
          <w:i/>
          <w:u w:val="single"/>
          <w:lang w:val="es-ES_tradnl"/>
        </w:rPr>
        <w:t>AIJp</w:t>
      </w:r>
    </w:p>
    <w:p w14:paraId="4D11FFF1" w14:textId="04116CF5" w:rsidR="007A4016" w:rsidRDefault="0022437A" w:rsidP="00834462">
      <w:pPr>
        <w:rPr>
          <w:lang w:val="es-ES_tradnl"/>
        </w:rPr>
      </w:pPr>
      <w:r>
        <w:rPr>
          <w:lang w:val="es-ES_tradnl"/>
        </w:rPr>
        <w:t>E</w:t>
      </w:r>
      <w:r w:rsidR="00C310A7">
        <w:rPr>
          <w:lang w:val="es-ES_tradnl"/>
        </w:rPr>
        <w:t>n pacientes mayores de 2</w:t>
      </w:r>
      <w:r w:rsidR="005D309C">
        <w:rPr>
          <w:lang w:val="es-ES_tradnl"/>
        </w:rPr>
        <w:t> </w:t>
      </w:r>
      <w:r w:rsidR="00C310A7">
        <w:rPr>
          <w:lang w:val="es-ES_tradnl"/>
        </w:rPr>
        <w:t>años</w:t>
      </w:r>
      <w:r>
        <w:rPr>
          <w:lang w:val="es-ES_tradnl"/>
        </w:rPr>
        <w:t xml:space="preserve"> de edad, la dosis recomendada </w:t>
      </w:r>
      <w:r w:rsidR="007A4016">
        <w:rPr>
          <w:lang w:val="es-ES_tradnl"/>
        </w:rPr>
        <w:t>es de 162</w:t>
      </w:r>
      <w:r w:rsidR="005D309C">
        <w:rPr>
          <w:lang w:val="es-ES_tradnl"/>
        </w:rPr>
        <w:t> </w:t>
      </w:r>
      <w:r w:rsidR="007A4016">
        <w:rPr>
          <w:lang w:val="es-ES_tradnl"/>
        </w:rPr>
        <w:t xml:space="preserve">mg por vía subcutánea una vez cada </w:t>
      </w:r>
      <w:r w:rsidR="007353BF">
        <w:rPr>
          <w:lang w:val="es-ES_tradnl"/>
        </w:rPr>
        <w:t>2</w:t>
      </w:r>
      <w:r w:rsidR="005D309C">
        <w:rPr>
          <w:lang w:val="es-ES_tradnl"/>
        </w:rPr>
        <w:t> </w:t>
      </w:r>
      <w:r w:rsidR="007A4016">
        <w:rPr>
          <w:lang w:val="es-ES_tradnl"/>
        </w:rPr>
        <w:t>semanas en pacientes</w:t>
      </w:r>
      <w:r w:rsidR="00C310A7">
        <w:rPr>
          <w:lang w:val="es-ES_tradnl"/>
        </w:rPr>
        <w:t xml:space="preserve"> </w:t>
      </w:r>
      <w:r w:rsidR="0052516B">
        <w:rPr>
          <w:lang w:val="es-ES_tradnl"/>
        </w:rPr>
        <w:t>con un peso mayor o igual a 30</w:t>
      </w:r>
      <w:r w:rsidR="005D309C">
        <w:rPr>
          <w:lang w:val="es-ES_tradnl"/>
        </w:rPr>
        <w:t> </w:t>
      </w:r>
      <w:r w:rsidR="0052516B">
        <w:rPr>
          <w:lang w:val="es-ES_tradnl"/>
        </w:rPr>
        <w:t>kg</w:t>
      </w:r>
      <w:r w:rsidR="007353BF">
        <w:rPr>
          <w:lang w:val="es-ES_tradnl"/>
        </w:rPr>
        <w:t>,</w:t>
      </w:r>
      <w:r w:rsidR="0052516B">
        <w:rPr>
          <w:lang w:val="es-ES_tradnl"/>
        </w:rPr>
        <w:t xml:space="preserve"> </w:t>
      </w:r>
      <w:r w:rsidR="007A4016">
        <w:rPr>
          <w:lang w:val="es-ES_tradnl"/>
        </w:rPr>
        <w:t>o</w:t>
      </w:r>
      <w:r w:rsidR="00A72447">
        <w:rPr>
          <w:lang w:val="es-ES_tradnl"/>
        </w:rPr>
        <w:t xml:space="preserve"> de</w:t>
      </w:r>
      <w:r w:rsidR="007A4016">
        <w:rPr>
          <w:lang w:val="es-ES_tradnl"/>
        </w:rPr>
        <w:t xml:space="preserve"> 162</w:t>
      </w:r>
      <w:r w:rsidR="005D309C">
        <w:rPr>
          <w:lang w:val="es-ES_tradnl"/>
        </w:rPr>
        <w:t> </w:t>
      </w:r>
      <w:r w:rsidR="007A4016">
        <w:rPr>
          <w:lang w:val="es-ES_tradnl"/>
        </w:rPr>
        <w:t>mg por vía subcutánea una vez cada 3</w:t>
      </w:r>
      <w:r w:rsidR="005D309C">
        <w:rPr>
          <w:lang w:val="es-ES_tradnl"/>
        </w:rPr>
        <w:t> </w:t>
      </w:r>
      <w:r w:rsidR="007A4016">
        <w:rPr>
          <w:lang w:val="es-ES_tradnl"/>
        </w:rPr>
        <w:t>semanas en pacientes co</w:t>
      </w:r>
      <w:r>
        <w:rPr>
          <w:lang w:val="es-ES_tradnl"/>
        </w:rPr>
        <w:t>n</w:t>
      </w:r>
      <w:r w:rsidR="007A4016">
        <w:rPr>
          <w:lang w:val="es-ES_tradnl"/>
        </w:rPr>
        <w:t xml:space="preserve"> </w:t>
      </w:r>
      <w:r>
        <w:rPr>
          <w:lang w:val="es-ES_tradnl"/>
        </w:rPr>
        <w:t xml:space="preserve">un </w:t>
      </w:r>
      <w:r w:rsidR="007A4016">
        <w:rPr>
          <w:lang w:val="es-ES_tradnl"/>
        </w:rPr>
        <w:t>peso menor de 30</w:t>
      </w:r>
      <w:r w:rsidR="005D309C">
        <w:rPr>
          <w:lang w:val="es-ES_tradnl"/>
        </w:rPr>
        <w:t> </w:t>
      </w:r>
      <w:r w:rsidR="007A4016">
        <w:rPr>
          <w:lang w:val="es-ES_tradnl"/>
        </w:rPr>
        <w:t>kg.</w:t>
      </w:r>
    </w:p>
    <w:p w14:paraId="46949D50" w14:textId="77777777" w:rsidR="001F2600" w:rsidRDefault="001F2600" w:rsidP="00834462">
      <w:pPr>
        <w:rPr>
          <w:lang w:val="es-ES_tradnl"/>
        </w:rPr>
      </w:pPr>
    </w:p>
    <w:p w14:paraId="4E63DAF5" w14:textId="199CB1E8" w:rsidR="00E86A38" w:rsidRPr="00F30AB8" w:rsidRDefault="005D309C" w:rsidP="00F30AB8">
      <w:pPr>
        <w:keepNext/>
        <w:keepLines/>
        <w:rPr>
          <w:i/>
          <w:lang w:val="es-ES_tradnl"/>
        </w:rPr>
      </w:pPr>
      <w:r w:rsidRPr="00F30AB8">
        <w:rPr>
          <w:i/>
          <w:u w:val="single"/>
          <w:lang w:val="es-ES_tradnl"/>
        </w:rPr>
        <w:lastRenderedPageBreak/>
        <w:t>Paciente</w:t>
      </w:r>
      <w:ins w:id="788" w:author="AUTHOR">
        <w:r w:rsidR="00656295">
          <w:rPr>
            <w:i/>
            <w:u w:val="single"/>
            <w:lang w:val="es-ES_tradnl"/>
          </w:rPr>
          <w:t>s con</w:t>
        </w:r>
      </w:ins>
      <w:r w:rsidRPr="00F30AB8">
        <w:rPr>
          <w:i/>
          <w:u w:val="single"/>
          <w:lang w:val="es-ES_tradnl"/>
        </w:rPr>
        <w:t xml:space="preserve"> AIJs y AIJp</w:t>
      </w:r>
    </w:p>
    <w:p w14:paraId="67D3BB20" w14:textId="2B8DAF8C" w:rsidR="00FC76BD" w:rsidRPr="00F30AB8" w:rsidRDefault="00FC76BD" w:rsidP="006435E6">
      <w:pPr>
        <w:keepNext/>
        <w:keepLines/>
        <w:rPr>
          <w:lang w:val="es-ES_tradnl"/>
        </w:rPr>
      </w:pPr>
      <w:r w:rsidRPr="00F30AB8">
        <w:rPr>
          <w:lang w:val="es-ES_tradnl"/>
        </w:rPr>
        <w:t>Ajustes de dosis si los valores de laboratorio están fuera de los parámetros normales</w:t>
      </w:r>
    </w:p>
    <w:p w14:paraId="40BE9776" w14:textId="77777777" w:rsidR="005D309C" w:rsidRPr="0038472E" w:rsidRDefault="005D309C" w:rsidP="00E576A0">
      <w:pPr>
        <w:keepNext/>
        <w:keepLines/>
        <w:rPr>
          <w:u w:val="single"/>
          <w:lang w:val="es-ES_tradnl"/>
        </w:rPr>
      </w:pPr>
    </w:p>
    <w:p w14:paraId="31DC84EF" w14:textId="77777777" w:rsidR="00B67603" w:rsidRDefault="007A4016" w:rsidP="00834462">
      <w:pPr>
        <w:rPr>
          <w:noProof/>
          <w:lang w:val="es-ES"/>
        </w:rPr>
      </w:pPr>
      <w:r w:rsidRPr="008A106B">
        <w:rPr>
          <w:noProof/>
          <w:lang w:val="es-ES"/>
        </w:rPr>
        <w:t>Si procede</w:t>
      </w:r>
      <w:r w:rsidR="0022437A">
        <w:rPr>
          <w:noProof/>
          <w:lang w:val="es-ES"/>
        </w:rPr>
        <w:t>,</w:t>
      </w:r>
      <w:r w:rsidRPr="008A106B">
        <w:rPr>
          <w:noProof/>
          <w:lang w:val="es-ES"/>
        </w:rPr>
        <w:t xml:space="preserve"> la d</w:t>
      </w:r>
      <w:r w:rsidR="0022437A">
        <w:rPr>
          <w:noProof/>
          <w:lang w:val="es-ES"/>
        </w:rPr>
        <w:t>osis concomitante de MTX</w:t>
      </w:r>
      <w:r w:rsidRPr="008A106B">
        <w:rPr>
          <w:noProof/>
          <w:lang w:val="es-ES"/>
        </w:rPr>
        <w:t xml:space="preserve"> y/o de otra</w:t>
      </w:r>
      <w:r w:rsidR="0022437A">
        <w:rPr>
          <w:noProof/>
          <w:lang w:val="es-ES"/>
        </w:rPr>
        <w:t xml:space="preserve"> medicació</w:t>
      </w:r>
      <w:r w:rsidRPr="008A106B">
        <w:rPr>
          <w:noProof/>
          <w:lang w:val="es-ES"/>
        </w:rPr>
        <w:t>n</w:t>
      </w:r>
      <w:r w:rsidR="0022437A">
        <w:rPr>
          <w:noProof/>
          <w:lang w:val="es-ES"/>
        </w:rPr>
        <w:t xml:space="preserve"> puede</w:t>
      </w:r>
      <w:r w:rsidR="00F31128">
        <w:rPr>
          <w:noProof/>
          <w:lang w:val="es-ES"/>
        </w:rPr>
        <w:t>n</w:t>
      </w:r>
      <w:r w:rsidRPr="008A106B">
        <w:rPr>
          <w:noProof/>
          <w:lang w:val="es-ES"/>
        </w:rPr>
        <w:t xml:space="preserve"> ser modificada</w:t>
      </w:r>
      <w:r w:rsidR="0022437A">
        <w:rPr>
          <w:noProof/>
          <w:lang w:val="es-ES"/>
        </w:rPr>
        <w:t>s</w:t>
      </w:r>
      <w:r w:rsidRPr="008A106B">
        <w:rPr>
          <w:noProof/>
          <w:lang w:val="es-ES"/>
        </w:rPr>
        <w:t xml:space="preserve"> o </w:t>
      </w:r>
      <w:r w:rsidR="00657A1A">
        <w:rPr>
          <w:noProof/>
          <w:lang w:val="es-ES"/>
        </w:rPr>
        <w:t>suspendi</w:t>
      </w:r>
      <w:r w:rsidR="0037188C">
        <w:rPr>
          <w:noProof/>
          <w:lang w:val="es-ES"/>
        </w:rPr>
        <w:t>das</w:t>
      </w:r>
      <w:r w:rsidRPr="008A106B">
        <w:rPr>
          <w:noProof/>
          <w:lang w:val="es-ES"/>
        </w:rPr>
        <w:t xml:space="preserve"> y la dosis de tocilizumab interrumpida hasta que la situa</w:t>
      </w:r>
      <w:r>
        <w:rPr>
          <w:noProof/>
          <w:lang w:val="es-ES"/>
        </w:rPr>
        <w:t>ción clínica haya sido evaluada</w:t>
      </w:r>
      <w:r w:rsidR="0052516B" w:rsidRPr="0052516B">
        <w:rPr>
          <w:lang w:val="es-ES_tradnl"/>
        </w:rPr>
        <w:t xml:space="preserve">. </w:t>
      </w:r>
      <w:r w:rsidRPr="008A106B">
        <w:rPr>
          <w:noProof/>
          <w:lang w:val="es-ES"/>
        </w:rPr>
        <w:t>Como en los pacientes con</w:t>
      </w:r>
      <w:r w:rsidR="00C82755" w:rsidRPr="00C82755">
        <w:rPr>
          <w:noProof/>
          <w:lang w:val="es-ES"/>
        </w:rPr>
        <w:t xml:space="preserve"> </w:t>
      </w:r>
      <w:r w:rsidR="00C82755">
        <w:rPr>
          <w:noProof/>
          <w:lang w:val="es-ES"/>
        </w:rPr>
        <w:t>AIJs o</w:t>
      </w:r>
      <w:r w:rsidRPr="008A106B">
        <w:rPr>
          <w:noProof/>
          <w:lang w:val="es-ES"/>
        </w:rPr>
        <w:t xml:space="preserve"> AIJ</w:t>
      </w:r>
      <w:r w:rsidR="0022437A">
        <w:rPr>
          <w:noProof/>
          <w:lang w:val="es-ES"/>
        </w:rPr>
        <w:t>p</w:t>
      </w:r>
      <w:r w:rsidRPr="008A106B">
        <w:rPr>
          <w:noProof/>
          <w:lang w:val="es-ES"/>
        </w:rPr>
        <w:t xml:space="preserve"> hay diversa</w:t>
      </w:r>
      <w:r>
        <w:rPr>
          <w:noProof/>
          <w:lang w:val="es-ES"/>
        </w:rPr>
        <w:t>s</w:t>
      </w:r>
      <w:r w:rsidRPr="008A106B">
        <w:rPr>
          <w:noProof/>
          <w:lang w:val="es-ES"/>
        </w:rPr>
        <w:t xml:space="preserve"> comorbilidades que pueden afectar a los valores de laboratorio, la decisión de suspender tocilizumab por unos valores de laboratorio anómalos debe estar basada en la e</w:t>
      </w:r>
      <w:r>
        <w:rPr>
          <w:noProof/>
          <w:lang w:val="es-ES"/>
        </w:rPr>
        <w:t>valuación individual del médico</w:t>
      </w:r>
      <w:r w:rsidRPr="008A106B">
        <w:rPr>
          <w:noProof/>
          <w:lang w:val="es-ES"/>
        </w:rPr>
        <w:t xml:space="preserve"> para cada paciente.</w:t>
      </w:r>
    </w:p>
    <w:p w14:paraId="73E4A21B" w14:textId="77777777" w:rsidR="007A4016" w:rsidRPr="006616E4" w:rsidRDefault="007A4016" w:rsidP="00834462">
      <w:pPr>
        <w:rPr>
          <w:noProof/>
          <w:lang w:val="es-ES"/>
        </w:rPr>
      </w:pPr>
    </w:p>
    <w:p w14:paraId="252BEB7C" w14:textId="77777777" w:rsidR="00B67603" w:rsidRDefault="00A1715E" w:rsidP="006616E4">
      <w:pPr>
        <w:keepNext/>
        <w:keepLines/>
        <w:tabs>
          <w:tab w:val="left" w:pos="709"/>
        </w:tabs>
        <w:ind w:left="714" w:hanging="357"/>
        <w:rPr>
          <w:lang w:val="es-ES_tradnl"/>
        </w:rPr>
      </w:pPr>
      <w:r w:rsidRPr="008A106B">
        <w:rPr>
          <w:lang w:val="es-ES"/>
        </w:rPr>
        <w:sym w:font="Symbol" w:char="F0B7"/>
      </w:r>
      <w:r>
        <w:rPr>
          <w:lang w:val="es-ES"/>
        </w:rPr>
        <w:tab/>
      </w:r>
      <w:r w:rsidR="00A26E3A">
        <w:rPr>
          <w:lang w:val="es-ES_tradnl"/>
        </w:rPr>
        <w:t>E</w:t>
      </w:r>
      <w:r w:rsidR="00B67603">
        <w:rPr>
          <w:lang w:val="es-ES_tradnl"/>
        </w:rPr>
        <w:t>nzimas hepáticas</w:t>
      </w:r>
      <w:r w:rsidR="00A26E3A">
        <w:rPr>
          <w:lang w:val="es-ES_tradnl"/>
        </w:rPr>
        <w:t xml:space="preserve"> fuera de los valores normales</w:t>
      </w:r>
    </w:p>
    <w:p w14:paraId="20F5A953" w14:textId="77777777" w:rsidR="00371158" w:rsidRDefault="00371158" w:rsidP="006616E4">
      <w:pPr>
        <w:keepNext/>
        <w:keepLines/>
        <w:tabs>
          <w:tab w:val="left" w:pos="709"/>
        </w:tabs>
        <w:ind w:left="714" w:hanging="357"/>
        <w:rPr>
          <w:lang w:val="es-ES_tradn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B67603" w:rsidRPr="008B5E8B" w14:paraId="1073B616" w14:textId="77777777" w:rsidTr="00DD275B">
        <w:tc>
          <w:tcPr>
            <w:tcW w:w="1796" w:type="dxa"/>
          </w:tcPr>
          <w:p w14:paraId="0B6D8E40" w14:textId="77777777" w:rsidR="00B67603" w:rsidRPr="00F30AB8" w:rsidRDefault="00B67603" w:rsidP="006616E4">
            <w:pPr>
              <w:pStyle w:val="TextTi12"/>
              <w:keepNext/>
              <w:keepLines/>
              <w:jc w:val="center"/>
              <w:rPr>
                <w:rFonts w:eastAsia="MS Mincho"/>
                <w:bCs/>
                <w:sz w:val="22"/>
                <w:szCs w:val="22"/>
              </w:rPr>
            </w:pPr>
            <w:r w:rsidRPr="00F30AB8">
              <w:rPr>
                <w:rFonts w:eastAsia="MS Mincho"/>
                <w:bCs/>
                <w:sz w:val="22"/>
                <w:szCs w:val="22"/>
              </w:rPr>
              <w:t>Valor</w:t>
            </w:r>
            <w:r w:rsidR="00A26E3A" w:rsidRPr="00F30AB8">
              <w:rPr>
                <w:rFonts w:eastAsia="MS Mincho"/>
                <w:bCs/>
                <w:sz w:val="22"/>
                <w:szCs w:val="22"/>
              </w:rPr>
              <w:t>es</w:t>
            </w:r>
            <w:r w:rsidRPr="00F30AB8">
              <w:rPr>
                <w:rFonts w:eastAsia="MS Mincho"/>
                <w:bCs/>
                <w:sz w:val="22"/>
                <w:szCs w:val="22"/>
              </w:rPr>
              <w:t xml:space="preserve"> de laboratorio</w:t>
            </w:r>
          </w:p>
        </w:tc>
        <w:tc>
          <w:tcPr>
            <w:tcW w:w="6004" w:type="dxa"/>
          </w:tcPr>
          <w:p w14:paraId="04F6F077" w14:textId="77777777" w:rsidR="00B67603" w:rsidRPr="00F30AB8" w:rsidRDefault="00B67603" w:rsidP="006616E4">
            <w:pPr>
              <w:pStyle w:val="TextTi12"/>
              <w:keepNext/>
              <w:keepLines/>
              <w:jc w:val="center"/>
              <w:rPr>
                <w:rFonts w:eastAsia="MS Mincho"/>
                <w:bCs/>
                <w:sz w:val="22"/>
                <w:szCs w:val="22"/>
              </w:rPr>
            </w:pPr>
            <w:r w:rsidRPr="00F30AB8">
              <w:rPr>
                <w:rFonts w:eastAsia="MS Mincho"/>
                <w:bCs/>
                <w:sz w:val="22"/>
                <w:szCs w:val="22"/>
              </w:rPr>
              <w:t>Acción</w:t>
            </w:r>
          </w:p>
        </w:tc>
      </w:tr>
      <w:tr w:rsidR="00B67603" w:rsidRPr="00541248" w14:paraId="1F417BA1" w14:textId="77777777" w:rsidTr="00DD275B">
        <w:tc>
          <w:tcPr>
            <w:tcW w:w="1796" w:type="dxa"/>
          </w:tcPr>
          <w:p w14:paraId="4AA6982E" w14:textId="75945EB4" w:rsidR="00B67603" w:rsidRDefault="00B67603" w:rsidP="006616E4">
            <w:pPr>
              <w:pStyle w:val="TextTi12"/>
              <w:keepNext/>
              <w:keepLines/>
              <w:rPr>
                <w:rFonts w:eastAsia="MS Mincho"/>
                <w:sz w:val="22"/>
                <w:szCs w:val="22"/>
              </w:rPr>
            </w:pPr>
            <w:r>
              <w:rPr>
                <w:rFonts w:eastAsia="MS Mincho"/>
                <w:sz w:val="22"/>
                <w:szCs w:val="22"/>
              </w:rPr>
              <w:t xml:space="preserve">&gt; 1 a 3 </w:t>
            </w:r>
            <w:r w:rsidR="000D6881">
              <w:rPr>
                <w:rFonts w:eastAsia="MS Mincho"/>
                <w:sz w:val="22"/>
                <w:szCs w:val="22"/>
                <w:lang w:val="en-GB"/>
              </w:rPr>
              <w:t>×</w:t>
            </w:r>
            <w:r>
              <w:rPr>
                <w:rFonts w:eastAsia="MS Mincho"/>
                <w:sz w:val="22"/>
                <w:szCs w:val="22"/>
              </w:rPr>
              <w:t xml:space="preserve"> </w:t>
            </w:r>
            <w:r w:rsidRPr="008B5E8B">
              <w:rPr>
                <w:rFonts w:eastAsia="MS Mincho"/>
                <w:sz w:val="22"/>
                <w:szCs w:val="22"/>
              </w:rPr>
              <w:t>L</w:t>
            </w:r>
            <w:r>
              <w:rPr>
                <w:rFonts w:eastAsia="MS Mincho"/>
                <w:sz w:val="22"/>
                <w:szCs w:val="22"/>
              </w:rPr>
              <w:t>S</w:t>
            </w:r>
            <w:r w:rsidRPr="008B5E8B">
              <w:rPr>
                <w:rFonts w:eastAsia="MS Mincho"/>
                <w:sz w:val="22"/>
                <w:szCs w:val="22"/>
              </w:rPr>
              <w:t>N</w:t>
            </w:r>
          </w:p>
          <w:p w14:paraId="421D2DF4" w14:textId="1185278C" w:rsidR="003A172F" w:rsidRPr="008B5E8B" w:rsidRDefault="003A172F" w:rsidP="006616E4">
            <w:pPr>
              <w:pStyle w:val="TextTi12"/>
              <w:keepNext/>
              <w:keepLines/>
              <w:rPr>
                <w:rFonts w:eastAsia="MS Mincho"/>
                <w:sz w:val="22"/>
                <w:szCs w:val="22"/>
              </w:rPr>
            </w:pPr>
            <w:r w:rsidRPr="00945212">
              <w:rPr>
                <w:rFonts w:eastAsia="MS Mincho"/>
                <w:sz w:val="22"/>
                <w:szCs w:val="22"/>
                <w:lang w:val="en-GB" w:eastAsia="ja-JP"/>
              </w:rPr>
              <w:t> &gt; </w:t>
            </w:r>
            <w:r>
              <w:rPr>
                <w:rFonts w:eastAsia="MS Mincho"/>
                <w:sz w:val="22"/>
                <w:szCs w:val="22"/>
                <w:lang w:val="en-GB" w:eastAsia="ja-JP"/>
              </w:rPr>
              <w:t>1 a</w:t>
            </w:r>
            <w:r w:rsidRPr="00945212">
              <w:rPr>
                <w:rFonts w:eastAsia="MS Mincho"/>
                <w:sz w:val="22"/>
                <w:szCs w:val="22"/>
                <w:lang w:val="en-GB" w:eastAsia="ja-JP"/>
              </w:rPr>
              <w:t xml:space="preserve"> 3 × L</w:t>
            </w:r>
            <w:r>
              <w:rPr>
                <w:rFonts w:eastAsia="MS Mincho"/>
                <w:sz w:val="22"/>
                <w:szCs w:val="22"/>
                <w:lang w:val="en-GB" w:eastAsia="ja-JP"/>
              </w:rPr>
              <w:t>S</w:t>
            </w:r>
            <w:r w:rsidRPr="00945212">
              <w:rPr>
                <w:rFonts w:eastAsia="MS Mincho"/>
                <w:sz w:val="22"/>
                <w:szCs w:val="22"/>
                <w:lang w:val="en-GB" w:eastAsia="ja-JP"/>
              </w:rPr>
              <w:t>N</w:t>
            </w:r>
          </w:p>
        </w:tc>
        <w:tc>
          <w:tcPr>
            <w:tcW w:w="6004" w:type="dxa"/>
          </w:tcPr>
          <w:p w14:paraId="7478B9D0" w14:textId="77777777" w:rsidR="00A26E3A" w:rsidRPr="005A5612" w:rsidRDefault="00A26E3A" w:rsidP="006616E4">
            <w:pPr>
              <w:pStyle w:val="TextTi12"/>
              <w:keepNext/>
              <w:keepLines/>
              <w:rPr>
                <w:sz w:val="22"/>
                <w:szCs w:val="22"/>
                <w:lang w:val="es-ES"/>
              </w:rPr>
            </w:pPr>
            <w:r w:rsidRPr="005A5612">
              <w:rPr>
                <w:sz w:val="22"/>
                <w:szCs w:val="22"/>
                <w:lang w:val="es-ES"/>
              </w:rPr>
              <w:t xml:space="preserve">Si procede, modificar la dosis de la medicación concomitante de MTX. </w:t>
            </w:r>
          </w:p>
          <w:p w14:paraId="567D480A" w14:textId="64747CAF" w:rsidR="00B67603" w:rsidRPr="006616E4" w:rsidRDefault="007D6758" w:rsidP="00376697">
            <w:pPr>
              <w:pStyle w:val="TextTi12"/>
              <w:keepNext/>
              <w:keepLines/>
              <w:rPr>
                <w:rFonts w:eastAsia="MS Mincho"/>
                <w:sz w:val="22"/>
                <w:szCs w:val="22"/>
                <w:lang w:val="es-ES"/>
              </w:rPr>
            </w:pPr>
            <w:r w:rsidRPr="005A5612">
              <w:rPr>
                <w:sz w:val="22"/>
                <w:szCs w:val="22"/>
                <w:lang w:val="es-ES"/>
              </w:rPr>
              <w:t>En este rango</w:t>
            </w:r>
            <w:r>
              <w:rPr>
                <w:sz w:val="22"/>
                <w:szCs w:val="22"/>
                <w:lang w:val="es-ES"/>
              </w:rPr>
              <w:t>,</w:t>
            </w:r>
            <w:r w:rsidRPr="005A5612">
              <w:rPr>
                <w:sz w:val="22"/>
                <w:szCs w:val="22"/>
                <w:lang w:val="es-ES"/>
              </w:rPr>
              <w:t xml:space="preserve"> cuando persisten los aumentos, se debe interrumpir </w:t>
            </w:r>
            <w:r w:rsidR="005D309C">
              <w:rPr>
                <w:sz w:val="22"/>
                <w:szCs w:val="22"/>
                <w:lang w:val="es-ES"/>
              </w:rPr>
              <w:t xml:space="preserve">tocilizumab </w:t>
            </w:r>
            <w:r>
              <w:rPr>
                <w:sz w:val="22"/>
                <w:szCs w:val="22"/>
                <w:lang w:val="es-ES"/>
              </w:rPr>
              <w:t>hasta que los valores de ALT/</w:t>
            </w:r>
            <w:r w:rsidRPr="005A5612">
              <w:rPr>
                <w:sz w:val="22"/>
                <w:szCs w:val="22"/>
                <w:lang w:val="es-ES"/>
              </w:rPr>
              <w:t>AST se normalicen.</w:t>
            </w:r>
          </w:p>
        </w:tc>
      </w:tr>
      <w:tr w:rsidR="00B67603" w:rsidRPr="00541248" w14:paraId="21F57C7B" w14:textId="77777777" w:rsidTr="00DD275B">
        <w:tc>
          <w:tcPr>
            <w:tcW w:w="1796" w:type="dxa"/>
          </w:tcPr>
          <w:p w14:paraId="2E309AB8" w14:textId="122FBFE1" w:rsidR="00B67603" w:rsidRPr="00F30AB8" w:rsidRDefault="00B67603" w:rsidP="00DD275B">
            <w:pPr>
              <w:pStyle w:val="TextTi12"/>
              <w:rPr>
                <w:rFonts w:eastAsia="MS Mincho"/>
                <w:sz w:val="22"/>
                <w:szCs w:val="22"/>
                <w:lang w:val="es-ES"/>
              </w:rPr>
            </w:pPr>
          </w:p>
          <w:p w14:paraId="2B066CC6" w14:textId="17308D02" w:rsidR="003A172F" w:rsidRPr="00945212" w:rsidRDefault="003A172F" w:rsidP="003A172F">
            <w:pPr>
              <w:pStyle w:val="TextTi12"/>
              <w:keepNext/>
              <w:keepLines/>
              <w:rPr>
                <w:rFonts w:eastAsia="MS Mincho"/>
                <w:sz w:val="22"/>
                <w:szCs w:val="22"/>
                <w:lang w:val="en-GB" w:eastAsia="ja-JP"/>
              </w:rPr>
            </w:pPr>
            <w:r w:rsidRPr="00945212">
              <w:rPr>
                <w:rFonts w:eastAsia="MS Mincho"/>
                <w:sz w:val="22"/>
                <w:szCs w:val="22"/>
                <w:lang w:val="en-GB" w:eastAsia="ja-JP"/>
              </w:rPr>
              <w:t>&gt; 3 × L</w:t>
            </w:r>
            <w:r>
              <w:rPr>
                <w:rFonts w:eastAsia="MS Mincho"/>
                <w:sz w:val="22"/>
                <w:szCs w:val="22"/>
                <w:lang w:val="en-GB" w:eastAsia="ja-JP"/>
              </w:rPr>
              <w:t>SN a</w:t>
            </w:r>
            <w:r w:rsidRPr="00945212">
              <w:rPr>
                <w:rFonts w:eastAsia="MS Mincho"/>
                <w:sz w:val="22"/>
                <w:szCs w:val="22"/>
                <w:lang w:val="en-GB" w:eastAsia="ja-JP"/>
              </w:rPr>
              <w:t xml:space="preserve"> 5 × </w:t>
            </w:r>
            <w:r>
              <w:rPr>
                <w:rFonts w:eastAsia="MS Mincho"/>
                <w:sz w:val="22"/>
                <w:szCs w:val="22"/>
                <w:lang w:val="en-GB" w:eastAsia="ja-JP"/>
              </w:rPr>
              <w:t>LSN</w:t>
            </w:r>
          </w:p>
          <w:p w14:paraId="6DC21D61" w14:textId="77777777" w:rsidR="003A172F" w:rsidRPr="008B5E8B" w:rsidRDefault="003A172F" w:rsidP="00DD275B">
            <w:pPr>
              <w:pStyle w:val="TextTi12"/>
              <w:rPr>
                <w:rFonts w:eastAsia="MS Mincho"/>
                <w:sz w:val="22"/>
                <w:szCs w:val="22"/>
              </w:rPr>
            </w:pPr>
          </w:p>
          <w:p w14:paraId="19AC4669" w14:textId="77777777" w:rsidR="00B67603" w:rsidRPr="008B5E8B" w:rsidRDefault="00B67603" w:rsidP="00DD275B">
            <w:pPr>
              <w:pStyle w:val="TextTi12"/>
              <w:jc w:val="left"/>
              <w:rPr>
                <w:rFonts w:eastAsia="MS Mincho"/>
                <w:sz w:val="22"/>
                <w:szCs w:val="22"/>
              </w:rPr>
            </w:pPr>
          </w:p>
        </w:tc>
        <w:tc>
          <w:tcPr>
            <w:tcW w:w="6004" w:type="dxa"/>
          </w:tcPr>
          <w:p w14:paraId="0115DB27" w14:textId="77777777" w:rsidR="007D6758" w:rsidRPr="005A5612" w:rsidRDefault="007D6758" w:rsidP="007D6758">
            <w:pPr>
              <w:pStyle w:val="TextTi12"/>
              <w:rPr>
                <w:sz w:val="22"/>
                <w:szCs w:val="22"/>
                <w:lang w:val="es-ES"/>
              </w:rPr>
            </w:pPr>
            <w:r w:rsidRPr="005A5612">
              <w:rPr>
                <w:sz w:val="22"/>
                <w:szCs w:val="22"/>
                <w:lang w:val="es-ES"/>
              </w:rPr>
              <w:t xml:space="preserve">Si procede, modificar la dosis de la medicación concomitante de MTX. </w:t>
            </w:r>
          </w:p>
          <w:p w14:paraId="3E8512B4" w14:textId="73E4A296" w:rsidR="00B67603" w:rsidRDefault="007D6758" w:rsidP="006616E4">
            <w:pPr>
              <w:rPr>
                <w:lang w:val="es-ES_tradnl"/>
              </w:rPr>
            </w:pPr>
            <w:r w:rsidRPr="005A5612">
              <w:rPr>
                <w:lang w:val="es-ES_tradnl"/>
              </w:rPr>
              <w:t xml:space="preserve">Debe interrumpirse el tratamiento con </w:t>
            </w:r>
            <w:r w:rsidR="005D309C">
              <w:rPr>
                <w:szCs w:val="22"/>
                <w:lang w:val="es-ES"/>
              </w:rPr>
              <w:t xml:space="preserve">tocilizumab </w:t>
            </w:r>
            <w:r w:rsidRPr="005A5612">
              <w:rPr>
                <w:lang w:val="es-ES_tradnl"/>
              </w:rPr>
              <w:t xml:space="preserve">hasta que los valores </w:t>
            </w:r>
            <w:proofErr w:type="gramStart"/>
            <w:r w:rsidRPr="005A5612">
              <w:rPr>
                <w:lang w:val="es-ES_tradnl"/>
              </w:rPr>
              <w:t xml:space="preserve">sean </w:t>
            </w:r>
            <w:r w:rsidR="003A172F" w:rsidRPr="00F30AB8">
              <w:rPr>
                <w:rFonts w:eastAsia="MS Mincho"/>
                <w:szCs w:val="22"/>
                <w:lang w:val="es-ES"/>
              </w:rPr>
              <w:t> 3</w:t>
            </w:r>
            <w:proofErr w:type="gramEnd"/>
            <w:r w:rsidR="003A172F" w:rsidRPr="00F30AB8">
              <w:rPr>
                <w:rFonts w:eastAsia="MS Mincho"/>
                <w:szCs w:val="22"/>
                <w:lang w:val="es-ES"/>
              </w:rPr>
              <w:t xml:space="preserve"> ×  </w:t>
            </w:r>
            <w:r w:rsidR="003A172F">
              <w:rPr>
                <w:rFonts w:eastAsia="MS Mincho"/>
                <w:szCs w:val="22"/>
                <w:lang w:val="es-ES"/>
              </w:rPr>
              <w:t>LSN</w:t>
            </w:r>
            <w:r w:rsidRPr="005A5612">
              <w:rPr>
                <w:lang w:val="es-ES_tradnl"/>
              </w:rPr>
              <w:t xml:space="preserve"> y seguir las recomendaciones indicadas arriba, para valores </w:t>
            </w:r>
            <w:r w:rsidR="003A172F" w:rsidRPr="00F30AB8">
              <w:rPr>
                <w:rFonts w:eastAsia="MS Mincho"/>
                <w:szCs w:val="22"/>
                <w:lang w:val="es-ES"/>
              </w:rPr>
              <w:t> &gt; </w:t>
            </w:r>
            <w:r w:rsidR="003A172F">
              <w:rPr>
                <w:rFonts w:eastAsia="MS Mincho"/>
                <w:szCs w:val="22"/>
                <w:lang w:val="es-ES"/>
              </w:rPr>
              <w:t>1 a</w:t>
            </w:r>
            <w:r w:rsidR="003A172F" w:rsidRPr="00F30AB8">
              <w:rPr>
                <w:rFonts w:eastAsia="MS Mincho"/>
                <w:szCs w:val="22"/>
                <w:lang w:val="es-ES"/>
              </w:rPr>
              <w:t xml:space="preserve"> 3 × L</w:t>
            </w:r>
            <w:r w:rsidR="003A172F">
              <w:rPr>
                <w:rFonts w:eastAsia="MS Mincho"/>
                <w:szCs w:val="22"/>
                <w:lang w:val="es-ES"/>
              </w:rPr>
              <w:t>S</w:t>
            </w:r>
            <w:r w:rsidR="003A172F" w:rsidRPr="00F30AB8">
              <w:rPr>
                <w:rFonts w:eastAsia="MS Mincho"/>
                <w:szCs w:val="22"/>
                <w:lang w:val="es-ES"/>
              </w:rPr>
              <w:t>N.</w:t>
            </w:r>
            <w:r w:rsidRPr="005A5612">
              <w:rPr>
                <w:lang w:val="es-ES_tradnl"/>
              </w:rPr>
              <w:t xml:space="preserve"> </w:t>
            </w:r>
          </w:p>
          <w:p w14:paraId="122B4B53" w14:textId="77777777" w:rsidR="007D6758" w:rsidRPr="006616E4" w:rsidRDefault="007D6758" w:rsidP="006616E4">
            <w:pPr>
              <w:rPr>
                <w:lang w:val="es-ES_tradnl"/>
              </w:rPr>
            </w:pPr>
          </w:p>
        </w:tc>
      </w:tr>
      <w:tr w:rsidR="00B67603" w:rsidRPr="00541248" w14:paraId="7E34B650" w14:textId="77777777" w:rsidTr="00DD275B">
        <w:tc>
          <w:tcPr>
            <w:tcW w:w="1796" w:type="dxa"/>
          </w:tcPr>
          <w:p w14:paraId="0D61E80F" w14:textId="3D14349D" w:rsidR="00B67603" w:rsidRPr="00F30AB8" w:rsidRDefault="00B67603" w:rsidP="00DD275B">
            <w:pPr>
              <w:pStyle w:val="TextTi12"/>
              <w:rPr>
                <w:rFonts w:eastAsia="MS Mincho"/>
                <w:sz w:val="22"/>
                <w:szCs w:val="22"/>
                <w:lang w:val="es-ES"/>
              </w:rPr>
            </w:pPr>
          </w:p>
          <w:p w14:paraId="61B53F8A" w14:textId="54A6901F" w:rsidR="003A172F" w:rsidRPr="008B5E8B" w:rsidRDefault="003A172F" w:rsidP="00DD275B">
            <w:pPr>
              <w:pStyle w:val="TextTi12"/>
              <w:rPr>
                <w:rFonts w:eastAsia="MS Mincho"/>
                <w:sz w:val="22"/>
                <w:szCs w:val="22"/>
              </w:rPr>
            </w:pPr>
            <w:r w:rsidRPr="00945212">
              <w:rPr>
                <w:rFonts w:eastAsia="MS Mincho"/>
                <w:sz w:val="22"/>
                <w:szCs w:val="22"/>
                <w:lang w:val="en-GB" w:eastAsia="ja-JP"/>
              </w:rPr>
              <w:t>&gt; 5 × L</w:t>
            </w:r>
            <w:r>
              <w:rPr>
                <w:rFonts w:eastAsia="MS Mincho"/>
                <w:sz w:val="22"/>
                <w:szCs w:val="22"/>
                <w:lang w:val="en-GB" w:eastAsia="ja-JP"/>
              </w:rPr>
              <w:t>S</w:t>
            </w:r>
            <w:r w:rsidRPr="00945212">
              <w:rPr>
                <w:rFonts w:eastAsia="MS Mincho"/>
                <w:sz w:val="22"/>
                <w:szCs w:val="22"/>
                <w:lang w:val="en-GB" w:eastAsia="ja-JP"/>
              </w:rPr>
              <w:t>N</w:t>
            </w:r>
          </w:p>
        </w:tc>
        <w:tc>
          <w:tcPr>
            <w:tcW w:w="6004" w:type="dxa"/>
          </w:tcPr>
          <w:p w14:paraId="01538E91" w14:textId="540882C5" w:rsidR="00B67603" w:rsidRPr="006616E4" w:rsidRDefault="00243657" w:rsidP="00DD275B">
            <w:pPr>
              <w:pStyle w:val="TextTi12"/>
              <w:rPr>
                <w:rFonts w:eastAsia="MS Mincho"/>
                <w:sz w:val="22"/>
                <w:szCs w:val="22"/>
                <w:lang w:val="es-ES"/>
              </w:rPr>
            </w:pPr>
            <w:r w:rsidRPr="006616E4">
              <w:rPr>
                <w:rFonts w:eastAsia="MS Mincho"/>
                <w:sz w:val="22"/>
                <w:szCs w:val="22"/>
                <w:lang w:val="es-ES"/>
              </w:rPr>
              <w:t xml:space="preserve">Interrumpir </w:t>
            </w:r>
            <w:del w:id="789" w:author="AUTHOR">
              <w:r w:rsidRPr="006616E4" w:rsidDel="006D4B3A">
                <w:rPr>
                  <w:rFonts w:eastAsia="MS Mincho"/>
                  <w:sz w:val="22"/>
                  <w:szCs w:val="22"/>
                  <w:lang w:val="es-ES"/>
                </w:rPr>
                <w:delText>el tratamiento</w:delText>
              </w:r>
              <w:r w:rsidR="005D309C" w:rsidDel="006D4B3A">
                <w:rPr>
                  <w:rFonts w:eastAsia="MS Mincho"/>
                  <w:sz w:val="22"/>
                  <w:szCs w:val="22"/>
                  <w:lang w:val="es-ES"/>
                </w:rPr>
                <w:delText xml:space="preserve"> con</w:delText>
              </w:r>
            </w:del>
            <w:ins w:id="790" w:author="AUTHOR">
              <w:r w:rsidR="006D4B3A">
                <w:rPr>
                  <w:rFonts w:eastAsia="MS Mincho"/>
                  <w:sz w:val="22"/>
                  <w:szCs w:val="22"/>
                  <w:lang w:val="es-ES"/>
                </w:rPr>
                <w:t>la administración de</w:t>
              </w:r>
            </w:ins>
            <w:r w:rsidR="005D309C">
              <w:rPr>
                <w:rFonts w:eastAsia="MS Mincho"/>
                <w:sz w:val="22"/>
                <w:szCs w:val="22"/>
                <w:lang w:val="es-ES"/>
              </w:rPr>
              <w:t xml:space="preserve"> </w:t>
            </w:r>
            <w:r w:rsidR="005D309C">
              <w:rPr>
                <w:sz w:val="22"/>
                <w:szCs w:val="22"/>
                <w:lang w:val="es-ES"/>
              </w:rPr>
              <w:t>tocilizumab</w:t>
            </w:r>
            <w:r w:rsidR="00B67603" w:rsidRPr="006616E4">
              <w:rPr>
                <w:rFonts w:eastAsia="MS Mincho"/>
                <w:sz w:val="22"/>
                <w:szCs w:val="22"/>
                <w:lang w:val="es-ES"/>
              </w:rPr>
              <w:t xml:space="preserve">. </w:t>
            </w:r>
          </w:p>
          <w:p w14:paraId="7D9106B2" w14:textId="2875A433" w:rsidR="00B67603" w:rsidRDefault="007D6758" w:rsidP="006616E4">
            <w:pPr>
              <w:rPr>
                <w:noProof/>
                <w:lang w:val="es-ES"/>
              </w:rPr>
            </w:pPr>
            <w:r w:rsidRPr="005A5612">
              <w:rPr>
                <w:noProof/>
                <w:lang w:val="es-ES"/>
              </w:rPr>
              <w:t>La decisión de suspender</w:t>
            </w:r>
            <w:r w:rsidR="000D6881">
              <w:rPr>
                <w:noProof/>
                <w:lang w:val="es-ES"/>
              </w:rPr>
              <w:t xml:space="preserve"> el tratamiento</w:t>
            </w:r>
            <w:r>
              <w:rPr>
                <w:noProof/>
                <w:lang w:val="es-ES"/>
              </w:rPr>
              <w:t xml:space="preserve"> en </w:t>
            </w:r>
            <w:r w:rsidR="00C82755">
              <w:rPr>
                <w:noProof/>
                <w:lang w:val="es-ES"/>
              </w:rPr>
              <w:t xml:space="preserve">AIJs o </w:t>
            </w:r>
            <w:r>
              <w:rPr>
                <w:noProof/>
                <w:lang w:val="es-ES"/>
              </w:rPr>
              <w:t>AIJ</w:t>
            </w:r>
            <w:r w:rsidR="000C6FE2">
              <w:rPr>
                <w:noProof/>
                <w:lang w:val="es-ES"/>
              </w:rPr>
              <w:t>p</w:t>
            </w:r>
            <w:r w:rsidRPr="005A5612">
              <w:rPr>
                <w:noProof/>
                <w:lang w:val="es-ES"/>
              </w:rPr>
              <w:t xml:space="preserve"> por unos valores de laboratorio an</w:t>
            </w:r>
            <w:r>
              <w:rPr>
                <w:noProof/>
                <w:lang w:val="es-ES"/>
              </w:rPr>
              <w:t>ó</w:t>
            </w:r>
            <w:r w:rsidRPr="005A5612">
              <w:rPr>
                <w:noProof/>
                <w:lang w:val="es-ES"/>
              </w:rPr>
              <w:t>malos debe estar basada en la evaluación individual del médico para cada paciente.</w:t>
            </w:r>
          </w:p>
          <w:p w14:paraId="3FBAD972" w14:textId="77777777" w:rsidR="007D6758" w:rsidRPr="006616E4" w:rsidRDefault="007D6758" w:rsidP="006616E4">
            <w:pPr>
              <w:rPr>
                <w:noProof/>
                <w:lang w:val="es-ES"/>
              </w:rPr>
            </w:pPr>
          </w:p>
        </w:tc>
      </w:tr>
    </w:tbl>
    <w:p w14:paraId="47431B57" w14:textId="77777777" w:rsidR="0052516B" w:rsidRDefault="0052516B" w:rsidP="00834462">
      <w:pPr>
        <w:rPr>
          <w:lang w:val="es-ES"/>
        </w:rPr>
      </w:pPr>
    </w:p>
    <w:p w14:paraId="747CB13E" w14:textId="77777777" w:rsidR="00243657" w:rsidRDefault="00A1715E" w:rsidP="006616E4">
      <w:pPr>
        <w:tabs>
          <w:tab w:val="left" w:pos="709"/>
        </w:tabs>
        <w:ind w:left="714" w:hanging="357"/>
        <w:rPr>
          <w:lang w:val="es-ES"/>
        </w:rPr>
      </w:pPr>
      <w:r w:rsidRPr="008A106B">
        <w:rPr>
          <w:lang w:val="es-ES"/>
        </w:rPr>
        <w:sym w:font="Symbol" w:char="F0B7"/>
      </w:r>
      <w:r>
        <w:rPr>
          <w:lang w:val="es-ES"/>
        </w:rPr>
        <w:tab/>
      </w:r>
      <w:r w:rsidR="007D6758">
        <w:rPr>
          <w:lang w:val="es-ES"/>
        </w:rPr>
        <w:t xml:space="preserve">Bajo </w:t>
      </w:r>
      <w:r w:rsidR="00243657">
        <w:rPr>
          <w:lang w:val="es-ES"/>
        </w:rPr>
        <w:t xml:space="preserve">Recuento </w:t>
      </w:r>
      <w:r w:rsidR="007D6758">
        <w:rPr>
          <w:lang w:val="es-ES"/>
        </w:rPr>
        <w:t>A</w:t>
      </w:r>
      <w:r w:rsidR="00243657">
        <w:rPr>
          <w:lang w:val="es-ES"/>
        </w:rPr>
        <w:t xml:space="preserve">bsoluto </w:t>
      </w:r>
      <w:r w:rsidR="007D6758">
        <w:rPr>
          <w:lang w:val="es-ES"/>
        </w:rPr>
        <w:t>de N</w:t>
      </w:r>
      <w:r w:rsidR="00243657">
        <w:rPr>
          <w:lang w:val="es-ES"/>
        </w:rPr>
        <w:t>eutrófilos (RAN)</w:t>
      </w:r>
    </w:p>
    <w:p w14:paraId="6EA89327" w14:textId="77777777" w:rsidR="00371158" w:rsidRDefault="00371158" w:rsidP="006616E4">
      <w:pPr>
        <w:tabs>
          <w:tab w:val="left" w:pos="709"/>
        </w:tabs>
        <w:ind w:left="714" w:hanging="357"/>
        <w:rPr>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6435"/>
      </w:tblGrid>
      <w:tr w:rsidR="00243657" w:rsidRPr="008B5E8B" w14:paraId="0FB01985" w14:textId="77777777" w:rsidTr="00F30AB8">
        <w:tc>
          <w:tcPr>
            <w:tcW w:w="1407" w:type="dxa"/>
          </w:tcPr>
          <w:p w14:paraId="54223448" w14:textId="2750A8A1" w:rsidR="00243657" w:rsidRPr="00F30AB8" w:rsidRDefault="00243657" w:rsidP="00243657">
            <w:pPr>
              <w:pStyle w:val="TextTi12"/>
              <w:jc w:val="center"/>
              <w:rPr>
                <w:rFonts w:eastAsia="MS Mincho"/>
                <w:bCs/>
                <w:sz w:val="22"/>
                <w:szCs w:val="22"/>
                <w:lang w:val="es-ES"/>
              </w:rPr>
            </w:pPr>
            <w:r w:rsidRPr="00F30AB8">
              <w:rPr>
                <w:rFonts w:eastAsia="MS Mincho"/>
                <w:bCs/>
                <w:sz w:val="22"/>
                <w:szCs w:val="22"/>
                <w:lang w:val="es-ES"/>
              </w:rPr>
              <w:t>Valor</w:t>
            </w:r>
            <w:r w:rsidR="007D6758" w:rsidRPr="00F30AB8">
              <w:rPr>
                <w:rFonts w:eastAsia="MS Mincho"/>
                <w:bCs/>
                <w:sz w:val="22"/>
                <w:szCs w:val="22"/>
                <w:lang w:val="es-ES"/>
              </w:rPr>
              <w:t>es</w:t>
            </w:r>
            <w:r w:rsidRPr="00F30AB8">
              <w:rPr>
                <w:rFonts w:eastAsia="MS Mincho"/>
                <w:bCs/>
                <w:sz w:val="22"/>
                <w:szCs w:val="22"/>
                <w:lang w:val="es-ES"/>
              </w:rPr>
              <w:t xml:space="preserve"> de laboratorio</w:t>
            </w:r>
            <w:r w:rsidRPr="00F30AB8">
              <w:rPr>
                <w:rFonts w:eastAsia="MS Mincho"/>
                <w:bCs/>
                <w:sz w:val="22"/>
                <w:szCs w:val="22"/>
                <w:lang w:val="es-ES"/>
              </w:rPr>
              <w:br/>
              <w:t>(células</w:t>
            </w:r>
            <w:r w:rsidR="003A172F" w:rsidRPr="00F30AB8">
              <w:rPr>
                <w:rFonts w:eastAsia="MS Mincho"/>
                <w:sz w:val="22"/>
                <w:szCs w:val="22"/>
                <w:lang w:val="es-ES" w:eastAsia="ja-JP"/>
              </w:rPr>
              <w:t> × 10</w:t>
            </w:r>
            <w:r w:rsidR="003A172F" w:rsidRPr="00F30AB8">
              <w:rPr>
                <w:rFonts w:eastAsia="MS Mincho"/>
                <w:sz w:val="22"/>
                <w:szCs w:val="22"/>
                <w:vertAlign w:val="superscript"/>
                <w:lang w:val="es-ES" w:eastAsia="ja-JP"/>
              </w:rPr>
              <w:t>9</w:t>
            </w:r>
            <w:r w:rsidR="003A172F" w:rsidRPr="00F30AB8">
              <w:rPr>
                <w:rFonts w:eastAsia="MS Mincho"/>
                <w:sz w:val="22"/>
                <w:szCs w:val="22"/>
                <w:lang w:val="es-ES" w:eastAsia="ja-JP"/>
              </w:rPr>
              <w:t>/l)</w:t>
            </w:r>
            <w:r w:rsidR="006D6334" w:rsidRPr="00F30AB8">
              <w:rPr>
                <w:rFonts w:eastAsia="MS Mincho"/>
                <w:sz w:val="22"/>
                <w:szCs w:val="22"/>
                <w:lang w:val="es-ES"/>
              </w:rPr>
              <w:t xml:space="preserve"> </w:t>
            </w:r>
          </w:p>
        </w:tc>
        <w:tc>
          <w:tcPr>
            <w:tcW w:w="6435" w:type="dxa"/>
          </w:tcPr>
          <w:p w14:paraId="3F3C8466" w14:textId="77777777" w:rsidR="00243657" w:rsidRPr="00F30AB8" w:rsidRDefault="00243657" w:rsidP="00DD275B">
            <w:pPr>
              <w:pStyle w:val="TextTi12"/>
              <w:jc w:val="center"/>
              <w:rPr>
                <w:rFonts w:eastAsia="MS Mincho"/>
                <w:bCs/>
                <w:sz w:val="22"/>
                <w:szCs w:val="22"/>
              </w:rPr>
            </w:pPr>
            <w:r w:rsidRPr="00F30AB8">
              <w:rPr>
                <w:rFonts w:eastAsia="MS Mincho"/>
                <w:bCs/>
                <w:sz w:val="22"/>
                <w:szCs w:val="22"/>
              </w:rPr>
              <w:t>Acción</w:t>
            </w:r>
          </w:p>
        </w:tc>
      </w:tr>
      <w:tr w:rsidR="00243657" w:rsidRPr="008B5E8B" w14:paraId="44AE8D2B" w14:textId="77777777" w:rsidTr="00F30AB8">
        <w:tc>
          <w:tcPr>
            <w:tcW w:w="1407" w:type="dxa"/>
          </w:tcPr>
          <w:p w14:paraId="3A67B172" w14:textId="32B8F376" w:rsidR="00243657" w:rsidRDefault="00243657" w:rsidP="00DD275B">
            <w:pPr>
              <w:pStyle w:val="TextTi12"/>
              <w:rPr>
                <w:rFonts w:eastAsia="MS Mincho"/>
                <w:sz w:val="22"/>
                <w:szCs w:val="22"/>
              </w:rPr>
            </w:pPr>
            <w:r w:rsidRPr="008B5E8B">
              <w:rPr>
                <w:rFonts w:eastAsia="MS Mincho"/>
                <w:sz w:val="22"/>
                <w:szCs w:val="22"/>
              </w:rPr>
              <w:t xml:space="preserve"> </w:t>
            </w:r>
          </w:p>
          <w:p w14:paraId="71CFBC56" w14:textId="2512F71C" w:rsidR="003A172F" w:rsidRPr="008B5E8B" w:rsidRDefault="003A172F" w:rsidP="00DD275B">
            <w:pPr>
              <w:pStyle w:val="TextTi12"/>
              <w:rPr>
                <w:rFonts w:eastAsia="MS Mincho"/>
                <w:sz w:val="22"/>
                <w:szCs w:val="22"/>
              </w:rPr>
            </w:pPr>
            <w:r>
              <w:rPr>
                <w:rFonts w:eastAsia="MS Mincho"/>
                <w:sz w:val="22"/>
                <w:szCs w:val="22"/>
                <w:lang w:val="en-GB" w:eastAsia="ja-JP"/>
              </w:rPr>
              <w:t>RAN</w:t>
            </w:r>
            <w:r w:rsidRPr="00945212">
              <w:rPr>
                <w:rFonts w:eastAsia="MS Mincho"/>
                <w:sz w:val="22"/>
                <w:szCs w:val="22"/>
                <w:lang w:val="en-GB" w:eastAsia="ja-JP"/>
              </w:rPr>
              <w:t> &gt; 1</w:t>
            </w:r>
          </w:p>
        </w:tc>
        <w:tc>
          <w:tcPr>
            <w:tcW w:w="6435" w:type="dxa"/>
          </w:tcPr>
          <w:p w14:paraId="497911D9" w14:textId="77777777" w:rsidR="00243657" w:rsidRPr="006616E4" w:rsidRDefault="007D6758" w:rsidP="006616E4">
            <w:pPr>
              <w:rPr>
                <w:lang w:val="es-ES"/>
              </w:rPr>
            </w:pPr>
            <w:r w:rsidRPr="005A5612">
              <w:rPr>
                <w:szCs w:val="22"/>
                <w:lang w:val="es-ES"/>
              </w:rPr>
              <w:t>Mantener la dosis.</w:t>
            </w:r>
          </w:p>
        </w:tc>
      </w:tr>
      <w:tr w:rsidR="00243657" w:rsidRPr="00541248" w14:paraId="5D1A3D5E" w14:textId="77777777" w:rsidTr="00F30AB8">
        <w:tc>
          <w:tcPr>
            <w:tcW w:w="1407" w:type="dxa"/>
          </w:tcPr>
          <w:p w14:paraId="776A9491" w14:textId="77777777" w:rsidR="00243657" w:rsidRPr="008B5E8B" w:rsidRDefault="00243657" w:rsidP="00243657">
            <w:pPr>
              <w:pStyle w:val="TextTi12"/>
              <w:rPr>
                <w:rFonts w:eastAsia="MS Mincho"/>
                <w:sz w:val="22"/>
                <w:szCs w:val="22"/>
              </w:rPr>
            </w:pPr>
            <w:r>
              <w:rPr>
                <w:rFonts w:eastAsia="MS Mincho"/>
                <w:sz w:val="22"/>
                <w:szCs w:val="22"/>
              </w:rPr>
              <w:t>R</w:t>
            </w:r>
            <w:r w:rsidRPr="008B5E8B">
              <w:rPr>
                <w:rFonts w:eastAsia="MS Mincho"/>
                <w:sz w:val="22"/>
                <w:szCs w:val="22"/>
              </w:rPr>
              <w:t>AN</w:t>
            </w:r>
            <w:r>
              <w:rPr>
                <w:rFonts w:eastAsia="MS Mincho"/>
                <w:sz w:val="22"/>
                <w:szCs w:val="22"/>
              </w:rPr>
              <w:t xml:space="preserve"> 0,</w:t>
            </w:r>
            <w:r w:rsidRPr="008B5E8B">
              <w:rPr>
                <w:rFonts w:eastAsia="MS Mincho"/>
                <w:sz w:val="22"/>
                <w:szCs w:val="22"/>
              </w:rPr>
              <w:t xml:space="preserve">5 </w:t>
            </w:r>
            <w:r>
              <w:rPr>
                <w:rFonts w:eastAsia="MS Mincho"/>
                <w:sz w:val="22"/>
                <w:szCs w:val="22"/>
              </w:rPr>
              <w:t>a</w:t>
            </w:r>
            <w:r w:rsidRPr="008B5E8B">
              <w:rPr>
                <w:rFonts w:eastAsia="MS Mincho"/>
                <w:sz w:val="22"/>
                <w:szCs w:val="22"/>
              </w:rPr>
              <w:t xml:space="preserve"> 1</w:t>
            </w:r>
          </w:p>
        </w:tc>
        <w:tc>
          <w:tcPr>
            <w:tcW w:w="6435" w:type="dxa"/>
          </w:tcPr>
          <w:p w14:paraId="4ED278BC" w14:textId="1A688F59" w:rsidR="007D6758" w:rsidRPr="005A5612" w:rsidRDefault="007D6758" w:rsidP="007D6758">
            <w:pPr>
              <w:pStyle w:val="TextTi12"/>
              <w:rPr>
                <w:sz w:val="22"/>
                <w:szCs w:val="22"/>
                <w:lang w:val="es-ES"/>
              </w:rPr>
            </w:pPr>
            <w:r w:rsidRPr="005A5612">
              <w:rPr>
                <w:sz w:val="22"/>
                <w:szCs w:val="22"/>
                <w:lang w:val="es-ES"/>
              </w:rPr>
              <w:t xml:space="preserve">Interrumpir </w:t>
            </w:r>
            <w:del w:id="791" w:author="AUTHOR">
              <w:r w:rsidRPr="005A5612" w:rsidDel="006D4B3A">
                <w:rPr>
                  <w:sz w:val="22"/>
                  <w:szCs w:val="22"/>
                  <w:lang w:val="es-ES"/>
                </w:rPr>
                <w:delText>el tratamiento con</w:delText>
              </w:r>
            </w:del>
            <w:ins w:id="792" w:author="AUTHOR">
              <w:r w:rsidR="006D4B3A">
                <w:rPr>
                  <w:sz w:val="22"/>
                  <w:szCs w:val="22"/>
                  <w:lang w:val="es-ES"/>
                </w:rPr>
                <w:t>la administración de</w:t>
              </w:r>
            </w:ins>
            <w:r w:rsidRPr="005A5612">
              <w:rPr>
                <w:sz w:val="22"/>
                <w:szCs w:val="22"/>
                <w:lang w:val="es-ES"/>
              </w:rPr>
              <w:t xml:space="preserve"> </w:t>
            </w:r>
            <w:r w:rsidR="005D309C">
              <w:rPr>
                <w:sz w:val="22"/>
                <w:szCs w:val="22"/>
                <w:lang w:val="es-ES"/>
              </w:rPr>
              <w:t>tocilizumab</w:t>
            </w:r>
            <w:r w:rsidRPr="005A5612">
              <w:rPr>
                <w:sz w:val="22"/>
                <w:szCs w:val="22"/>
                <w:lang w:val="es-ES"/>
              </w:rPr>
              <w:t>.</w:t>
            </w:r>
          </w:p>
          <w:p w14:paraId="7B6E9A16" w14:textId="67D6F2D7" w:rsidR="00243657" w:rsidRPr="006616E4" w:rsidRDefault="00243657">
            <w:pPr>
              <w:pStyle w:val="TextTi12"/>
              <w:rPr>
                <w:rFonts w:eastAsia="MS Mincho"/>
                <w:sz w:val="22"/>
                <w:szCs w:val="22"/>
                <w:lang w:val="es-ES"/>
              </w:rPr>
            </w:pPr>
            <w:r w:rsidRPr="006616E4">
              <w:rPr>
                <w:rFonts w:eastAsia="MS Mincho"/>
                <w:sz w:val="22"/>
                <w:szCs w:val="22"/>
                <w:lang w:val="es-ES"/>
              </w:rPr>
              <w:t>Cuando RAN au</w:t>
            </w:r>
            <w:r>
              <w:rPr>
                <w:rFonts w:eastAsia="MS Mincho"/>
                <w:sz w:val="22"/>
                <w:szCs w:val="22"/>
                <w:lang w:val="es-ES"/>
              </w:rPr>
              <w:t xml:space="preserve">mente </w:t>
            </w:r>
            <w:proofErr w:type="gramStart"/>
            <w:r>
              <w:rPr>
                <w:rFonts w:eastAsia="MS Mincho"/>
                <w:sz w:val="22"/>
                <w:szCs w:val="22"/>
                <w:lang w:val="es-ES"/>
              </w:rPr>
              <w:t xml:space="preserve">a </w:t>
            </w:r>
            <w:r w:rsidR="003A172F" w:rsidRPr="00F30AB8">
              <w:rPr>
                <w:rFonts w:eastAsia="MS Mincho"/>
                <w:sz w:val="22"/>
                <w:szCs w:val="22"/>
                <w:lang w:val="es-ES" w:eastAsia="ja-JP"/>
              </w:rPr>
              <w:t> &gt;</w:t>
            </w:r>
            <w:proofErr w:type="gramEnd"/>
            <w:r w:rsidR="003A172F" w:rsidRPr="00F30AB8">
              <w:rPr>
                <w:rFonts w:eastAsia="MS Mincho"/>
                <w:sz w:val="22"/>
                <w:szCs w:val="22"/>
                <w:lang w:val="es-ES" w:eastAsia="ja-JP"/>
              </w:rPr>
              <w:t> 1 × 10</w:t>
            </w:r>
            <w:r w:rsidR="003A172F" w:rsidRPr="00F30AB8">
              <w:rPr>
                <w:rFonts w:eastAsia="MS Mincho"/>
                <w:sz w:val="22"/>
                <w:szCs w:val="22"/>
                <w:vertAlign w:val="superscript"/>
                <w:lang w:val="es-ES" w:eastAsia="ja-JP"/>
              </w:rPr>
              <w:t>9</w:t>
            </w:r>
            <w:r w:rsidR="003A172F" w:rsidRPr="00F30AB8">
              <w:rPr>
                <w:rFonts w:eastAsia="MS Mincho"/>
                <w:sz w:val="22"/>
                <w:szCs w:val="22"/>
                <w:lang w:val="es-ES" w:eastAsia="ja-JP"/>
              </w:rPr>
              <w:t>/</w:t>
            </w:r>
            <w:r w:rsidR="003A172F">
              <w:rPr>
                <w:rFonts w:eastAsia="MS Mincho"/>
                <w:sz w:val="22"/>
                <w:szCs w:val="22"/>
                <w:lang w:val="es-ES" w:eastAsia="ja-JP"/>
              </w:rPr>
              <w:t>l</w:t>
            </w:r>
            <w:r w:rsidR="003A172F" w:rsidRPr="00F30AB8">
              <w:rPr>
                <w:rFonts w:eastAsia="MS Mincho"/>
                <w:sz w:val="22"/>
                <w:szCs w:val="22"/>
                <w:lang w:val="es-ES" w:eastAsia="ja-JP"/>
              </w:rPr>
              <w:t xml:space="preserve"> </w:t>
            </w:r>
            <w:r w:rsidRPr="006616E4">
              <w:rPr>
                <w:rFonts w:eastAsia="MS Mincho"/>
                <w:sz w:val="22"/>
                <w:szCs w:val="22"/>
                <w:lang w:val="es-ES"/>
              </w:rPr>
              <w:t xml:space="preserve"> </w:t>
            </w:r>
            <w:r w:rsidR="007D6758">
              <w:rPr>
                <w:rFonts w:eastAsia="MS Mincho"/>
                <w:sz w:val="22"/>
                <w:szCs w:val="22"/>
                <w:lang w:val="es-ES"/>
              </w:rPr>
              <w:t>reestablecer</w:t>
            </w:r>
            <w:r>
              <w:rPr>
                <w:rFonts w:eastAsia="MS Mincho"/>
                <w:sz w:val="22"/>
                <w:szCs w:val="22"/>
                <w:lang w:val="es-ES"/>
              </w:rPr>
              <w:t xml:space="preserve"> el tratamiento</w:t>
            </w:r>
            <w:r w:rsidR="005D309C">
              <w:rPr>
                <w:rFonts w:eastAsia="MS Mincho"/>
                <w:sz w:val="22"/>
                <w:szCs w:val="22"/>
                <w:lang w:val="es-ES"/>
              </w:rPr>
              <w:t>.</w:t>
            </w:r>
            <w:r w:rsidRPr="006616E4">
              <w:rPr>
                <w:rFonts w:eastAsia="MS Mincho"/>
                <w:sz w:val="22"/>
                <w:szCs w:val="22"/>
                <w:lang w:val="es-ES"/>
              </w:rPr>
              <w:t xml:space="preserve"> </w:t>
            </w:r>
          </w:p>
        </w:tc>
      </w:tr>
      <w:tr w:rsidR="00243657" w:rsidRPr="00541248" w14:paraId="2FEE4132" w14:textId="77777777" w:rsidTr="00F30AB8">
        <w:tc>
          <w:tcPr>
            <w:tcW w:w="1407" w:type="dxa"/>
          </w:tcPr>
          <w:p w14:paraId="52B13742" w14:textId="15D1343C" w:rsidR="00243657" w:rsidRPr="008B5E8B" w:rsidRDefault="003A172F" w:rsidP="00243657">
            <w:pPr>
              <w:pStyle w:val="TextTi12"/>
              <w:rPr>
                <w:rFonts w:eastAsia="MS Mincho"/>
                <w:sz w:val="22"/>
                <w:szCs w:val="22"/>
              </w:rPr>
            </w:pPr>
            <w:r>
              <w:rPr>
                <w:rFonts w:eastAsia="MS Mincho"/>
                <w:sz w:val="22"/>
                <w:szCs w:val="22"/>
                <w:lang w:val="en-GB" w:eastAsia="ja-JP"/>
              </w:rPr>
              <w:t>RAN</w:t>
            </w:r>
            <w:r w:rsidRPr="00945212">
              <w:rPr>
                <w:rFonts w:eastAsia="MS Mincho"/>
                <w:sz w:val="22"/>
                <w:szCs w:val="22"/>
                <w:lang w:val="en-GB" w:eastAsia="ja-JP"/>
              </w:rPr>
              <w:t> &lt; 0.5</w:t>
            </w:r>
          </w:p>
        </w:tc>
        <w:tc>
          <w:tcPr>
            <w:tcW w:w="6435" w:type="dxa"/>
          </w:tcPr>
          <w:p w14:paraId="73A1BF55" w14:textId="6EA0EB80" w:rsidR="00243657" w:rsidRPr="00EF2448" w:rsidRDefault="00243657" w:rsidP="00DD275B">
            <w:pPr>
              <w:pStyle w:val="TextTi12"/>
              <w:rPr>
                <w:rFonts w:eastAsia="MS Mincho"/>
                <w:sz w:val="22"/>
                <w:szCs w:val="22"/>
                <w:lang w:val="es-ES"/>
              </w:rPr>
            </w:pPr>
            <w:r w:rsidRPr="00EF2448">
              <w:rPr>
                <w:rFonts w:eastAsia="MS Mincho"/>
                <w:sz w:val="22"/>
                <w:szCs w:val="22"/>
                <w:lang w:val="es-ES"/>
              </w:rPr>
              <w:t xml:space="preserve">Interrumpir </w:t>
            </w:r>
            <w:ins w:id="793" w:author="AUTHOR">
              <w:r w:rsidR="006D4B3A">
                <w:rPr>
                  <w:sz w:val="22"/>
                  <w:szCs w:val="22"/>
                  <w:lang w:val="es-ES"/>
                </w:rPr>
                <w:t>la administración de</w:t>
              </w:r>
            </w:ins>
            <w:del w:id="794" w:author="AUTHOR">
              <w:r w:rsidRPr="00EF2448" w:rsidDel="006D4B3A">
                <w:rPr>
                  <w:rFonts w:eastAsia="MS Mincho"/>
                  <w:sz w:val="22"/>
                  <w:szCs w:val="22"/>
                  <w:lang w:val="es-ES"/>
                </w:rPr>
                <w:delText>el tratamiento</w:delText>
              </w:r>
            </w:del>
            <w:r w:rsidRPr="00EF2448">
              <w:rPr>
                <w:rFonts w:eastAsia="MS Mincho"/>
                <w:sz w:val="22"/>
                <w:szCs w:val="22"/>
                <w:lang w:val="es-ES"/>
              </w:rPr>
              <w:t xml:space="preserve"> con </w:t>
            </w:r>
            <w:r w:rsidR="005D309C">
              <w:rPr>
                <w:sz w:val="22"/>
                <w:szCs w:val="22"/>
                <w:lang w:val="es-ES"/>
              </w:rPr>
              <w:t>tocilizumab</w:t>
            </w:r>
          </w:p>
          <w:p w14:paraId="1F361059" w14:textId="0C79BDDF" w:rsidR="00243657" w:rsidRDefault="007D6758" w:rsidP="006616E4">
            <w:pPr>
              <w:rPr>
                <w:noProof/>
                <w:lang w:val="es-ES"/>
              </w:rPr>
            </w:pPr>
            <w:r w:rsidRPr="005A5612">
              <w:rPr>
                <w:noProof/>
                <w:lang w:val="es-ES"/>
              </w:rPr>
              <w:t xml:space="preserve">La decisión de suspender </w:t>
            </w:r>
            <w:r w:rsidR="000D6881">
              <w:rPr>
                <w:noProof/>
                <w:lang w:val="es-ES"/>
              </w:rPr>
              <w:t xml:space="preserve">el tratamiento </w:t>
            </w:r>
            <w:r>
              <w:rPr>
                <w:noProof/>
                <w:lang w:val="es-ES"/>
              </w:rPr>
              <w:t xml:space="preserve">en </w:t>
            </w:r>
            <w:r w:rsidR="00C82755">
              <w:rPr>
                <w:noProof/>
                <w:lang w:val="es-ES"/>
              </w:rPr>
              <w:t xml:space="preserve">AIJs o </w:t>
            </w:r>
            <w:r>
              <w:rPr>
                <w:noProof/>
                <w:lang w:val="es-ES"/>
              </w:rPr>
              <w:t>AIJ</w:t>
            </w:r>
            <w:r w:rsidR="000C6FE2">
              <w:rPr>
                <w:noProof/>
                <w:lang w:val="es-ES"/>
              </w:rPr>
              <w:t>p</w:t>
            </w:r>
            <w:r w:rsidRPr="005A5612">
              <w:rPr>
                <w:noProof/>
                <w:lang w:val="es-ES"/>
              </w:rPr>
              <w:t xml:space="preserve"> por unos valores de laboratorio anómalos debe estar basada en la evaluación individual del médico  para cada paciente.</w:t>
            </w:r>
          </w:p>
          <w:p w14:paraId="781DF288" w14:textId="77777777" w:rsidR="007D6758" w:rsidRPr="006616E4" w:rsidRDefault="007D6758" w:rsidP="006616E4">
            <w:pPr>
              <w:rPr>
                <w:noProof/>
                <w:lang w:val="es-ES"/>
              </w:rPr>
            </w:pPr>
          </w:p>
        </w:tc>
      </w:tr>
    </w:tbl>
    <w:p w14:paraId="6247E351" w14:textId="77777777" w:rsidR="00243657" w:rsidRDefault="00243657" w:rsidP="006616E4">
      <w:pPr>
        <w:tabs>
          <w:tab w:val="left" w:pos="709"/>
        </w:tabs>
        <w:ind w:left="720"/>
        <w:rPr>
          <w:lang w:val="es-ES"/>
        </w:rPr>
      </w:pPr>
      <w:r w:rsidRPr="00243657">
        <w:rPr>
          <w:lang w:val="es-ES"/>
        </w:rPr>
        <w:t xml:space="preserve"> </w:t>
      </w:r>
    </w:p>
    <w:p w14:paraId="7AE8978E" w14:textId="77777777" w:rsidR="00243657" w:rsidRDefault="00A1715E" w:rsidP="006616E4">
      <w:pPr>
        <w:keepNext/>
        <w:keepLines/>
        <w:tabs>
          <w:tab w:val="left" w:pos="709"/>
        </w:tabs>
        <w:ind w:left="714" w:hanging="357"/>
        <w:rPr>
          <w:lang w:val="es-ES"/>
        </w:rPr>
      </w:pPr>
      <w:r w:rsidRPr="008A106B">
        <w:rPr>
          <w:lang w:val="es-ES"/>
        </w:rPr>
        <w:lastRenderedPageBreak/>
        <w:sym w:font="Symbol" w:char="F0B7"/>
      </w:r>
      <w:r>
        <w:rPr>
          <w:lang w:val="es-ES"/>
        </w:rPr>
        <w:tab/>
      </w:r>
      <w:r w:rsidR="00243657">
        <w:rPr>
          <w:lang w:val="es-ES"/>
        </w:rPr>
        <w:t>Bajo recuento de plaquetas</w:t>
      </w:r>
    </w:p>
    <w:p w14:paraId="480B0976" w14:textId="77777777" w:rsidR="00371158" w:rsidRDefault="00371158" w:rsidP="006616E4">
      <w:pPr>
        <w:keepNext/>
        <w:keepLines/>
        <w:tabs>
          <w:tab w:val="left" w:pos="709"/>
        </w:tabs>
        <w:ind w:left="714" w:hanging="357"/>
        <w:rPr>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5998"/>
      </w:tblGrid>
      <w:tr w:rsidR="00243657" w:rsidRPr="008B5E8B" w14:paraId="29953EE7" w14:textId="77777777" w:rsidTr="00DD275B">
        <w:tc>
          <w:tcPr>
            <w:tcW w:w="1697" w:type="dxa"/>
          </w:tcPr>
          <w:p w14:paraId="6A76DCD7" w14:textId="0401C546" w:rsidR="00243657" w:rsidRPr="006D6334" w:rsidRDefault="00243657" w:rsidP="006A1006">
            <w:pPr>
              <w:pStyle w:val="TextTi12"/>
              <w:keepNext/>
              <w:keepLines/>
              <w:jc w:val="center"/>
              <w:rPr>
                <w:rFonts w:eastAsia="MS Mincho"/>
                <w:bCs/>
                <w:sz w:val="22"/>
                <w:szCs w:val="22"/>
                <w:lang w:val="es-ES"/>
              </w:rPr>
            </w:pPr>
            <w:r w:rsidRPr="00F30AB8">
              <w:rPr>
                <w:rFonts w:eastAsia="MS Mincho"/>
                <w:bCs/>
                <w:sz w:val="22"/>
                <w:szCs w:val="22"/>
                <w:lang w:val="es-ES"/>
              </w:rPr>
              <w:t>Valor</w:t>
            </w:r>
            <w:r w:rsidR="007D6758" w:rsidRPr="00F30AB8">
              <w:rPr>
                <w:rFonts w:eastAsia="MS Mincho"/>
                <w:bCs/>
                <w:sz w:val="22"/>
                <w:szCs w:val="22"/>
                <w:lang w:val="es-ES"/>
              </w:rPr>
              <w:t>es</w:t>
            </w:r>
            <w:r w:rsidRPr="00F30AB8">
              <w:rPr>
                <w:rFonts w:eastAsia="MS Mincho"/>
                <w:bCs/>
                <w:sz w:val="22"/>
                <w:szCs w:val="22"/>
                <w:lang w:val="es-ES"/>
              </w:rPr>
              <w:t xml:space="preserve"> de laboratorio</w:t>
            </w:r>
            <w:r w:rsidRPr="00F30AB8">
              <w:rPr>
                <w:rFonts w:eastAsia="MS Mincho"/>
                <w:bCs/>
                <w:sz w:val="22"/>
                <w:szCs w:val="22"/>
                <w:lang w:val="es-ES"/>
              </w:rPr>
              <w:br/>
              <w:t>(células</w:t>
            </w:r>
            <w:r w:rsidR="003A172F" w:rsidRPr="00F30AB8">
              <w:rPr>
                <w:rFonts w:eastAsia="MS Mincho"/>
                <w:sz w:val="22"/>
                <w:szCs w:val="22"/>
                <w:lang w:val="es-ES" w:eastAsia="ja-JP"/>
              </w:rPr>
              <w:t xml:space="preserve">  × 10</w:t>
            </w:r>
            <w:r w:rsidR="003A172F" w:rsidRPr="00F30AB8">
              <w:rPr>
                <w:rFonts w:eastAsia="MS Mincho"/>
                <w:sz w:val="22"/>
                <w:szCs w:val="22"/>
                <w:vertAlign w:val="superscript"/>
                <w:lang w:val="es-ES" w:eastAsia="ja-JP"/>
              </w:rPr>
              <w:t>3</w:t>
            </w:r>
            <w:r w:rsidR="003A172F" w:rsidRPr="00F30AB8">
              <w:rPr>
                <w:rFonts w:eastAsia="MS Mincho"/>
                <w:sz w:val="22"/>
                <w:szCs w:val="22"/>
                <w:lang w:val="es-ES" w:eastAsia="ja-JP"/>
              </w:rPr>
              <w:t>/µl)</w:t>
            </w:r>
            <w:r w:rsidRPr="00F30AB8">
              <w:rPr>
                <w:rFonts w:eastAsia="MS Mincho"/>
                <w:bCs/>
                <w:sz w:val="22"/>
                <w:szCs w:val="22"/>
                <w:lang w:val="es-ES"/>
              </w:rPr>
              <w:t xml:space="preserve"> </w:t>
            </w:r>
          </w:p>
        </w:tc>
        <w:tc>
          <w:tcPr>
            <w:tcW w:w="5998" w:type="dxa"/>
          </w:tcPr>
          <w:p w14:paraId="6D03104D" w14:textId="77777777" w:rsidR="00243657" w:rsidRPr="006D6334" w:rsidRDefault="00243657" w:rsidP="00BE7EBF">
            <w:pPr>
              <w:pStyle w:val="TextTi12"/>
              <w:keepNext/>
              <w:keepLines/>
              <w:jc w:val="center"/>
              <w:rPr>
                <w:rFonts w:eastAsia="MS Mincho"/>
                <w:bCs/>
                <w:sz w:val="22"/>
                <w:szCs w:val="22"/>
              </w:rPr>
            </w:pPr>
            <w:r w:rsidRPr="00F30AB8">
              <w:rPr>
                <w:rFonts w:eastAsia="MS Mincho"/>
                <w:bCs/>
                <w:sz w:val="22"/>
                <w:szCs w:val="22"/>
              </w:rPr>
              <w:t>Ac</w:t>
            </w:r>
            <w:r w:rsidR="00887646" w:rsidRPr="00F30AB8">
              <w:rPr>
                <w:rFonts w:eastAsia="MS Mincho"/>
                <w:bCs/>
                <w:sz w:val="22"/>
                <w:szCs w:val="22"/>
              </w:rPr>
              <w:t>c</w:t>
            </w:r>
            <w:r w:rsidRPr="00F30AB8">
              <w:rPr>
                <w:rFonts w:eastAsia="MS Mincho"/>
                <w:bCs/>
                <w:sz w:val="22"/>
                <w:szCs w:val="22"/>
              </w:rPr>
              <w:t>i</w:t>
            </w:r>
            <w:r w:rsidR="00887646" w:rsidRPr="00F30AB8">
              <w:rPr>
                <w:rFonts w:eastAsia="MS Mincho"/>
                <w:bCs/>
                <w:sz w:val="22"/>
                <w:szCs w:val="22"/>
              </w:rPr>
              <w:t>ó</w:t>
            </w:r>
            <w:r w:rsidRPr="00F30AB8">
              <w:rPr>
                <w:rFonts w:eastAsia="MS Mincho"/>
                <w:bCs/>
                <w:sz w:val="22"/>
                <w:szCs w:val="22"/>
              </w:rPr>
              <w:t>n</w:t>
            </w:r>
          </w:p>
        </w:tc>
      </w:tr>
      <w:tr w:rsidR="00243657" w:rsidRPr="00541248" w14:paraId="57A93217" w14:textId="77777777" w:rsidTr="00DD275B">
        <w:tc>
          <w:tcPr>
            <w:tcW w:w="1697" w:type="dxa"/>
          </w:tcPr>
          <w:p w14:paraId="5D9AF12B" w14:textId="77777777" w:rsidR="00243657" w:rsidRPr="008B5E8B" w:rsidRDefault="00243657" w:rsidP="006A1006">
            <w:pPr>
              <w:pStyle w:val="TextTi12"/>
              <w:keepNext/>
              <w:keepLines/>
              <w:rPr>
                <w:rFonts w:eastAsia="MS Mincho"/>
                <w:sz w:val="22"/>
                <w:szCs w:val="22"/>
              </w:rPr>
            </w:pPr>
            <w:r w:rsidRPr="008B5E8B">
              <w:rPr>
                <w:rFonts w:eastAsia="MS Mincho"/>
                <w:sz w:val="22"/>
                <w:szCs w:val="22"/>
              </w:rPr>
              <w:t xml:space="preserve">50 </w:t>
            </w:r>
            <w:r w:rsidR="00887646">
              <w:rPr>
                <w:rFonts w:eastAsia="MS Mincho"/>
                <w:sz w:val="22"/>
                <w:szCs w:val="22"/>
              </w:rPr>
              <w:t>a</w:t>
            </w:r>
            <w:r w:rsidRPr="008B5E8B">
              <w:rPr>
                <w:rFonts w:eastAsia="MS Mincho"/>
                <w:sz w:val="22"/>
                <w:szCs w:val="22"/>
              </w:rPr>
              <w:t xml:space="preserve"> 100</w:t>
            </w:r>
          </w:p>
        </w:tc>
        <w:tc>
          <w:tcPr>
            <w:tcW w:w="5998" w:type="dxa"/>
          </w:tcPr>
          <w:p w14:paraId="1C22E2E1" w14:textId="77777777" w:rsidR="0079058E" w:rsidRPr="005A5612" w:rsidRDefault="0079058E" w:rsidP="00BE7EBF">
            <w:pPr>
              <w:pStyle w:val="TextTi12"/>
              <w:keepNext/>
              <w:keepLines/>
              <w:rPr>
                <w:sz w:val="22"/>
                <w:szCs w:val="22"/>
                <w:lang w:val="es-ES"/>
              </w:rPr>
            </w:pPr>
            <w:r w:rsidRPr="005A5612">
              <w:rPr>
                <w:sz w:val="22"/>
                <w:szCs w:val="22"/>
                <w:lang w:val="es-ES"/>
              </w:rPr>
              <w:t xml:space="preserve">Si procede, modificar la dosis de la medicación concomitante de MTX </w:t>
            </w:r>
          </w:p>
          <w:p w14:paraId="01668691" w14:textId="15E2F05C" w:rsidR="0079058E" w:rsidRPr="005A5612" w:rsidRDefault="0079058E" w:rsidP="00757A87">
            <w:pPr>
              <w:pStyle w:val="TextTi12"/>
              <w:keepNext/>
              <w:keepLines/>
              <w:rPr>
                <w:sz w:val="22"/>
                <w:szCs w:val="22"/>
                <w:lang w:val="es-ES"/>
              </w:rPr>
            </w:pPr>
            <w:r w:rsidRPr="005A5612">
              <w:rPr>
                <w:sz w:val="22"/>
                <w:szCs w:val="22"/>
                <w:lang w:val="es-ES"/>
              </w:rPr>
              <w:t xml:space="preserve">Interrumpir </w:t>
            </w:r>
            <w:ins w:id="795" w:author="AUTHOR">
              <w:r w:rsidR="006D4B3A">
                <w:rPr>
                  <w:sz w:val="22"/>
                  <w:szCs w:val="22"/>
                  <w:lang w:val="es-ES"/>
                </w:rPr>
                <w:t>la administración de</w:t>
              </w:r>
            </w:ins>
            <w:del w:id="796" w:author="AUTHOR">
              <w:r w:rsidRPr="005A5612" w:rsidDel="006D4B3A">
                <w:rPr>
                  <w:sz w:val="22"/>
                  <w:szCs w:val="22"/>
                  <w:lang w:val="es-ES"/>
                </w:rPr>
                <w:delText>el tratamiento con</w:delText>
              </w:r>
            </w:del>
            <w:r w:rsidRPr="005A5612">
              <w:rPr>
                <w:sz w:val="22"/>
                <w:szCs w:val="22"/>
                <w:lang w:val="es-ES"/>
              </w:rPr>
              <w:t xml:space="preserve"> </w:t>
            </w:r>
            <w:r w:rsidR="00466122">
              <w:rPr>
                <w:sz w:val="22"/>
                <w:szCs w:val="22"/>
                <w:lang w:val="es-ES"/>
              </w:rPr>
              <w:t>tocilizumab</w:t>
            </w:r>
            <w:r w:rsidRPr="005A5612">
              <w:rPr>
                <w:sz w:val="22"/>
                <w:szCs w:val="22"/>
                <w:lang w:val="es-ES"/>
              </w:rPr>
              <w:t>.</w:t>
            </w:r>
          </w:p>
          <w:p w14:paraId="55451E53" w14:textId="385686FB" w:rsidR="00243657" w:rsidRPr="006616E4" w:rsidRDefault="00887646">
            <w:pPr>
              <w:pStyle w:val="TextTi12"/>
              <w:keepNext/>
              <w:keepLines/>
              <w:rPr>
                <w:rFonts w:eastAsia="MS Mincho"/>
                <w:sz w:val="22"/>
                <w:szCs w:val="22"/>
                <w:lang w:val="es-ES"/>
              </w:rPr>
            </w:pPr>
            <w:r w:rsidRPr="006616E4">
              <w:rPr>
                <w:rFonts w:eastAsia="MS Mincho"/>
                <w:sz w:val="22"/>
                <w:szCs w:val="22"/>
                <w:lang w:val="es-ES"/>
              </w:rPr>
              <w:t xml:space="preserve">Cuando el recuento de plaquetas </w:t>
            </w:r>
            <w:proofErr w:type="gramStart"/>
            <w:r w:rsidRPr="006616E4">
              <w:rPr>
                <w:rFonts w:eastAsia="MS Mincho"/>
                <w:sz w:val="22"/>
                <w:szCs w:val="22"/>
                <w:lang w:val="es-ES"/>
              </w:rPr>
              <w:t xml:space="preserve">sea </w:t>
            </w:r>
            <w:r w:rsidR="003A172F" w:rsidRPr="00F30AB8">
              <w:rPr>
                <w:rFonts w:eastAsia="MS Mincho"/>
                <w:sz w:val="22"/>
                <w:szCs w:val="22"/>
                <w:lang w:val="es-ES" w:eastAsia="ja-JP"/>
              </w:rPr>
              <w:t> &gt;</w:t>
            </w:r>
            <w:proofErr w:type="gramEnd"/>
            <w:r w:rsidR="003A172F" w:rsidRPr="00F30AB8">
              <w:rPr>
                <w:rFonts w:eastAsia="MS Mincho"/>
                <w:sz w:val="22"/>
                <w:szCs w:val="22"/>
                <w:lang w:val="es-ES" w:eastAsia="ja-JP"/>
              </w:rPr>
              <w:t> 100 × 10</w:t>
            </w:r>
            <w:r w:rsidR="003A172F" w:rsidRPr="00F30AB8">
              <w:rPr>
                <w:rFonts w:eastAsia="MS Mincho"/>
                <w:sz w:val="22"/>
                <w:szCs w:val="22"/>
                <w:vertAlign w:val="superscript"/>
                <w:lang w:val="es-ES" w:eastAsia="ja-JP"/>
              </w:rPr>
              <w:t>3</w:t>
            </w:r>
            <w:r w:rsidR="003A172F" w:rsidRPr="00F30AB8">
              <w:rPr>
                <w:rFonts w:eastAsia="MS Mincho"/>
                <w:sz w:val="22"/>
                <w:szCs w:val="22"/>
                <w:lang w:val="es-ES" w:eastAsia="ja-JP"/>
              </w:rPr>
              <w:t>/µ</w:t>
            </w:r>
            <w:r w:rsidR="003A172F">
              <w:rPr>
                <w:rFonts w:eastAsia="MS Mincho"/>
                <w:sz w:val="22"/>
                <w:szCs w:val="22"/>
                <w:lang w:val="es-ES" w:eastAsia="ja-JP"/>
              </w:rPr>
              <w:t>l</w:t>
            </w:r>
            <w:r w:rsidR="003A172F" w:rsidRPr="00F30AB8">
              <w:rPr>
                <w:rFonts w:eastAsia="MS Mincho"/>
                <w:sz w:val="22"/>
                <w:szCs w:val="22"/>
                <w:lang w:val="es-ES" w:eastAsia="ja-JP"/>
              </w:rPr>
              <w:t xml:space="preserve"> </w:t>
            </w:r>
            <w:r w:rsidR="00243657" w:rsidRPr="006616E4">
              <w:rPr>
                <w:rFonts w:eastAsia="MS Mincho"/>
                <w:sz w:val="22"/>
                <w:szCs w:val="22"/>
                <w:lang w:val="es-ES"/>
              </w:rPr>
              <w:t xml:space="preserve"> </w:t>
            </w:r>
            <w:r w:rsidRPr="006616E4">
              <w:rPr>
                <w:rFonts w:eastAsia="MS Mincho"/>
                <w:sz w:val="22"/>
                <w:szCs w:val="22"/>
                <w:lang w:val="es-ES"/>
              </w:rPr>
              <w:t>r</w:t>
            </w:r>
            <w:r w:rsidR="00F361EB">
              <w:rPr>
                <w:rFonts w:eastAsia="MS Mincho"/>
                <w:sz w:val="22"/>
                <w:szCs w:val="22"/>
                <w:lang w:val="es-ES"/>
              </w:rPr>
              <w:t>eestablecer</w:t>
            </w:r>
            <w:r w:rsidRPr="006616E4">
              <w:rPr>
                <w:rFonts w:eastAsia="MS Mincho"/>
                <w:sz w:val="22"/>
                <w:szCs w:val="22"/>
                <w:lang w:val="es-ES"/>
              </w:rPr>
              <w:t xml:space="preserve"> el tratamiento</w:t>
            </w:r>
            <w:r w:rsidR="00466122">
              <w:rPr>
                <w:rFonts w:eastAsia="MS Mincho"/>
                <w:sz w:val="22"/>
                <w:szCs w:val="22"/>
                <w:lang w:val="es-ES"/>
              </w:rPr>
              <w:t>.</w:t>
            </w:r>
            <w:r w:rsidR="00243657" w:rsidRPr="006616E4">
              <w:rPr>
                <w:rFonts w:eastAsia="MS Mincho"/>
                <w:sz w:val="22"/>
                <w:szCs w:val="22"/>
                <w:lang w:val="es-ES"/>
              </w:rPr>
              <w:t xml:space="preserve"> </w:t>
            </w:r>
          </w:p>
        </w:tc>
      </w:tr>
      <w:tr w:rsidR="00243657" w:rsidRPr="00541248" w14:paraId="44B72C6C" w14:textId="77777777" w:rsidTr="00DD275B">
        <w:tc>
          <w:tcPr>
            <w:tcW w:w="1697" w:type="dxa"/>
          </w:tcPr>
          <w:p w14:paraId="10F37CCB" w14:textId="6A851C7B" w:rsidR="00243657" w:rsidRPr="008B5E8B" w:rsidRDefault="003A172F" w:rsidP="00DD275B">
            <w:pPr>
              <w:pStyle w:val="TextTi12"/>
              <w:rPr>
                <w:rFonts w:eastAsia="MS Mincho"/>
                <w:sz w:val="22"/>
                <w:szCs w:val="22"/>
              </w:rPr>
            </w:pPr>
            <w:r w:rsidRPr="00F30AB8">
              <w:rPr>
                <w:rFonts w:eastAsia="MS Mincho"/>
                <w:sz w:val="22"/>
                <w:szCs w:val="22"/>
                <w:lang w:val="es-ES" w:eastAsia="ja-JP"/>
              </w:rPr>
              <w:t> </w:t>
            </w:r>
            <w:r w:rsidRPr="00945212">
              <w:rPr>
                <w:rFonts w:eastAsia="MS Mincho"/>
                <w:sz w:val="22"/>
                <w:szCs w:val="22"/>
                <w:lang w:val="en-GB" w:eastAsia="ja-JP"/>
              </w:rPr>
              <w:t>&lt; 50</w:t>
            </w:r>
          </w:p>
        </w:tc>
        <w:tc>
          <w:tcPr>
            <w:tcW w:w="5998" w:type="dxa"/>
          </w:tcPr>
          <w:p w14:paraId="68072274" w14:textId="3D8A8C09" w:rsidR="00243657" w:rsidRPr="006616E4" w:rsidRDefault="00887646" w:rsidP="00DD275B">
            <w:pPr>
              <w:pStyle w:val="TextTi12"/>
              <w:rPr>
                <w:rFonts w:eastAsia="MS Mincho"/>
                <w:sz w:val="22"/>
                <w:szCs w:val="22"/>
                <w:lang w:val="es-ES"/>
              </w:rPr>
            </w:pPr>
            <w:r w:rsidRPr="006616E4">
              <w:rPr>
                <w:rFonts w:eastAsia="MS Mincho"/>
                <w:sz w:val="22"/>
                <w:szCs w:val="22"/>
                <w:lang w:val="es-ES"/>
              </w:rPr>
              <w:t>Interrumpir</w:t>
            </w:r>
            <w:ins w:id="797" w:author="AUTHOR">
              <w:r w:rsidR="006D4B3A">
                <w:rPr>
                  <w:sz w:val="22"/>
                  <w:szCs w:val="22"/>
                  <w:lang w:val="es-ES"/>
                </w:rPr>
                <w:t>la administración de</w:t>
              </w:r>
            </w:ins>
            <w:del w:id="798" w:author="AUTHOR">
              <w:r w:rsidRPr="006616E4" w:rsidDel="006D4B3A">
                <w:rPr>
                  <w:rFonts w:eastAsia="MS Mincho"/>
                  <w:sz w:val="22"/>
                  <w:szCs w:val="22"/>
                  <w:lang w:val="es-ES"/>
                </w:rPr>
                <w:delText xml:space="preserve"> el tratamiento con</w:delText>
              </w:r>
            </w:del>
            <w:r w:rsidR="00243657" w:rsidRPr="006616E4">
              <w:rPr>
                <w:rFonts w:eastAsia="MS Mincho"/>
                <w:sz w:val="22"/>
                <w:szCs w:val="22"/>
                <w:lang w:val="es-ES"/>
              </w:rPr>
              <w:t xml:space="preserve"> </w:t>
            </w:r>
            <w:r w:rsidR="00466122">
              <w:rPr>
                <w:rFonts w:eastAsia="MS Mincho"/>
                <w:sz w:val="22"/>
                <w:szCs w:val="22"/>
                <w:lang w:val="es-ES"/>
              </w:rPr>
              <w:t>tocilizumab</w:t>
            </w:r>
            <w:r w:rsidR="00243657" w:rsidRPr="006616E4">
              <w:rPr>
                <w:rFonts w:eastAsia="MS Mincho"/>
                <w:sz w:val="22"/>
                <w:szCs w:val="22"/>
                <w:lang w:val="es-ES"/>
              </w:rPr>
              <w:t xml:space="preserve">. </w:t>
            </w:r>
          </w:p>
          <w:p w14:paraId="74C1AA82" w14:textId="43A9ED9A" w:rsidR="00243657" w:rsidRPr="006616E4" w:rsidRDefault="00F361EB" w:rsidP="000C6FE2">
            <w:pPr>
              <w:pStyle w:val="TextTi12"/>
              <w:rPr>
                <w:rFonts w:eastAsia="MS Mincho"/>
                <w:sz w:val="22"/>
                <w:szCs w:val="22"/>
                <w:lang w:val="es-ES"/>
              </w:rPr>
            </w:pPr>
            <w:r w:rsidRPr="006868F5">
              <w:rPr>
                <w:noProof/>
                <w:sz w:val="22"/>
                <w:szCs w:val="22"/>
                <w:lang w:val="es-ES"/>
              </w:rPr>
              <w:t>La decisión de suspender</w:t>
            </w:r>
            <w:r w:rsidR="000D6881">
              <w:rPr>
                <w:noProof/>
                <w:sz w:val="22"/>
                <w:szCs w:val="22"/>
                <w:lang w:val="es-ES"/>
              </w:rPr>
              <w:t xml:space="preserve"> el tratamiento</w:t>
            </w:r>
            <w:r>
              <w:rPr>
                <w:noProof/>
                <w:sz w:val="22"/>
                <w:szCs w:val="22"/>
                <w:lang w:val="es-ES"/>
              </w:rPr>
              <w:t xml:space="preserve"> en </w:t>
            </w:r>
            <w:r w:rsidR="00C82755">
              <w:rPr>
                <w:noProof/>
                <w:lang w:val="es-ES"/>
              </w:rPr>
              <w:t xml:space="preserve">AIJs o </w:t>
            </w:r>
            <w:r>
              <w:rPr>
                <w:noProof/>
                <w:sz w:val="22"/>
                <w:szCs w:val="22"/>
                <w:lang w:val="es-ES"/>
              </w:rPr>
              <w:t>AIJ</w:t>
            </w:r>
            <w:r w:rsidR="000C6FE2">
              <w:rPr>
                <w:noProof/>
                <w:sz w:val="22"/>
                <w:szCs w:val="22"/>
                <w:lang w:val="es-ES"/>
              </w:rPr>
              <w:t>p</w:t>
            </w:r>
            <w:r w:rsidRPr="006868F5">
              <w:rPr>
                <w:noProof/>
                <w:sz w:val="22"/>
                <w:szCs w:val="22"/>
                <w:lang w:val="es-ES"/>
              </w:rPr>
              <w:t xml:space="preserve"> por unos valores de laboratorio anómalos debe estar basada en la evaluación individual del médico  para cada paciente</w:t>
            </w:r>
            <w:r>
              <w:rPr>
                <w:noProof/>
                <w:sz w:val="22"/>
                <w:szCs w:val="22"/>
                <w:lang w:val="es-ES"/>
              </w:rPr>
              <w:t>.</w:t>
            </w:r>
          </w:p>
        </w:tc>
      </w:tr>
    </w:tbl>
    <w:p w14:paraId="422FF3FD" w14:textId="77777777" w:rsidR="00243657" w:rsidRPr="006616E4" w:rsidRDefault="00243657" w:rsidP="006616E4">
      <w:pPr>
        <w:tabs>
          <w:tab w:val="left" w:pos="709"/>
        </w:tabs>
        <w:ind w:left="720"/>
        <w:rPr>
          <w:lang w:val="es-ES"/>
        </w:rPr>
      </w:pPr>
    </w:p>
    <w:p w14:paraId="44B0190F" w14:textId="068E41DB" w:rsidR="00F361EB" w:rsidRDefault="00F361EB" w:rsidP="00F361EB">
      <w:pPr>
        <w:rPr>
          <w:noProof/>
          <w:lang w:val="es-ES"/>
        </w:rPr>
      </w:pPr>
      <w:r w:rsidRPr="008A106B">
        <w:rPr>
          <w:noProof/>
          <w:lang w:val="es-ES"/>
        </w:rPr>
        <w:t xml:space="preserve">En pacientes con </w:t>
      </w:r>
      <w:r w:rsidR="008F5C9C">
        <w:rPr>
          <w:noProof/>
          <w:lang w:val="es-ES"/>
        </w:rPr>
        <w:t xml:space="preserve">AIJs o </w:t>
      </w:r>
      <w:r w:rsidRPr="008A106B">
        <w:rPr>
          <w:noProof/>
          <w:lang w:val="es-ES"/>
        </w:rPr>
        <w:t>AIJ</w:t>
      </w:r>
      <w:r w:rsidR="000C6FE2">
        <w:rPr>
          <w:noProof/>
          <w:lang w:val="es-ES"/>
        </w:rPr>
        <w:t>p</w:t>
      </w:r>
      <w:r w:rsidRPr="008A106B">
        <w:rPr>
          <w:noProof/>
          <w:lang w:val="es-ES"/>
        </w:rPr>
        <w:t xml:space="preserve"> no se ha estudiado el efecto de </w:t>
      </w:r>
      <w:ins w:id="799" w:author="AUTHOR">
        <w:r w:rsidR="006D4B3A" w:rsidRPr="006D4B3A">
          <w:rPr>
            <w:noProof/>
            <w:lang w:val="es-ES"/>
          </w:rPr>
          <w:t xml:space="preserve"> </w:t>
        </w:r>
        <w:r w:rsidR="006D4B3A">
          <w:rPr>
            <w:noProof/>
            <w:lang w:val="es-ES"/>
          </w:rPr>
          <w:t xml:space="preserve">la </w:t>
        </w:r>
        <w:r w:rsidR="006D4B3A" w:rsidRPr="006D4B3A">
          <w:rPr>
            <w:noProof/>
            <w:lang w:val="es-ES"/>
          </w:rPr>
          <w:t>reducción de la frecuencia de administración</w:t>
        </w:r>
        <w:r w:rsidR="006D4B3A">
          <w:rPr>
            <w:noProof/>
            <w:lang w:val="es-ES"/>
          </w:rPr>
          <w:t xml:space="preserve"> de tocilizumab </w:t>
        </w:r>
      </w:ins>
      <w:del w:id="800" w:author="AUTHOR">
        <w:r w:rsidRPr="008A106B" w:rsidDel="006D4B3A">
          <w:rPr>
            <w:noProof/>
            <w:lang w:val="es-ES"/>
          </w:rPr>
          <w:delText>las reducciones de dosis</w:delText>
        </w:r>
      </w:del>
      <w:r w:rsidRPr="008A106B">
        <w:rPr>
          <w:noProof/>
          <w:lang w:val="es-ES"/>
        </w:rPr>
        <w:t xml:space="preserve"> debidas a una anomalía en los valores de laboratorio.</w:t>
      </w:r>
    </w:p>
    <w:p w14:paraId="32BE40B9" w14:textId="77777777" w:rsidR="000C6FE2" w:rsidRPr="008A106B" w:rsidRDefault="000C6FE2" w:rsidP="00F361EB">
      <w:pPr>
        <w:rPr>
          <w:noProof/>
          <w:lang w:val="es-ES"/>
        </w:rPr>
      </w:pPr>
    </w:p>
    <w:p w14:paraId="47C5BEBE" w14:textId="690D0A87" w:rsidR="00887646" w:rsidRDefault="00887646" w:rsidP="00834462">
      <w:pPr>
        <w:rPr>
          <w:lang w:val="es-ES"/>
        </w:rPr>
      </w:pPr>
      <w:r>
        <w:rPr>
          <w:lang w:val="es-ES"/>
        </w:rPr>
        <w:t xml:space="preserve">No se ha establecido la seguridad y eficacia de la formulación subcutánea de </w:t>
      </w:r>
      <w:r w:rsidR="00466122">
        <w:rPr>
          <w:lang w:val="es-ES"/>
        </w:rPr>
        <w:t>tocilizumab</w:t>
      </w:r>
      <w:r>
        <w:rPr>
          <w:lang w:val="es-ES"/>
        </w:rPr>
        <w:t xml:space="preserve"> en niños con </w:t>
      </w:r>
      <w:r w:rsidR="001814FA" w:rsidRPr="006616E4">
        <w:rPr>
          <w:lang w:val="es-ES"/>
        </w:rPr>
        <w:t>otro</w:t>
      </w:r>
      <w:r w:rsidRPr="000C6FE2">
        <w:rPr>
          <w:lang w:val="es-ES"/>
        </w:rPr>
        <w:t xml:space="preserve">s </w:t>
      </w:r>
      <w:r w:rsidR="001814FA" w:rsidRPr="006616E4">
        <w:rPr>
          <w:lang w:val="es-ES"/>
        </w:rPr>
        <w:t>procesos distinto</w:t>
      </w:r>
      <w:r w:rsidRPr="000C6FE2">
        <w:rPr>
          <w:lang w:val="es-ES"/>
        </w:rPr>
        <w:t>s a</w:t>
      </w:r>
      <w:r w:rsidR="008F5C9C" w:rsidRPr="008F5C9C">
        <w:rPr>
          <w:noProof/>
          <w:lang w:val="es-ES"/>
        </w:rPr>
        <w:t xml:space="preserve"> </w:t>
      </w:r>
      <w:r w:rsidR="008F5C9C">
        <w:rPr>
          <w:noProof/>
          <w:lang w:val="es-ES"/>
        </w:rPr>
        <w:t>AIJs o</w:t>
      </w:r>
      <w:r w:rsidRPr="000C6FE2">
        <w:rPr>
          <w:lang w:val="es-ES"/>
        </w:rPr>
        <w:t xml:space="preserve"> AIJp.</w:t>
      </w:r>
    </w:p>
    <w:p w14:paraId="08334815" w14:textId="77777777" w:rsidR="00466122" w:rsidRDefault="00466122" w:rsidP="00834462">
      <w:pPr>
        <w:rPr>
          <w:lang w:val="es-ES"/>
        </w:rPr>
      </w:pPr>
    </w:p>
    <w:p w14:paraId="326104ED" w14:textId="394E0FAA" w:rsidR="00C077EF" w:rsidRDefault="00C077EF" w:rsidP="00834462">
      <w:pPr>
        <w:rPr>
          <w:lang w:val="es-ES"/>
        </w:rPr>
      </w:pPr>
      <w:r w:rsidRPr="00C077EF">
        <w:rPr>
          <w:lang w:val="es-ES"/>
        </w:rPr>
        <w:t xml:space="preserve">Los datos disponibles con la formulación </w:t>
      </w:r>
      <w:r w:rsidR="00466122">
        <w:rPr>
          <w:lang w:val="es-ES"/>
        </w:rPr>
        <w:t>intravenosa</w:t>
      </w:r>
      <w:r w:rsidRPr="00C077EF">
        <w:rPr>
          <w:lang w:val="es-ES"/>
        </w:rPr>
        <w:t xml:space="preserve"> sugieren que la mejoría clínica se observa dentro de las 12</w:t>
      </w:r>
      <w:r w:rsidR="000D6881">
        <w:rPr>
          <w:lang w:val="es-ES"/>
        </w:rPr>
        <w:t> </w:t>
      </w:r>
      <w:r w:rsidRPr="00C077EF">
        <w:rPr>
          <w:lang w:val="es-ES"/>
        </w:rPr>
        <w:t xml:space="preserve">semanas </w:t>
      </w:r>
      <w:r>
        <w:rPr>
          <w:lang w:val="es-ES"/>
        </w:rPr>
        <w:t xml:space="preserve">tras </w:t>
      </w:r>
      <w:r w:rsidRPr="00C077EF">
        <w:rPr>
          <w:lang w:val="es-ES"/>
        </w:rPr>
        <w:t>inicia</w:t>
      </w:r>
      <w:r>
        <w:rPr>
          <w:lang w:val="es-ES"/>
        </w:rPr>
        <w:t xml:space="preserve">r </w:t>
      </w:r>
      <w:r w:rsidRPr="00C077EF">
        <w:rPr>
          <w:lang w:val="es-ES"/>
        </w:rPr>
        <w:t xml:space="preserve">el tratamiento con </w:t>
      </w:r>
      <w:r w:rsidR="00466122">
        <w:rPr>
          <w:lang w:val="es-ES"/>
        </w:rPr>
        <w:t>tocilizumab</w:t>
      </w:r>
      <w:r w:rsidRPr="00C077EF">
        <w:rPr>
          <w:lang w:val="es-ES"/>
        </w:rPr>
        <w:t xml:space="preserve">. La </w:t>
      </w:r>
      <w:r>
        <w:rPr>
          <w:lang w:val="es-ES"/>
        </w:rPr>
        <w:t xml:space="preserve">continuación del tratamiento </w:t>
      </w:r>
      <w:r w:rsidRPr="00C077EF">
        <w:rPr>
          <w:lang w:val="es-ES"/>
        </w:rPr>
        <w:t>debe ser cuidadosamente reconsiderad</w:t>
      </w:r>
      <w:r>
        <w:rPr>
          <w:lang w:val="es-ES"/>
        </w:rPr>
        <w:t>o</w:t>
      </w:r>
      <w:r w:rsidRPr="00C077EF">
        <w:rPr>
          <w:lang w:val="es-ES"/>
        </w:rPr>
        <w:t xml:space="preserve"> en un paciente que no muestr</w:t>
      </w:r>
      <w:r>
        <w:rPr>
          <w:lang w:val="es-ES"/>
        </w:rPr>
        <w:t>e</w:t>
      </w:r>
      <w:r w:rsidRPr="00C077EF">
        <w:rPr>
          <w:lang w:val="es-ES"/>
        </w:rPr>
        <w:t xml:space="preserve"> ninguna mejor</w:t>
      </w:r>
      <w:r>
        <w:rPr>
          <w:lang w:val="es-ES"/>
        </w:rPr>
        <w:t>í</w:t>
      </w:r>
      <w:r w:rsidRPr="00C077EF">
        <w:rPr>
          <w:lang w:val="es-ES"/>
        </w:rPr>
        <w:t>a dentro de este período de tiempo.</w:t>
      </w:r>
    </w:p>
    <w:p w14:paraId="4F06D3E2" w14:textId="77777777" w:rsidR="00887646" w:rsidRDefault="00887646" w:rsidP="00834462">
      <w:pPr>
        <w:rPr>
          <w:lang w:val="es-ES"/>
        </w:rPr>
      </w:pPr>
    </w:p>
    <w:p w14:paraId="53FB727F" w14:textId="77777777" w:rsidR="001814FA" w:rsidRPr="00F30AB8" w:rsidRDefault="001814FA" w:rsidP="00834462">
      <w:pPr>
        <w:rPr>
          <w:lang w:val="es-ES"/>
        </w:rPr>
      </w:pPr>
      <w:r w:rsidRPr="00F30AB8">
        <w:rPr>
          <w:lang w:val="es-ES"/>
        </w:rPr>
        <w:t>Omisión de d</w:t>
      </w:r>
      <w:r w:rsidR="00887646" w:rsidRPr="00F30AB8">
        <w:rPr>
          <w:lang w:val="es-ES"/>
        </w:rPr>
        <w:t>osis</w:t>
      </w:r>
    </w:p>
    <w:p w14:paraId="70645377" w14:textId="03908E0E" w:rsidR="001915D5" w:rsidRDefault="001915D5" w:rsidP="00834462">
      <w:pPr>
        <w:rPr>
          <w:lang w:val="es-ES"/>
        </w:rPr>
      </w:pPr>
      <w:r>
        <w:rPr>
          <w:lang w:val="es-ES"/>
        </w:rPr>
        <w:t xml:space="preserve">Si un paciente con AIJs no se administra la inyección de </w:t>
      </w:r>
      <w:r w:rsidR="000D6881">
        <w:rPr>
          <w:lang w:val="es-ES"/>
        </w:rPr>
        <w:t>t</w:t>
      </w:r>
      <w:r w:rsidR="00466122">
        <w:rPr>
          <w:lang w:val="es-ES"/>
        </w:rPr>
        <w:t xml:space="preserve">ocilizumab </w:t>
      </w:r>
      <w:r>
        <w:rPr>
          <w:lang w:val="es-ES"/>
        </w:rPr>
        <w:t>subcutáneo semanal dentro de los 7</w:t>
      </w:r>
      <w:r w:rsidR="000D6881" w:rsidRPr="00F30AB8">
        <w:rPr>
          <w:noProof/>
          <w:lang w:val="es-ES"/>
        </w:rPr>
        <w:t> </w:t>
      </w:r>
      <w:r>
        <w:rPr>
          <w:lang w:val="es-ES"/>
        </w:rPr>
        <w:t>días de la dosis programada, él/ella deberá ser instruido para administrarse la dosis olvidada en el siguiente día programado.</w:t>
      </w:r>
      <w:r w:rsidRPr="00FF1EDA">
        <w:rPr>
          <w:color w:val="FFFF00"/>
          <w:lang w:val="es-ES"/>
        </w:rPr>
        <w:t xml:space="preserve"> </w:t>
      </w:r>
      <w:r w:rsidRPr="00CA1B1E">
        <w:rPr>
          <w:lang w:val="es-ES"/>
        </w:rPr>
        <w:t xml:space="preserve">Si un paciente que se administra </w:t>
      </w:r>
      <w:del w:id="801" w:author="AUTHOR">
        <w:r w:rsidRPr="00CA1B1E" w:rsidDel="006D4B3A">
          <w:rPr>
            <w:lang w:val="es-ES"/>
          </w:rPr>
          <w:delText xml:space="preserve">RoActemra </w:delText>
        </w:r>
      </w:del>
      <w:ins w:id="802" w:author="AUTHOR">
        <w:r w:rsidR="006D4B3A">
          <w:rPr>
            <w:lang w:val="es-ES"/>
          </w:rPr>
          <w:t>tocilizumab</w:t>
        </w:r>
        <w:r w:rsidR="006D4B3A" w:rsidRPr="00CA1B1E">
          <w:rPr>
            <w:lang w:val="es-ES"/>
          </w:rPr>
          <w:t xml:space="preserve"> </w:t>
        </w:r>
      </w:ins>
      <w:r w:rsidRPr="00CA1B1E">
        <w:rPr>
          <w:lang w:val="es-ES"/>
        </w:rPr>
        <w:t>subcutáneo cada dos semanas olvida la inyección subcutánea dentro de los 7</w:t>
      </w:r>
      <w:r w:rsidR="000D6881">
        <w:rPr>
          <w:lang w:val="es-ES"/>
        </w:rPr>
        <w:t> </w:t>
      </w:r>
      <w:r w:rsidRPr="00CA1B1E">
        <w:rPr>
          <w:lang w:val="es-ES"/>
        </w:rPr>
        <w:t>días de la dosis programada, él /ella deberá ser instruido para administrarse la dosis olvidada inmediatamente y la siguiente dosis en el siguiente día programado</w:t>
      </w:r>
    </w:p>
    <w:p w14:paraId="53E2FA8F" w14:textId="77777777" w:rsidR="00466122" w:rsidRDefault="00466122" w:rsidP="00834462">
      <w:pPr>
        <w:rPr>
          <w:u w:val="single"/>
          <w:lang w:val="es-ES"/>
        </w:rPr>
      </w:pPr>
    </w:p>
    <w:p w14:paraId="45B32361" w14:textId="46AF025E" w:rsidR="006B737D" w:rsidRPr="006616E4" w:rsidRDefault="001814FA" w:rsidP="00232DA6">
      <w:pPr>
        <w:rPr>
          <w:lang w:val="es-ES"/>
        </w:rPr>
      </w:pPr>
      <w:r>
        <w:rPr>
          <w:lang w:val="es-ES"/>
        </w:rPr>
        <w:t>Si un paciente</w:t>
      </w:r>
      <w:r w:rsidR="000C6FE2">
        <w:rPr>
          <w:lang w:val="es-ES"/>
        </w:rPr>
        <w:t xml:space="preserve"> con AIJp</w:t>
      </w:r>
      <w:r>
        <w:rPr>
          <w:lang w:val="es-ES"/>
        </w:rPr>
        <w:t xml:space="preserve"> no se administra la inyección </w:t>
      </w:r>
      <w:r w:rsidR="000C6FE2">
        <w:rPr>
          <w:lang w:val="es-ES"/>
        </w:rPr>
        <w:t xml:space="preserve">subcutánea </w:t>
      </w:r>
      <w:r>
        <w:rPr>
          <w:lang w:val="es-ES"/>
        </w:rPr>
        <w:t xml:space="preserve">de </w:t>
      </w:r>
      <w:r w:rsidR="00466122">
        <w:rPr>
          <w:lang w:val="es-ES"/>
        </w:rPr>
        <w:t xml:space="preserve">tocilizumab </w:t>
      </w:r>
      <w:r>
        <w:rPr>
          <w:lang w:val="es-ES"/>
        </w:rPr>
        <w:t>dentro de los 7</w:t>
      </w:r>
      <w:r w:rsidR="000D6881">
        <w:rPr>
          <w:lang w:val="es-ES"/>
        </w:rPr>
        <w:t> </w:t>
      </w:r>
      <w:r>
        <w:rPr>
          <w:lang w:val="es-ES"/>
        </w:rPr>
        <w:t xml:space="preserve">días de la dosis programada, </w:t>
      </w:r>
      <w:r w:rsidR="00636B65">
        <w:rPr>
          <w:lang w:val="es-ES"/>
        </w:rPr>
        <w:t>se debe indicar al paciente que se debe</w:t>
      </w:r>
      <w:r>
        <w:rPr>
          <w:lang w:val="es-ES"/>
        </w:rPr>
        <w:t xml:space="preserve"> administrar la dosis olvidada </w:t>
      </w:r>
      <w:r w:rsidR="0098172C">
        <w:rPr>
          <w:lang w:val="es-ES"/>
        </w:rPr>
        <w:t xml:space="preserve">tan pronto como lo recuerde y administrarse la siguiente dosis </w:t>
      </w:r>
      <w:r>
        <w:rPr>
          <w:lang w:val="es-ES"/>
        </w:rPr>
        <w:t>en el siguiente día programado.</w:t>
      </w:r>
      <w:r w:rsidRPr="00FF1EDA">
        <w:rPr>
          <w:color w:val="FFFF00"/>
          <w:lang w:val="es-ES"/>
        </w:rPr>
        <w:t xml:space="preserve"> </w:t>
      </w:r>
      <w:r w:rsidRPr="0098172C">
        <w:rPr>
          <w:lang w:val="es-ES"/>
        </w:rPr>
        <w:t xml:space="preserve">Si un paciente </w:t>
      </w:r>
      <w:r w:rsidR="0098172C">
        <w:rPr>
          <w:lang w:val="es-ES"/>
        </w:rPr>
        <w:t>no</w:t>
      </w:r>
      <w:r w:rsidRPr="00CA1B1E">
        <w:rPr>
          <w:lang w:val="es-ES"/>
        </w:rPr>
        <w:t xml:space="preserve"> se administra </w:t>
      </w:r>
      <w:r w:rsidR="00232DA6">
        <w:rPr>
          <w:lang w:val="es-ES"/>
        </w:rPr>
        <w:t xml:space="preserve">la inyección </w:t>
      </w:r>
      <w:r w:rsidR="000C6FE2">
        <w:rPr>
          <w:lang w:val="es-ES"/>
        </w:rPr>
        <w:t xml:space="preserve">subcutánea </w:t>
      </w:r>
      <w:r w:rsidR="00232DA6">
        <w:rPr>
          <w:lang w:val="es-ES"/>
        </w:rPr>
        <w:t xml:space="preserve">de </w:t>
      </w:r>
      <w:del w:id="803" w:author="AUTHOR">
        <w:r w:rsidR="00466122" w:rsidDel="006D4B3A">
          <w:rPr>
            <w:lang w:val="es-ES"/>
          </w:rPr>
          <w:delText>b</w:delText>
        </w:r>
      </w:del>
      <w:r w:rsidR="00466122">
        <w:rPr>
          <w:lang w:val="es-ES"/>
        </w:rPr>
        <w:t>tocilizuma</w:t>
      </w:r>
      <w:r w:rsidR="006D6334">
        <w:rPr>
          <w:lang w:val="es-ES"/>
        </w:rPr>
        <w:t>b</w:t>
      </w:r>
      <w:r w:rsidR="00466122" w:rsidRPr="00CA1B1E">
        <w:rPr>
          <w:lang w:val="es-ES"/>
        </w:rPr>
        <w:t xml:space="preserve"> </w:t>
      </w:r>
      <w:r w:rsidR="00232DA6">
        <w:rPr>
          <w:lang w:val="es-ES"/>
        </w:rPr>
        <w:t>pasados</w:t>
      </w:r>
      <w:r w:rsidRPr="00CA1B1E">
        <w:rPr>
          <w:lang w:val="es-ES"/>
        </w:rPr>
        <w:t xml:space="preserve"> 7</w:t>
      </w:r>
      <w:r w:rsidR="006D6334">
        <w:rPr>
          <w:lang w:val="es-ES"/>
        </w:rPr>
        <w:t> </w:t>
      </w:r>
      <w:r w:rsidRPr="00CA1B1E">
        <w:rPr>
          <w:lang w:val="es-ES"/>
        </w:rPr>
        <w:t>días de la dosis programada</w:t>
      </w:r>
      <w:r w:rsidR="00232DA6">
        <w:rPr>
          <w:lang w:val="es-ES"/>
        </w:rPr>
        <w:t xml:space="preserve"> o no está seguro de cúando debe inyectarse </w:t>
      </w:r>
      <w:r w:rsidR="00466122">
        <w:rPr>
          <w:lang w:val="es-ES"/>
        </w:rPr>
        <w:t>e</w:t>
      </w:r>
      <w:r w:rsidR="000D6881">
        <w:rPr>
          <w:lang w:val="es-ES"/>
        </w:rPr>
        <w:t>s</w:t>
      </w:r>
      <w:r w:rsidR="00466122">
        <w:rPr>
          <w:lang w:val="es-ES"/>
        </w:rPr>
        <w:t>ta</w:t>
      </w:r>
      <w:r w:rsidR="00232DA6">
        <w:rPr>
          <w:lang w:val="es-ES"/>
        </w:rPr>
        <w:t xml:space="preserve">, </w:t>
      </w:r>
      <w:r w:rsidR="00167D76">
        <w:rPr>
          <w:lang w:val="es-ES"/>
        </w:rPr>
        <w:t>consulte</w:t>
      </w:r>
      <w:r w:rsidR="00232DA6">
        <w:rPr>
          <w:lang w:val="es-ES"/>
        </w:rPr>
        <w:t xml:space="preserve"> </w:t>
      </w:r>
      <w:r w:rsidR="0075090E">
        <w:rPr>
          <w:lang w:val="es-ES"/>
        </w:rPr>
        <w:t>a</w:t>
      </w:r>
      <w:r w:rsidR="00232DA6">
        <w:rPr>
          <w:lang w:val="es-ES"/>
        </w:rPr>
        <w:t>l</w:t>
      </w:r>
      <w:r w:rsidR="006B737D">
        <w:rPr>
          <w:lang w:val="es-ES"/>
        </w:rPr>
        <w:t xml:space="preserve"> médico o farmacéutico.</w:t>
      </w:r>
    </w:p>
    <w:p w14:paraId="04611B81" w14:textId="77777777" w:rsidR="00834462" w:rsidRPr="006616E4" w:rsidRDefault="00834462" w:rsidP="00834462">
      <w:pPr>
        <w:rPr>
          <w:lang w:val="es-ES"/>
        </w:rPr>
      </w:pPr>
    </w:p>
    <w:p w14:paraId="1C68E07C" w14:textId="77777777" w:rsidR="00834462" w:rsidRDefault="00834462" w:rsidP="00834462">
      <w:pPr>
        <w:rPr>
          <w:u w:val="single"/>
          <w:lang w:val="es-ES_tradnl"/>
        </w:rPr>
      </w:pPr>
      <w:r w:rsidRPr="008A106B">
        <w:rPr>
          <w:u w:val="single"/>
          <w:lang w:val="es-ES_tradnl"/>
        </w:rPr>
        <w:t>Forma de administración</w:t>
      </w:r>
    </w:p>
    <w:p w14:paraId="7E78A67F" w14:textId="77777777" w:rsidR="00466122" w:rsidRPr="008A106B" w:rsidRDefault="00466122" w:rsidP="00834462">
      <w:pPr>
        <w:rPr>
          <w:u w:val="single"/>
          <w:lang w:val="es-ES_tradnl"/>
        </w:rPr>
      </w:pPr>
    </w:p>
    <w:p w14:paraId="759851D7" w14:textId="42FABCA5" w:rsidR="00834462" w:rsidRDefault="00466122" w:rsidP="00834462">
      <w:pPr>
        <w:rPr>
          <w:lang w:val="es-ES_tradnl"/>
        </w:rPr>
      </w:pPr>
      <w:r>
        <w:rPr>
          <w:lang w:val="es-ES_tradnl"/>
        </w:rPr>
        <w:t xml:space="preserve">Este medicamento </w:t>
      </w:r>
      <w:r w:rsidR="00853CE6">
        <w:rPr>
          <w:lang w:val="es-ES_tradnl"/>
        </w:rPr>
        <w:t>es p</w:t>
      </w:r>
      <w:r w:rsidR="00834462" w:rsidRPr="00286CDE">
        <w:rPr>
          <w:lang w:val="es-ES_tradnl"/>
        </w:rPr>
        <w:t>ara uso subcutáneo.</w:t>
      </w:r>
    </w:p>
    <w:p w14:paraId="6F88A11C" w14:textId="0363CC4C" w:rsidR="00834462" w:rsidRDefault="00834462" w:rsidP="00834462">
      <w:pPr>
        <w:rPr>
          <w:lang w:val="es-ES_tradnl"/>
        </w:rPr>
      </w:pPr>
      <w:r w:rsidRPr="00286CDE">
        <w:rPr>
          <w:lang w:val="es-ES_tradnl"/>
        </w:rPr>
        <w:t xml:space="preserve">Después de una adecuada formación en técnicas de inyección, los pacientes pueden autoinyectarse </w:t>
      </w:r>
      <w:r w:rsidR="00466122">
        <w:rPr>
          <w:lang w:val="es-ES_tradnl"/>
        </w:rPr>
        <w:t>este medicamento</w:t>
      </w:r>
      <w:r w:rsidR="00466122" w:rsidRPr="00286CDE">
        <w:rPr>
          <w:lang w:val="es-ES_tradnl"/>
        </w:rPr>
        <w:t xml:space="preserve"> </w:t>
      </w:r>
      <w:r w:rsidRPr="00286CDE">
        <w:rPr>
          <w:lang w:val="es-ES_tradnl"/>
        </w:rPr>
        <w:t>si su médico determina que es lo apropiado</w:t>
      </w:r>
      <w:r w:rsidR="00C5327A">
        <w:rPr>
          <w:lang w:val="es-ES_tradnl"/>
        </w:rPr>
        <w:t>.</w:t>
      </w:r>
      <w:r w:rsidRPr="00286CDE">
        <w:rPr>
          <w:lang w:val="es-ES_tradnl"/>
        </w:rPr>
        <w:t xml:space="preserve"> Todo el contenido (0,9</w:t>
      </w:r>
      <w:r w:rsidR="000D6881">
        <w:rPr>
          <w:lang w:val="es-ES_tradnl"/>
        </w:rPr>
        <w:t> </w:t>
      </w:r>
      <w:r w:rsidRPr="00286CDE">
        <w:rPr>
          <w:lang w:val="es-ES_tradnl"/>
        </w:rPr>
        <w:t xml:space="preserve">ml) de la </w:t>
      </w:r>
      <w:r>
        <w:rPr>
          <w:lang w:val="es-ES_tradnl"/>
        </w:rPr>
        <w:t>jeringa</w:t>
      </w:r>
      <w:r w:rsidRPr="00286CDE">
        <w:rPr>
          <w:lang w:val="es-ES_tradnl"/>
        </w:rPr>
        <w:t xml:space="preserve"> precargada deberá administrarse como inyección subcutánea. Las zonas recomendad</w:t>
      </w:r>
      <w:r w:rsidR="00876C53">
        <w:rPr>
          <w:lang w:val="es-ES_tradnl"/>
        </w:rPr>
        <w:t>a</w:t>
      </w:r>
      <w:r w:rsidRPr="00286CDE">
        <w:rPr>
          <w:lang w:val="es-ES_tradnl"/>
        </w:rPr>
        <w:t xml:space="preserve">s para la inyección (abdomen, muslos y parte superior del brazo) deberán alternarse y las inyecciones nunca deben administrarse en lunares, cicatrices, o en áreas donde la piel </w:t>
      </w:r>
      <w:r w:rsidR="0000575F">
        <w:rPr>
          <w:lang w:val="es-ES_tradnl"/>
        </w:rPr>
        <w:t>este</w:t>
      </w:r>
      <w:r w:rsidRPr="00286CDE">
        <w:rPr>
          <w:lang w:val="es-ES_tradnl"/>
        </w:rPr>
        <w:t xml:space="preserve"> sensible, magullada, roja, dura o no intacta.</w:t>
      </w:r>
    </w:p>
    <w:p w14:paraId="6799A0B0" w14:textId="77777777" w:rsidR="00834462" w:rsidRDefault="00834462" w:rsidP="00834462">
      <w:pPr>
        <w:rPr>
          <w:lang w:val="es-ES_tradnl"/>
        </w:rPr>
      </w:pPr>
    </w:p>
    <w:p w14:paraId="0BB660F9" w14:textId="26A13808" w:rsidR="00834462" w:rsidRDefault="00834462" w:rsidP="00A50280">
      <w:pPr>
        <w:keepNext/>
        <w:keepLines/>
        <w:rPr>
          <w:lang w:val="es-ES_tradnl"/>
        </w:rPr>
      </w:pPr>
      <w:r>
        <w:rPr>
          <w:lang w:val="es-ES_tradnl"/>
        </w:rPr>
        <w:lastRenderedPageBreak/>
        <w:t xml:space="preserve">La jeringa precargada no </w:t>
      </w:r>
      <w:r w:rsidR="003532C2">
        <w:rPr>
          <w:lang w:val="es-ES_tradnl"/>
        </w:rPr>
        <w:t xml:space="preserve">se </w:t>
      </w:r>
      <w:r>
        <w:rPr>
          <w:lang w:val="es-ES_tradnl"/>
        </w:rPr>
        <w:t>debe agitar.</w:t>
      </w:r>
    </w:p>
    <w:p w14:paraId="6EB2EC8C" w14:textId="77777777" w:rsidR="00834462" w:rsidRPr="008A106B" w:rsidRDefault="00834462" w:rsidP="00A50280">
      <w:pPr>
        <w:keepNext/>
        <w:keepLines/>
        <w:rPr>
          <w:lang w:val="es-ES_tradnl"/>
        </w:rPr>
      </w:pPr>
    </w:p>
    <w:p w14:paraId="6129AA9F" w14:textId="11EF5C22" w:rsidR="00834462" w:rsidRPr="008A106B" w:rsidRDefault="001D5D80" w:rsidP="00834462">
      <w:pPr>
        <w:rPr>
          <w:lang w:val="es-ES_tradnl"/>
        </w:rPr>
      </w:pPr>
      <w:r>
        <w:rPr>
          <w:lang w:val="es-ES_tradnl"/>
        </w:rPr>
        <w:t>Para consultar las i</w:t>
      </w:r>
      <w:r w:rsidR="00834462">
        <w:rPr>
          <w:lang w:val="es-ES_tradnl"/>
        </w:rPr>
        <w:t xml:space="preserve">nstrucciones detalladas para la administración de RoActemra en jeringa precargada </w:t>
      </w:r>
      <w:r w:rsidR="00F97391">
        <w:rPr>
          <w:lang w:val="es-ES_tradnl"/>
        </w:rPr>
        <w:t xml:space="preserve">que </w:t>
      </w:r>
      <w:r w:rsidR="00834462">
        <w:rPr>
          <w:lang w:val="es-ES_tradnl"/>
        </w:rPr>
        <w:t>se incluyen</w:t>
      </w:r>
      <w:r w:rsidR="0000575F">
        <w:rPr>
          <w:lang w:val="es-ES_tradnl"/>
        </w:rPr>
        <w:t xml:space="preserve"> </w:t>
      </w:r>
      <w:r w:rsidR="00834462">
        <w:rPr>
          <w:lang w:val="es-ES_tradnl"/>
        </w:rPr>
        <w:t xml:space="preserve">en el </w:t>
      </w:r>
      <w:r w:rsidR="00834462" w:rsidRPr="00286CDE">
        <w:rPr>
          <w:lang w:val="es-ES_tradnl"/>
        </w:rPr>
        <w:t>prospecto</w:t>
      </w:r>
      <w:r w:rsidR="00834462" w:rsidRPr="008A106B">
        <w:rPr>
          <w:lang w:val="es-ES_tradnl"/>
        </w:rPr>
        <w:t>,</w:t>
      </w:r>
      <w:r w:rsidR="00834462">
        <w:rPr>
          <w:lang w:val="es-ES_tradnl"/>
        </w:rPr>
        <w:t xml:space="preserve"> </w:t>
      </w:r>
      <w:r w:rsidR="00834462" w:rsidRPr="008A106B">
        <w:rPr>
          <w:lang w:val="es-ES_tradnl"/>
        </w:rPr>
        <w:t>ver sección</w:t>
      </w:r>
      <w:r w:rsidR="000D6881">
        <w:rPr>
          <w:lang w:val="es-ES_tradnl"/>
        </w:rPr>
        <w:t> </w:t>
      </w:r>
      <w:r w:rsidR="00834462" w:rsidRPr="008A106B">
        <w:rPr>
          <w:lang w:val="es-ES_tradnl"/>
        </w:rPr>
        <w:t>6.6.</w:t>
      </w:r>
    </w:p>
    <w:p w14:paraId="16838808" w14:textId="77777777" w:rsidR="00834462" w:rsidRPr="008A106B" w:rsidRDefault="00834462" w:rsidP="00834462">
      <w:pPr>
        <w:rPr>
          <w:rFonts w:eastAsia="SimSun"/>
          <w:szCs w:val="22"/>
          <w:lang w:val="es-ES_tradnl" w:eastAsia="zh-CN"/>
        </w:rPr>
      </w:pPr>
    </w:p>
    <w:p w14:paraId="4F064E75" w14:textId="77777777" w:rsidR="00834462" w:rsidRPr="008A106B" w:rsidRDefault="00834462" w:rsidP="00834462">
      <w:pPr>
        <w:keepNext/>
        <w:keepLines/>
        <w:ind w:left="567" w:hanging="567"/>
        <w:rPr>
          <w:lang w:val="es-ES"/>
        </w:rPr>
      </w:pPr>
      <w:r w:rsidRPr="008A106B">
        <w:rPr>
          <w:b/>
          <w:bCs/>
          <w:lang w:val="es-ES"/>
        </w:rPr>
        <w:t>4.3</w:t>
      </w:r>
      <w:r w:rsidRPr="008A106B">
        <w:rPr>
          <w:b/>
          <w:bCs/>
          <w:lang w:val="es-ES"/>
        </w:rPr>
        <w:tab/>
      </w:r>
      <w:r w:rsidRPr="008A106B">
        <w:rPr>
          <w:b/>
          <w:bCs/>
          <w:lang w:val="es-ES_tradnl"/>
        </w:rPr>
        <w:t>Contraindicaciones</w:t>
      </w:r>
    </w:p>
    <w:p w14:paraId="3FFCB725" w14:textId="77777777" w:rsidR="00834462" w:rsidRPr="008A106B" w:rsidRDefault="00834462" w:rsidP="00834462">
      <w:pPr>
        <w:keepNext/>
        <w:keepLines/>
        <w:rPr>
          <w:lang w:val="es-ES"/>
        </w:rPr>
      </w:pPr>
    </w:p>
    <w:p w14:paraId="5D0ADBB5" w14:textId="26AE33EF" w:rsidR="00834462" w:rsidRPr="008A106B" w:rsidRDefault="00834462" w:rsidP="00834462">
      <w:pPr>
        <w:keepNext/>
        <w:keepLines/>
        <w:rPr>
          <w:lang w:val="es-ES_tradnl"/>
        </w:rPr>
      </w:pPr>
      <w:r w:rsidRPr="008A106B">
        <w:rPr>
          <w:lang w:val="es-ES_tradnl"/>
        </w:rPr>
        <w:t>Hipersensibilidad al principio activo o a alguno de los excipientes incluidos en la sección</w:t>
      </w:r>
      <w:r w:rsidR="000D6881">
        <w:rPr>
          <w:lang w:val="es-ES_tradnl"/>
        </w:rPr>
        <w:t> </w:t>
      </w:r>
      <w:r w:rsidRPr="008A106B">
        <w:rPr>
          <w:lang w:val="es-ES_tradnl"/>
        </w:rPr>
        <w:t>6.1.</w:t>
      </w:r>
    </w:p>
    <w:p w14:paraId="049BA3B9" w14:textId="77777777" w:rsidR="00834462" w:rsidRPr="008A106B" w:rsidRDefault="00834462" w:rsidP="00834462">
      <w:pPr>
        <w:keepNext/>
        <w:keepLines/>
        <w:rPr>
          <w:lang w:val="es-ES_tradnl"/>
        </w:rPr>
      </w:pPr>
    </w:p>
    <w:p w14:paraId="61E49213" w14:textId="040B186B" w:rsidR="00834462" w:rsidRPr="008A106B" w:rsidRDefault="00834462" w:rsidP="00834462">
      <w:pPr>
        <w:keepNext/>
        <w:keepLines/>
        <w:rPr>
          <w:lang w:val="es-ES"/>
        </w:rPr>
      </w:pPr>
      <w:r w:rsidRPr="008A106B">
        <w:rPr>
          <w:lang w:val="es-ES_tradnl"/>
        </w:rPr>
        <w:t>Infecciones graves y activas (ver sección</w:t>
      </w:r>
      <w:r w:rsidR="000D6881">
        <w:rPr>
          <w:lang w:val="es-ES_tradnl"/>
        </w:rPr>
        <w:t> </w:t>
      </w:r>
      <w:r w:rsidRPr="008A106B">
        <w:rPr>
          <w:lang w:val="es-ES_tradnl"/>
        </w:rPr>
        <w:t>4.4)</w:t>
      </w:r>
      <w:r w:rsidR="00876C53">
        <w:rPr>
          <w:lang w:val="es-ES_tradnl"/>
        </w:rPr>
        <w:t>.</w:t>
      </w:r>
    </w:p>
    <w:p w14:paraId="18C4C0A4" w14:textId="77777777" w:rsidR="00834462" w:rsidRPr="008A106B" w:rsidRDefault="00834462" w:rsidP="006616E4">
      <w:pPr>
        <w:ind w:left="567" w:hanging="567"/>
        <w:outlineLvl w:val="0"/>
        <w:rPr>
          <w:b/>
          <w:lang w:val="es-ES"/>
        </w:rPr>
      </w:pPr>
    </w:p>
    <w:p w14:paraId="4F1F0FF8" w14:textId="77777777" w:rsidR="00834462" w:rsidRDefault="00834462" w:rsidP="006A1006">
      <w:pPr>
        <w:keepNext/>
        <w:keepLines/>
        <w:ind w:left="567" w:hanging="567"/>
        <w:outlineLvl w:val="0"/>
        <w:rPr>
          <w:b/>
          <w:bCs/>
          <w:lang w:val="es-ES_tradnl"/>
        </w:rPr>
      </w:pPr>
      <w:r w:rsidRPr="008A106B">
        <w:rPr>
          <w:b/>
          <w:bCs/>
          <w:lang w:val="es-ES"/>
        </w:rPr>
        <w:t>4.4</w:t>
      </w:r>
      <w:r w:rsidRPr="008A106B">
        <w:rPr>
          <w:b/>
          <w:bCs/>
          <w:lang w:val="es-ES"/>
        </w:rPr>
        <w:tab/>
      </w:r>
      <w:r w:rsidRPr="008A106B">
        <w:rPr>
          <w:b/>
          <w:bCs/>
          <w:lang w:val="es-ES_tradnl"/>
        </w:rPr>
        <w:t>Advertencias y precauciones especiales de empleo</w:t>
      </w:r>
    </w:p>
    <w:p w14:paraId="75B4865D" w14:textId="77777777" w:rsidR="00BD71E2" w:rsidRDefault="00BD71E2" w:rsidP="006A1006">
      <w:pPr>
        <w:keepNext/>
        <w:keepLines/>
        <w:ind w:left="567" w:hanging="567"/>
        <w:outlineLvl w:val="0"/>
        <w:rPr>
          <w:b/>
          <w:bCs/>
          <w:lang w:val="es-ES_tradnl"/>
        </w:rPr>
      </w:pPr>
    </w:p>
    <w:p w14:paraId="2993A5DB" w14:textId="77777777" w:rsidR="005D4955" w:rsidRDefault="005D4955" w:rsidP="005D4955">
      <w:pPr>
        <w:keepNext/>
        <w:autoSpaceDE w:val="0"/>
        <w:autoSpaceDN w:val="0"/>
        <w:adjustRightInd w:val="0"/>
        <w:rPr>
          <w:szCs w:val="22"/>
          <w:lang w:val="es-ES"/>
        </w:rPr>
      </w:pPr>
      <w:r>
        <w:rPr>
          <w:szCs w:val="22"/>
          <w:lang w:val="es-ES"/>
        </w:rPr>
        <w:t xml:space="preserve">La formulación subcutánea de </w:t>
      </w:r>
      <w:r w:rsidRPr="001148B5">
        <w:rPr>
          <w:szCs w:val="22"/>
          <w:lang w:val="es-ES"/>
        </w:rPr>
        <w:t xml:space="preserve">RoActemra </w:t>
      </w:r>
      <w:r>
        <w:rPr>
          <w:szCs w:val="22"/>
          <w:lang w:val="es-ES"/>
        </w:rPr>
        <w:t>no está indicada para su administración por vía intravenosa.</w:t>
      </w:r>
    </w:p>
    <w:p w14:paraId="204E9701" w14:textId="77777777" w:rsidR="005D4955" w:rsidRDefault="005D4955" w:rsidP="005D4955">
      <w:pPr>
        <w:keepNext/>
        <w:keepLines/>
        <w:rPr>
          <w:i/>
          <w:lang w:val="es-ES"/>
        </w:rPr>
      </w:pPr>
    </w:p>
    <w:p w14:paraId="0203D00B" w14:textId="38B46403" w:rsidR="005D4955" w:rsidRPr="008A106B" w:rsidRDefault="005D4955" w:rsidP="005D4955">
      <w:pPr>
        <w:keepNext/>
        <w:keepLines/>
        <w:ind w:left="567" w:hanging="567"/>
        <w:outlineLvl w:val="0"/>
        <w:rPr>
          <w:b/>
          <w:bCs/>
          <w:lang w:val="es-ES"/>
        </w:rPr>
      </w:pPr>
      <w:r w:rsidRPr="000D2A86">
        <w:rPr>
          <w:szCs w:val="22"/>
          <w:lang w:val="es-ES"/>
        </w:rPr>
        <w:t>La formulación subcutánea de RoActemra no está indicada para su administración en niños con AIJs con un peso menor de 10</w:t>
      </w:r>
      <w:r w:rsidR="000D6881" w:rsidRPr="00F30AB8">
        <w:rPr>
          <w:noProof/>
          <w:lang w:val="es-ES"/>
        </w:rPr>
        <w:t> </w:t>
      </w:r>
      <w:r w:rsidRPr="000D2A86">
        <w:rPr>
          <w:szCs w:val="22"/>
          <w:lang w:val="es-ES"/>
        </w:rPr>
        <w:t>Kg.</w:t>
      </w:r>
    </w:p>
    <w:p w14:paraId="6750DED4" w14:textId="77777777" w:rsidR="00834462" w:rsidRDefault="00834462" w:rsidP="006616E4">
      <w:pPr>
        <w:keepNext/>
        <w:keepLines/>
        <w:ind w:left="567" w:hanging="567"/>
        <w:outlineLvl w:val="0"/>
        <w:rPr>
          <w:b/>
          <w:lang w:val="es-ES"/>
        </w:rPr>
      </w:pPr>
    </w:p>
    <w:p w14:paraId="24816AFF" w14:textId="77777777" w:rsidR="007B6ED4" w:rsidRPr="00F30AB8" w:rsidRDefault="007B6ED4" w:rsidP="006616E4">
      <w:pPr>
        <w:keepNext/>
        <w:keepLines/>
        <w:rPr>
          <w:u w:val="single"/>
          <w:lang w:val="es-ES_tradnl"/>
        </w:rPr>
      </w:pPr>
      <w:r w:rsidRPr="00F30AB8">
        <w:rPr>
          <w:u w:val="single"/>
          <w:lang w:val="es-ES_tradnl"/>
        </w:rPr>
        <w:t>Trazabilidad</w:t>
      </w:r>
    </w:p>
    <w:p w14:paraId="13F28C69" w14:textId="77777777" w:rsidR="00466122" w:rsidRPr="00E576A0" w:rsidRDefault="00466122" w:rsidP="006616E4">
      <w:pPr>
        <w:keepNext/>
        <w:keepLines/>
        <w:rPr>
          <w:i/>
          <w:u w:val="single"/>
          <w:lang w:val="es-ES_tradnl"/>
        </w:rPr>
      </w:pPr>
    </w:p>
    <w:p w14:paraId="5B014E77" w14:textId="77777777" w:rsidR="007B6ED4" w:rsidRPr="00E576A0" w:rsidRDefault="007B6ED4" w:rsidP="007B6ED4">
      <w:pPr>
        <w:rPr>
          <w:lang w:val="es-ES_tradnl"/>
        </w:rPr>
      </w:pPr>
      <w:r w:rsidRPr="00E576A0">
        <w:rPr>
          <w:lang w:val="es-ES_tradnl"/>
        </w:rPr>
        <w:t xml:space="preserve">Para mejorar la trazabilidad de los medicamentos biológicos, </w:t>
      </w:r>
      <w:r w:rsidR="00EB51B9">
        <w:rPr>
          <w:lang w:val="es-ES_tradnl"/>
        </w:rPr>
        <w:t xml:space="preserve">el nombre </w:t>
      </w:r>
      <w:r w:rsidRPr="00E576A0">
        <w:rPr>
          <w:lang w:val="es-ES_tradnl"/>
        </w:rPr>
        <w:t>del medicamento y el número de lote administrado debe estar claramente registrado (o declarado) en la historia clínica del paciente.</w:t>
      </w:r>
    </w:p>
    <w:p w14:paraId="5C2C1F85" w14:textId="77777777" w:rsidR="007B6ED4" w:rsidRDefault="007B6ED4" w:rsidP="00834462">
      <w:pPr>
        <w:ind w:left="567" w:hanging="567"/>
        <w:outlineLvl w:val="0"/>
        <w:rPr>
          <w:b/>
          <w:lang w:val="es-ES_tradnl"/>
        </w:rPr>
      </w:pPr>
    </w:p>
    <w:p w14:paraId="23C20790" w14:textId="77777777" w:rsidR="00466122" w:rsidRDefault="00466122" w:rsidP="00834462">
      <w:pPr>
        <w:ind w:left="567" w:hanging="567"/>
        <w:outlineLvl w:val="0"/>
        <w:rPr>
          <w:u w:val="single"/>
          <w:lang w:val="es-ES_tradnl"/>
        </w:rPr>
      </w:pPr>
      <w:r w:rsidRPr="00F30AB8">
        <w:rPr>
          <w:u w:val="single"/>
          <w:lang w:val="es-ES_tradnl"/>
        </w:rPr>
        <w:t>Todas las indicaciones</w:t>
      </w:r>
    </w:p>
    <w:p w14:paraId="65A8D569" w14:textId="77777777" w:rsidR="00466122" w:rsidRPr="00F30AB8" w:rsidRDefault="00466122" w:rsidP="00834462">
      <w:pPr>
        <w:ind w:left="567" w:hanging="567"/>
        <w:outlineLvl w:val="0"/>
        <w:rPr>
          <w:u w:val="single"/>
          <w:lang w:val="es-ES_tradnl"/>
        </w:rPr>
      </w:pPr>
    </w:p>
    <w:p w14:paraId="190FFC88" w14:textId="77777777" w:rsidR="00834462" w:rsidRDefault="00834462" w:rsidP="00834462">
      <w:pPr>
        <w:ind w:left="567" w:hanging="567"/>
        <w:outlineLvl w:val="0"/>
        <w:rPr>
          <w:i/>
          <w:iCs/>
          <w:lang w:val="es-ES"/>
        </w:rPr>
      </w:pPr>
      <w:r w:rsidRPr="008A106B">
        <w:rPr>
          <w:i/>
          <w:iCs/>
          <w:lang w:val="es-ES_tradnl"/>
        </w:rPr>
        <w:t>Infecciones</w:t>
      </w:r>
      <w:r w:rsidRPr="008A106B">
        <w:rPr>
          <w:i/>
          <w:iCs/>
          <w:lang w:val="es-ES"/>
        </w:rPr>
        <w:t xml:space="preserve"> </w:t>
      </w:r>
    </w:p>
    <w:p w14:paraId="1557A9A7" w14:textId="77777777" w:rsidR="001F2600" w:rsidRPr="008A106B" w:rsidRDefault="001F2600" w:rsidP="00834462">
      <w:pPr>
        <w:ind w:left="567" w:hanging="567"/>
        <w:outlineLvl w:val="0"/>
        <w:rPr>
          <w:lang w:val="es-ES"/>
        </w:rPr>
      </w:pPr>
    </w:p>
    <w:p w14:paraId="5F1420A4" w14:textId="79798C40" w:rsidR="00834462" w:rsidRPr="008A106B" w:rsidRDefault="00834462" w:rsidP="00834462">
      <w:pPr>
        <w:rPr>
          <w:lang w:val="es-ES_tradnl"/>
        </w:rPr>
      </w:pPr>
      <w:r w:rsidRPr="008A106B">
        <w:rPr>
          <w:lang w:val="es-ES_tradnl"/>
        </w:rPr>
        <w:t>Se han notificado infecciones graves y en algunos casos mortales en pacientes que reciben agentes inmunosupresores</w:t>
      </w:r>
      <w:r w:rsidR="00C5327A">
        <w:rPr>
          <w:lang w:val="es-ES_tradnl"/>
        </w:rPr>
        <w:t>,</w:t>
      </w:r>
      <w:r w:rsidRPr="008A106B">
        <w:rPr>
          <w:lang w:val="es-ES_tradnl"/>
        </w:rPr>
        <w:t xml:space="preserve"> incluido </w:t>
      </w:r>
      <w:r w:rsidR="00466122">
        <w:rPr>
          <w:lang w:val="es-ES_tradnl"/>
        </w:rPr>
        <w:t>tocilizumab</w:t>
      </w:r>
      <w:r w:rsidR="00466122" w:rsidRPr="008A106B">
        <w:rPr>
          <w:lang w:val="es-ES_tradnl"/>
        </w:rPr>
        <w:t xml:space="preserve"> </w:t>
      </w:r>
      <w:r w:rsidRPr="008A106B">
        <w:rPr>
          <w:lang w:val="es-ES_tradnl"/>
        </w:rPr>
        <w:t>(ver sección</w:t>
      </w:r>
      <w:r w:rsidR="001F2600">
        <w:rPr>
          <w:lang w:val="es-ES_tradnl"/>
        </w:rPr>
        <w:t> </w:t>
      </w:r>
      <w:r w:rsidRPr="008A106B">
        <w:rPr>
          <w:lang w:val="es-ES_tradnl"/>
        </w:rPr>
        <w:t>4.8). No debe iniciarse el tratamiento en pacientes con infecciones activas (ver sección</w:t>
      </w:r>
      <w:r w:rsidR="001F2600">
        <w:rPr>
          <w:lang w:val="es-ES_tradnl"/>
        </w:rPr>
        <w:t> </w:t>
      </w:r>
      <w:r w:rsidRPr="008A106B">
        <w:rPr>
          <w:lang w:val="es-ES_tradnl"/>
        </w:rPr>
        <w:t>4.3).</w:t>
      </w:r>
      <w:r w:rsidRPr="008A106B">
        <w:rPr>
          <w:lang w:val="es-ES"/>
        </w:rPr>
        <w:t xml:space="preserve"> </w:t>
      </w:r>
      <w:r w:rsidRPr="008A106B">
        <w:rPr>
          <w:lang w:val="es-ES_tradnl"/>
        </w:rPr>
        <w:t xml:space="preserve">Se debe interrumpir la administración de </w:t>
      </w:r>
      <w:del w:id="804" w:author="AUTHOR">
        <w:r w:rsidR="00466122" w:rsidDel="006D4B3A">
          <w:rPr>
            <w:lang w:val="es-ES_tradnl"/>
          </w:rPr>
          <w:delText>este medicamento</w:delText>
        </w:r>
      </w:del>
      <w:ins w:id="805" w:author="AUTHOR">
        <w:r w:rsidR="006D4B3A">
          <w:rPr>
            <w:lang w:val="es-ES_tradnl"/>
          </w:rPr>
          <w:t xml:space="preserve">tocilizumab </w:t>
        </w:r>
      </w:ins>
      <w:r w:rsidRPr="008A106B">
        <w:rPr>
          <w:lang w:val="es-ES_tradnl"/>
        </w:rPr>
        <w:t>si un paciente desarrolla una infección grave, hasta que la infección esté controlada (ver sección</w:t>
      </w:r>
      <w:r w:rsidR="001F2600">
        <w:rPr>
          <w:lang w:val="es-ES_tradnl"/>
        </w:rPr>
        <w:t> </w:t>
      </w:r>
      <w:r w:rsidRPr="008A106B">
        <w:rPr>
          <w:lang w:val="es-ES_tradnl"/>
        </w:rPr>
        <w:t>4.8).</w:t>
      </w:r>
      <w:r w:rsidRPr="008A106B">
        <w:rPr>
          <w:lang w:val="es-ES"/>
        </w:rPr>
        <w:t xml:space="preserve"> </w:t>
      </w:r>
      <w:r w:rsidRPr="008A106B">
        <w:rPr>
          <w:lang w:val="es-ES_tradnl"/>
        </w:rPr>
        <w:t>Los profesionales sanitarios deben tener precaución</w:t>
      </w:r>
      <w:r w:rsidR="00C5327A">
        <w:rPr>
          <w:lang w:val="es-ES_tradnl"/>
        </w:rPr>
        <w:t>,</w:t>
      </w:r>
      <w:r w:rsidRPr="008A106B">
        <w:rPr>
          <w:lang w:val="es-ES_tradnl"/>
        </w:rPr>
        <w:t xml:space="preserve"> cuando consideren el uso de </w:t>
      </w:r>
      <w:del w:id="806" w:author="AUTHOR">
        <w:r w:rsidRPr="008A106B" w:rsidDel="00802C8A">
          <w:rPr>
            <w:lang w:val="es-ES_tradnl"/>
          </w:rPr>
          <w:delText xml:space="preserve">RoActemra </w:delText>
        </w:r>
      </w:del>
      <w:ins w:id="807" w:author="AUTHOR">
        <w:r w:rsidR="00802C8A">
          <w:rPr>
            <w:lang w:val="es-ES_tradnl"/>
          </w:rPr>
          <w:t>este medicamento</w:t>
        </w:r>
        <w:r w:rsidR="00802C8A" w:rsidRPr="008A106B">
          <w:rPr>
            <w:lang w:val="es-ES_tradnl"/>
          </w:rPr>
          <w:t xml:space="preserve"> </w:t>
        </w:r>
      </w:ins>
      <w:r w:rsidRPr="008A106B">
        <w:rPr>
          <w:lang w:val="es-ES_tradnl"/>
        </w:rPr>
        <w:t>en pacientes con un historial de infecciones recurrentes o crónicas o con procesos subyacentes (p.ej.</w:t>
      </w:r>
      <w:r w:rsidR="008621A5">
        <w:rPr>
          <w:lang w:val="es-ES_tradnl"/>
        </w:rPr>
        <w:t>,</w:t>
      </w:r>
      <w:r w:rsidRPr="008A106B">
        <w:rPr>
          <w:lang w:val="es-ES_tradnl"/>
        </w:rPr>
        <w:t xml:space="preserve"> diverticulitis, diabetes y enfermedad pulmonar intersticial) que puedan predisponer a los pacientes a infecciones.</w:t>
      </w:r>
    </w:p>
    <w:p w14:paraId="22351D87" w14:textId="77777777" w:rsidR="00834462" w:rsidRPr="008A106B" w:rsidRDefault="00834462" w:rsidP="00834462">
      <w:pPr>
        <w:rPr>
          <w:lang w:val="es-ES"/>
        </w:rPr>
      </w:pPr>
    </w:p>
    <w:p w14:paraId="6ABA97BC" w14:textId="0B350545" w:rsidR="00834462" w:rsidRPr="008A106B" w:rsidRDefault="00834462" w:rsidP="00834462">
      <w:pPr>
        <w:rPr>
          <w:lang w:val="es-ES_tradnl"/>
        </w:rPr>
      </w:pPr>
      <w:r w:rsidRPr="008A106B">
        <w:rPr>
          <w:lang w:val="es-ES_tradnl"/>
        </w:rPr>
        <w:t xml:space="preserve">Se recomienda estar alerta para la detección oportuna de infecciones graves en pacientes que reciben </w:t>
      </w:r>
      <w:r w:rsidR="00CE356B">
        <w:rPr>
          <w:lang w:val="es-ES_tradnl"/>
        </w:rPr>
        <w:t xml:space="preserve">agentes inmunosupresores como </w:t>
      </w:r>
      <w:r w:rsidR="00466122">
        <w:rPr>
          <w:szCs w:val="22"/>
          <w:lang w:val="es-ES"/>
        </w:rPr>
        <w:t>tocilizumab</w:t>
      </w:r>
      <w:r w:rsidRPr="008A106B">
        <w:rPr>
          <w:lang w:val="es-ES_tradnl"/>
        </w:rPr>
        <w:t>, ya que los signos y síntomas de la inflamación aguda pueden reducirse, debido a la supresión de</w:t>
      </w:r>
      <w:r>
        <w:rPr>
          <w:lang w:val="es-ES_tradnl"/>
        </w:rPr>
        <w:t xml:space="preserve"> los reactantes de fase aguda</w:t>
      </w:r>
      <w:r w:rsidRPr="008A106B">
        <w:rPr>
          <w:lang w:val="es-ES_tradnl"/>
        </w:rPr>
        <w:t xml:space="preserve">. Cuando se evalúe una potencial infección en un paciente hay que tener en cuenta los efectos de tocilizumab sobre la proteína C reactiva (PCR), neutrófilos y los signos y síntomas de la infección. </w:t>
      </w:r>
      <w:r w:rsidRPr="008A106B">
        <w:rPr>
          <w:lang w:val="es-ES"/>
        </w:rPr>
        <w:t xml:space="preserve">Se </w:t>
      </w:r>
      <w:r w:rsidRPr="008A106B">
        <w:rPr>
          <w:lang w:val="es-ES_tradnl"/>
        </w:rPr>
        <w:t xml:space="preserve">deben dar instrucciones precisas a los pacientes </w:t>
      </w:r>
      <w:r w:rsidR="007F6ECB" w:rsidRPr="008A106B">
        <w:rPr>
          <w:lang w:val="es-ES_tradnl"/>
        </w:rPr>
        <w:t>(incluidos niños pequeños con AIJs o AIJp que pueden ser menos capaces de comunicar sus síntomas)</w:t>
      </w:r>
      <w:r w:rsidR="007F6ECB">
        <w:rPr>
          <w:lang w:val="es-ES_tradnl"/>
        </w:rPr>
        <w:t xml:space="preserve"> y a los padres o cuidadores de pacientes con AIJs o AIJp</w:t>
      </w:r>
      <w:r w:rsidR="007F6ECB" w:rsidRPr="008A106B">
        <w:rPr>
          <w:lang w:val="es-ES_tradnl"/>
        </w:rPr>
        <w:t xml:space="preserve"> </w:t>
      </w:r>
      <w:r w:rsidRPr="008A106B">
        <w:rPr>
          <w:lang w:val="es-ES_tradnl"/>
        </w:rPr>
        <w:t>para que contacten inmediatamente con su profesional sanitario cuando aparezca cualquier síntoma que sugiera infección, para asegurar una evaluación rápida y un tratamiento adecuado.</w:t>
      </w:r>
    </w:p>
    <w:p w14:paraId="135C0362" w14:textId="77777777" w:rsidR="00834462" w:rsidRPr="008A106B" w:rsidRDefault="00834462" w:rsidP="00834462">
      <w:pPr>
        <w:rPr>
          <w:lang w:val="es-ES_tradnl"/>
        </w:rPr>
      </w:pPr>
    </w:p>
    <w:p w14:paraId="4BFA7249" w14:textId="77777777" w:rsidR="00834462" w:rsidRPr="008A106B" w:rsidRDefault="00834462" w:rsidP="00834462">
      <w:pPr>
        <w:rPr>
          <w:i/>
          <w:lang w:val="es-ES_tradnl"/>
        </w:rPr>
      </w:pPr>
      <w:r w:rsidRPr="008A106B">
        <w:rPr>
          <w:i/>
          <w:lang w:val="es-ES_tradnl"/>
        </w:rPr>
        <w:t>Tuberculosis</w:t>
      </w:r>
    </w:p>
    <w:p w14:paraId="61FF3063" w14:textId="0CE6374C" w:rsidR="00834462" w:rsidRPr="008A106B" w:rsidRDefault="00834462" w:rsidP="00834462">
      <w:pPr>
        <w:rPr>
          <w:lang w:val="es-ES_tradnl"/>
        </w:rPr>
      </w:pPr>
      <w:r w:rsidRPr="008A106B">
        <w:rPr>
          <w:lang w:val="es-ES_tradnl"/>
        </w:rPr>
        <w:t>Al igual que en otros tratamientos biológicos, se recomienda realizar a</w:t>
      </w:r>
      <w:r w:rsidR="00CE356B">
        <w:rPr>
          <w:lang w:val="es-ES_tradnl"/>
        </w:rPr>
        <w:t xml:space="preserve"> todos</w:t>
      </w:r>
      <w:r w:rsidRPr="008A106B">
        <w:rPr>
          <w:lang w:val="es-ES_tradnl"/>
        </w:rPr>
        <w:t xml:space="preserve"> los pacientes un cribado de infección latente de tuberculosis</w:t>
      </w:r>
      <w:r w:rsidR="00466122">
        <w:rPr>
          <w:lang w:val="es-ES_tradnl"/>
        </w:rPr>
        <w:t xml:space="preserve"> (TB)</w:t>
      </w:r>
      <w:r w:rsidR="00EA60C0">
        <w:rPr>
          <w:lang w:val="es-ES_tradnl"/>
        </w:rPr>
        <w:t>,</w:t>
      </w:r>
      <w:r w:rsidRPr="008A106B">
        <w:rPr>
          <w:lang w:val="es-ES_tradnl"/>
        </w:rPr>
        <w:t xml:space="preserve"> antes de comenzar el tratamiento con </w:t>
      </w:r>
      <w:r w:rsidR="00466122">
        <w:rPr>
          <w:lang w:val="es-ES_tradnl"/>
        </w:rPr>
        <w:t>tocilizumab</w:t>
      </w:r>
      <w:r w:rsidRPr="008A106B">
        <w:rPr>
          <w:lang w:val="es-ES_tradnl"/>
        </w:rPr>
        <w:t>.</w:t>
      </w:r>
      <w:r w:rsidRPr="008A106B">
        <w:rPr>
          <w:lang w:val="es-ES"/>
        </w:rPr>
        <w:t xml:space="preserve"> </w:t>
      </w:r>
      <w:r w:rsidRPr="008A106B">
        <w:rPr>
          <w:lang w:val="es-ES_tradnl"/>
        </w:rPr>
        <w:t>Los pacientes con tuberculosis latente deben recibir tratamiento estándar con antimicobacteriano antes de comenzar el tratamiento.</w:t>
      </w:r>
      <w:r w:rsidRPr="008A106B">
        <w:rPr>
          <w:lang w:val="es-ES"/>
        </w:rPr>
        <w:t xml:space="preserve"> Los profesionales sanitarios deben recordar el riesgo que existe de falsos negativos</w:t>
      </w:r>
      <w:r w:rsidR="0000575F">
        <w:rPr>
          <w:lang w:val="es-ES"/>
        </w:rPr>
        <w:t xml:space="preserve"> al realizar la prueba cutánea </w:t>
      </w:r>
      <w:r w:rsidRPr="008A106B">
        <w:rPr>
          <w:lang w:val="es-ES"/>
        </w:rPr>
        <w:t xml:space="preserve">de la tuberculina </w:t>
      </w:r>
      <w:r w:rsidRPr="008A106B">
        <w:rPr>
          <w:lang w:val="es-ES_tradnl"/>
        </w:rPr>
        <w:t>y la detección del gamma interferón, especialmente en pacientes que están gravemente enfermos o inmunodeprimidos.</w:t>
      </w:r>
    </w:p>
    <w:p w14:paraId="15F025F3" w14:textId="77777777" w:rsidR="00834462" w:rsidRPr="008A106B" w:rsidRDefault="00834462" w:rsidP="00834462">
      <w:pPr>
        <w:rPr>
          <w:lang w:val="es-ES_tradnl"/>
        </w:rPr>
      </w:pPr>
    </w:p>
    <w:p w14:paraId="38ECA8E7" w14:textId="76E418C0" w:rsidR="00834462" w:rsidRPr="008A106B" w:rsidRDefault="00834462" w:rsidP="00834462">
      <w:pPr>
        <w:rPr>
          <w:lang w:val="es-ES"/>
        </w:rPr>
      </w:pPr>
      <w:r w:rsidRPr="008A106B">
        <w:rPr>
          <w:lang w:val="es-ES_tradnl"/>
        </w:rPr>
        <w:t>Se debe dar instrucciones a los pacientes</w:t>
      </w:r>
      <w:r w:rsidR="009250E6">
        <w:rPr>
          <w:lang w:val="es-ES_tradnl"/>
        </w:rPr>
        <w:t xml:space="preserve"> y a los padres/cuidadores de los pacientes con AIJs o </w:t>
      </w:r>
      <w:proofErr w:type="gramStart"/>
      <w:r w:rsidR="009250E6">
        <w:rPr>
          <w:lang w:val="es-ES_tradnl"/>
        </w:rPr>
        <w:t xml:space="preserve">AIJp </w:t>
      </w:r>
      <w:r w:rsidRPr="008A106B">
        <w:rPr>
          <w:lang w:val="es-ES_tradnl"/>
        </w:rPr>
        <w:t xml:space="preserve"> para</w:t>
      </w:r>
      <w:proofErr w:type="gramEnd"/>
      <w:r w:rsidRPr="008A106B">
        <w:rPr>
          <w:lang w:val="es-ES_tradnl"/>
        </w:rPr>
        <w:t xml:space="preserve"> que acudan al médico si se presentan signos y síntomas (por ejempl</w:t>
      </w:r>
      <w:r w:rsidR="0000575F">
        <w:rPr>
          <w:lang w:val="es-ES_tradnl"/>
        </w:rPr>
        <w:t xml:space="preserve">o, tos persistente, debilidad </w:t>
      </w:r>
      <w:r w:rsidR="0000575F">
        <w:rPr>
          <w:lang w:val="es-ES_tradnl"/>
        </w:rPr>
        <w:lastRenderedPageBreak/>
        <w:t>/</w:t>
      </w:r>
      <w:r w:rsidRPr="008A106B">
        <w:rPr>
          <w:lang w:val="es-ES_tradnl"/>
        </w:rPr>
        <w:t xml:space="preserve">pérdida de peso, fiebre baja) que puedan sugerir </w:t>
      </w:r>
      <w:r w:rsidR="0000575F">
        <w:rPr>
          <w:lang w:val="es-ES_tradnl"/>
        </w:rPr>
        <w:t xml:space="preserve">una infección por tuberculosis, </w:t>
      </w:r>
      <w:r w:rsidRPr="008A106B">
        <w:rPr>
          <w:lang w:val="es-ES_tradnl"/>
        </w:rPr>
        <w:t>se produzca durante o después del tratamiento con</w:t>
      </w:r>
      <w:r w:rsidR="00466122">
        <w:rPr>
          <w:lang w:val="es-ES_tradnl"/>
        </w:rPr>
        <w:t xml:space="preserve"> este medicamento</w:t>
      </w:r>
      <w:r w:rsidRPr="008A106B">
        <w:rPr>
          <w:lang w:val="es-ES_tradnl"/>
        </w:rPr>
        <w:t>.</w:t>
      </w:r>
    </w:p>
    <w:p w14:paraId="6A1886A6" w14:textId="77777777" w:rsidR="00834462" w:rsidRPr="008A106B" w:rsidRDefault="00834462" w:rsidP="00834462">
      <w:pPr>
        <w:rPr>
          <w:lang w:val="es-ES"/>
        </w:rPr>
      </w:pPr>
    </w:p>
    <w:p w14:paraId="49F27B40" w14:textId="77777777" w:rsidR="00834462" w:rsidRPr="008A106B" w:rsidRDefault="00834462" w:rsidP="00E576A0">
      <w:pPr>
        <w:keepNext/>
        <w:keepLines/>
        <w:rPr>
          <w:i/>
          <w:lang w:val="es-ES"/>
        </w:rPr>
      </w:pPr>
      <w:r w:rsidRPr="008A106B">
        <w:rPr>
          <w:i/>
          <w:lang w:val="es-ES"/>
        </w:rPr>
        <w:t xml:space="preserve">Reactivación viral </w:t>
      </w:r>
    </w:p>
    <w:p w14:paraId="766F2422" w14:textId="0B431263" w:rsidR="00834462" w:rsidRPr="008A106B" w:rsidRDefault="00834462" w:rsidP="00E576A0">
      <w:pPr>
        <w:keepNext/>
        <w:keepLines/>
        <w:rPr>
          <w:rFonts w:eastAsia="SimSun"/>
          <w:lang w:val="es-ES" w:eastAsia="zh-CN"/>
        </w:rPr>
      </w:pPr>
      <w:r w:rsidRPr="008A106B">
        <w:rPr>
          <w:rFonts w:eastAsia="SimSun"/>
          <w:lang w:val="es-ES" w:eastAsia="zh-CN"/>
        </w:rPr>
        <w:t xml:space="preserve">Se ha notificado reactivación viral (por </w:t>
      </w:r>
      <w:r w:rsidR="00713DA4" w:rsidRPr="008A106B">
        <w:rPr>
          <w:rFonts w:eastAsia="SimSun"/>
          <w:lang w:val="es-ES" w:eastAsia="zh-CN"/>
        </w:rPr>
        <w:t>ejemplo,</w:t>
      </w:r>
      <w:r w:rsidRPr="008A106B">
        <w:rPr>
          <w:rFonts w:eastAsia="SimSun"/>
          <w:lang w:val="es-ES" w:eastAsia="zh-CN"/>
        </w:rPr>
        <w:t xml:space="preserve"> virus de la hepatitis B) en pacientes con AR que estaban en tratamiento con terapias biológicas. En los ensayos clínicos con </w:t>
      </w:r>
      <w:r w:rsidR="00466122">
        <w:rPr>
          <w:szCs w:val="22"/>
          <w:lang w:val="es-ES"/>
        </w:rPr>
        <w:t>tocilizumab</w:t>
      </w:r>
      <w:r w:rsidRPr="008A106B">
        <w:rPr>
          <w:rFonts w:eastAsia="SimSun"/>
          <w:lang w:val="es-ES" w:eastAsia="zh-CN"/>
        </w:rPr>
        <w:t xml:space="preserve">, se excluyeron los pacientes con </w:t>
      </w:r>
      <w:del w:id="808" w:author="AUTHOR">
        <w:r w:rsidRPr="008A106B" w:rsidDel="00802C8A">
          <w:rPr>
            <w:rFonts w:eastAsia="SimSun"/>
            <w:lang w:val="es-ES" w:eastAsia="zh-CN"/>
          </w:rPr>
          <w:delText xml:space="preserve">screening </w:delText>
        </w:r>
      </w:del>
      <w:ins w:id="809" w:author="AUTHOR">
        <w:r w:rsidR="00802C8A">
          <w:rPr>
            <w:rFonts w:eastAsia="SimSun"/>
            <w:lang w:val="es-ES" w:eastAsia="zh-CN"/>
          </w:rPr>
          <w:t>resultado</w:t>
        </w:r>
        <w:r w:rsidR="00802C8A" w:rsidRPr="008A106B">
          <w:rPr>
            <w:rFonts w:eastAsia="SimSun"/>
            <w:lang w:val="es-ES" w:eastAsia="zh-CN"/>
          </w:rPr>
          <w:t xml:space="preserve"> </w:t>
        </w:r>
      </w:ins>
      <w:r w:rsidRPr="008A106B">
        <w:rPr>
          <w:rFonts w:eastAsia="SimSun"/>
          <w:lang w:val="es-ES" w:eastAsia="zh-CN"/>
        </w:rPr>
        <w:t>positivo para hepatitis.</w:t>
      </w:r>
    </w:p>
    <w:p w14:paraId="20CA1D0C" w14:textId="77777777" w:rsidR="00834462" w:rsidRPr="008A106B" w:rsidRDefault="00834462" w:rsidP="00834462">
      <w:pPr>
        <w:autoSpaceDE w:val="0"/>
        <w:autoSpaceDN w:val="0"/>
        <w:adjustRightInd w:val="0"/>
        <w:rPr>
          <w:rFonts w:ascii="TimesNewRomanPSMT" w:eastAsia="SimSun" w:hAnsi="TimesNewRomanPSMT" w:cs="TimesNewRomanPSMT"/>
          <w:sz w:val="21"/>
          <w:szCs w:val="21"/>
          <w:lang w:val="es-ES" w:eastAsia="zh-CN"/>
        </w:rPr>
      </w:pPr>
    </w:p>
    <w:p w14:paraId="04C91008" w14:textId="77777777" w:rsidR="00834462" w:rsidRPr="008A106B" w:rsidRDefault="00834462" w:rsidP="00834462">
      <w:pPr>
        <w:rPr>
          <w:i/>
          <w:iCs/>
          <w:lang w:val="es-ES"/>
        </w:rPr>
      </w:pPr>
      <w:r w:rsidRPr="008A106B">
        <w:rPr>
          <w:i/>
          <w:iCs/>
          <w:lang w:val="es-ES_tradnl"/>
        </w:rPr>
        <w:t>Complicaciones de la diverticulitis</w:t>
      </w:r>
    </w:p>
    <w:p w14:paraId="3078BF00" w14:textId="7B966E52" w:rsidR="00834462" w:rsidRPr="008A106B" w:rsidRDefault="00834462" w:rsidP="00834462">
      <w:pPr>
        <w:rPr>
          <w:lang w:val="es-ES"/>
        </w:rPr>
      </w:pPr>
      <w:r w:rsidRPr="008A106B">
        <w:rPr>
          <w:lang w:val="es-ES_tradnl"/>
        </w:rPr>
        <w:t>Se han notificado casos poco frecuentes de perforaciones diverticulares como complicaciones de una diverticulitis</w:t>
      </w:r>
      <w:r>
        <w:rPr>
          <w:lang w:val="es-ES_tradnl"/>
        </w:rPr>
        <w:t xml:space="preserve"> </w:t>
      </w:r>
      <w:r w:rsidRPr="008A106B">
        <w:rPr>
          <w:lang w:val="es-ES_tradnl"/>
        </w:rPr>
        <w:t xml:space="preserve">en pacientes </w:t>
      </w:r>
      <w:r w:rsidR="00B33952">
        <w:rPr>
          <w:lang w:val="es-ES_tradnl"/>
        </w:rPr>
        <w:t xml:space="preserve">tratados con </w:t>
      </w:r>
      <w:r w:rsidR="00466122">
        <w:rPr>
          <w:szCs w:val="22"/>
          <w:lang w:val="es-ES"/>
        </w:rPr>
        <w:t>tocilizumab</w:t>
      </w:r>
      <w:r w:rsidR="00466122" w:rsidRPr="008A106B">
        <w:rPr>
          <w:lang w:val="es-ES_tradnl"/>
        </w:rPr>
        <w:t xml:space="preserve"> </w:t>
      </w:r>
      <w:r w:rsidRPr="008A106B">
        <w:rPr>
          <w:lang w:val="es-ES_tradnl"/>
        </w:rPr>
        <w:t>(ver sección</w:t>
      </w:r>
      <w:r w:rsidR="001F2600">
        <w:rPr>
          <w:lang w:val="es-ES_tradnl"/>
        </w:rPr>
        <w:t> </w:t>
      </w:r>
      <w:r w:rsidRPr="008A106B">
        <w:rPr>
          <w:lang w:val="es-ES_tradnl"/>
        </w:rPr>
        <w:t>4.8)</w:t>
      </w:r>
      <w:r>
        <w:rPr>
          <w:lang w:val="es-ES_tradnl"/>
        </w:rPr>
        <w:t xml:space="preserve">. </w:t>
      </w:r>
      <w:r w:rsidR="00466122">
        <w:rPr>
          <w:lang w:val="es-ES_tradnl"/>
        </w:rPr>
        <w:t xml:space="preserve">Este </w:t>
      </w:r>
      <w:proofErr w:type="gramStart"/>
      <w:r w:rsidR="00466122">
        <w:rPr>
          <w:lang w:val="es-ES_tradnl"/>
        </w:rPr>
        <w:t xml:space="preserve">medicamento </w:t>
      </w:r>
      <w:r w:rsidRPr="008A106B">
        <w:rPr>
          <w:lang w:val="es-ES_tradnl"/>
        </w:rPr>
        <w:t xml:space="preserve"> debe</w:t>
      </w:r>
      <w:proofErr w:type="gramEnd"/>
      <w:r w:rsidRPr="008A106B">
        <w:rPr>
          <w:lang w:val="es-ES_tradnl"/>
        </w:rPr>
        <w:t xml:space="preserve"> utilizarse con precaución en pacientes con antecedentes de ulceración intestinal o diverticulitis.</w:t>
      </w:r>
      <w:r w:rsidRPr="008A106B">
        <w:rPr>
          <w:lang w:val="es-ES"/>
        </w:rPr>
        <w:t xml:space="preserve"> </w:t>
      </w:r>
      <w:r w:rsidRPr="008A106B">
        <w:rPr>
          <w:lang w:val="es-ES_tradnl"/>
        </w:rPr>
        <w:t>Los pacientes que presenten síntomas potencialmente indicativos de diverticulitis complicada, como dolor abdominal, hemorragia y/o cambio inexplicado en los hábitos intestinales con fiebre</w:t>
      </w:r>
      <w:r w:rsidR="00EA60C0">
        <w:rPr>
          <w:lang w:val="es-ES_tradnl"/>
        </w:rPr>
        <w:t>,</w:t>
      </w:r>
      <w:r w:rsidRPr="008A106B">
        <w:rPr>
          <w:lang w:val="es-ES_tradnl"/>
        </w:rPr>
        <w:t xml:space="preserve"> deben ser evaluados rápidamente para la identificación precoz de diverticulitis, que puede asociarse con perforación gastrointestinal.</w:t>
      </w:r>
    </w:p>
    <w:p w14:paraId="23443067" w14:textId="77777777" w:rsidR="00834462" w:rsidRPr="008A106B" w:rsidRDefault="00834462" w:rsidP="00834462">
      <w:pPr>
        <w:ind w:left="567" w:hanging="567"/>
        <w:outlineLvl w:val="0"/>
        <w:rPr>
          <w:bCs/>
          <w:lang w:val="es-ES"/>
        </w:rPr>
      </w:pPr>
    </w:p>
    <w:p w14:paraId="0A01AB40" w14:textId="77777777" w:rsidR="00834462" w:rsidRPr="008A106B" w:rsidRDefault="00834462" w:rsidP="00097C58">
      <w:pPr>
        <w:keepNext/>
        <w:keepLines/>
        <w:ind w:left="561" w:hanging="561"/>
        <w:outlineLvl w:val="0"/>
        <w:rPr>
          <w:i/>
          <w:iCs/>
          <w:lang w:val="es-ES"/>
        </w:rPr>
      </w:pPr>
      <w:r w:rsidRPr="008A106B">
        <w:rPr>
          <w:i/>
          <w:iCs/>
          <w:lang w:val="es-ES_tradnl"/>
        </w:rPr>
        <w:t>Reacciones de hipersensibilidad</w:t>
      </w:r>
    </w:p>
    <w:p w14:paraId="7D1362D4" w14:textId="58CC15C3" w:rsidR="00834462" w:rsidRPr="008A106B" w:rsidRDefault="00834462" w:rsidP="00097C58">
      <w:pPr>
        <w:keepNext/>
        <w:keepLines/>
        <w:rPr>
          <w:lang w:val="es-ES"/>
        </w:rPr>
      </w:pPr>
      <w:r w:rsidRPr="008A106B">
        <w:rPr>
          <w:lang w:val="es-ES_tradnl"/>
        </w:rPr>
        <w:t xml:space="preserve">Se han notificado reacciones de hipersensibilidad graves </w:t>
      </w:r>
      <w:r>
        <w:rPr>
          <w:lang w:val="es-ES_tradnl"/>
        </w:rPr>
        <w:t xml:space="preserve">incluyendo anafilaxis </w:t>
      </w:r>
      <w:r w:rsidRPr="008A106B">
        <w:rPr>
          <w:lang w:val="es-ES_tradnl"/>
        </w:rPr>
        <w:t xml:space="preserve">asociadas </w:t>
      </w:r>
      <w:r>
        <w:rPr>
          <w:lang w:val="es-ES_tradnl"/>
        </w:rPr>
        <w:t>a</w:t>
      </w:r>
      <w:r w:rsidRPr="008A106B">
        <w:rPr>
          <w:lang w:val="es-ES_tradnl"/>
        </w:rPr>
        <w:t xml:space="preserve"> </w:t>
      </w:r>
      <w:r w:rsidR="00466122">
        <w:rPr>
          <w:lang w:val="es-ES_tradnl"/>
        </w:rPr>
        <w:t>tocilizumab</w:t>
      </w:r>
      <w:r w:rsidR="00466122" w:rsidRPr="008A106B">
        <w:rPr>
          <w:lang w:val="es-ES_tradnl"/>
        </w:rPr>
        <w:t xml:space="preserve"> </w:t>
      </w:r>
      <w:r w:rsidRPr="008A106B">
        <w:rPr>
          <w:lang w:val="es-ES_tradnl"/>
        </w:rPr>
        <w:t>(ver sección</w:t>
      </w:r>
      <w:r w:rsidR="001F2600">
        <w:rPr>
          <w:lang w:val="es-ES_tradnl"/>
        </w:rPr>
        <w:t> </w:t>
      </w:r>
      <w:r w:rsidRPr="008A106B">
        <w:rPr>
          <w:lang w:val="es-ES_tradnl"/>
        </w:rPr>
        <w:t>4.8).</w:t>
      </w:r>
      <w:r w:rsidRPr="008A106B">
        <w:rPr>
          <w:lang w:val="es-ES"/>
        </w:rPr>
        <w:t xml:space="preserve"> </w:t>
      </w:r>
      <w:r w:rsidRPr="008A106B">
        <w:rPr>
          <w:lang w:val="es-ES_tradnl"/>
        </w:rPr>
        <w:t xml:space="preserve">Estas reacciones pueden ser más graves y potencialmente mortales en pacientes que han experimentado reacciones de hipersensibilidad durante </w:t>
      </w:r>
      <w:r>
        <w:rPr>
          <w:lang w:val="es-ES_tradnl"/>
        </w:rPr>
        <w:t>tratamientos</w:t>
      </w:r>
      <w:r w:rsidRPr="008A106B">
        <w:rPr>
          <w:lang w:val="es-ES_tradnl"/>
        </w:rPr>
        <w:t xml:space="preserve"> previ</w:t>
      </w:r>
      <w:r>
        <w:rPr>
          <w:lang w:val="es-ES_tradnl"/>
        </w:rPr>
        <w:t>o</w:t>
      </w:r>
      <w:r w:rsidRPr="008A106B">
        <w:rPr>
          <w:lang w:val="es-ES_tradnl"/>
        </w:rPr>
        <w:t>s</w:t>
      </w:r>
      <w:r w:rsidR="007562DC">
        <w:rPr>
          <w:lang w:val="es-ES_tradnl"/>
        </w:rPr>
        <w:t xml:space="preserve"> con </w:t>
      </w:r>
      <w:r w:rsidR="00466122">
        <w:rPr>
          <w:lang w:val="es-ES_tradnl"/>
        </w:rPr>
        <w:t>tocilizumab</w:t>
      </w:r>
      <w:r w:rsidRPr="008A106B">
        <w:rPr>
          <w:lang w:val="es-ES_tradnl"/>
        </w:rPr>
        <w:t xml:space="preserve">, incluso si han recibido premedicación con esteroides y antihistamínicos. Si se produce una reacción anafiláctica u otra hipersensibilidad grave, el tratamiento </w:t>
      </w:r>
      <w:r>
        <w:rPr>
          <w:lang w:val="es-ES_tradnl"/>
        </w:rPr>
        <w:t>con</w:t>
      </w:r>
      <w:r w:rsidRPr="008A106B">
        <w:rPr>
          <w:lang w:val="es-ES_tradnl"/>
        </w:rPr>
        <w:t xml:space="preserve"> </w:t>
      </w:r>
      <w:r w:rsidR="006F7314">
        <w:rPr>
          <w:lang w:val="es-ES_tradnl"/>
        </w:rPr>
        <w:t>tocilizumab</w:t>
      </w:r>
      <w:r w:rsidR="006F7314" w:rsidRPr="008A106B">
        <w:rPr>
          <w:lang w:val="es-ES_tradnl"/>
        </w:rPr>
        <w:t xml:space="preserve"> </w:t>
      </w:r>
      <w:r w:rsidRPr="008A106B">
        <w:rPr>
          <w:lang w:val="es-ES_tradnl"/>
        </w:rPr>
        <w:t>debe interrumpirse inmediatamente</w:t>
      </w:r>
      <w:del w:id="810" w:author="AUTHOR">
        <w:r w:rsidR="006F7314" w:rsidDel="00802C8A">
          <w:rPr>
            <w:lang w:val="es-ES_tradnl"/>
          </w:rPr>
          <w:delText xml:space="preserve"> el tratamiento</w:delText>
        </w:r>
      </w:del>
      <w:r>
        <w:rPr>
          <w:lang w:val="es-ES_tradnl"/>
        </w:rPr>
        <w:t>,</w:t>
      </w:r>
      <w:r w:rsidRPr="008A106B">
        <w:rPr>
          <w:lang w:val="es-ES_tradnl"/>
        </w:rPr>
        <w:t xml:space="preserve"> </w:t>
      </w:r>
      <w:r>
        <w:rPr>
          <w:lang w:val="es-ES_tradnl"/>
        </w:rPr>
        <w:t>iniciar un tratamiento apropiado y se debe</w:t>
      </w:r>
      <w:r w:rsidRPr="008A106B">
        <w:rPr>
          <w:lang w:val="es-ES_tradnl"/>
        </w:rPr>
        <w:t xml:space="preserve"> suspend</w:t>
      </w:r>
      <w:r>
        <w:rPr>
          <w:lang w:val="es-ES_tradnl"/>
        </w:rPr>
        <w:t xml:space="preserve">er tocilizumab </w:t>
      </w:r>
      <w:r w:rsidRPr="008A106B">
        <w:rPr>
          <w:lang w:val="es-ES_tradnl"/>
        </w:rPr>
        <w:t>definitivamente</w:t>
      </w:r>
      <w:r>
        <w:rPr>
          <w:lang w:val="es-ES_tradnl"/>
        </w:rPr>
        <w:t>.</w:t>
      </w:r>
    </w:p>
    <w:p w14:paraId="6BC36223" w14:textId="77777777" w:rsidR="00834462" w:rsidRPr="008A106B" w:rsidRDefault="00834462" w:rsidP="00834462">
      <w:pPr>
        <w:ind w:left="567" w:hanging="567"/>
        <w:outlineLvl w:val="0"/>
        <w:rPr>
          <w:i/>
          <w:iCs/>
          <w:lang w:val="es-ES_tradnl"/>
        </w:rPr>
      </w:pPr>
    </w:p>
    <w:p w14:paraId="4198D41F" w14:textId="77777777" w:rsidR="00834462" w:rsidRPr="008A106B" w:rsidRDefault="00834462" w:rsidP="00834462">
      <w:pPr>
        <w:ind w:left="567" w:hanging="567"/>
        <w:outlineLvl w:val="0"/>
        <w:rPr>
          <w:i/>
          <w:iCs/>
          <w:lang w:val="es-ES"/>
        </w:rPr>
      </w:pPr>
      <w:r w:rsidRPr="008A106B">
        <w:rPr>
          <w:i/>
          <w:iCs/>
          <w:lang w:val="es-ES_tradnl"/>
        </w:rPr>
        <w:t>Enfermedad hepática activa e insuficiencia hepática</w:t>
      </w:r>
    </w:p>
    <w:p w14:paraId="1F0E8966" w14:textId="19EBC466" w:rsidR="00834462" w:rsidRPr="008A106B" w:rsidRDefault="00834462" w:rsidP="00834462">
      <w:pPr>
        <w:rPr>
          <w:lang w:val="es-ES"/>
        </w:rPr>
      </w:pPr>
      <w:r w:rsidRPr="008A106B">
        <w:rPr>
          <w:lang w:val="es-ES_tradnl"/>
        </w:rPr>
        <w:t xml:space="preserve">El tratamiento con </w:t>
      </w:r>
      <w:r w:rsidR="006F7314">
        <w:rPr>
          <w:lang w:val="es-ES_tradnl"/>
        </w:rPr>
        <w:t>tocilizumab</w:t>
      </w:r>
      <w:r w:rsidRPr="008A106B">
        <w:rPr>
          <w:lang w:val="es-ES_tradnl"/>
        </w:rPr>
        <w:t>, especialmente cuando se administra simultáneamente con MTX, puede estar asociado a elevaciones de las transaminasas hepáticas, por tanto, debe tenerse precaución al valorar el tratamiento de pacientes con enfermedad hepática activa o insuficiencia hepática, (ver sección</w:t>
      </w:r>
      <w:r w:rsidR="001F2600">
        <w:rPr>
          <w:lang w:val="es-ES_tradnl"/>
        </w:rPr>
        <w:t> </w:t>
      </w:r>
      <w:r w:rsidRPr="008A106B">
        <w:rPr>
          <w:lang w:val="es-ES_tradnl"/>
        </w:rPr>
        <w:t>4.2 y 4.8).</w:t>
      </w:r>
    </w:p>
    <w:p w14:paraId="0BB9C342" w14:textId="77777777" w:rsidR="00834462" w:rsidRPr="008A106B" w:rsidRDefault="00834462" w:rsidP="00834462">
      <w:pPr>
        <w:rPr>
          <w:lang w:val="es-ES"/>
        </w:rPr>
      </w:pPr>
    </w:p>
    <w:p w14:paraId="70846D1A" w14:textId="77777777" w:rsidR="00834462" w:rsidRPr="008A106B" w:rsidRDefault="004A0A1F" w:rsidP="00834462">
      <w:pPr>
        <w:rPr>
          <w:i/>
          <w:iCs/>
          <w:lang w:val="es-ES"/>
        </w:rPr>
      </w:pPr>
      <w:r>
        <w:rPr>
          <w:i/>
          <w:iCs/>
          <w:lang w:val="es-ES_tradnl"/>
        </w:rPr>
        <w:t>Hepatotoxicidad</w:t>
      </w:r>
    </w:p>
    <w:p w14:paraId="235A6C24" w14:textId="1FAF4898" w:rsidR="00834462" w:rsidRDefault="004A0A1F" w:rsidP="00834462">
      <w:pPr>
        <w:rPr>
          <w:lang w:val="es-ES_tradnl"/>
        </w:rPr>
      </w:pPr>
      <w:r>
        <w:rPr>
          <w:lang w:val="es-ES_tradnl"/>
        </w:rPr>
        <w:t>S</w:t>
      </w:r>
      <w:r w:rsidR="00834462" w:rsidRPr="008A106B">
        <w:rPr>
          <w:lang w:val="es-ES_tradnl"/>
        </w:rPr>
        <w:t xml:space="preserve">e han notificado frecuentemente elevaciones leves y moderadas transitorias o intermitentes de las transaminasas hepáticas con el tratamiento con </w:t>
      </w:r>
      <w:r w:rsidR="006F7314">
        <w:rPr>
          <w:lang w:val="es-ES_tradnl"/>
        </w:rPr>
        <w:t>tocilizumab</w:t>
      </w:r>
      <w:r w:rsidR="006F7314" w:rsidRPr="008A106B">
        <w:rPr>
          <w:lang w:val="es-ES_tradnl"/>
        </w:rPr>
        <w:t xml:space="preserve"> </w:t>
      </w:r>
      <w:r w:rsidR="00834462" w:rsidRPr="008A106B">
        <w:rPr>
          <w:lang w:val="es-ES_tradnl"/>
        </w:rPr>
        <w:t>(ver sección</w:t>
      </w:r>
      <w:r w:rsidR="001F2600">
        <w:rPr>
          <w:lang w:val="es-ES_tradnl"/>
        </w:rPr>
        <w:t> </w:t>
      </w:r>
      <w:r w:rsidR="00834462" w:rsidRPr="008A106B">
        <w:rPr>
          <w:lang w:val="es-ES_tradnl"/>
        </w:rPr>
        <w:t>4.8).</w:t>
      </w:r>
      <w:r w:rsidR="00834462" w:rsidRPr="008A106B">
        <w:rPr>
          <w:lang w:val="es-ES"/>
        </w:rPr>
        <w:t xml:space="preserve"> </w:t>
      </w:r>
      <w:r w:rsidR="00834462" w:rsidRPr="008A106B">
        <w:rPr>
          <w:lang w:val="es-ES_tradnl"/>
        </w:rPr>
        <w:t>Se observó un aumento de la frecuencia de estas elevaciones cuando se usaron fármacos</w:t>
      </w:r>
      <w:r w:rsidR="007160F0">
        <w:rPr>
          <w:lang w:val="es-ES_tradnl"/>
        </w:rPr>
        <w:t>,</w:t>
      </w:r>
      <w:r w:rsidR="00834462" w:rsidRPr="008A106B">
        <w:rPr>
          <w:lang w:val="es-ES_tradnl"/>
        </w:rPr>
        <w:t xml:space="preserve"> </w:t>
      </w:r>
      <w:r w:rsidR="007160F0">
        <w:rPr>
          <w:lang w:val="es-ES_tradnl"/>
        </w:rPr>
        <w:t xml:space="preserve">los cuales son conocidos por </w:t>
      </w:r>
      <w:r w:rsidR="00180DB3">
        <w:rPr>
          <w:lang w:val="es-ES_tradnl"/>
        </w:rPr>
        <w:t>producir</w:t>
      </w:r>
      <w:r w:rsidR="007160F0" w:rsidRPr="008A106B">
        <w:rPr>
          <w:lang w:val="es-ES_tradnl"/>
        </w:rPr>
        <w:t xml:space="preserve"> </w:t>
      </w:r>
      <w:r w:rsidR="00834462" w:rsidRPr="008A106B">
        <w:rPr>
          <w:lang w:val="es-ES_tradnl"/>
        </w:rPr>
        <w:t>hepatot</w:t>
      </w:r>
      <w:r w:rsidR="00F97391">
        <w:rPr>
          <w:lang w:val="es-ES_tradnl"/>
        </w:rPr>
        <w:t>o</w:t>
      </w:r>
      <w:r w:rsidR="00834462" w:rsidRPr="008A106B">
        <w:rPr>
          <w:lang w:val="es-ES_tradnl"/>
        </w:rPr>
        <w:t>xic</w:t>
      </w:r>
      <w:r w:rsidR="007160F0">
        <w:rPr>
          <w:lang w:val="es-ES_tradnl"/>
        </w:rPr>
        <w:t>idad</w:t>
      </w:r>
      <w:r w:rsidR="00834462" w:rsidRPr="008A106B">
        <w:rPr>
          <w:lang w:val="es-ES_tradnl"/>
        </w:rPr>
        <w:t xml:space="preserve"> (p. ej., MTX) en combinación con </w:t>
      </w:r>
      <w:r w:rsidR="006F7314">
        <w:rPr>
          <w:lang w:val="es-ES_tradnl"/>
        </w:rPr>
        <w:t>tocilizumab</w:t>
      </w:r>
      <w:r w:rsidR="00834462" w:rsidRPr="008A106B">
        <w:rPr>
          <w:lang w:val="es-ES_tradnl"/>
        </w:rPr>
        <w:t>. Se debe considerar realizar otras pruebas hepáticas, incluida bilirrubina, cuando este clínicamente indicado</w:t>
      </w:r>
      <w:r w:rsidR="00834462">
        <w:rPr>
          <w:lang w:val="es-ES_tradnl"/>
        </w:rPr>
        <w:t>.</w:t>
      </w:r>
    </w:p>
    <w:p w14:paraId="5EF377EB" w14:textId="77777777" w:rsidR="004A0A1F" w:rsidRDefault="004A0A1F" w:rsidP="00834462">
      <w:pPr>
        <w:rPr>
          <w:lang w:val="es-ES_tradnl"/>
        </w:rPr>
      </w:pPr>
    </w:p>
    <w:p w14:paraId="3D4C6037" w14:textId="362D2E3D" w:rsidR="004A0A1F" w:rsidRPr="008A106B" w:rsidRDefault="004A0A1F" w:rsidP="00834462">
      <w:pPr>
        <w:rPr>
          <w:lang w:val="es-ES"/>
        </w:rPr>
      </w:pPr>
      <w:r>
        <w:rPr>
          <w:lang w:val="es-ES_tradnl"/>
        </w:rPr>
        <w:t>Se han observado casos de daño hepático</w:t>
      </w:r>
      <w:r w:rsidR="004E3C73">
        <w:rPr>
          <w:lang w:val="es-ES_tradnl"/>
        </w:rPr>
        <w:t xml:space="preserve"> grave inducido por medicamentos</w:t>
      </w:r>
      <w:r>
        <w:rPr>
          <w:lang w:val="es-ES_tradnl"/>
        </w:rPr>
        <w:t xml:space="preserve">, incluyendo fallo hepático agudo, hepatitis e ictericia con </w:t>
      </w:r>
      <w:r w:rsidR="00274A02">
        <w:rPr>
          <w:lang w:val="es-ES_tradnl"/>
        </w:rPr>
        <w:t xml:space="preserve">tocilizumab </w:t>
      </w:r>
      <w:r>
        <w:rPr>
          <w:lang w:val="es-ES_tradnl"/>
        </w:rPr>
        <w:t>(ver sección</w:t>
      </w:r>
      <w:r w:rsidR="001F2600">
        <w:rPr>
          <w:lang w:val="es-ES_tradnl"/>
        </w:rPr>
        <w:t> </w:t>
      </w:r>
      <w:r>
        <w:rPr>
          <w:lang w:val="es-ES_tradnl"/>
        </w:rPr>
        <w:t>4.8). El daño hepático grave ocurrió entre 2</w:t>
      </w:r>
      <w:r w:rsidR="001F2600">
        <w:rPr>
          <w:lang w:val="es-ES_tradnl"/>
        </w:rPr>
        <w:t> </w:t>
      </w:r>
      <w:r>
        <w:rPr>
          <w:lang w:val="es-ES_tradnl"/>
        </w:rPr>
        <w:t>semanas hasta más de 5</w:t>
      </w:r>
      <w:r w:rsidR="001F2600">
        <w:rPr>
          <w:lang w:val="es-ES_tradnl"/>
        </w:rPr>
        <w:t> </w:t>
      </w:r>
      <w:r>
        <w:rPr>
          <w:lang w:val="es-ES_tradnl"/>
        </w:rPr>
        <w:t>años después de inic</w:t>
      </w:r>
      <w:r w:rsidR="00C468AC">
        <w:rPr>
          <w:lang w:val="es-ES_tradnl"/>
        </w:rPr>
        <w:t xml:space="preserve">iar </w:t>
      </w:r>
      <w:r w:rsidR="00274A02">
        <w:rPr>
          <w:lang w:val="es-ES_tradnl"/>
        </w:rPr>
        <w:t>tocilizumab</w:t>
      </w:r>
      <w:r w:rsidR="00C468AC">
        <w:rPr>
          <w:lang w:val="es-ES_tradnl"/>
        </w:rPr>
        <w:t xml:space="preserve">. Se han notificado </w:t>
      </w:r>
      <w:r>
        <w:rPr>
          <w:lang w:val="es-ES_tradnl"/>
        </w:rPr>
        <w:t xml:space="preserve">casos de fallo hepático que han precisado trasplante hepático. Aconseje a los pacientes que soliciten asistencia médica inmediata si experimentan signos y síntomas de </w:t>
      </w:r>
      <w:del w:id="811" w:author="AUTHOR">
        <w:r w:rsidDel="00802C8A">
          <w:rPr>
            <w:lang w:val="es-ES_tradnl"/>
          </w:rPr>
          <w:delText xml:space="preserve">fallo </w:delText>
        </w:r>
      </w:del>
      <w:ins w:id="812" w:author="AUTHOR">
        <w:r w:rsidR="00802C8A">
          <w:rPr>
            <w:lang w:val="es-ES_tradnl"/>
          </w:rPr>
          <w:t xml:space="preserve">daño </w:t>
        </w:r>
      </w:ins>
      <w:r>
        <w:rPr>
          <w:lang w:val="es-ES_tradnl"/>
        </w:rPr>
        <w:t>hepático.</w:t>
      </w:r>
    </w:p>
    <w:p w14:paraId="361402C3" w14:textId="77777777" w:rsidR="00834462" w:rsidRPr="008A106B" w:rsidRDefault="00834462" w:rsidP="00834462">
      <w:pPr>
        <w:rPr>
          <w:lang w:val="es-ES"/>
        </w:rPr>
      </w:pPr>
    </w:p>
    <w:p w14:paraId="38BAB215" w14:textId="2CD92DC4" w:rsidR="00834462" w:rsidRPr="008A106B" w:rsidRDefault="00834462" w:rsidP="00834462">
      <w:pPr>
        <w:rPr>
          <w:lang w:val="es-ES_tradnl"/>
        </w:rPr>
      </w:pPr>
      <w:r w:rsidRPr="008A106B">
        <w:rPr>
          <w:lang w:val="es-ES_tradnl"/>
        </w:rPr>
        <w:t>Debe tenerse precaución al valorar el inicio del tratamiento en pacientes con elevación de las transaminasas ALT o AST &gt;</w:t>
      </w:r>
      <w:r w:rsidR="006D6334" w:rsidRPr="00F30AB8">
        <w:rPr>
          <w:szCs w:val="22"/>
          <w:lang w:val="es-ES"/>
        </w:rPr>
        <w:t> </w:t>
      </w:r>
      <w:r w:rsidRPr="008A106B">
        <w:rPr>
          <w:lang w:val="es-ES_tradnl"/>
        </w:rPr>
        <w:t xml:space="preserve">1,5 </w:t>
      </w:r>
      <w:r w:rsidR="001F2600" w:rsidRPr="00F30AB8">
        <w:rPr>
          <w:szCs w:val="22"/>
          <w:lang w:val="es-ES"/>
        </w:rPr>
        <w:t>×</w:t>
      </w:r>
      <w:r w:rsidRPr="008A106B">
        <w:rPr>
          <w:lang w:val="es-ES_tradnl"/>
        </w:rPr>
        <w:t>x LSN.</w:t>
      </w:r>
      <w:r w:rsidRPr="008A106B">
        <w:rPr>
          <w:lang w:val="es-ES"/>
        </w:rPr>
        <w:t xml:space="preserve"> </w:t>
      </w:r>
      <w:r w:rsidRPr="008A106B">
        <w:rPr>
          <w:lang w:val="es-ES_tradnl"/>
        </w:rPr>
        <w:t>No se recomienda el tratamiento en pacientes con ALT o AST &gt;</w:t>
      </w:r>
      <w:r w:rsidR="006D6334" w:rsidRPr="00F30AB8">
        <w:rPr>
          <w:szCs w:val="22"/>
          <w:lang w:val="es-ES"/>
        </w:rPr>
        <w:t> </w:t>
      </w:r>
      <w:r w:rsidRPr="008A106B">
        <w:rPr>
          <w:lang w:val="es-ES_tradnl"/>
        </w:rPr>
        <w:t xml:space="preserve">5 </w:t>
      </w:r>
      <w:r w:rsidR="001F2600" w:rsidRPr="00F30AB8">
        <w:rPr>
          <w:szCs w:val="22"/>
          <w:lang w:val="es-ES"/>
        </w:rPr>
        <w:t>×</w:t>
      </w:r>
      <w:r w:rsidRPr="008A106B">
        <w:rPr>
          <w:lang w:val="es-ES_tradnl"/>
        </w:rPr>
        <w:t>LSN al inicio.</w:t>
      </w:r>
    </w:p>
    <w:p w14:paraId="6D4E8ECB" w14:textId="77777777" w:rsidR="00834462" w:rsidRPr="008A106B" w:rsidRDefault="00834462" w:rsidP="00834462">
      <w:pPr>
        <w:rPr>
          <w:lang w:val="es-ES"/>
        </w:rPr>
      </w:pPr>
    </w:p>
    <w:p w14:paraId="79C8E04D" w14:textId="3D206EC8" w:rsidR="00D54DB5" w:rsidRDefault="00834462" w:rsidP="00834462">
      <w:pPr>
        <w:rPr>
          <w:lang w:val="es-ES_tradnl"/>
        </w:rPr>
      </w:pPr>
      <w:r w:rsidRPr="008A106B">
        <w:rPr>
          <w:lang w:val="es-ES"/>
        </w:rPr>
        <w:t>En pacientes con AR</w:t>
      </w:r>
      <w:r w:rsidR="004A0A1F">
        <w:rPr>
          <w:lang w:val="es-ES"/>
        </w:rPr>
        <w:t>,</w:t>
      </w:r>
      <w:r w:rsidRPr="008A106B">
        <w:rPr>
          <w:lang w:val="es-ES"/>
        </w:rPr>
        <w:t xml:space="preserve"> </w:t>
      </w:r>
      <w:r w:rsidR="00B33952">
        <w:rPr>
          <w:lang w:val="es-ES"/>
        </w:rPr>
        <w:t>ACG</w:t>
      </w:r>
      <w:r w:rsidR="004A0A1F">
        <w:rPr>
          <w:lang w:val="es-ES"/>
        </w:rPr>
        <w:t>, AIJp y AIJs</w:t>
      </w:r>
      <w:r w:rsidR="00B33952">
        <w:rPr>
          <w:lang w:val="es-ES"/>
        </w:rPr>
        <w:t xml:space="preserve"> </w:t>
      </w:r>
      <w:r w:rsidRPr="008A106B">
        <w:rPr>
          <w:lang w:val="es-ES"/>
        </w:rPr>
        <w:t xml:space="preserve">se deben vigilar </w:t>
      </w:r>
      <w:r w:rsidR="004E3C73">
        <w:rPr>
          <w:lang w:val="es-ES_tradnl"/>
        </w:rPr>
        <w:t xml:space="preserve">la </w:t>
      </w:r>
      <w:r w:rsidRPr="008A106B">
        <w:rPr>
          <w:lang w:val="es-ES_tradnl"/>
        </w:rPr>
        <w:t>ALT</w:t>
      </w:r>
      <w:r w:rsidR="004E3C73">
        <w:rPr>
          <w:lang w:val="es-ES_tradnl"/>
        </w:rPr>
        <w:t>/</w:t>
      </w:r>
      <w:r w:rsidRPr="008A106B">
        <w:rPr>
          <w:lang w:val="es-ES_tradnl"/>
        </w:rPr>
        <w:t xml:space="preserve">AST </w:t>
      </w:r>
      <w:r>
        <w:rPr>
          <w:lang w:val="es-ES_tradnl"/>
        </w:rPr>
        <w:t>cada</w:t>
      </w:r>
      <w:r w:rsidRPr="008A106B">
        <w:rPr>
          <w:lang w:val="es-ES_tradnl"/>
        </w:rPr>
        <w:t xml:space="preserve"> 4 y 8</w:t>
      </w:r>
      <w:r w:rsidR="00BB66A0">
        <w:rPr>
          <w:lang w:val="es-ES_tradnl"/>
        </w:rPr>
        <w:t> </w:t>
      </w:r>
      <w:r w:rsidRPr="008A106B">
        <w:rPr>
          <w:lang w:val="es-ES_tradnl"/>
        </w:rPr>
        <w:t>semanas los 6</w:t>
      </w:r>
      <w:r w:rsidR="00BB66A0">
        <w:rPr>
          <w:lang w:val="es-ES_tradnl"/>
        </w:rPr>
        <w:t> </w:t>
      </w:r>
      <w:r w:rsidRPr="008A106B">
        <w:rPr>
          <w:lang w:val="es-ES_tradnl"/>
        </w:rPr>
        <w:t>primeros meses de tratamiento y a partir de entonces cada 12</w:t>
      </w:r>
      <w:r w:rsidR="00BB66A0">
        <w:rPr>
          <w:lang w:val="es-ES_tradnl"/>
        </w:rPr>
        <w:t> </w:t>
      </w:r>
      <w:r w:rsidRPr="008A106B">
        <w:rPr>
          <w:lang w:val="es-ES_tradnl"/>
        </w:rPr>
        <w:t xml:space="preserve">semanas. Para las modificaciones </w:t>
      </w:r>
      <w:ins w:id="813" w:author="AUTHOR">
        <w:r w:rsidR="00802C8A">
          <w:rPr>
            <w:lang w:val="es-ES_tradnl"/>
          </w:rPr>
          <w:t xml:space="preserve">recomendadas </w:t>
        </w:r>
      </w:ins>
      <w:r w:rsidRPr="008A106B">
        <w:rPr>
          <w:lang w:val="es-ES_tradnl"/>
        </w:rPr>
        <w:t>de la</w:t>
      </w:r>
      <w:r w:rsidR="0037188C">
        <w:rPr>
          <w:lang w:val="es-ES_tradnl"/>
        </w:rPr>
        <w:t>s</w:t>
      </w:r>
      <w:r w:rsidRPr="008A106B">
        <w:rPr>
          <w:lang w:val="es-ES_tradnl"/>
        </w:rPr>
        <w:t xml:space="preserve"> dosis basada</w:t>
      </w:r>
      <w:r w:rsidR="0037188C">
        <w:rPr>
          <w:lang w:val="es-ES_tradnl"/>
        </w:rPr>
        <w:t>s</w:t>
      </w:r>
      <w:r w:rsidRPr="008A106B">
        <w:rPr>
          <w:lang w:val="es-ES_tradnl"/>
        </w:rPr>
        <w:t xml:space="preserve"> en </w:t>
      </w:r>
      <w:r w:rsidR="004A0A1F">
        <w:rPr>
          <w:lang w:val="es-ES_tradnl"/>
        </w:rPr>
        <w:t xml:space="preserve">los niveles de </w:t>
      </w:r>
      <w:r w:rsidRPr="008A106B">
        <w:rPr>
          <w:lang w:val="es-ES_tradnl"/>
        </w:rPr>
        <w:t>transaminasas</w:t>
      </w:r>
      <w:r w:rsidR="004A0A1F">
        <w:rPr>
          <w:lang w:val="es-ES_tradnl"/>
        </w:rPr>
        <w:t xml:space="preserve">, incluyendo discontinuación de </w:t>
      </w:r>
      <w:r w:rsidR="00274A02">
        <w:rPr>
          <w:lang w:val="es-ES_tradnl"/>
        </w:rPr>
        <w:t>tocilizumab</w:t>
      </w:r>
      <w:r w:rsidR="00F97391">
        <w:rPr>
          <w:lang w:val="es-ES_tradnl"/>
        </w:rPr>
        <w:t>.</w:t>
      </w:r>
      <w:r w:rsidRPr="008A106B">
        <w:rPr>
          <w:lang w:val="es-ES_tradnl"/>
        </w:rPr>
        <w:t xml:space="preserve"> </w:t>
      </w:r>
      <w:r w:rsidR="00D54DB5">
        <w:rPr>
          <w:lang w:val="es-ES_tradnl"/>
        </w:rPr>
        <w:t>V</w:t>
      </w:r>
      <w:r w:rsidRPr="008A106B">
        <w:rPr>
          <w:lang w:val="es-ES_tradnl"/>
        </w:rPr>
        <w:t>er sección</w:t>
      </w:r>
      <w:r w:rsidR="00BB66A0">
        <w:rPr>
          <w:lang w:val="es-ES_tradnl"/>
        </w:rPr>
        <w:t> </w:t>
      </w:r>
      <w:r w:rsidRPr="008A106B">
        <w:rPr>
          <w:lang w:val="es-ES_tradnl"/>
        </w:rPr>
        <w:t>4.2.</w:t>
      </w:r>
      <w:r w:rsidRPr="008A106B">
        <w:rPr>
          <w:lang w:val="es-ES"/>
        </w:rPr>
        <w:t xml:space="preserve"> </w:t>
      </w:r>
      <w:r w:rsidRPr="008A106B">
        <w:rPr>
          <w:lang w:val="es-ES_tradnl"/>
        </w:rPr>
        <w:t xml:space="preserve">En elevaciones de ALT o AST </w:t>
      </w:r>
      <w:proofErr w:type="gramStart"/>
      <w:r w:rsidRPr="008A106B">
        <w:rPr>
          <w:lang w:val="es-ES_tradnl"/>
        </w:rPr>
        <w:t>&gt;</w:t>
      </w:r>
      <w:r w:rsidR="006D6334">
        <w:rPr>
          <w:lang w:val="es-ES_tradnl"/>
        </w:rPr>
        <w:t> </w:t>
      </w:r>
      <w:r w:rsidR="006D6334" w:rsidRPr="008A106B" w:rsidDel="006D6334">
        <w:rPr>
          <w:lang w:val="es-ES_tradnl"/>
        </w:rPr>
        <w:t xml:space="preserve"> </w:t>
      </w:r>
      <w:r w:rsidRPr="008A106B">
        <w:rPr>
          <w:lang w:val="es-ES_tradnl"/>
        </w:rPr>
        <w:t>3</w:t>
      </w:r>
      <w:proofErr w:type="gramEnd"/>
      <w:r w:rsidRPr="008A106B">
        <w:rPr>
          <w:lang w:val="es-ES_tradnl"/>
        </w:rPr>
        <w:t>-5</w:t>
      </w:r>
      <w:r w:rsidR="00730F78">
        <w:rPr>
          <w:lang w:val="es-ES_tradnl"/>
        </w:rPr>
        <w:t xml:space="preserve"> </w:t>
      </w:r>
      <w:r w:rsidR="00BB66A0" w:rsidRPr="00F30AB8">
        <w:rPr>
          <w:szCs w:val="22"/>
          <w:lang w:val="es-ES"/>
        </w:rPr>
        <w:t>×</w:t>
      </w:r>
      <w:r w:rsidRPr="008A106B">
        <w:rPr>
          <w:lang w:val="es-ES_tradnl"/>
        </w:rPr>
        <w:t xml:space="preserve">LSN, </w:t>
      </w:r>
      <w:r w:rsidR="006D6334">
        <w:rPr>
          <w:lang w:val="es-ES_tradnl"/>
        </w:rPr>
        <w:t xml:space="preserve">se </w:t>
      </w:r>
      <w:r w:rsidRPr="008A106B">
        <w:rPr>
          <w:lang w:val="es-ES_tradnl"/>
        </w:rPr>
        <w:t>debe interrumpir el tratamiento.</w:t>
      </w:r>
    </w:p>
    <w:p w14:paraId="2A51F32B" w14:textId="77777777" w:rsidR="00D54DB5" w:rsidRDefault="00D54DB5" w:rsidP="00834462">
      <w:pPr>
        <w:rPr>
          <w:lang w:val="es-ES_tradnl"/>
        </w:rPr>
      </w:pPr>
    </w:p>
    <w:p w14:paraId="24EA8294" w14:textId="77777777" w:rsidR="00834462" w:rsidRPr="008A106B" w:rsidRDefault="00834462" w:rsidP="00F30AB8">
      <w:pPr>
        <w:keepNext/>
        <w:keepLines/>
        <w:rPr>
          <w:i/>
          <w:iCs/>
          <w:lang w:val="es-ES"/>
        </w:rPr>
      </w:pPr>
      <w:r w:rsidRPr="008A106B">
        <w:rPr>
          <w:i/>
          <w:iCs/>
          <w:lang w:val="es-ES_tradnl"/>
        </w:rPr>
        <w:lastRenderedPageBreak/>
        <w:t>Efectos hematológicos</w:t>
      </w:r>
    </w:p>
    <w:p w14:paraId="53A025F5" w14:textId="4CBEAE6C" w:rsidR="00834462" w:rsidRPr="008A106B" w:rsidRDefault="00834462" w:rsidP="00F30AB8">
      <w:pPr>
        <w:keepNext/>
        <w:keepLines/>
        <w:rPr>
          <w:lang w:val="es-ES"/>
        </w:rPr>
      </w:pPr>
      <w:r w:rsidRPr="008A106B">
        <w:rPr>
          <w:lang w:val="es-ES_tradnl"/>
        </w:rPr>
        <w:t>Se han producido descensos de los recuentos de neutrófilos y plaquetas después del tratamiento con tocilizumab 8 mg/kg en combinación con metotrexato (ver sección</w:t>
      </w:r>
      <w:r w:rsidR="00BB66A0">
        <w:rPr>
          <w:lang w:val="es-ES_tradnl"/>
        </w:rPr>
        <w:t> </w:t>
      </w:r>
      <w:r w:rsidRPr="008A106B">
        <w:rPr>
          <w:lang w:val="es-ES_tradnl"/>
        </w:rPr>
        <w:t>4.8).</w:t>
      </w:r>
      <w:r w:rsidRPr="008A106B">
        <w:rPr>
          <w:lang w:val="es-ES"/>
        </w:rPr>
        <w:t xml:space="preserve"> El riesgo de neutropenia puede aumentar en pacientes que han sido previamente tratados con antagonistas del TNF.</w:t>
      </w:r>
    </w:p>
    <w:p w14:paraId="41DCF8B4" w14:textId="77777777" w:rsidR="00834462" w:rsidRPr="008A106B" w:rsidRDefault="00834462" w:rsidP="00834462">
      <w:pPr>
        <w:rPr>
          <w:lang w:val="es-ES"/>
        </w:rPr>
      </w:pPr>
    </w:p>
    <w:p w14:paraId="553DDCEB" w14:textId="269337AC" w:rsidR="00834462" w:rsidRPr="008A106B" w:rsidRDefault="00834462" w:rsidP="003569D6">
      <w:pPr>
        <w:keepNext/>
        <w:keepLines/>
        <w:rPr>
          <w:lang w:val="es-ES_tradnl"/>
        </w:rPr>
      </w:pPr>
      <w:r w:rsidRPr="008A106B">
        <w:rPr>
          <w:lang w:val="es-ES"/>
        </w:rPr>
        <w:t xml:space="preserve">No se recomienda iniciar el tratamiento, en pacientes que no han sido tratados previamente con </w:t>
      </w:r>
      <w:r w:rsidR="00274A02">
        <w:rPr>
          <w:lang w:val="es-ES"/>
        </w:rPr>
        <w:t>tocilizumab</w:t>
      </w:r>
      <w:r w:rsidRPr="008A106B">
        <w:rPr>
          <w:lang w:val="es-ES"/>
        </w:rPr>
        <w:t xml:space="preserve">, si el </w:t>
      </w:r>
      <w:r>
        <w:rPr>
          <w:lang w:val="es-ES"/>
        </w:rPr>
        <w:t>RAN</w:t>
      </w:r>
      <w:r w:rsidRPr="008A106B">
        <w:rPr>
          <w:lang w:val="es-ES"/>
        </w:rPr>
        <w:t xml:space="preserve"> está por debajo de </w:t>
      </w:r>
      <w:r w:rsidRPr="008A106B">
        <w:rPr>
          <w:bCs/>
          <w:lang w:val="es-ES"/>
        </w:rPr>
        <w:t xml:space="preserve">2 </w:t>
      </w:r>
      <w:r w:rsidR="00BB66A0" w:rsidRPr="00F30AB8">
        <w:rPr>
          <w:szCs w:val="22"/>
          <w:lang w:val="es-ES"/>
        </w:rPr>
        <w:t>×</w:t>
      </w:r>
      <w:r w:rsidRPr="008A106B">
        <w:rPr>
          <w:bCs/>
          <w:lang w:val="es-ES"/>
        </w:rPr>
        <w:t>10</w:t>
      </w:r>
      <w:r w:rsidRPr="008A106B">
        <w:rPr>
          <w:bCs/>
          <w:vertAlign w:val="superscript"/>
          <w:lang w:val="es-ES"/>
        </w:rPr>
        <w:t>9</w:t>
      </w:r>
      <w:r w:rsidRPr="008A106B">
        <w:rPr>
          <w:bCs/>
          <w:lang w:val="es-ES"/>
        </w:rPr>
        <w:t>/l.</w:t>
      </w:r>
      <w:r w:rsidRPr="008A106B">
        <w:rPr>
          <w:lang w:val="es-ES"/>
        </w:rPr>
        <w:t xml:space="preserve"> </w:t>
      </w:r>
      <w:r w:rsidRPr="008A106B">
        <w:rPr>
          <w:lang w:val="es-ES_tradnl"/>
        </w:rPr>
        <w:t>Debe tenerse precaución al valorar el inicio del tratamiento en pacientes con un recuento bajo de plaquetas (es decir,</w:t>
      </w:r>
      <w:r>
        <w:rPr>
          <w:lang w:val="es-ES_tradnl"/>
        </w:rPr>
        <w:t xml:space="preserve"> </w:t>
      </w:r>
      <w:r w:rsidRPr="008A106B">
        <w:rPr>
          <w:lang w:val="es-ES_tradnl"/>
        </w:rPr>
        <w:t xml:space="preserve">recuento de plaquetas por debajo de 100 </w:t>
      </w:r>
      <w:r w:rsidR="00BB66A0" w:rsidRPr="00F30AB8">
        <w:rPr>
          <w:szCs w:val="22"/>
          <w:lang w:val="es-ES"/>
        </w:rPr>
        <w:t>×</w:t>
      </w:r>
      <w:r w:rsidRPr="008A106B">
        <w:rPr>
          <w:lang w:val="es-ES_tradnl"/>
        </w:rPr>
        <w:t>10</w:t>
      </w:r>
      <w:r w:rsidRPr="008A106B">
        <w:rPr>
          <w:vertAlign w:val="superscript"/>
          <w:lang w:val="es-ES_tradnl"/>
        </w:rPr>
        <w:t>3</w:t>
      </w:r>
      <w:r w:rsidRPr="008A106B">
        <w:rPr>
          <w:lang w:val="es-ES_tradnl"/>
        </w:rPr>
        <w:t>/μl).</w:t>
      </w:r>
      <w:r w:rsidRPr="008A106B">
        <w:rPr>
          <w:lang w:val="es-ES"/>
        </w:rPr>
        <w:t xml:space="preserve"> </w:t>
      </w:r>
      <w:r w:rsidRPr="008A106B">
        <w:rPr>
          <w:lang w:val="es-ES_tradnl"/>
        </w:rPr>
        <w:t>No se recomienda continuar el tratamiento en pacientes que desarrollen un recuento absoluto de neutrófilos &lt; 0,5</w:t>
      </w:r>
      <w:r w:rsidR="006D6334" w:rsidRPr="00F30AB8">
        <w:rPr>
          <w:szCs w:val="22"/>
          <w:lang w:val="es-ES"/>
        </w:rPr>
        <w:t xml:space="preserve"> × </w:t>
      </w:r>
      <w:r w:rsidRPr="008A106B">
        <w:rPr>
          <w:lang w:val="es-ES_tradnl"/>
        </w:rPr>
        <w:t>10</w:t>
      </w:r>
      <w:r w:rsidRPr="008A106B">
        <w:rPr>
          <w:vertAlign w:val="superscript"/>
          <w:lang w:val="es-ES_tradnl"/>
        </w:rPr>
        <w:t>9</w:t>
      </w:r>
      <w:r w:rsidRPr="008A106B">
        <w:rPr>
          <w:lang w:val="es-ES_tradnl"/>
        </w:rPr>
        <w:t>/</w:t>
      </w:r>
      <w:proofErr w:type="gramStart"/>
      <w:r w:rsidR="006D6334">
        <w:rPr>
          <w:lang w:val="es-ES_tradnl"/>
        </w:rPr>
        <w:t>m </w:t>
      </w:r>
      <w:r w:rsidR="006D6334" w:rsidRPr="008A106B">
        <w:rPr>
          <w:lang w:val="es-ES_tradnl"/>
        </w:rPr>
        <w:t xml:space="preserve"> </w:t>
      </w:r>
      <w:r w:rsidRPr="008A106B">
        <w:rPr>
          <w:lang w:val="es-ES_tradnl"/>
        </w:rPr>
        <w:t>l</w:t>
      </w:r>
      <w:proofErr w:type="gramEnd"/>
      <w:r w:rsidRPr="008A106B">
        <w:rPr>
          <w:lang w:val="es-ES_tradnl"/>
        </w:rPr>
        <w:t xml:space="preserve"> o un recuento de plaquetas &lt;</w:t>
      </w:r>
      <w:r w:rsidR="006D6334">
        <w:rPr>
          <w:lang w:val="es-ES_tradnl"/>
        </w:rPr>
        <w:t> </w:t>
      </w:r>
      <w:r w:rsidR="006D6334" w:rsidRPr="008A106B" w:rsidDel="006D6334">
        <w:rPr>
          <w:lang w:val="es-ES_tradnl"/>
        </w:rPr>
        <w:t xml:space="preserve"> </w:t>
      </w:r>
      <w:r w:rsidRPr="008A106B">
        <w:rPr>
          <w:lang w:val="es-ES_tradnl"/>
        </w:rPr>
        <w:t xml:space="preserve">50 </w:t>
      </w:r>
      <w:r w:rsidR="00BB66A0" w:rsidRPr="00F30AB8">
        <w:rPr>
          <w:szCs w:val="22"/>
          <w:lang w:val="es-ES"/>
        </w:rPr>
        <w:t>×</w:t>
      </w:r>
      <w:r w:rsidRPr="008A106B">
        <w:rPr>
          <w:lang w:val="es-ES_tradnl"/>
        </w:rPr>
        <w:t>10</w:t>
      </w:r>
      <w:r w:rsidRPr="008A106B">
        <w:rPr>
          <w:vertAlign w:val="superscript"/>
          <w:lang w:val="es-ES_tradnl"/>
        </w:rPr>
        <w:t>3</w:t>
      </w:r>
      <w:r w:rsidRPr="008A106B">
        <w:rPr>
          <w:lang w:val="es-ES_tradnl"/>
        </w:rPr>
        <w:t>/μl.</w:t>
      </w:r>
    </w:p>
    <w:p w14:paraId="415100CF" w14:textId="77777777" w:rsidR="00834462" w:rsidRPr="008A106B" w:rsidRDefault="00834462" w:rsidP="00834462">
      <w:pPr>
        <w:rPr>
          <w:lang w:val="es-ES"/>
        </w:rPr>
      </w:pPr>
    </w:p>
    <w:p w14:paraId="5B98CC14" w14:textId="78CB9853" w:rsidR="00834462" w:rsidRPr="008A106B" w:rsidRDefault="00834462" w:rsidP="00834462">
      <w:pPr>
        <w:rPr>
          <w:lang w:val="es-ES"/>
        </w:rPr>
      </w:pPr>
      <w:r w:rsidRPr="008A106B">
        <w:rPr>
          <w:lang w:val="es-ES"/>
        </w:rPr>
        <w:t xml:space="preserve">La neutropenia grave se puede asociar con un aumento del riesgo de infecciones </w:t>
      </w:r>
      <w:r w:rsidR="00713DA4" w:rsidRPr="008A106B">
        <w:rPr>
          <w:lang w:val="es-ES"/>
        </w:rPr>
        <w:t>graves,</w:t>
      </w:r>
      <w:r w:rsidRPr="008A106B">
        <w:rPr>
          <w:lang w:val="es-ES"/>
        </w:rPr>
        <w:t xml:space="preserve"> aunque no se ha observado una clara asociación entre el descenso de neutrófilos y la aparición de infecciones graves en los ensayos clínicos realizados con </w:t>
      </w:r>
      <w:r w:rsidR="00274A02">
        <w:rPr>
          <w:lang w:val="es-ES"/>
        </w:rPr>
        <w:t>tocilizumab</w:t>
      </w:r>
      <w:r w:rsidR="00274A02" w:rsidRPr="008A106B">
        <w:rPr>
          <w:lang w:val="es-ES"/>
        </w:rPr>
        <w:t xml:space="preserve"> </w:t>
      </w:r>
      <w:r w:rsidRPr="008A106B">
        <w:rPr>
          <w:lang w:val="es-ES"/>
        </w:rPr>
        <w:t>hasta la fecha.</w:t>
      </w:r>
    </w:p>
    <w:p w14:paraId="0FDA1507" w14:textId="77777777" w:rsidR="00834462" w:rsidRPr="008A106B" w:rsidRDefault="00834462" w:rsidP="00834462">
      <w:pPr>
        <w:rPr>
          <w:lang w:val="es-ES"/>
        </w:rPr>
      </w:pPr>
    </w:p>
    <w:p w14:paraId="3C656763" w14:textId="464A3C91" w:rsidR="00834462" w:rsidRDefault="00834462" w:rsidP="00834462">
      <w:pPr>
        <w:rPr>
          <w:lang w:val="es-ES_tradnl"/>
        </w:rPr>
      </w:pPr>
      <w:r w:rsidRPr="008A106B">
        <w:rPr>
          <w:lang w:val="es-ES_tradnl"/>
        </w:rPr>
        <w:t>En pacientes con AR</w:t>
      </w:r>
      <w:r w:rsidR="00B33952">
        <w:rPr>
          <w:lang w:val="es-ES_tradnl"/>
        </w:rPr>
        <w:t xml:space="preserve"> y ACG</w:t>
      </w:r>
      <w:r w:rsidRPr="008A106B">
        <w:rPr>
          <w:lang w:val="es-ES_tradnl"/>
        </w:rPr>
        <w:t xml:space="preserve"> el recuento de neutrófilos y plaquetas debe vigilarse de 4 a 8</w:t>
      </w:r>
      <w:r w:rsidR="00BB66A0">
        <w:rPr>
          <w:lang w:val="es-ES_tradnl"/>
        </w:rPr>
        <w:t> </w:t>
      </w:r>
      <w:r w:rsidRPr="008A106B">
        <w:rPr>
          <w:lang w:val="es-ES_tradnl"/>
        </w:rPr>
        <w:t>semanas después del comienzo del tratamiento y posteriormente, siguiendo las recomendaciones de la práctica clínica habitual. Para las modificaciones de dosis basadas en RAN y recuento de plaquetas</w:t>
      </w:r>
      <w:r w:rsidR="00B33952">
        <w:rPr>
          <w:lang w:val="es-ES_tradnl"/>
        </w:rPr>
        <w:t>,</w:t>
      </w:r>
      <w:r w:rsidRPr="008A106B">
        <w:rPr>
          <w:lang w:val="es-ES_tradnl"/>
        </w:rPr>
        <w:t xml:space="preserve"> ver sección</w:t>
      </w:r>
      <w:r w:rsidR="00BB66A0">
        <w:rPr>
          <w:lang w:val="es-ES_tradnl"/>
        </w:rPr>
        <w:t> </w:t>
      </w:r>
      <w:r w:rsidRPr="008A106B">
        <w:rPr>
          <w:lang w:val="es-ES_tradnl"/>
        </w:rPr>
        <w:t>4.2.</w:t>
      </w:r>
    </w:p>
    <w:p w14:paraId="193C2380" w14:textId="77777777" w:rsidR="00DC5D8A" w:rsidRDefault="00DC5D8A" w:rsidP="00834462">
      <w:pPr>
        <w:rPr>
          <w:lang w:val="es-ES_tradnl"/>
        </w:rPr>
      </w:pPr>
    </w:p>
    <w:p w14:paraId="332A9382" w14:textId="290253DB" w:rsidR="004260D4" w:rsidRPr="008D1E12" w:rsidRDefault="00136BB9" w:rsidP="00834462">
      <w:pPr>
        <w:rPr>
          <w:lang w:val="es-ES_tradnl"/>
        </w:rPr>
      </w:pPr>
      <w:r>
        <w:rPr>
          <w:lang w:val="es-ES_tradnl"/>
        </w:rPr>
        <w:t>En</w:t>
      </w:r>
      <w:r w:rsidR="007E57C1">
        <w:rPr>
          <w:lang w:val="es-ES_tradnl"/>
        </w:rPr>
        <w:t xml:space="preserve"> pacientes con </w:t>
      </w:r>
      <w:r w:rsidR="00FB6DAB">
        <w:rPr>
          <w:lang w:val="es-ES_tradnl"/>
        </w:rPr>
        <w:t xml:space="preserve">AIJs o </w:t>
      </w:r>
      <w:r w:rsidR="007E57C1">
        <w:rPr>
          <w:lang w:val="es-ES_tradnl"/>
        </w:rPr>
        <w:t xml:space="preserve">AIJp, </w:t>
      </w:r>
      <w:r w:rsidR="007E57C1" w:rsidRPr="008A106B">
        <w:rPr>
          <w:lang w:val="es-ES_tradnl"/>
        </w:rPr>
        <w:t>el recuento de neutrófilos y plaquetas debe vigilarse</w:t>
      </w:r>
      <w:r w:rsidR="007E57C1">
        <w:rPr>
          <w:lang w:val="es-ES_tradnl"/>
        </w:rPr>
        <w:t xml:space="preserve"> en el momento de la segunda administración y posteriormente</w:t>
      </w:r>
      <w:r w:rsidR="00904D8F">
        <w:rPr>
          <w:lang w:val="es-ES_tradnl"/>
        </w:rPr>
        <w:t>,</w:t>
      </w:r>
      <w:r w:rsidR="007E57C1">
        <w:rPr>
          <w:lang w:val="es-ES_tradnl"/>
        </w:rPr>
        <w:t xml:space="preserve"> siguiendo las recomendaciones de las buenas prácticas clínicas</w:t>
      </w:r>
      <w:r w:rsidR="00C077EF">
        <w:rPr>
          <w:lang w:val="es-ES_tradnl"/>
        </w:rPr>
        <w:t xml:space="preserve"> (ver sección</w:t>
      </w:r>
      <w:r w:rsidR="00BB66A0">
        <w:rPr>
          <w:lang w:val="es-ES_tradnl"/>
        </w:rPr>
        <w:t> </w:t>
      </w:r>
      <w:r w:rsidR="00C077EF">
        <w:rPr>
          <w:lang w:val="es-ES_tradnl"/>
        </w:rPr>
        <w:t>4.2)</w:t>
      </w:r>
      <w:r w:rsidR="007E57C1">
        <w:rPr>
          <w:lang w:val="es-ES_tradnl"/>
        </w:rPr>
        <w:t>.</w:t>
      </w:r>
      <w:r w:rsidR="007E57C1" w:rsidRPr="008A106B" w:rsidDel="007866BB">
        <w:rPr>
          <w:lang w:val="es-ES_tradnl"/>
        </w:rPr>
        <w:t xml:space="preserve"> </w:t>
      </w:r>
    </w:p>
    <w:p w14:paraId="0369A9F0" w14:textId="77777777" w:rsidR="00834462" w:rsidRPr="008A106B" w:rsidRDefault="00834462" w:rsidP="00834462">
      <w:pPr>
        <w:rPr>
          <w:lang w:val="es-ES_tradnl"/>
        </w:rPr>
      </w:pPr>
    </w:p>
    <w:p w14:paraId="07A90926" w14:textId="77777777" w:rsidR="00834462" w:rsidRPr="008A106B" w:rsidRDefault="00834462" w:rsidP="00834462">
      <w:pPr>
        <w:keepNext/>
        <w:keepLines/>
        <w:rPr>
          <w:i/>
          <w:iCs/>
          <w:lang w:val="es-ES_tradnl"/>
        </w:rPr>
      </w:pPr>
      <w:r w:rsidRPr="008A106B">
        <w:rPr>
          <w:i/>
          <w:iCs/>
          <w:lang w:val="es-ES_tradnl"/>
        </w:rPr>
        <w:t>Parámetros lipídicos</w:t>
      </w:r>
    </w:p>
    <w:p w14:paraId="7AD0A9AE" w14:textId="0E0B4BEA" w:rsidR="00834462" w:rsidRPr="008A106B" w:rsidRDefault="00834462" w:rsidP="00834462">
      <w:pPr>
        <w:keepNext/>
        <w:keepLines/>
        <w:rPr>
          <w:lang w:val="es-ES_tradnl"/>
        </w:rPr>
      </w:pPr>
      <w:r w:rsidRPr="008A106B">
        <w:rPr>
          <w:lang w:val="es-ES_tradnl"/>
        </w:rPr>
        <w:t>En los pa</w:t>
      </w:r>
      <w:r w:rsidR="00D05464">
        <w:rPr>
          <w:lang w:val="es-ES_tradnl"/>
        </w:rPr>
        <w:t xml:space="preserve">cientes tratados con </w:t>
      </w:r>
      <w:r w:rsidR="00274A02">
        <w:rPr>
          <w:lang w:val="es-ES_tradnl"/>
        </w:rPr>
        <w:t>tocilizumab</w:t>
      </w:r>
      <w:r w:rsidR="00274A02" w:rsidRPr="008A106B">
        <w:rPr>
          <w:lang w:val="es-ES_tradnl"/>
        </w:rPr>
        <w:t xml:space="preserve"> </w:t>
      </w:r>
      <w:r w:rsidRPr="008A106B">
        <w:rPr>
          <w:lang w:val="es-ES_tradnl"/>
        </w:rPr>
        <w:t>se han observado aumentos de parámetros lipídicos incluido colesterol total, lipoproteínas de baja densidad (LDL), lipoproteínas de alta densidad (HDL), y triglicéridos (ver sección</w:t>
      </w:r>
      <w:r w:rsidR="00BB66A0">
        <w:rPr>
          <w:lang w:val="es-ES_tradnl"/>
        </w:rPr>
        <w:t> </w:t>
      </w:r>
      <w:r w:rsidRPr="008A106B">
        <w:rPr>
          <w:lang w:val="es-ES_tradnl"/>
        </w:rPr>
        <w:t xml:space="preserve">4.8). En la mayoría de los pacientes no hubo aumento del índice aterogénico, y el aumento del colesterol total, respondió al tratamiento con agentes hipolipemiantes. </w:t>
      </w:r>
    </w:p>
    <w:p w14:paraId="320A5EDD" w14:textId="77777777" w:rsidR="00834462" w:rsidRPr="008A106B" w:rsidRDefault="00834462" w:rsidP="00834462">
      <w:pPr>
        <w:rPr>
          <w:lang w:val="es-ES_tradnl"/>
        </w:rPr>
      </w:pPr>
    </w:p>
    <w:p w14:paraId="52E6186E" w14:textId="37435565" w:rsidR="00834462" w:rsidRPr="008A106B" w:rsidRDefault="006D6334" w:rsidP="00834462">
      <w:pPr>
        <w:rPr>
          <w:lang w:val="es-ES"/>
        </w:rPr>
      </w:pPr>
      <w:r>
        <w:rPr>
          <w:lang w:val="es-ES_tradnl"/>
        </w:rPr>
        <w:t>Se d</w:t>
      </w:r>
      <w:r w:rsidR="00834462" w:rsidRPr="008A106B">
        <w:rPr>
          <w:lang w:val="es-ES_tradnl"/>
        </w:rPr>
        <w:t>ebe realizar una evaluación de los parámetros lipídicos</w:t>
      </w:r>
      <w:r w:rsidR="00834462">
        <w:rPr>
          <w:lang w:val="es-ES"/>
        </w:rPr>
        <w:t xml:space="preserve"> e</w:t>
      </w:r>
      <w:r w:rsidR="00834462" w:rsidRPr="008A106B">
        <w:rPr>
          <w:lang w:val="es-ES"/>
        </w:rPr>
        <w:t xml:space="preserve">n </w:t>
      </w:r>
      <w:r w:rsidR="00DC5D8A">
        <w:rPr>
          <w:lang w:val="es-ES"/>
        </w:rPr>
        <w:t xml:space="preserve">todos los </w:t>
      </w:r>
      <w:r w:rsidR="00834462" w:rsidRPr="008A106B">
        <w:rPr>
          <w:lang w:val="es-ES"/>
        </w:rPr>
        <w:t>pacientes d</w:t>
      </w:r>
      <w:r w:rsidR="00834462" w:rsidRPr="008A106B">
        <w:rPr>
          <w:lang w:val="es-ES_tradnl"/>
        </w:rPr>
        <w:t>e 4 a 8</w:t>
      </w:r>
      <w:r w:rsidR="00BB66A0">
        <w:rPr>
          <w:lang w:val="es-ES_tradnl"/>
        </w:rPr>
        <w:t> </w:t>
      </w:r>
      <w:r w:rsidR="00834462" w:rsidRPr="008A106B">
        <w:rPr>
          <w:lang w:val="es-ES_tradnl"/>
        </w:rPr>
        <w:t>semanas después del inici</w:t>
      </w:r>
      <w:r w:rsidR="0000575F">
        <w:rPr>
          <w:lang w:val="es-ES_tradnl"/>
        </w:rPr>
        <w:t>o del tratamiento</w:t>
      </w:r>
      <w:del w:id="814" w:author="AUTHOR">
        <w:r w:rsidR="0000575F" w:rsidDel="00802C8A">
          <w:rPr>
            <w:lang w:val="es-ES_tradnl"/>
          </w:rPr>
          <w:delText xml:space="preserve"> con </w:delText>
        </w:r>
        <w:r w:rsidR="00274A02" w:rsidDel="00802C8A">
          <w:rPr>
            <w:lang w:val="es-ES_tradnl"/>
          </w:rPr>
          <w:delText>tocilizumab</w:delText>
        </w:r>
      </w:del>
      <w:r w:rsidR="00834462" w:rsidRPr="008A106B">
        <w:rPr>
          <w:lang w:val="es-ES_tradnl"/>
        </w:rPr>
        <w:t>. Los pacientes deben tratarse de acuerdo con las directrices clínicas locales para el manejo de la hiperlipidemia.</w:t>
      </w:r>
    </w:p>
    <w:p w14:paraId="60440D20" w14:textId="77777777" w:rsidR="00834462" w:rsidRPr="008A106B" w:rsidRDefault="00834462" w:rsidP="00834462">
      <w:pPr>
        <w:ind w:left="567" w:hanging="567"/>
        <w:outlineLvl w:val="0"/>
        <w:rPr>
          <w:i/>
          <w:iCs/>
          <w:lang w:val="es-ES_tradnl"/>
        </w:rPr>
      </w:pPr>
    </w:p>
    <w:p w14:paraId="2DB8644F" w14:textId="77777777" w:rsidR="00834462" w:rsidRPr="008A106B" w:rsidRDefault="00834462" w:rsidP="00834462">
      <w:pPr>
        <w:keepNext/>
        <w:ind w:left="567" w:hanging="567"/>
        <w:outlineLvl w:val="0"/>
        <w:rPr>
          <w:i/>
          <w:iCs/>
          <w:lang w:val="es-ES"/>
        </w:rPr>
      </w:pPr>
      <w:r w:rsidRPr="008A106B">
        <w:rPr>
          <w:i/>
          <w:iCs/>
          <w:lang w:val="es-ES_tradnl"/>
        </w:rPr>
        <w:t>Trastornos neurológicos</w:t>
      </w:r>
    </w:p>
    <w:p w14:paraId="15ED02D1" w14:textId="055174F3" w:rsidR="00834462" w:rsidRPr="008A106B" w:rsidRDefault="00834462" w:rsidP="00834462">
      <w:pPr>
        <w:outlineLvl w:val="0"/>
        <w:rPr>
          <w:lang w:val="es-ES"/>
        </w:rPr>
      </w:pPr>
      <w:r w:rsidRPr="008A106B">
        <w:rPr>
          <w:lang w:val="es-ES_tradnl"/>
        </w:rPr>
        <w:t>Los médicos deben estar atentos a síntomas potencialmente indicativos de trastornos desmielinizantes centrales de nueva aparición.</w:t>
      </w:r>
      <w:r w:rsidRPr="008A106B">
        <w:rPr>
          <w:lang w:val="es-ES"/>
        </w:rPr>
        <w:t xml:space="preserve"> </w:t>
      </w:r>
      <w:r w:rsidRPr="008A106B">
        <w:rPr>
          <w:lang w:val="es-ES_tradnl"/>
        </w:rPr>
        <w:t xml:space="preserve">Actualmente, se desconocen las posibilidades de que se produzca una desmielinización central con </w:t>
      </w:r>
      <w:r w:rsidR="00BB66A0">
        <w:rPr>
          <w:lang w:val="es-ES_tradnl"/>
        </w:rPr>
        <w:t>tocilizuma</w:t>
      </w:r>
      <w:ins w:id="815" w:author="AUTHOR">
        <w:r w:rsidR="00802C8A">
          <w:rPr>
            <w:lang w:val="es-ES_tradnl"/>
          </w:rPr>
          <w:t>b</w:t>
        </w:r>
      </w:ins>
      <w:r w:rsidRPr="008A106B">
        <w:rPr>
          <w:lang w:val="es-ES_tradnl"/>
        </w:rPr>
        <w:t>.</w:t>
      </w:r>
    </w:p>
    <w:p w14:paraId="4091D6C8" w14:textId="77777777" w:rsidR="00834462" w:rsidRPr="008A106B" w:rsidRDefault="00834462" w:rsidP="00834462">
      <w:pPr>
        <w:ind w:left="567" w:hanging="567"/>
        <w:outlineLvl w:val="0"/>
        <w:rPr>
          <w:lang w:val="es-ES"/>
        </w:rPr>
      </w:pPr>
    </w:p>
    <w:p w14:paraId="35E97BBE" w14:textId="77777777" w:rsidR="00834462" w:rsidRPr="008A106B" w:rsidRDefault="00834462" w:rsidP="00834462">
      <w:pPr>
        <w:ind w:left="567" w:hanging="567"/>
        <w:outlineLvl w:val="0"/>
        <w:rPr>
          <w:i/>
          <w:iCs/>
          <w:lang w:val="es-ES"/>
        </w:rPr>
      </w:pPr>
      <w:r w:rsidRPr="008A106B">
        <w:rPr>
          <w:i/>
          <w:iCs/>
          <w:lang w:val="es-ES_tradnl"/>
        </w:rPr>
        <w:t>Tumores malignos</w:t>
      </w:r>
    </w:p>
    <w:p w14:paraId="11752FE1" w14:textId="5E27D8C8" w:rsidR="00834462" w:rsidRDefault="00834462" w:rsidP="00274A02">
      <w:pPr>
        <w:autoSpaceDE w:val="0"/>
        <w:autoSpaceDN w:val="0"/>
        <w:adjustRightInd w:val="0"/>
        <w:rPr>
          <w:ins w:id="816" w:author="AUTHOR"/>
          <w:lang w:val="es-ES"/>
        </w:rPr>
      </w:pPr>
      <w:r w:rsidRPr="008A106B">
        <w:rPr>
          <w:lang w:val="es-ES_tradnl"/>
        </w:rPr>
        <w:t>El riesgo de tumores malignos se incrementa en pacientes con artritis reumatoide.</w:t>
      </w:r>
      <w:r w:rsidRPr="008A106B">
        <w:rPr>
          <w:lang w:val="es-ES"/>
        </w:rPr>
        <w:t xml:space="preserve"> </w:t>
      </w:r>
      <w:r w:rsidRPr="008A106B">
        <w:rPr>
          <w:lang w:val="es-ES_tradnl"/>
        </w:rPr>
        <w:t>Los fármacos inmunomoduladores pueden aumentar el riesgo de tumores malignos.</w:t>
      </w:r>
      <w:r w:rsidRPr="008A106B">
        <w:rPr>
          <w:lang w:val="es-ES"/>
        </w:rPr>
        <w:t xml:space="preserve"> </w:t>
      </w:r>
      <w:r w:rsidR="00274A02" w:rsidRPr="00274A02">
        <w:rPr>
          <w:lang w:val="es-ES"/>
        </w:rPr>
        <w:t>Los datos clínicos son insuficientes para evaluar la posible incidencia de neoplasias malignas tras la e</w:t>
      </w:r>
      <w:r w:rsidR="00274A02">
        <w:rPr>
          <w:lang w:val="es-ES"/>
        </w:rPr>
        <w:t>xposición a tocilizumab</w:t>
      </w:r>
      <w:r w:rsidR="00274A02" w:rsidRPr="00274A02">
        <w:rPr>
          <w:lang w:val="es-ES"/>
        </w:rPr>
        <w:t>.</w:t>
      </w:r>
      <w:r w:rsidR="00274A02">
        <w:rPr>
          <w:lang w:val="es-ES"/>
        </w:rPr>
        <w:t xml:space="preserve"> </w:t>
      </w:r>
      <w:r w:rsidR="00952815">
        <w:rPr>
          <w:lang w:val="es-ES"/>
        </w:rPr>
        <w:t>Se están realizando evaluaciones</w:t>
      </w:r>
      <w:r w:rsidR="00274A02" w:rsidRPr="00274A02">
        <w:rPr>
          <w:lang w:val="es-ES"/>
        </w:rPr>
        <w:t xml:space="preserve"> de seguridad a largo plazo.</w:t>
      </w:r>
    </w:p>
    <w:p w14:paraId="1B443494" w14:textId="77777777" w:rsidR="00F30D29" w:rsidRPr="008A106B" w:rsidRDefault="00F30D29" w:rsidP="00274A02">
      <w:pPr>
        <w:autoSpaceDE w:val="0"/>
        <w:autoSpaceDN w:val="0"/>
        <w:adjustRightInd w:val="0"/>
        <w:rPr>
          <w:lang w:val="es-ES"/>
        </w:rPr>
      </w:pPr>
    </w:p>
    <w:p w14:paraId="57BA7DEA" w14:textId="77777777" w:rsidR="00834462" w:rsidRPr="008A106B" w:rsidRDefault="00834462" w:rsidP="00834462">
      <w:pPr>
        <w:ind w:left="567" w:hanging="567"/>
        <w:outlineLvl w:val="0"/>
        <w:rPr>
          <w:i/>
          <w:iCs/>
          <w:lang w:val="es-ES"/>
        </w:rPr>
      </w:pPr>
      <w:r w:rsidRPr="008A106B">
        <w:rPr>
          <w:i/>
          <w:iCs/>
          <w:lang w:val="es-ES_tradnl"/>
        </w:rPr>
        <w:t>Vacunación</w:t>
      </w:r>
    </w:p>
    <w:p w14:paraId="287D562C" w14:textId="76221162" w:rsidR="00834462" w:rsidRPr="008A106B" w:rsidRDefault="00834462" w:rsidP="00834462">
      <w:pPr>
        <w:rPr>
          <w:lang w:val="es-ES"/>
        </w:rPr>
      </w:pPr>
      <w:r w:rsidRPr="008A106B">
        <w:rPr>
          <w:lang w:val="es-ES_tradnl"/>
        </w:rPr>
        <w:t xml:space="preserve">No deben administrarse vacunas vivas o vivas atenuadas simultáneamente con </w:t>
      </w:r>
      <w:r w:rsidR="00274A02">
        <w:rPr>
          <w:lang w:val="es-ES_tradnl"/>
        </w:rPr>
        <w:t>este medicamento</w:t>
      </w:r>
      <w:r w:rsidRPr="008A106B">
        <w:rPr>
          <w:lang w:val="es-ES_tradnl"/>
        </w:rPr>
        <w:t xml:space="preserve">, porque no se ha establecido la seguridad clínica. </w:t>
      </w:r>
      <w:r w:rsidR="00192CF4">
        <w:rPr>
          <w:lang w:val="es-ES_tradnl"/>
        </w:rPr>
        <w:t xml:space="preserve">En un </w:t>
      </w:r>
      <w:r w:rsidR="00C434A4">
        <w:rPr>
          <w:lang w:val="es-ES_tradnl"/>
        </w:rPr>
        <w:t>ensayo</w:t>
      </w:r>
      <w:del w:id="817" w:author="AUTHOR">
        <w:r w:rsidR="00192CF4" w:rsidDel="00AD5504">
          <w:rPr>
            <w:lang w:val="es-ES_tradnl"/>
          </w:rPr>
          <w:delText>,</w:delText>
        </w:r>
      </w:del>
      <w:r w:rsidR="00192CF4">
        <w:rPr>
          <w:lang w:val="es-ES_tradnl"/>
        </w:rPr>
        <w:t xml:space="preserve"> abierto</w:t>
      </w:r>
      <w:del w:id="818" w:author="AUTHOR">
        <w:r w:rsidR="00192CF4" w:rsidDel="00AD5504">
          <w:rPr>
            <w:lang w:val="es-ES_tradnl"/>
          </w:rPr>
          <w:delText>,</w:delText>
        </w:r>
      </w:del>
      <w:r w:rsidR="00192CF4">
        <w:rPr>
          <w:lang w:val="es-ES_tradnl"/>
        </w:rPr>
        <w:t xml:space="preserve"> aleatorizado en pacientes adultos con AR tratados con </w:t>
      </w:r>
      <w:r w:rsidR="00274A02">
        <w:rPr>
          <w:lang w:val="es-ES_tradnl"/>
        </w:rPr>
        <w:t xml:space="preserve">tocilizumab </w:t>
      </w:r>
      <w:r w:rsidR="00192CF4">
        <w:rPr>
          <w:lang w:val="es-ES_tradnl"/>
        </w:rPr>
        <w:t xml:space="preserve">y </w:t>
      </w:r>
      <w:r w:rsidR="006D6334">
        <w:rPr>
          <w:lang w:val="es-ES_tradnl"/>
        </w:rPr>
        <w:t xml:space="preserve">MTX </w:t>
      </w:r>
      <w:r w:rsidR="00192CF4">
        <w:rPr>
          <w:lang w:val="es-ES_tradnl"/>
        </w:rPr>
        <w:t xml:space="preserve">lograron una respuesta eficaz a la vacuna neumocócica polisacárida 23 valente y a la vacuna del toxoide tetánico, que fue comparable a la respuesta observada en pacientes tratados con </w:t>
      </w:r>
      <w:r w:rsidR="006D6334">
        <w:rPr>
          <w:lang w:val="es-ES_tradnl"/>
        </w:rPr>
        <w:t xml:space="preserve">MTX </w:t>
      </w:r>
      <w:r w:rsidR="00192CF4">
        <w:rPr>
          <w:lang w:val="es-ES_tradnl"/>
        </w:rPr>
        <w:t xml:space="preserve">sólo. </w:t>
      </w:r>
      <w:r w:rsidRPr="008A106B">
        <w:rPr>
          <w:lang w:val="es-ES_tradnl"/>
        </w:rPr>
        <w:t xml:space="preserve">Se recomienda que todos los pacientes, </w:t>
      </w:r>
      <w:r w:rsidR="00B33952">
        <w:rPr>
          <w:lang w:val="es-ES_tradnl"/>
        </w:rPr>
        <w:t xml:space="preserve">especialmente los pacientes </w:t>
      </w:r>
      <w:r w:rsidR="00ED4373">
        <w:rPr>
          <w:lang w:val="es-ES_tradnl"/>
        </w:rPr>
        <w:t xml:space="preserve">pediátricos o los pacientes </w:t>
      </w:r>
      <w:r w:rsidR="00B33952">
        <w:rPr>
          <w:lang w:val="es-ES_tradnl"/>
        </w:rPr>
        <w:t xml:space="preserve">de edad avanzada, </w:t>
      </w:r>
      <w:r w:rsidRPr="008A106B">
        <w:rPr>
          <w:lang w:val="es-ES_tradnl"/>
        </w:rPr>
        <w:t>estén al día con su vacunación de acuerdo con los actuales calendarios de vacunación antes de comenzar el tratamiento. El intervalo entre la iniciación del tratamiento y la administración de vacunas vivas</w:t>
      </w:r>
      <w:r w:rsidR="00FB013E">
        <w:rPr>
          <w:lang w:val="es-ES_tradnl"/>
        </w:rPr>
        <w:t>,</w:t>
      </w:r>
      <w:r w:rsidRPr="008A106B">
        <w:rPr>
          <w:lang w:val="es-ES_tradnl"/>
        </w:rPr>
        <w:t xml:space="preserve"> debe estar de acuerdo con las guías actuales de vacunación de agentes inmunosupresores. </w:t>
      </w:r>
    </w:p>
    <w:p w14:paraId="6B5F997E" w14:textId="77777777" w:rsidR="00834462" w:rsidRPr="008A106B" w:rsidRDefault="00834462" w:rsidP="00834462">
      <w:pPr>
        <w:rPr>
          <w:lang w:val="es-ES"/>
        </w:rPr>
      </w:pPr>
    </w:p>
    <w:p w14:paraId="4D9069DD" w14:textId="77777777" w:rsidR="00834462" w:rsidRPr="008A106B" w:rsidRDefault="00834462" w:rsidP="00F30AB8">
      <w:pPr>
        <w:keepNext/>
        <w:keepLines/>
        <w:rPr>
          <w:i/>
          <w:iCs/>
          <w:lang w:val="es-ES"/>
        </w:rPr>
      </w:pPr>
      <w:r w:rsidRPr="008A106B">
        <w:rPr>
          <w:i/>
          <w:iCs/>
          <w:lang w:val="es-ES_tradnl"/>
        </w:rPr>
        <w:lastRenderedPageBreak/>
        <w:t>Riesgo cardiovascular</w:t>
      </w:r>
    </w:p>
    <w:p w14:paraId="383A1D20" w14:textId="77777777" w:rsidR="00834462" w:rsidRPr="008A106B" w:rsidRDefault="00834462" w:rsidP="00F30AB8">
      <w:pPr>
        <w:keepNext/>
        <w:keepLines/>
        <w:rPr>
          <w:lang w:val="es-ES"/>
        </w:rPr>
      </w:pPr>
      <w:r w:rsidRPr="008A106B">
        <w:rPr>
          <w:lang w:val="es-ES_tradnl"/>
        </w:rPr>
        <w:t>Los pacientes con artritis reumatoide tienen mayor riesgo de trastornos cardiovasculares y deben tener tratamiento de sus factores de riesgo (p. ej., hipertensión, hiperlipidemia) como parte de la asistencia habitual.</w:t>
      </w:r>
    </w:p>
    <w:p w14:paraId="287C264C" w14:textId="77777777" w:rsidR="00834462" w:rsidRPr="008A106B" w:rsidRDefault="00834462" w:rsidP="00834462">
      <w:pPr>
        <w:rPr>
          <w:lang w:val="es-ES"/>
        </w:rPr>
      </w:pPr>
    </w:p>
    <w:p w14:paraId="3DD60B00" w14:textId="77777777" w:rsidR="00834462" w:rsidRPr="008A106B" w:rsidRDefault="00834462" w:rsidP="00834462">
      <w:pPr>
        <w:rPr>
          <w:i/>
          <w:iCs/>
          <w:lang w:val="es-ES"/>
        </w:rPr>
      </w:pPr>
      <w:r w:rsidRPr="008A106B">
        <w:rPr>
          <w:i/>
          <w:iCs/>
          <w:lang w:val="es-ES_tradnl"/>
        </w:rPr>
        <w:t>Combinación con agentes antagonistas del TNF</w:t>
      </w:r>
    </w:p>
    <w:p w14:paraId="5770CD39" w14:textId="44BDD666" w:rsidR="00834462" w:rsidRPr="008A106B" w:rsidRDefault="00834462" w:rsidP="00834462">
      <w:pPr>
        <w:rPr>
          <w:lang w:val="es-ES_tradnl"/>
        </w:rPr>
      </w:pPr>
      <w:r w:rsidRPr="008A106B">
        <w:rPr>
          <w:lang w:val="es-ES_tradnl"/>
        </w:rPr>
        <w:t xml:space="preserve">No hay experiencia en el uso de </w:t>
      </w:r>
      <w:r w:rsidR="00274A02">
        <w:rPr>
          <w:lang w:val="es-ES_tradnl"/>
        </w:rPr>
        <w:t>tocilizumab</w:t>
      </w:r>
      <w:r w:rsidR="00274A02" w:rsidRPr="008A106B">
        <w:rPr>
          <w:lang w:val="es-ES_tradnl"/>
        </w:rPr>
        <w:t xml:space="preserve"> </w:t>
      </w:r>
      <w:r w:rsidRPr="008A106B">
        <w:rPr>
          <w:lang w:val="es-ES_tradnl"/>
        </w:rPr>
        <w:t>con antagonistas del TNF u otros tratamientos biológicos para la artritis reumatoide.</w:t>
      </w:r>
      <w:r w:rsidRPr="008A106B">
        <w:rPr>
          <w:lang w:val="es-ES"/>
        </w:rPr>
        <w:t xml:space="preserve"> </w:t>
      </w:r>
      <w:r w:rsidRPr="008A106B">
        <w:rPr>
          <w:lang w:val="es-ES_tradnl"/>
        </w:rPr>
        <w:t xml:space="preserve">No se recomienda el uso de </w:t>
      </w:r>
      <w:r w:rsidR="00274A02">
        <w:rPr>
          <w:lang w:val="es-ES_tradnl"/>
        </w:rPr>
        <w:t>este medicamento</w:t>
      </w:r>
      <w:r w:rsidR="00274A02" w:rsidRPr="008A106B">
        <w:rPr>
          <w:lang w:val="es-ES_tradnl"/>
        </w:rPr>
        <w:t xml:space="preserve"> </w:t>
      </w:r>
      <w:r w:rsidRPr="008A106B">
        <w:rPr>
          <w:lang w:val="es-ES_tradnl"/>
        </w:rPr>
        <w:t>con otros agentes biológicos.</w:t>
      </w:r>
    </w:p>
    <w:p w14:paraId="1D7DF5D3" w14:textId="7D2B30A6" w:rsidR="0017503E" w:rsidRPr="00F30AB8" w:rsidDel="003E29DD" w:rsidRDefault="0017503E" w:rsidP="00834462">
      <w:pPr>
        <w:rPr>
          <w:moveFrom w:id="819" w:author="AUTHOR"/>
          <w:i/>
          <w:lang w:val="es-ES_tradnl"/>
        </w:rPr>
      </w:pPr>
      <w:moveFromRangeStart w:id="820" w:author="AUTHOR" w:name="move221270719"/>
    </w:p>
    <w:p w14:paraId="044C6BA2" w14:textId="0FAC664A" w:rsidR="00274A02" w:rsidRPr="00F30AB8" w:rsidDel="003E29DD" w:rsidRDefault="00274A02" w:rsidP="00274A02">
      <w:pPr>
        <w:rPr>
          <w:moveFrom w:id="821" w:author="AUTHOR"/>
          <w:i/>
          <w:lang w:val="es-ES_tradnl"/>
        </w:rPr>
      </w:pPr>
      <w:moveFrom w:id="822" w:author="AUTHOR">
        <w:r w:rsidRPr="00F30AB8" w:rsidDel="003E29DD">
          <w:rPr>
            <w:i/>
            <w:lang w:val="es-ES_tradnl"/>
          </w:rPr>
          <w:t>Polisorbato</w:t>
        </w:r>
      </w:moveFrom>
    </w:p>
    <w:p w14:paraId="6E9B9300" w14:textId="6528506F" w:rsidR="00AB237E" w:rsidRPr="00857C0F" w:rsidDel="003E29DD" w:rsidRDefault="00A12F24" w:rsidP="00AB237E">
      <w:pPr>
        <w:rPr>
          <w:moveFrom w:id="823" w:author="AUTHOR"/>
          <w:lang w:val="es-ES"/>
        </w:rPr>
      </w:pPr>
      <w:moveFrom w:id="824" w:author="AUTHOR">
        <w:r w:rsidDel="003E29DD">
          <w:rPr>
            <w:lang w:val="es-ES_tradnl"/>
          </w:rPr>
          <w:t>Este medicamento contiene 0,18 </w:t>
        </w:r>
        <w:r w:rsidR="00274A02" w:rsidRPr="00274A02" w:rsidDel="003E29DD">
          <w:rPr>
            <w:lang w:val="es-ES_tradnl"/>
          </w:rPr>
          <w:t>mg de polisorbato 80 en cada jeringa de</w:t>
        </w:r>
        <w:r w:rsidDel="003E29DD">
          <w:rPr>
            <w:lang w:val="es-ES_tradnl"/>
          </w:rPr>
          <w:t xml:space="preserve"> 162 mg/0,9 ml, que equivale a 0,2 </w:t>
        </w:r>
        <w:r w:rsidR="00274A02" w:rsidRPr="00274A02" w:rsidDel="003E29DD">
          <w:rPr>
            <w:lang w:val="es-ES_tradnl"/>
          </w:rPr>
          <w:t>mg/ml. Los polisorbatos pueden causar reacciones alérgicas</w:t>
        </w:r>
        <w:r w:rsidR="00274A02" w:rsidRPr="004A3215" w:rsidDel="003E29DD">
          <w:rPr>
            <w:lang w:val="es-ES_tradnl"/>
          </w:rPr>
          <w:t>.</w:t>
        </w:r>
        <w:r w:rsidR="00AB237E" w:rsidRPr="004A3215" w:rsidDel="003E29DD">
          <w:rPr>
            <w:lang w:val="es-ES_tradnl"/>
          </w:rPr>
          <w:t xml:space="preserve"> </w:t>
        </w:r>
        <w:r w:rsidR="006D747C" w:rsidRPr="006D747C" w:rsidDel="003E29DD">
          <w:rPr>
            <w:lang w:val="es-ES"/>
          </w:rPr>
          <w:t xml:space="preserve"> Se </w:t>
        </w:r>
        <w:r w:rsidR="006D747C" w:rsidDel="003E29DD">
          <w:rPr>
            <w:lang w:val="es-ES"/>
          </w:rPr>
          <w:t xml:space="preserve">debe tener en cuenta </w:t>
        </w:r>
        <w:r w:rsidR="006D747C" w:rsidRPr="006D747C" w:rsidDel="003E29DD">
          <w:rPr>
            <w:lang w:val="es-ES"/>
          </w:rPr>
          <w:t>las alergias conocidas de los pacientes.</w:t>
        </w:r>
      </w:moveFrom>
    </w:p>
    <w:moveFromRangeEnd w:id="820"/>
    <w:p w14:paraId="02C9E060" w14:textId="14F73D76" w:rsidR="00274A02" w:rsidRPr="00F30AB8" w:rsidRDefault="00274A02" w:rsidP="00274A02">
      <w:pPr>
        <w:rPr>
          <w:lang w:val="es-ES"/>
        </w:rPr>
      </w:pPr>
    </w:p>
    <w:p w14:paraId="534A158D" w14:textId="585B52D2" w:rsidR="0017503E" w:rsidRDefault="000C7D20" w:rsidP="00EF2448">
      <w:pPr>
        <w:keepNext/>
        <w:keepLines/>
        <w:rPr>
          <w:u w:val="single"/>
          <w:lang w:val="es-ES_tradnl"/>
        </w:rPr>
      </w:pPr>
      <w:ins w:id="825" w:author="AUTHOR">
        <w:r>
          <w:rPr>
            <w:u w:val="single"/>
            <w:lang w:val="es-ES_tradnl"/>
          </w:rPr>
          <w:t xml:space="preserve">Pacientes con </w:t>
        </w:r>
      </w:ins>
      <w:r w:rsidR="0017503E" w:rsidRPr="00F30AB8">
        <w:rPr>
          <w:u w:val="single"/>
          <w:lang w:val="es-ES_tradnl"/>
        </w:rPr>
        <w:t>ACG</w:t>
      </w:r>
    </w:p>
    <w:p w14:paraId="5C29A44D" w14:textId="77777777" w:rsidR="00A12F24" w:rsidRPr="00F30AB8" w:rsidRDefault="00A12F24" w:rsidP="00EF2448">
      <w:pPr>
        <w:keepNext/>
        <w:keepLines/>
        <w:rPr>
          <w:u w:val="single"/>
          <w:lang w:val="es-ES_tradnl"/>
        </w:rPr>
      </w:pPr>
    </w:p>
    <w:p w14:paraId="44911542" w14:textId="6B2846BE" w:rsidR="0017503E" w:rsidRDefault="00274A02" w:rsidP="00EF2448">
      <w:pPr>
        <w:keepNext/>
        <w:keepLines/>
        <w:rPr>
          <w:lang w:val="es-ES_tradnl"/>
        </w:rPr>
      </w:pPr>
      <w:r>
        <w:rPr>
          <w:lang w:val="es-ES_tradnl"/>
        </w:rPr>
        <w:t>Tocilizumab</w:t>
      </w:r>
      <w:r w:rsidRPr="002009C1">
        <w:rPr>
          <w:lang w:val="es-ES_tradnl"/>
        </w:rPr>
        <w:t xml:space="preserve"> </w:t>
      </w:r>
      <w:r w:rsidR="0017503E" w:rsidRPr="002009C1">
        <w:rPr>
          <w:lang w:val="es-ES_tradnl"/>
        </w:rPr>
        <w:t>en monoterapia no debe usarse en el tratamiento de recaídas agudas</w:t>
      </w:r>
      <w:r w:rsidR="00DE3F5B" w:rsidRPr="002009C1">
        <w:rPr>
          <w:lang w:val="es-ES_tradnl"/>
        </w:rPr>
        <w:t>,</w:t>
      </w:r>
      <w:r w:rsidR="0017503E" w:rsidRPr="002009C1">
        <w:rPr>
          <w:lang w:val="es-ES_tradnl"/>
        </w:rPr>
        <w:t xml:space="preserve"> ya que la eficacia en estos casos no ha sido establecida. Los glu</w:t>
      </w:r>
      <w:r w:rsidR="0017503E" w:rsidRPr="00606BCF">
        <w:rPr>
          <w:lang w:val="es-ES_tradnl"/>
        </w:rPr>
        <w:t>cocorticoide</w:t>
      </w:r>
      <w:r w:rsidR="00995862" w:rsidRPr="006C05BA">
        <w:rPr>
          <w:lang w:val="es-ES_tradnl"/>
        </w:rPr>
        <w:t>s deben ser administrados de acuerdo con el</w:t>
      </w:r>
      <w:r w:rsidR="0017503E" w:rsidRPr="00C22F3F">
        <w:rPr>
          <w:lang w:val="es-ES_tradnl"/>
        </w:rPr>
        <w:t xml:space="preserve"> criterio médico y </w:t>
      </w:r>
      <w:r w:rsidR="00995862" w:rsidRPr="00C22F3F">
        <w:rPr>
          <w:lang w:val="es-ES_tradnl"/>
        </w:rPr>
        <w:t>las guías de</w:t>
      </w:r>
      <w:r w:rsidR="00DE3F5B" w:rsidRPr="00C22F3F">
        <w:rPr>
          <w:lang w:val="es-ES_tradnl"/>
        </w:rPr>
        <w:t xml:space="preserve"> pr</w:t>
      </w:r>
      <w:r w:rsidR="00995862" w:rsidRPr="00C22F3F">
        <w:rPr>
          <w:lang w:val="es-ES_tradnl"/>
        </w:rPr>
        <w:t>áctica</w:t>
      </w:r>
      <w:r w:rsidR="00DE3F5B" w:rsidRPr="00C22F3F">
        <w:rPr>
          <w:lang w:val="es-ES_tradnl"/>
        </w:rPr>
        <w:t xml:space="preserve"> clínica.</w:t>
      </w:r>
    </w:p>
    <w:p w14:paraId="0CE9656A" w14:textId="77777777" w:rsidR="00D05464" w:rsidRDefault="00D05464" w:rsidP="00834462">
      <w:pPr>
        <w:rPr>
          <w:lang w:val="es-ES_tradnl"/>
        </w:rPr>
      </w:pPr>
    </w:p>
    <w:p w14:paraId="70E43E37" w14:textId="41F2D7FE" w:rsidR="00D05464" w:rsidRPr="008208B4" w:rsidRDefault="000C7D20" w:rsidP="00D05464">
      <w:pPr>
        <w:keepNext/>
        <w:rPr>
          <w:i/>
          <w:lang w:val="es-ES"/>
        </w:rPr>
      </w:pPr>
      <w:ins w:id="826" w:author="AUTHOR">
        <w:r>
          <w:rPr>
            <w:u w:val="single"/>
            <w:lang w:val="es-ES_tradnl"/>
          </w:rPr>
          <w:t xml:space="preserve">Pacientes con </w:t>
        </w:r>
      </w:ins>
      <w:r w:rsidR="00D05464" w:rsidRPr="00F30AB8">
        <w:rPr>
          <w:u w:val="single"/>
          <w:lang w:val="es-ES_tradnl"/>
        </w:rPr>
        <w:t>AIJs</w:t>
      </w:r>
    </w:p>
    <w:p w14:paraId="3AD9178D" w14:textId="77777777" w:rsidR="003E29DD" w:rsidRPr="00F30AB8" w:rsidRDefault="00D05464" w:rsidP="003E29DD">
      <w:pPr>
        <w:rPr>
          <w:moveTo w:id="827" w:author="AUTHOR"/>
          <w:i/>
          <w:lang w:val="es-ES_tradnl"/>
        </w:rPr>
      </w:pPr>
      <w:r w:rsidRPr="008A106B">
        <w:rPr>
          <w:lang w:val="es-ES"/>
        </w:rPr>
        <w:t>El síndrome de activación de macrófagos (SAM) es un trastorno grave y potencialmente mortal que puede desarrollarse en pacientes con AIJs. En los ensayos clínicos con tocilizumab no se han estudiado pacientes durante un episodio de SAM</w:t>
      </w:r>
      <w:r>
        <w:rPr>
          <w:lang w:val="es-ES"/>
        </w:rPr>
        <w:t xml:space="preserve"> activo</w:t>
      </w:r>
      <w:moveToRangeStart w:id="828" w:author="AUTHOR" w:name="move221270719"/>
    </w:p>
    <w:p w14:paraId="113D9C55" w14:textId="77777777" w:rsidR="003E29DD" w:rsidRDefault="003E29DD" w:rsidP="003E29DD">
      <w:pPr>
        <w:rPr>
          <w:ins w:id="829" w:author="AUTHOR"/>
          <w:i/>
          <w:lang w:val="es-ES_tradnl"/>
        </w:rPr>
      </w:pPr>
    </w:p>
    <w:p w14:paraId="35694906" w14:textId="6A15B9BA" w:rsidR="003E29DD" w:rsidRPr="00F30AB8" w:rsidRDefault="003E29DD" w:rsidP="003E29DD">
      <w:pPr>
        <w:rPr>
          <w:moveTo w:id="830" w:author="AUTHOR"/>
          <w:i/>
          <w:lang w:val="es-ES_tradnl"/>
        </w:rPr>
      </w:pPr>
      <w:moveTo w:id="831" w:author="AUTHOR">
        <w:r w:rsidRPr="00F30AB8">
          <w:rPr>
            <w:i/>
            <w:lang w:val="es-ES_tradnl"/>
          </w:rPr>
          <w:t>Polisorbato</w:t>
        </w:r>
      </w:moveTo>
      <w:ins w:id="832" w:author="AUTHOR">
        <w:r w:rsidR="007653FD">
          <w:rPr>
            <w:i/>
            <w:lang w:val="es-ES_tradnl"/>
          </w:rPr>
          <w:t xml:space="preserve"> </w:t>
        </w:r>
        <w:r w:rsidR="007653FD" w:rsidRPr="00E52815">
          <w:t>80 (E 433)</w:t>
        </w:r>
      </w:ins>
    </w:p>
    <w:p w14:paraId="23234BFD" w14:textId="77777777" w:rsidR="003E29DD" w:rsidRPr="00857C0F" w:rsidRDefault="003E29DD" w:rsidP="003E29DD">
      <w:pPr>
        <w:rPr>
          <w:moveTo w:id="833" w:author="AUTHOR"/>
          <w:lang w:val="es-ES"/>
        </w:rPr>
      </w:pPr>
      <w:moveTo w:id="834" w:author="AUTHOR">
        <w:r>
          <w:rPr>
            <w:lang w:val="es-ES_tradnl"/>
          </w:rPr>
          <w:t>Este medicamento contiene 0,18 </w:t>
        </w:r>
        <w:r w:rsidRPr="00274A02">
          <w:rPr>
            <w:lang w:val="es-ES_tradnl"/>
          </w:rPr>
          <w:t>mg de polisorbato 80 en cada jeringa de</w:t>
        </w:r>
        <w:r>
          <w:rPr>
            <w:lang w:val="es-ES_tradnl"/>
          </w:rPr>
          <w:t xml:space="preserve"> 162 mg/0,9 ml, que equivale a 0,2 </w:t>
        </w:r>
        <w:r w:rsidRPr="00274A02">
          <w:rPr>
            <w:lang w:val="es-ES_tradnl"/>
          </w:rPr>
          <w:t>mg/ml. Los polisorbatos pueden causar reacciones alérgicas</w:t>
        </w:r>
        <w:r w:rsidRPr="004A3215">
          <w:rPr>
            <w:lang w:val="es-ES_tradnl"/>
          </w:rPr>
          <w:t xml:space="preserve">. </w:t>
        </w:r>
        <w:r w:rsidRPr="006D747C">
          <w:rPr>
            <w:lang w:val="es-ES"/>
          </w:rPr>
          <w:t xml:space="preserve"> Se </w:t>
        </w:r>
        <w:r>
          <w:rPr>
            <w:lang w:val="es-ES"/>
          </w:rPr>
          <w:t xml:space="preserve">debe tener en cuenta </w:t>
        </w:r>
        <w:r w:rsidRPr="006D747C">
          <w:rPr>
            <w:lang w:val="es-ES"/>
          </w:rPr>
          <w:t>las alergias conocidas de los pacientes.</w:t>
        </w:r>
      </w:moveTo>
    </w:p>
    <w:moveToRangeEnd w:id="828"/>
    <w:p w14:paraId="7F33B259" w14:textId="1C26F677" w:rsidR="00D05464" w:rsidRPr="00467FFD" w:rsidDel="003E29DD" w:rsidRDefault="00D05464" w:rsidP="00D05464">
      <w:pPr>
        <w:rPr>
          <w:del w:id="835" w:author="AUTHOR"/>
          <w:lang w:val="es-ES"/>
          <w:rPrChange w:id="836" w:author="AUTHOR">
            <w:rPr>
              <w:del w:id="837" w:author="AUTHOR"/>
              <w:lang w:val="es-ES_tradnl"/>
            </w:rPr>
          </w:rPrChange>
        </w:rPr>
      </w:pPr>
    </w:p>
    <w:p w14:paraId="7D4DEF99" w14:textId="77777777" w:rsidR="00233003" w:rsidRPr="008A106B" w:rsidRDefault="00233003" w:rsidP="00834462">
      <w:pPr>
        <w:rPr>
          <w:lang w:val="es-ES_tradnl"/>
        </w:rPr>
      </w:pPr>
    </w:p>
    <w:p w14:paraId="31EDB6BF" w14:textId="77777777" w:rsidR="00834462" w:rsidRDefault="00834462" w:rsidP="006868F5">
      <w:pPr>
        <w:keepNext/>
        <w:keepLines/>
        <w:ind w:left="567" w:hanging="567"/>
        <w:outlineLvl w:val="0"/>
        <w:rPr>
          <w:b/>
          <w:bCs/>
          <w:lang w:val="es-ES_tradnl"/>
        </w:rPr>
      </w:pPr>
      <w:r w:rsidRPr="008A106B">
        <w:rPr>
          <w:b/>
          <w:bCs/>
          <w:lang w:val="es-ES"/>
        </w:rPr>
        <w:t>4.5</w:t>
      </w:r>
      <w:r w:rsidRPr="008A106B">
        <w:rPr>
          <w:b/>
          <w:bCs/>
          <w:lang w:val="es-ES"/>
        </w:rPr>
        <w:tab/>
      </w:r>
      <w:r w:rsidRPr="008A106B">
        <w:rPr>
          <w:b/>
          <w:bCs/>
          <w:lang w:val="es-ES_tradnl"/>
        </w:rPr>
        <w:t>Interacción con otros medicamentos y otras formas de interacción</w:t>
      </w:r>
    </w:p>
    <w:p w14:paraId="0788821A" w14:textId="77777777" w:rsidR="00834462" w:rsidRDefault="00834462" w:rsidP="006868F5">
      <w:pPr>
        <w:keepNext/>
        <w:keepLines/>
        <w:ind w:left="567" w:hanging="567"/>
        <w:outlineLvl w:val="0"/>
        <w:rPr>
          <w:b/>
          <w:bCs/>
          <w:lang w:val="es-ES_tradnl"/>
        </w:rPr>
      </w:pPr>
    </w:p>
    <w:p w14:paraId="1AF3C237" w14:textId="77777777" w:rsidR="00834462" w:rsidRDefault="00834462" w:rsidP="00834462">
      <w:pPr>
        <w:rPr>
          <w:lang w:val="es-ES"/>
        </w:rPr>
      </w:pPr>
      <w:r w:rsidRPr="008A106B">
        <w:rPr>
          <w:lang w:val="es-ES"/>
        </w:rPr>
        <w:t>Los e</w:t>
      </w:r>
      <w:r w:rsidR="00C434A4">
        <w:rPr>
          <w:lang w:val="es-ES"/>
        </w:rPr>
        <w:t>nsay</w:t>
      </w:r>
      <w:r w:rsidRPr="008A106B">
        <w:rPr>
          <w:lang w:val="es-ES"/>
        </w:rPr>
        <w:t>os de interacciones s</w:t>
      </w:r>
      <w:r>
        <w:rPr>
          <w:lang w:val="es-ES"/>
        </w:rPr>
        <w:t>e han realizado sólo en adultos.</w:t>
      </w:r>
    </w:p>
    <w:p w14:paraId="146E7640" w14:textId="77777777" w:rsidR="00233003" w:rsidRDefault="00233003" w:rsidP="00834462">
      <w:pPr>
        <w:rPr>
          <w:lang w:val="es-ES"/>
        </w:rPr>
      </w:pPr>
    </w:p>
    <w:p w14:paraId="6CBB268D" w14:textId="1DD2527A" w:rsidR="00834462" w:rsidRPr="008A106B" w:rsidRDefault="00834462" w:rsidP="00834462">
      <w:pPr>
        <w:rPr>
          <w:lang w:val="es-ES"/>
        </w:rPr>
      </w:pPr>
      <w:r w:rsidRPr="008A106B">
        <w:rPr>
          <w:lang w:val="es-ES_tradnl"/>
        </w:rPr>
        <w:t xml:space="preserve">La administración simultánea de una dosis única de 10 mg/kg de </w:t>
      </w:r>
      <w:r w:rsidR="00274A02">
        <w:rPr>
          <w:szCs w:val="22"/>
          <w:lang w:val="es-ES"/>
        </w:rPr>
        <w:t>tocilizumab</w:t>
      </w:r>
      <w:r w:rsidR="00274A02" w:rsidRPr="008A106B">
        <w:rPr>
          <w:lang w:val="es-ES_tradnl"/>
        </w:rPr>
        <w:t xml:space="preserve"> </w:t>
      </w:r>
      <w:r w:rsidRPr="008A106B">
        <w:rPr>
          <w:lang w:val="es-ES_tradnl"/>
        </w:rPr>
        <w:t xml:space="preserve">con 10-25 mg de </w:t>
      </w:r>
      <w:r w:rsidR="00A12F24">
        <w:rPr>
          <w:lang w:val="es-ES_tradnl"/>
        </w:rPr>
        <w:t xml:space="preserve">MTX </w:t>
      </w:r>
      <w:r w:rsidRPr="008A106B">
        <w:rPr>
          <w:lang w:val="es-ES_tradnl"/>
        </w:rPr>
        <w:t xml:space="preserve">una vez por semana no tuvo efecto clínicamente significativo en la exposición al </w:t>
      </w:r>
      <w:r w:rsidR="006D6334">
        <w:rPr>
          <w:lang w:val="es-ES_tradnl"/>
        </w:rPr>
        <w:t>MTX</w:t>
      </w:r>
      <w:r w:rsidRPr="008A106B">
        <w:rPr>
          <w:lang w:val="es-ES_tradnl"/>
        </w:rPr>
        <w:t>.</w:t>
      </w:r>
    </w:p>
    <w:p w14:paraId="62C2DCFE" w14:textId="77777777" w:rsidR="00834462" w:rsidRPr="008A106B" w:rsidRDefault="00834462" w:rsidP="00834462">
      <w:pPr>
        <w:rPr>
          <w:lang w:val="es-ES_tradnl"/>
        </w:rPr>
      </w:pPr>
    </w:p>
    <w:p w14:paraId="68A4DA28" w14:textId="15E462C8" w:rsidR="00834462" w:rsidRPr="006868F5" w:rsidRDefault="00834462" w:rsidP="00834462">
      <w:pPr>
        <w:rPr>
          <w:lang w:val="es-ES"/>
        </w:rPr>
      </w:pPr>
      <w:r w:rsidRPr="008A106B">
        <w:rPr>
          <w:lang w:val="es-ES_tradnl"/>
        </w:rPr>
        <w:t xml:space="preserve">Los análisis farmacocinéticos de la población no revelaron ningún efecto en el aclaramiento de </w:t>
      </w:r>
      <w:r w:rsidR="00274A02">
        <w:rPr>
          <w:szCs w:val="22"/>
          <w:lang w:val="es-ES"/>
        </w:rPr>
        <w:t>tocilizumab</w:t>
      </w:r>
      <w:r w:rsidR="00274A02" w:rsidRPr="006868F5">
        <w:rPr>
          <w:szCs w:val="22"/>
          <w:lang w:val="es-ES"/>
        </w:rPr>
        <w:t xml:space="preserve"> </w:t>
      </w:r>
      <w:r w:rsidRPr="008A106B">
        <w:rPr>
          <w:lang w:val="es-ES_tradnl"/>
        </w:rPr>
        <w:t>con MTX, AINEs o corticosteroides</w:t>
      </w:r>
      <w:r w:rsidR="00F31BB6">
        <w:rPr>
          <w:lang w:val="es-ES_tradnl"/>
        </w:rPr>
        <w:t xml:space="preserve"> en pacientes con AR</w:t>
      </w:r>
      <w:r w:rsidRPr="008A106B">
        <w:rPr>
          <w:lang w:val="es-ES_tradnl"/>
        </w:rPr>
        <w:t>.</w:t>
      </w:r>
      <w:r w:rsidR="00F31BB6">
        <w:rPr>
          <w:lang w:val="es-ES_tradnl"/>
        </w:rPr>
        <w:t xml:space="preserve"> En pacientes con ACG, no se observaron efectos de dosis acumuladas de corticosteroides durante la exposición a </w:t>
      </w:r>
      <w:r w:rsidR="00274A02">
        <w:rPr>
          <w:szCs w:val="22"/>
          <w:lang w:val="es-ES"/>
        </w:rPr>
        <w:t>tocilizumab</w:t>
      </w:r>
      <w:r w:rsidR="00F31BB6">
        <w:rPr>
          <w:szCs w:val="22"/>
          <w:lang w:val="es-ES"/>
        </w:rPr>
        <w:t>.</w:t>
      </w:r>
    </w:p>
    <w:p w14:paraId="1752213A" w14:textId="77777777" w:rsidR="00834462" w:rsidRPr="008A106B" w:rsidRDefault="00834462" w:rsidP="00834462">
      <w:pPr>
        <w:rPr>
          <w:lang w:val="es-ES"/>
        </w:rPr>
      </w:pPr>
    </w:p>
    <w:p w14:paraId="44D168BD" w14:textId="75AE5138" w:rsidR="00834462" w:rsidRPr="008A106B" w:rsidRDefault="00834462" w:rsidP="00834462">
      <w:pPr>
        <w:rPr>
          <w:lang w:val="es-ES"/>
        </w:rPr>
      </w:pPr>
      <w:r w:rsidRPr="008A106B">
        <w:rPr>
          <w:lang w:val="es-ES_tradnl"/>
        </w:rPr>
        <w:t>La expresión de las enzimas CYP450 hepáticas se suprime por las citocinas, como la IL-6, que estimulan la inflamación crónica.</w:t>
      </w:r>
      <w:r w:rsidRPr="008A106B">
        <w:rPr>
          <w:lang w:val="es-ES"/>
        </w:rPr>
        <w:t xml:space="preserve"> </w:t>
      </w:r>
      <w:r w:rsidRPr="008A106B">
        <w:rPr>
          <w:lang w:val="es-ES_tradnl"/>
        </w:rPr>
        <w:t xml:space="preserve">Así pues, la expresión de CYP450 puede revertirse cuando se introduce un tratamiento potente inhibidor de las citocinas, como </w:t>
      </w:r>
      <w:r w:rsidR="00274A02">
        <w:rPr>
          <w:szCs w:val="22"/>
          <w:lang w:val="es-ES"/>
        </w:rPr>
        <w:t>tocilizumab</w:t>
      </w:r>
      <w:r w:rsidRPr="008A106B">
        <w:rPr>
          <w:lang w:val="es-ES_tradnl"/>
        </w:rPr>
        <w:t>.</w:t>
      </w:r>
      <w:r w:rsidRPr="008A106B">
        <w:rPr>
          <w:lang w:val="es-ES"/>
        </w:rPr>
        <w:t xml:space="preserve"> </w:t>
      </w:r>
    </w:p>
    <w:p w14:paraId="30ABFD1E" w14:textId="77777777" w:rsidR="00834462" w:rsidRPr="008A106B" w:rsidRDefault="00834462" w:rsidP="00834462">
      <w:pPr>
        <w:rPr>
          <w:lang w:val="es-ES"/>
        </w:rPr>
      </w:pPr>
    </w:p>
    <w:p w14:paraId="511A354C" w14:textId="17894805" w:rsidR="00834462" w:rsidRPr="008A106B" w:rsidRDefault="00834462" w:rsidP="00834462">
      <w:pPr>
        <w:rPr>
          <w:lang w:val="es-ES_tradnl"/>
        </w:rPr>
      </w:pPr>
      <w:r w:rsidRPr="008A106B">
        <w:rPr>
          <w:lang w:val="es-ES_tradnl"/>
        </w:rPr>
        <w:t xml:space="preserve">Los </w:t>
      </w:r>
      <w:r w:rsidR="00C434A4" w:rsidRPr="008A106B">
        <w:rPr>
          <w:lang w:val="es-ES_tradnl"/>
        </w:rPr>
        <w:t>e</w:t>
      </w:r>
      <w:r w:rsidR="00C434A4">
        <w:rPr>
          <w:lang w:val="es-ES_tradnl"/>
        </w:rPr>
        <w:t>nsay</w:t>
      </w:r>
      <w:r w:rsidR="00C434A4" w:rsidRPr="008A106B">
        <w:rPr>
          <w:lang w:val="es-ES_tradnl"/>
        </w:rPr>
        <w:t xml:space="preserve">os </w:t>
      </w:r>
      <w:r w:rsidRPr="008A106B">
        <w:rPr>
          <w:i/>
          <w:iCs/>
          <w:lang w:val="es-ES_tradnl"/>
        </w:rPr>
        <w:t>in vitro</w:t>
      </w:r>
      <w:r w:rsidRPr="008A106B">
        <w:rPr>
          <w:lang w:val="es-ES_tradnl"/>
        </w:rPr>
        <w:t xml:space="preserve"> con hepatocitos humanos cultivados demostraron que la IL-6 produjo una reducción de la expresión de enzimas CYP1A2, CYP2C9, CYP2C19 y CYP3A4. </w:t>
      </w:r>
      <w:r w:rsidR="006D6334">
        <w:rPr>
          <w:szCs w:val="22"/>
          <w:lang w:val="es-ES"/>
        </w:rPr>
        <w:t>T</w:t>
      </w:r>
      <w:r w:rsidR="00A12F24">
        <w:rPr>
          <w:szCs w:val="22"/>
          <w:lang w:val="es-ES"/>
        </w:rPr>
        <w:t>ocilizumab</w:t>
      </w:r>
      <w:r w:rsidR="00A12F24" w:rsidRPr="008A106B">
        <w:rPr>
          <w:lang w:val="es-ES_tradnl"/>
        </w:rPr>
        <w:t xml:space="preserve"> </w:t>
      </w:r>
      <w:r w:rsidRPr="008A106B">
        <w:rPr>
          <w:lang w:val="es-ES_tradnl"/>
        </w:rPr>
        <w:t>regulariza la expresión de estas enzimas.</w:t>
      </w:r>
    </w:p>
    <w:p w14:paraId="757B96CC" w14:textId="77777777" w:rsidR="00834462" w:rsidRPr="008A106B" w:rsidRDefault="00834462" w:rsidP="00834462">
      <w:pPr>
        <w:rPr>
          <w:lang w:val="es-ES_tradnl"/>
        </w:rPr>
      </w:pPr>
    </w:p>
    <w:p w14:paraId="2155096C" w14:textId="089C94DA" w:rsidR="00834462" w:rsidRPr="008A106B" w:rsidRDefault="00834462" w:rsidP="00834462">
      <w:pPr>
        <w:rPr>
          <w:lang w:val="es-ES"/>
        </w:rPr>
      </w:pPr>
      <w:r w:rsidRPr="008A106B">
        <w:rPr>
          <w:lang w:val="es-ES_tradnl"/>
        </w:rPr>
        <w:t xml:space="preserve">Una semana después de la administración de una dosis única de tocilizumab, en un </w:t>
      </w:r>
      <w:r w:rsidR="00C434A4" w:rsidRPr="008A106B">
        <w:rPr>
          <w:lang w:val="es-ES_tradnl"/>
        </w:rPr>
        <w:t>e</w:t>
      </w:r>
      <w:r w:rsidR="00C434A4">
        <w:rPr>
          <w:lang w:val="es-ES_tradnl"/>
        </w:rPr>
        <w:t>nsay</w:t>
      </w:r>
      <w:r w:rsidR="00C434A4" w:rsidRPr="008A106B">
        <w:rPr>
          <w:lang w:val="es-ES_tradnl"/>
        </w:rPr>
        <w:t xml:space="preserve">o </w:t>
      </w:r>
      <w:r w:rsidRPr="008A106B">
        <w:rPr>
          <w:lang w:val="es-ES_tradnl"/>
        </w:rPr>
        <w:t>realizado en pacientes con AR, los niveles de simvastatina (CYP3A4) disminuyeron en un 57</w:t>
      </w:r>
      <w:r w:rsidR="00A12F24">
        <w:rPr>
          <w:lang w:val="es-ES_tradnl"/>
        </w:rPr>
        <w:t> </w:t>
      </w:r>
      <w:r w:rsidRPr="008A106B">
        <w:rPr>
          <w:lang w:val="es-ES_tradnl"/>
        </w:rPr>
        <w:t>%, a niveles similares o ligeramente superiores a los observados en sujetos sanos.</w:t>
      </w:r>
    </w:p>
    <w:p w14:paraId="56572AB5" w14:textId="77777777" w:rsidR="00834462" w:rsidRPr="008A106B" w:rsidRDefault="00834462" w:rsidP="00834462">
      <w:pPr>
        <w:rPr>
          <w:lang w:val="es-ES"/>
        </w:rPr>
      </w:pPr>
    </w:p>
    <w:p w14:paraId="690E3D9D" w14:textId="40381E89" w:rsidR="00834462" w:rsidRPr="008A106B" w:rsidRDefault="00834462" w:rsidP="00834462">
      <w:pPr>
        <w:rPr>
          <w:lang w:val="es-ES"/>
        </w:rPr>
      </w:pPr>
      <w:r w:rsidRPr="008A106B">
        <w:rPr>
          <w:lang w:val="es-ES_tradnl"/>
        </w:rPr>
        <w:t xml:space="preserve">Cuando se comienza o se detiene el tratamiento con tocilizumab, </w:t>
      </w:r>
      <w:r w:rsidR="00BD0EDB">
        <w:rPr>
          <w:lang w:val="es-ES_tradnl"/>
        </w:rPr>
        <w:t xml:space="preserve">se </w:t>
      </w:r>
      <w:r w:rsidRPr="008A106B">
        <w:rPr>
          <w:lang w:val="es-ES_tradnl"/>
        </w:rPr>
        <w:t>debe vigilar a los pacientes que toman medicamentos que se ajustan individualmente y se metabolizan mediante CYP450</w:t>
      </w:r>
      <w:r w:rsidR="00FB013E">
        <w:rPr>
          <w:lang w:val="es-ES_tradnl"/>
        </w:rPr>
        <w:t>,</w:t>
      </w:r>
      <w:r w:rsidRPr="008A106B">
        <w:rPr>
          <w:lang w:val="es-ES_tradnl"/>
        </w:rPr>
        <w:t xml:space="preserve"> 3A4, 1A2, 2C9 o  (p. ej., </w:t>
      </w:r>
      <w:r w:rsidR="008204EA">
        <w:rPr>
          <w:lang w:val="es-ES_tradnl"/>
        </w:rPr>
        <w:t>metilprednisolona, dexametasona, (c</w:t>
      </w:r>
      <w:r w:rsidR="008204EA" w:rsidRPr="008204EA">
        <w:rPr>
          <w:lang w:val="es-ES_tradnl"/>
        </w:rPr>
        <w:t>on la posibilidad de</w:t>
      </w:r>
      <w:r w:rsidR="007C1C8C">
        <w:rPr>
          <w:lang w:val="es-ES_tradnl"/>
        </w:rPr>
        <w:t xml:space="preserve"> padecer el síndrome de </w:t>
      </w:r>
      <w:r w:rsidR="007C1C8C">
        <w:rPr>
          <w:lang w:val="es-ES_tradnl"/>
        </w:rPr>
        <w:lastRenderedPageBreak/>
        <w:t>abstinencia</w:t>
      </w:r>
      <w:r w:rsidR="008204EA" w:rsidRPr="008204EA">
        <w:rPr>
          <w:lang w:val="es-ES_tradnl"/>
        </w:rPr>
        <w:t xml:space="preserve"> de </w:t>
      </w:r>
      <w:r w:rsidR="006F2DF6">
        <w:rPr>
          <w:lang w:val="es-ES_tradnl"/>
        </w:rPr>
        <w:t xml:space="preserve">los </w:t>
      </w:r>
      <w:r w:rsidR="008204EA" w:rsidRPr="008204EA">
        <w:rPr>
          <w:lang w:val="es-ES_tradnl"/>
        </w:rPr>
        <w:t>glucocorticoides</w:t>
      </w:r>
      <w:r w:rsidR="007C1C8C">
        <w:rPr>
          <w:lang w:val="es-ES_tradnl"/>
        </w:rPr>
        <w:t xml:space="preserve"> orales</w:t>
      </w:r>
      <w:r w:rsidR="008204EA">
        <w:rPr>
          <w:lang w:val="es-ES_tradnl"/>
        </w:rPr>
        <w:t>),</w:t>
      </w:r>
      <w:r w:rsidR="008204EA" w:rsidRPr="008204EA">
        <w:rPr>
          <w:lang w:val="es-ES_tradnl"/>
        </w:rPr>
        <w:t xml:space="preserve"> </w:t>
      </w:r>
      <w:r w:rsidRPr="008A106B">
        <w:rPr>
          <w:lang w:val="es-ES_tradnl"/>
        </w:rPr>
        <w:t xml:space="preserve">atorvastatina, antagonistas del canal del calcio, teofilina, warfarina, </w:t>
      </w:r>
      <w:r w:rsidR="009351C2">
        <w:rPr>
          <w:lang w:val="es-ES_tradnl"/>
        </w:rPr>
        <w:t>fenprocumon</w:t>
      </w:r>
      <w:r w:rsidR="00A813E6">
        <w:rPr>
          <w:lang w:val="es-ES_tradnl"/>
        </w:rPr>
        <w:t>a</w:t>
      </w:r>
      <w:r w:rsidR="009351C2">
        <w:rPr>
          <w:lang w:val="es-ES_tradnl"/>
        </w:rPr>
        <w:t xml:space="preserve">, </w:t>
      </w:r>
      <w:r w:rsidRPr="008A106B">
        <w:rPr>
          <w:lang w:val="es-ES_tradnl"/>
        </w:rPr>
        <w:t>fenitoína, ciclosporina o benzodiazepinas), porque puede ser necesario un aumento de dosis para mantener el efecto terapéutico.</w:t>
      </w:r>
      <w:r w:rsidRPr="008A106B">
        <w:rPr>
          <w:lang w:val="es-ES"/>
        </w:rPr>
        <w:t xml:space="preserve"> </w:t>
      </w:r>
      <w:r w:rsidRPr="008A106B">
        <w:rPr>
          <w:lang w:val="es-ES_tradnl"/>
        </w:rPr>
        <w:t xml:space="preserve">Dada la larga semivida de eliminación </w:t>
      </w:r>
      <w:r w:rsidRPr="008A106B">
        <w:rPr>
          <w:iCs/>
          <w:lang w:val="es-ES"/>
        </w:rPr>
        <w:t>(t</w:t>
      </w:r>
      <w:r w:rsidRPr="008A106B">
        <w:rPr>
          <w:iCs/>
          <w:vertAlign w:val="subscript"/>
          <w:lang w:val="es-ES"/>
        </w:rPr>
        <w:t>1/2</w:t>
      </w:r>
      <w:r w:rsidRPr="008A106B">
        <w:rPr>
          <w:iCs/>
          <w:lang w:val="es-ES"/>
        </w:rPr>
        <w:t>)</w:t>
      </w:r>
      <w:r w:rsidRPr="008A106B">
        <w:rPr>
          <w:rFonts w:eastAsia="SimSun"/>
          <w:lang w:val="es-ES" w:eastAsia="zh-CN" w:bidi="th-TH"/>
        </w:rPr>
        <w:t>,</w:t>
      </w:r>
      <w:r w:rsidRPr="008A106B">
        <w:rPr>
          <w:lang w:val="es-ES_tradnl"/>
        </w:rPr>
        <w:t xml:space="preserve"> el efecto de tocilizumab sobre la actividad del en</w:t>
      </w:r>
      <w:del w:id="838" w:author="AUTHOR">
        <w:r w:rsidRPr="008A106B" w:rsidDel="00802C8A">
          <w:rPr>
            <w:lang w:val="es-ES_tradnl"/>
          </w:rPr>
          <w:delText>c</w:delText>
        </w:r>
      </w:del>
      <w:ins w:id="839" w:author="AUTHOR">
        <w:r w:rsidR="00802C8A">
          <w:rPr>
            <w:lang w:val="es-ES_tradnl"/>
          </w:rPr>
          <w:t>z</w:t>
        </w:r>
      </w:ins>
      <w:r w:rsidRPr="008A106B">
        <w:rPr>
          <w:lang w:val="es-ES_tradnl"/>
        </w:rPr>
        <w:t>ima CYP450</w:t>
      </w:r>
      <w:r w:rsidR="00FB013E">
        <w:rPr>
          <w:lang w:val="es-ES_tradnl"/>
        </w:rPr>
        <w:t>,</w:t>
      </w:r>
      <w:r w:rsidRPr="008A106B">
        <w:rPr>
          <w:lang w:val="es-ES_tradnl"/>
        </w:rPr>
        <w:t xml:space="preserve"> podría persistir durante varias semanas después de suspender el tratamiento.</w:t>
      </w:r>
      <w:r w:rsidRPr="008A106B">
        <w:rPr>
          <w:lang w:val="es-ES"/>
        </w:rPr>
        <w:t xml:space="preserve"> </w:t>
      </w:r>
    </w:p>
    <w:p w14:paraId="625EA466" w14:textId="77777777" w:rsidR="00834462" w:rsidRPr="008A106B" w:rsidRDefault="00834462" w:rsidP="00F30AB8">
      <w:pPr>
        <w:keepNext/>
        <w:keepLines/>
        <w:ind w:left="562" w:hanging="562"/>
        <w:outlineLvl w:val="0"/>
        <w:rPr>
          <w:b/>
          <w:bCs/>
          <w:lang w:val="es-ES"/>
        </w:rPr>
      </w:pPr>
    </w:p>
    <w:p w14:paraId="63D5BA43" w14:textId="77777777" w:rsidR="00834462" w:rsidRDefault="00834462" w:rsidP="00F30AB8">
      <w:pPr>
        <w:keepNext/>
        <w:keepLines/>
        <w:ind w:left="562" w:hanging="562"/>
        <w:outlineLvl w:val="0"/>
        <w:rPr>
          <w:b/>
          <w:bCs/>
          <w:lang w:val="es-ES_tradnl"/>
        </w:rPr>
      </w:pPr>
      <w:r w:rsidRPr="008A106B">
        <w:rPr>
          <w:b/>
          <w:bCs/>
          <w:lang w:val="es-ES"/>
        </w:rPr>
        <w:t>4.6</w:t>
      </w:r>
      <w:r w:rsidRPr="008A106B">
        <w:rPr>
          <w:b/>
          <w:bCs/>
          <w:lang w:val="es-ES"/>
        </w:rPr>
        <w:tab/>
        <w:t xml:space="preserve">Fertilidad, </w:t>
      </w:r>
      <w:r w:rsidRPr="008A106B">
        <w:rPr>
          <w:b/>
          <w:bCs/>
          <w:lang w:val="es-ES_tradnl"/>
        </w:rPr>
        <w:t>embarazo y lactancia</w:t>
      </w:r>
    </w:p>
    <w:p w14:paraId="19579B0C" w14:textId="77777777" w:rsidR="00834462" w:rsidRDefault="00834462" w:rsidP="00F30AB8">
      <w:pPr>
        <w:keepNext/>
        <w:keepLines/>
        <w:ind w:left="562" w:hanging="562"/>
        <w:outlineLvl w:val="0"/>
        <w:rPr>
          <w:lang w:val="es-ES"/>
        </w:rPr>
      </w:pPr>
    </w:p>
    <w:p w14:paraId="50E3D4C1" w14:textId="77777777" w:rsidR="00853CE6" w:rsidRDefault="00853CE6" w:rsidP="00853CE6">
      <w:pPr>
        <w:ind w:left="567" w:hanging="567"/>
        <w:outlineLvl w:val="0"/>
        <w:rPr>
          <w:bCs/>
          <w:u w:val="single"/>
          <w:lang w:val="es-ES"/>
        </w:rPr>
      </w:pPr>
      <w:r w:rsidRPr="000C2ADC">
        <w:rPr>
          <w:bCs/>
          <w:u w:val="single"/>
          <w:lang w:val="es-ES"/>
        </w:rPr>
        <w:t>Mujeres en edad fértil</w:t>
      </w:r>
    </w:p>
    <w:p w14:paraId="4F65CF32" w14:textId="77777777" w:rsidR="00274A02" w:rsidRPr="000C2ADC" w:rsidRDefault="00274A02" w:rsidP="00853CE6">
      <w:pPr>
        <w:ind w:left="567" w:hanging="567"/>
        <w:outlineLvl w:val="0"/>
        <w:rPr>
          <w:bCs/>
          <w:u w:val="single"/>
          <w:lang w:val="es-ES"/>
        </w:rPr>
      </w:pPr>
    </w:p>
    <w:p w14:paraId="6B2635CC" w14:textId="49FDD5F2" w:rsidR="00853CE6" w:rsidRPr="000C2ADC" w:rsidRDefault="00853CE6" w:rsidP="00376697">
      <w:pPr>
        <w:ind w:left="567" w:hanging="567"/>
        <w:outlineLvl w:val="0"/>
        <w:rPr>
          <w:bCs/>
          <w:lang w:val="es-ES"/>
        </w:rPr>
      </w:pPr>
      <w:r w:rsidRPr="000C2ADC">
        <w:rPr>
          <w:bCs/>
          <w:lang w:val="es-ES"/>
        </w:rPr>
        <w:t xml:space="preserve">Las mujeres en edad fértil </w:t>
      </w:r>
      <w:r w:rsidR="00274A02" w:rsidRPr="00AB3CE2">
        <w:rPr>
          <w:bCs/>
          <w:lang w:val="es-ES"/>
        </w:rPr>
        <w:t>tienen que</w:t>
      </w:r>
      <w:r w:rsidR="00274A02" w:rsidRPr="000C2ADC">
        <w:rPr>
          <w:bCs/>
          <w:lang w:val="es-ES"/>
        </w:rPr>
        <w:t xml:space="preserve"> </w:t>
      </w:r>
      <w:r w:rsidRPr="000C2ADC">
        <w:rPr>
          <w:bCs/>
          <w:lang w:val="es-ES"/>
        </w:rPr>
        <w:t>utilizar métodos anticonceptivos eficaces durante y has</w:t>
      </w:r>
      <w:ins w:id="840" w:author="AUTHOR">
        <w:r w:rsidR="000A0637">
          <w:rPr>
            <w:bCs/>
            <w:lang w:val="es-ES"/>
          </w:rPr>
          <w:t xml:space="preserve">ta </w:t>
        </w:r>
      </w:ins>
      <w:r w:rsidRPr="000C2ADC">
        <w:rPr>
          <w:bCs/>
          <w:lang w:val="es-ES"/>
        </w:rPr>
        <w:t>3</w:t>
      </w:r>
      <w:r w:rsidR="00274A02">
        <w:rPr>
          <w:bCs/>
          <w:lang w:val="es-ES"/>
        </w:rPr>
        <w:t> </w:t>
      </w:r>
      <w:proofErr w:type="gramStart"/>
      <w:r w:rsidRPr="000C2ADC">
        <w:rPr>
          <w:bCs/>
          <w:lang w:val="es-ES"/>
        </w:rPr>
        <w:t xml:space="preserve">meses </w:t>
      </w:r>
      <w:r w:rsidR="00274A02">
        <w:rPr>
          <w:bCs/>
          <w:lang w:val="es-ES"/>
        </w:rPr>
        <w:t xml:space="preserve"> </w:t>
      </w:r>
      <w:r w:rsidRPr="000C2ADC">
        <w:rPr>
          <w:bCs/>
          <w:lang w:val="es-ES"/>
        </w:rPr>
        <w:t>después</w:t>
      </w:r>
      <w:proofErr w:type="gramEnd"/>
      <w:r w:rsidRPr="000C2ADC">
        <w:rPr>
          <w:bCs/>
          <w:lang w:val="es-ES"/>
        </w:rPr>
        <w:t xml:space="preserve"> del tratamiento.</w:t>
      </w:r>
    </w:p>
    <w:p w14:paraId="33EABB8F" w14:textId="77777777" w:rsidR="00853CE6" w:rsidRPr="008A106B" w:rsidRDefault="00853CE6" w:rsidP="00834462">
      <w:pPr>
        <w:ind w:left="567" w:hanging="567"/>
        <w:outlineLvl w:val="0"/>
        <w:rPr>
          <w:lang w:val="es-ES"/>
        </w:rPr>
      </w:pPr>
    </w:p>
    <w:p w14:paraId="4F2A3EE1" w14:textId="77777777" w:rsidR="00834462" w:rsidRDefault="00834462" w:rsidP="00834462">
      <w:pPr>
        <w:ind w:left="567" w:hanging="567"/>
        <w:outlineLvl w:val="0"/>
        <w:rPr>
          <w:iCs/>
          <w:u w:val="single"/>
          <w:lang w:val="es-ES"/>
        </w:rPr>
      </w:pPr>
      <w:r w:rsidRPr="008A106B">
        <w:rPr>
          <w:iCs/>
          <w:u w:val="single"/>
          <w:lang w:val="es-ES_tradnl"/>
        </w:rPr>
        <w:t>Embarazo</w:t>
      </w:r>
      <w:r w:rsidRPr="008A106B">
        <w:rPr>
          <w:iCs/>
          <w:u w:val="single"/>
          <w:lang w:val="es-ES"/>
        </w:rPr>
        <w:t xml:space="preserve"> </w:t>
      </w:r>
    </w:p>
    <w:p w14:paraId="22BB2717" w14:textId="77777777" w:rsidR="00274A02" w:rsidRPr="008A106B" w:rsidRDefault="00274A02" w:rsidP="00834462">
      <w:pPr>
        <w:ind w:left="567" w:hanging="567"/>
        <w:outlineLvl w:val="0"/>
        <w:rPr>
          <w:u w:val="single"/>
          <w:lang w:val="es-ES"/>
        </w:rPr>
      </w:pPr>
    </w:p>
    <w:p w14:paraId="00D75FAC" w14:textId="4BDC4F61" w:rsidR="00834462" w:rsidRDefault="00834462" w:rsidP="00834462">
      <w:pPr>
        <w:rPr>
          <w:lang w:val="es-ES_tradnl"/>
        </w:rPr>
      </w:pPr>
      <w:r w:rsidRPr="008A106B">
        <w:rPr>
          <w:lang w:val="es-ES_tradnl"/>
        </w:rPr>
        <w:t xml:space="preserve">No hay datos suficientes acerca del uso de </w:t>
      </w:r>
      <w:r w:rsidR="00274A02">
        <w:rPr>
          <w:szCs w:val="22"/>
          <w:lang w:val="es-ES"/>
        </w:rPr>
        <w:t>tocilizumab</w:t>
      </w:r>
      <w:r w:rsidR="00274A02" w:rsidRPr="006868F5">
        <w:rPr>
          <w:szCs w:val="22"/>
          <w:lang w:val="es-ES"/>
        </w:rPr>
        <w:t xml:space="preserve"> </w:t>
      </w:r>
      <w:r w:rsidRPr="008A106B">
        <w:rPr>
          <w:lang w:val="es-ES_tradnl"/>
        </w:rPr>
        <w:t>en mujeres embarazadas.</w:t>
      </w:r>
      <w:r w:rsidRPr="008A106B">
        <w:rPr>
          <w:lang w:val="es-ES"/>
        </w:rPr>
        <w:t xml:space="preserve"> </w:t>
      </w:r>
      <w:r w:rsidRPr="008A106B">
        <w:rPr>
          <w:lang w:val="es-ES_tradnl"/>
        </w:rPr>
        <w:t>Un e</w:t>
      </w:r>
      <w:r w:rsidR="00C434A4">
        <w:rPr>
          <w:lang w:val="es-ES_tradnl"/>
        </w:rPr>
        <w:t>nsayo</w:t>
      </w:r>
      <w:r w:rsidRPr="008A106B">
        <w:rPr>
          <w:lang w:val="es-ES_tradnl"/>
        </w:rPr>
        <w:t xml:space="preserve"> en animales ha mostrado un aumento del riesgo de aborto espontáneo / muerte embriofetal a una dosis alta (ver sección</w:t>
      </w:r>
      <w:r w:rsidR="00A12F24">
        <w:rPr>
          <w:lang w:val="es-ES_tradnl"/>
        </w:rPr>
        <w:t> </w:t>
      </w:r>
      <w:r w:rsidRPr="008A106B">
        <w:rPr>
          <w:lang w:val="es-ES_tradnl"/>
        </w:rPr>
        <w:t>5.3).</w:t>
      </w:r>
      <w:r w:rsidRPr="008A106B">
        <w:rPr>
          <w:lang w:val="es-ES"/>
        </w:rPr>
        <w:t xml:space="preserve"> </w:t>
      </w:r>
      <w:r w:rsidRPr="008A106B">
        <w:rPr>
          <w:lang w:val="es-ES_tradnl"/>
        </w:rPr>
        <w:t xml:space="preserve">Se desconoce el riesgo potencial en los seres humanos. </w:t>
      </w:r>
    </w:p>
    <w:p w14:paraId="617DF371" w14:textId="77777777" w:rsidR="00853CE6" w:rsidRDefault="00853CE6" w:rsidP="00834462">
      <w:pPr>
        <w:rPr>
          <w:lang w:val="es-ES"/>
        </w:rPr>
      </w:pPr>
    </w:p>
    <w:p w14:paraId="37F12B77" w14:textId="77777777" w:rsidR="00834462" w:rsidRDefault="00834462" w:rsidP="00834462">
      <w:pPr>
        <w:rPr>
          <w:lang w:val="es-ES_tradnl"/>
        </w:rPr>
      </w:pPr>
      <w:r w:rsidRPr="008A106B">
        <w:rPr>
          <w:lang w:val="es-ES_tradnl"/>
        </w:rPr>
        <w:t>RoActemra no se debe utilizar durante el embarazo, salvo que sea claramente necesario.</w:t>
      </w:r>
    </w:p>
    <w:p w14:paraId="3A1D4B5F" w14:textId="77777777" w:rsidR="00834462" w:rsidRDefault="00834462" w:rsidP="00834462">
      <w:pPr>
        <w:ind w:left="567" w:hanging="567"/>
        <w:outlineLvl w:val="0"/>
        <w:rPr>
          <w:lang w:val="es-ES_tradnl"/>
        </w:rPr>
      </w:pPr>
    </w:p>
    <w:p w14:paraId="10E15EDF" w14:textId="77777777" w:rsidR="00834462" w:rsidRDefault="00834462" w:rsidP="00834462">
      <w:pPr>
        <w:ind w:left="567" w:hanging="567"/>
        <w:outlineLvl w:val="0"/>
        <w:rPr>
          <w:iCs/>
          <w:u w:val="single"/>
          <w:lang w:val="es-ES"/>
        </w:rPr>
      </w:pPr>
      <w:r w:rsidRPr="008A106B">
        <w:rPr>
          <w:iCs/>
          <w:u w:val="single"/>
          <w:lang w:val="es-ES_tradnl"/>
        </w:rPr>
        <w:t>Lactancia</w:t>
      </w:r>
      <w:r w:rsidRPr="008A106B">
        <w:rPr>
          <w:iCs/>
          <w:u w:val="single"/>
          <w:lang w:val="es-ES"/>
        </w:rPr>
        <w:t xml:space="preserve"> </w:t>
      </w:r>
    </w:p>
    <w:p w14:paraId="31013EF2" w14:textId="77777777" w:rsidR="00274A02" w:rsidRPr="008A106B" w:rsidRDefault="00274A02" w:rsidP="00834462">
      <w:pPr>
        <w:ind w:left="567" w:hanging="567"/>
        <w:outlineLvl w:val="0"/>
        <w:rPr>
          <w:u w:val="single"/>
          <w:lang w:val="es-ES"/>
        </w:rPr>
      </w:pPr>
    </w:p>
    <w:p w14:paraId="17D88AA8" w14:textId="16BF4618" w:rsidR="00834462" w:rsidRPr="008A106B" w:rsidRDefault="00834462" w:rsidP="00834462">
      <w:pPr>
        <w:rPr>
          <w:lang w:val="es-ES_tradnl"/>
        </w:rPr>
      </w:pPr>
      <w:r w:rsidRPr="008A106B">
        <w:rPr>
          <w:lang w:val="es-ES_tradnl"/>
        </w:rPr>
        <w:t>Se desconoce si tocilizumab se excreta en la leche materna</w:t>
      </w:r>
      <w:r w:rsidR="00915AF1">
        <w:rPr>
          <w:lang w:val="es-ES_tradnl"/>
        </w:rPr>
        <w:t>.</w:t>
      </w:r>
      <w:r w:rsidRPr="008A106B">
        <w:rPr>
          <w:lang w:val="es-ES"/>
        </w:rPr>
        <w:t xml:space="preserve"> La excreción de </w:t>
      </w:r>
      <w:r w:rsidR="00274A02">
        <w:rPr>
          <w:szCs w:val="22"/>
          <w:lang w:val="es-ES"/>
        </w:rPr>
        <w:t>tocilizumab</w:t>
      </w:r>
      <w:r w:rsidR="00274A02" w:rsidRPr="006868F5">
        <w:rPr>
          <w:szCs w:val="22"/>
          <w:lang w:val="es-ES"/>
        </w:rPr>
        <w:t xml:space="preserve"> </w:t>
      </w:r>
      <w:r w:rsidRPr="008A106B">
        <w:rPr>
          <w:lang w:val="es-ES"/>
        </w:rPr>
        <w:t xml:space="preserve">en leche no ha sido estudiada en animales. </w:t>
      </w:r>
      <w:r w:rsidR="003532C2">
        <w:rPr>
          <w:lang w:val="es-ES"/>
        </w:rPr>
        <w:t xml:space="preserve">Se </w:t>
      </w:r>
      <w:r w:rsidR="003532C2">
        <w:rPr>
          <w:lang w:val="es-ES_tradnl"/>
        </w:rPr>
        <w:t>d</w:t>
      </w:r>
      <w:r w:rsidRPr="008A106B">
        <w:rPr>
          <w:lang w:val="es-ES_tradnl"/>
        </w:rPr>
        <w:t>ebe tomar una decisión acerca de</w:t>
      </w:r>
      <w:r w:rsidR="00274A02">
        <w:rPr>
          <w:lang w:val="es-ES_tradnl"/>
        </w:rPr>
        <w:t xml:space="preserve"> </w:t>
      </w:r>
      <w:del w:id="841" w:author="AUTHOR">
        <w:r w:rsidRPr="008A106B" w:rsidDel="000A0637">
          <w:rPr>
            <w:lang w:val="es-ES_tradnl"/>
          </w:rPr>
          <w:delText xml:space="preserve"> </w:delText>
        </w:r>
      </w:del>
      <w:r w:rsidRPr="008A106B">
        <w:rPr>
          <w:lang w:val="es-ES_tradnl"/>
        </w:rPr>
        <w:t>suspender la lactancia o</w:t>
      </w:r>
      <w:ins w:id="842" w:author="AUTHOR">
        <w:r w:rsidR="000A0637">
          <w:rPr>
            <w:lang w:val="es-ES_tradnl"/>
          </w:rPr>
          <w:t xml:space="preserve"> </w:t>
        </w:r>
      </w:ins>
      <w:r w:rsidRPr="008A106B">
        <w:rPr>
          <w:lang w:val="es-ES_tradnl"/>
        </w:rPr>
        <w:t>suspender</w:t>
      </w:r>
      <w:ins w:id="843" w:author="AUTHOR">
        <w:r w:rsidR="000A0637">
          <w:rPr>
            <w:lang w:val="es-ES_tradnl"/>
          </w:rPr>
          <w:t>/</w:t>
        </w:r>
      </w:ins>
      <w:del w:id="844" w:author="AUTHOR">
        <w:r w:rsidRPr="008A106B" w:rsidDel="000A0637">
          <w:rPr>
            <w:lang w:val="es-ES_tradnl"/>
          </w:rPr>
          <w:delText xml:space="preserve"> </w:delText>
        </w:r>
      </w:del>
      <w:r w:rsidR="003532C2">
        <w:rPr>
          <w:lang w:val="es-ES_tradnl"/>
        </w:rPr>
        <w:t xml:space="preserve">abstenerse </w:t>
      </w:r>
      <w:ins w:id="845" w:author="AUTHOR">
        <w:r w:rsidR="000A0637">
          <w:rPr>
            <w:lang w:val="es-ES_tradnl"/>
          </w:rPr>
          <w:t>d</w:t>
        </w:r>
      </w:ins>
      <w:r w:rsidRPr="008A106B">
        <w:rPr>
          <w:lang w:val="es-ES_tradnl"/>
        </w:rPr>
        <w:t>el tratamiento con RoActemra teniendo en cuenta el beneficio de la lactancia materna para el niño y el beneficio del tratamiento</w:t>
      </w:r>
      <w:ins w:id="846" w:author="AUTHOR">
        <w:r w:rsidR="000A0637">
          <w:rPr>
            <w:lang w:val="es-ES_tradnl"/>
          </w:rPr>
          <w:t xml:space="preserve"> </w:t>
        </w:r>
      </w:ins>
      <w:r w:rsidRPr="008A106B">
        <w:rPr>
          <w:lang w:val="es-ES_tradnl"/>
        </w:rPr>
        <w:t>para la mujer.</w:t>
      </w:r>
    </w:p>
    <w:p w14:paraId="694C001B" w14:textId="77777777" w:rsidR="00834462" w:rsidRPr="008A106B" w:rsidRDefault="00834462" w:rsidP="00834462">
      <w:pPr>
        <w:rPr>
          <w:lang w:val="es-ES_tradnl"/>
        </w:rPr>
      </w:pPr>
    </w:p>
    <w:p w14:paraId="23AD0B0A" w14:textId="77777777" w:rsidR="00834462" w:rsidRDefault="00834462" w:rsidP="00834462">
      <w:pPr>
        <w:rPr>
          <w:u w:val="single"/>
          <w:lang w:val="es-ES"/>
        </w:rPr>
      </w:pPr>
      <w:r w:rsidRPr="00D706BA">
        <w:rPr>
          <w:u w:val="single"/>
          <w:lang w:val="es-ES"/>
        </w:rPr>
        <w:t>Fertilidad</w:t>
      </w:r>
    </w:p>
    <w:p w14:paraId="408D4271" w14:textId="77777777" w:rsidR="00274A02" w:rsidRPr="00D706BA" w:rsidRDefault="00274A02" w:rsidP="00834462">
      <w:pPr>
        <w:rPr>
          <w:u w:val="single"/>
          <w:lang w:val="es-ES"/>
        </w:rPr>
      </w:pPr>
    </w:p>
    <w:p w14:paraId="063AD1A8" w14:textId="759AC5E2" w:rsidR="00834462" w:rsidRPr="008A106B" w:rsidRDefault="00834462" w:rsidP="00834462">
      <w:pPr>
        <w:rPr>
          <w:lang w:val="es-ES"/>
        </w:rPr>
      </w:pPr>
      <w:r w:rsidRPr="008A106B">
        <w:rPr>
          <w:lang w:val="es-ES"/>
        </w:rPr>
        <w:t xml:space="preserve">Los datos </w:t>
      </w:r>
      <w:ins w:id="847" w:author="AUTHOR">
        <w:r w:rsidR="00522B20" w:rsidRPr="00522B20">
          <w:rPr>
            <w:lang w:val="es-ES"/>
          </w:rPr>
          <w:t>preclínico</w:t>
        </w:r>
        <w:r w:rsidR="00522B20">
          <w:rPr>
            <w:lang w:val="es-ES"/>
          </w:rPr>
          <w:t>s</w:t>
        </w:r>
      </w:ins>
      <w:del w:id="848" w:author="AUTHOR">
        <w:r w:rsidRPr="008A106B" w:rsidDel="00522B20">
          <w:rPr>
            <w:lang w:val="es-ES"/>
          </w:rPr>
          <w:delText>no clínicos</w:delText>
        </w:r>
      </w:del>
      <w:r w:rsidRPr="008A106B">
        <w:rPr>
          <w:lang w:val="es-ES"/>
        </w:rPr>
        <w:t xml:space="preserve"> disponibles no sugieren un efecto sobre la fertilidad bajo tratamiento con </w:t>
      </w:r>
      <w:r w:rsidR="00274A02">
        <w:rPr>
          <w:szCs w:val="22"/>
          <w:lang w:val="es-ES"/>
        </w:rPr>
        <w:t>tocilizumab</w:t>
      </w:r>
      <w:r w:rsidRPr="008A106B">
        <w:rPr>
          <w:lang w:val="es-ES"/>
        </w:rPr>
        <w:t>.</w:t>
      </w:r>
    </w:p>
    <w:p w14:paraId="1989BD07" w14:textId="77777777" w:rsidR="00834462" w:rsidRPr="008A106B" w:rsidRDefault="00834462" w:rsidP="00834462">
      <w:pPr>
        <w:rPr>
          <w:lang w:val="es-ES"/>
        </w:rPr>
      </w:pPr>
    </w:p>
    <w:p w14:paraId="54256259" w14:textId="77777777" w:rsidR="00834462" w:rsidRPr="008A106B" w:rsidRDefault="00834462" w:rsidP="00834462">
      <w:pPr>
        <w:keepNext/>
        <w:ind w:left="562" w:hanging="562"/>
        <w:outlineLvl w:val="0"/>
        <w:rPr>
          <w:lang w:val="es-ES"/>
        </w:rPr>
      </w:pPr>
      <w:r w:rsidRPr="008A106B">
        <w:rPr>
          <w:b/>
          <w:bCs/>
          <w:lang w:val="es-ES"/>
        </w:rPr>
        <w:t>4.7</w:t>
      </w:r>
      <w:r w:rsidRPr="008A106B">
        <w:rPr>
          <w:b/>
          <w:bCs/>
          <w:lang w:val="es-ES"/>
        </w:rPr>
        <w:tab/>
      </w:r>
      <w:r w:rsidRPr="008A106B">
        <w:rPr>
          <w:b/>
          <w:bCs/>
          <w:lang w:val="es-ES_tradnl"/>
        </w:rPr>
        <w:t>Efectos sobre la capacidad para conducir y utilizar máquinas</w:t>
      </w:r>
    </w:p>
    <w:p w14:paraId="393AE200" w14:textId="77777777" w:rsidR="00834462" w:rsidRPr="008A106B" w:rsidRDefault="00834462" w:rsidP="00834462">
      <w:pPr>
        <w:rPr>
          <w:lang w:val="es-ES"/>
        </w:rPr>
      </w:pPr>
    </w:p>
    <w:p w14:paraId="22FCE288" w14:textId="3750200C" w:rsidR="00834462" w:rsidRPr="008A106B" w:rsidRDefault="00834462" w:rsidP="00834462">
      <w:pPr>
        <w:outlineLvl w:val="0"/>
        <w:rPr>
          <w:b/>
          <w:lang w:val="es-ES"/>
        </w:rPr>
      </w:pPr>
      <w:r>
        <w:rPr>
          <w:lang w:val="es-ES"/>
        </w:rPr>
        <w:t>La influencia de RoActemra sobre la capacidad para conducir y utilizar máquinas es pequeña</w:t>
      </w:r>
      <w:r w:rsidR="00EA69BF">
        <w:rPr>
          <w:lang w:val="es-ES"/>
        </w:rPr>
        <w:t>, p. e. mareos</w:t>
      </w:r>
      <w:r>
        <w:rPr>
          <w:lang w:val="es-ES_tradnl"/>
        </w:rPr>
        <w:t xml:space="preserve"> (ver sección</w:t>
      </w:r>
      <w:r w:rsidR="00A12F24">
        <w:rPr>
          <w:lang w:val="es-ES_tradnl"/>
        </w:rPr>
        <w:t> </w:t>
      </w:r>
      <w:r>
        <w:rPr>
          <w:lang w:val="es-ES_tradnl"/>
        </w:rPr>
        <w:t>4.8)</w:t>
      </w:r>
      <w:r w:rsidR="001659FB">
        <w:rPr>
          <w:lang w:val="es-ES_tradnl"/>
        </w:rPr>
        <w:t>.</w:t>
      </w:r>
    </w:p>
    <w:p w14:paraId="5A8B4EA6" w14:textId="77777777" w:rsidR="00834462" w:rsidRDefault="00834462" w:rsidP="00834462">
      <w:pPr>
        <w:ind w:left="567" w:hanging="567"/>
        <w:outlineLvl w:val="0"/>
        <w:rPr>
          <w:b/>
          <w:bCs/>
          <w:lang w:val="es-ES"/>
        </w:rPr>
      </w:pPr>
      <w:r>
        <w:rPr>
          <w:lang w:val="es-ES_tradnl"/>
        </w:rPr>
        <w:t xml:space="preserve"> </w:t>
      </w:r>
    </w:p>
    <w:p w14:paraId="2D552EF1" w14:textId="77777777" w:rsidR="00834462" w:rsidRDefault="00834462" w:rsidP="00834462">
      <w:pPr>
        <w:keepNext/>
        <w:keepLines/>
        <w:ind w:left="567" w:hanging="567"/>
        <w:outlineLvl w:val="0"/>
        <w:rPr>
          <w:b/>
          <w:bCs/>
          <w:lang w:val="es-ES_tradnl"/>
        </w:rPr>
      </w:pPr>
      <w:r w:rsidRPr="008A106B">
        <w:rPr>
          <w:b/>
          <w:bCs/>
          <w:lang w:val="es-ES"/>
        </w:rPr>
        <w:t>4.8</w:t>
      </w:r>
      <w:r w:rsidRPr="008A106B">
        <w:rPr>
          <w:b/>
          <w:bCs/>
          <w:lang w:val="es-ES"/>
        </w:rPr>
        <w:tab/>
      </w:r>
      <w:r w:rsidRPr="008A106B">
        <w:rPr>
          <w:b/>
          <w:bCs/>
          <w:lang w:val="es-ES_tradnl"/>
        </w:rPr>
        <w:t>Reacciones adversas</w:t>
      </w:r>
    </w:p>
    <w:p w14:paraId="37F697F6" w14:textId="77777777" w:rsidR="00834462" w:rsidRDefault="00834462" w:rsidP="00834462">
      <w:pPr>
        <w:keepNext/>
        <w:keepLines/>
        <w:ind w:left="567" w:hanging="567"/>
        <w:outlineLvl w:val="0"/>
        <w:rPr>
          <w:b/>
          <w:bCs/>
          <w:lang w:val="es-ES_tradnl"/>
        </w:rPr>
      </w:pPr>
    </w:p>
    <w:p w14:paraId="0A308BFE" w14:textId="77777777" w:rsidR="00834462" w:rsidRDefault="00834462" w:rsidP="00834462">
      <w:pPr>
        <w:keepNext/>
        <w:keepLines/>
        <w:ind w:left="567" w:hanging="567"/>
        <w:outlineLvl w:val="0"/>
        <w:rPr>
          <w:bCs/>
          <w:u w:val="single"/>
          <w:lang w:val="es-ES_tradnl"/>
        </w:rPr>
      </w:pPr>
      <w:r w:rsidRPr="00D706BA">
        <w:rPr>
          <w:bCs/>
          <w:u w:val="single"/>
          <w:lang w:val="es-ES_tradnl"/>
        </w:rPr>
        <w:t>Resumen del perfil de seguridad</w:t>
      </w:r>
    </w:p>
    <w:p w14:paraId="037737AA" w14:textId="77777777" w:rsidR="00EA69BF" w:rsidRDefault="00EA69BF" w:rsidP="00834462">
      <w:pPr>
        <w:keepNext/>
        <w:keepLines/>
        <w:ind w:left="567" w:hanging="567"/>
        <w:outlineLvl w:val="0"/>
        <w:rPr>
          <w:bCs/>
          <w:u w:val="single"/>
          <w:lang w:val="es-ES_tradnl"/>
        </w:rPr>
      </w:pPr>
    </w:p>
    <w:p w14:paraId="0F9F2491" w14:textId="16D88BA6" w:rsidR="00F31BB6" w:rsidRPr="006868F5" w:rsidRDefault="00F31BB6" w:rsidP="006868F5">
      <w:pPr>
        <w:keepNext/>
        <w:keepLines/>
        <w:outlineLvl w:val="0"/>
        <w:rPr>
          <w:lang w:val="es-ES" w:eastAsia="de-DE"/>
        </w:rPr>
      </w:pPr>
      <w:r w:rsidRPr="006616E4">
        <w:rPr>
          <w:bCs/>
          <w:lang w:val="es-ES_tradnl"/>
        </w:rPr>
        <w:t xml:space="preserve">El perfil de seguridad resultó de la exposición </w:t>
      </w:r>
      <w:r w:rsidR="005A2DF4" w:rsidRPr="006616E4">
        <w:rPr>
          <w:bCs/>
          <w:lang w:val="es-ES_tradnl"/>
        </w:rPr>
        <w:t xml:space="preserve">a </w:t>
      </w:r>
      <w:r w:rsidR="00A12F24">
        <w:rPr>
          <w:szCs w:val="22"/>
          <w:lang w:val="es-ES"/>
        </w:rPr>
        <w:t>tocilizumab</w:t>
      </w:r>
      <w:r w:rsidR="00EA69BF" w:rsidRPr="006616E4">
        <w:rPr>
          <w:bCs/>
          <w:lang w:val="es-ES_tradnl"/>
        </w:rPr>
        <w:t xml:space="preserve"> </w:t>
      </w:r>
      <w:r w:rsidR="00BD05C5" w:rsidRPr="006616E4">
        <w:rPr>
          <w:bCs/>
          <w:lang w:val="es-ES_tradnl"/>
        </w:rPr>
        <w:t xml:space="preserve">durante los ensayos clínicos </w:t>
      </w:r>
      <w:r w:rsidRPr="006616E4">
        <w:rPr>
          <w:bCs/>
          <w:lang w:val="es-ES_tradnl"/>
        </w:rPr>
        <w:t xml:space="preserve">de </w:t>
      </w:r>
      <w:r w:rsidR="00DC5D8A">
        <w:rPr>
          <w:bCs/>
          <w:lang w:val="es-ES_tradnl"/>
        </w:rPr>
        <w:t>4.510</w:t>
      </w:r>
      <w:r w:rsidRPr="006616E4">
        <w:rPr>
          <w:bCs/>
          <w:lang w:val="es-ES_tradnl"/>
        </w:rPr>
        <w:t xml:space="preserve"> pacientes</w:t>
      </w:r>
      <w:r w:rsidR="00755948" w:rsidRPr="00DC5D8A">
        <w:rPr>
          <w:szCs w:val="22"/>
          <w:lang w:val="es-ES"/>
        </w:rPr>
        <w:t>;</w:t>
      </w:r>
      <w:r w:rsidR="00755948" w:rsidRPr="002009C1">
        <w:rPr>
          <w:szCs w:val="22"/>
          <w:lang w:val="es-ES"/>
        </w:rPr>
        <w:t xml:space="preserve"> </w:t>
      </w:r>
      <w:r w:rsidR="002B6BA2" w:rsidRPr="002009C1">
        <w:rPr>
          <w:szCs w:val="22"/>
          <w:lang w:val="es-ES"/>
        </w:rPr>
        <w:t>la mayoría de estos pacientes estaban participando en e</w:t>
      </w:r>
      <w:r w:rsidR="00C434A4">
        <w:rPr>
          <w:szCs w:val="22"/>
          <w:lang w:val="es-ES"/>
        </w:rPr>
        <w:t>nsay</w:t>
      </w:r>
      <w:r w:rsidR="002B6BA2" w:rsidRPr="002009C1">
        <w:rPr>
          <w:szCs w:val="22"/>
          <w:lang w:val="es-ES"/>
        </w:rPr>
        <w:t>os</w:t>
      </w:r>
      <w:r w:rsidR="006E3799" w:rsidRPr="002009C1">
        <w:rPr>
          <w:szCs w:val="22"/>
          <w:lang w:val="es-ES"/>
        </w:rPr>
        <w:t xml:space="preserve"> de</w:t>
      </w:r>
      <w:r w:rsidR="002B6BA2" w:rsidRPr="00606BCF">
        <w:rPr>
          <w:szCs w:val="22"/>
          <w:lang w:val="es-ES"/>
        </w:rPr>
        <w:t xml:space="preserve"> AR (n=4</w:t>
      </w:r>
      <w:r w:rsidR="0056516B" w:rsidRPr="006C05BA">
        <w:rPr>
          <w:szCs w:val="22"/>
          <w:lang w:val="es-ES"/>
        </w:rPr>
        <w:t>.</w:t>
      </w:r>
      <w:r w:rsidR="002B6BA2" w:rsidRPr="006C05BA">
        <w:rPr>
          <w:szCs w:val="22"/>
          <w:lang w:val="es-ES"/>
        </w:rPr>
        <w:t>009), mientras que</w:t>
      </w:r>
      <w:r w:rsidR="002B6BA2" w:rsidRPr="00C22F3F">
        <w:rPr>
          <w:szCs w:val="22"/>
          <w:lang w:val="es-ES"/>
        </w:rPr>
        <w:t xml:space="preserve"> </w:t>
      </w:r>
      <w:r w:rsidR="006E3799" w:rsidRPr="00C22F3F">
        <w:rPr>
          <w:szCs w:val="22"/>
          <w:lang w:val="es-ES"/>
        </w:rPr>
        <w:t xml:space="preserve">el resto </w:t>
      </w:r>
      <w:r w:rsidR="00AE3D68" w:rsidRPr="00C22F3F">
        <w:rPr>
          <w:szCs w:val="22"/>
          <w:lang w:val="es-ES"/>
        </w:rPr>
        <w:t>de la experiencia</w:t>
      </w:r>
      <w:r w:rsidR="00AE3D68" w:rsidRPr="002009C1">
        <w:rPr>
          <w:szCs w:val="22"/>
          <w:lang w:val="es-ES"/>
        </w:rPr>
        <w:t xml:space="preserve"> </w:t>
      </w:r>
      <w:r w:rsidR="006E3799" w:rsidRPr="002009C1">
        <w:rPr>
          <w:szCs w:val="22"/>
          <w:lang w:val="es-ES"/>
        </w:rPr>
        <w:t xml:space="preserve">resultó </w:t>
      </w:r>
      <w:r w:rsidR="00BD05C5" w:rsidRPr="002009C1">
        <w:rPr>
          <w:szCs w:val="22"/>
          <w:lang w:val="es-ES"/>
        </w:rPr>
        <w:t>de los e</w:t>
      </w:r>
      <w:r w:rsidR="00C434A4">
        <w:rPr>
          <w:szCs w:val="22"/>
          <w:lang w:val="es-ES"/>
        </w:rPr>
        <w:t>nsay</w:t>
      </w:r>
      <w:r w:rsidR="00BD05C5" w:rsidRPr="002009C1">
        <w:rPr>
          <w:szCs w:val="22"/>
          <w:lang w:val="es-ES"/>
        </w:rPr>
        <w:t>os en ACG (n=149)</w:t>
      </w:r>
      <w:r w:rsidR="00DC5D8A">
        <w:rPr>
          <w:szCs w:val="22"/>
          <w:lang w:val="es-ES"/>
        </w:rPr>
        <w:t>,</w:t>
      </w:r>
      <w:r w:rsidR="00DC5D8A" w:rsidRPr="006616E4">
        <w:rPr>
          <w:lang w:val="es-ES" w:eastAsia="de-DE"/>
        </w:rPr>
        <w:t xml:space="preserve"> A</w:t>
      </w:r>
      <w:r w:rsidR="00DC5D8A">
        <w:rPr>
          <w:lang w:val="es-ES" w:eastAsia="de-DE"/>
        </w:rPr>
        <w:t>IJp</w:t>
      </w:r>
      <w:r w:rsidR="00DC5D8A" w:rsidRPr="00DC5D8A">
        <w:rPr>
          <w:lang w:val="es-ES" w:eastAsia="de-DE"/>
        </w:rPr>
        <w:t xml:space="preserve"> (n=240) </w:t>
      </w:r>
      <w:r w:rsidR="00DC5D8A">
        <w:rPr>
          <w:lang w:val="es-ES" w:eastAsia="de-DE"/>
        </w:rPr>
        <w:t>y</w:t>
      </w:r>
      <w:r w:rsidR="00DC5D8A" w:rsidRPr="00DC5D8A">
        <w:rPr>
          <w:lang w:val="es-ES" w:eastAsia="de-DE"/>
        </w:rPr>
        <w:t xml:space="preserve"> </w:t>
      </w:r>
      <w:r w:rsidR="00DC5D8A" w:rsidRPr="006616E4">
        <w:rPr>
          <w:lang w:val="es-ES" w:eastAsia="de-DE"/>
        </w:rPr>
        <w:t>A</w:t>
      </w:r>
      <w:r w:rsidR="00DC5D8A" w:rsidRPr="0033187C">
        <w:rPr>
          <w:lang w:val="es-ES" w:eastAsia="de-DE"/>
        </w:rPr>
        <w:t>IJs</w:t>
      </w:r>
      <w:r w:rsidR="00DC5D8A" w:rsidRPr="006616E4">
        <w:rPr>
          <w:lang w:val="es-ES" w:eastAsia="de-DE"/>
        </w:rPr>
        <w:t xml:space="preserve"> (n=112)</w:t>
      </w:r>
      <w:r w:rsidR="00DC5D8A">
        <w:rPr>
          <w:lang w:val="es-ES" w:eastAsia="de-DE"/>
        </w:rPr>
        <w:t>.</w:t>
      </w:r>
      <w:r w:rsidR="00BD05C5" w:rsidRPr="002009C1">
        <w:rPr>
          <w:szCs w:val="22"/>
          <w:lang w:val="es-ES"/>
        </w:rPr>
        <w:t xml:space="preserve"> El perfil de seguridad de </w:t>
      </w:r>
      <w:r w:rsidR="00EA69BF">
        <w:rPr>
          <w:lang w:val="es-ES" w:eastAsia="de-DE"/>
        </w:rPr>
        <w:t>tocilizumab</w:t>
      </w:r>
      <w:r w:rsidR="00EA69BF" w:rsidRPr="002009C1">
        <w:rPr>
          <w:lang w:val="es-ES" w:eastAsia="de-DE"/>
        </w:rPr>
        <w:t xml:space="preserve"> </w:t>
      </w:r>
      <w:r w:rsidR="006E3799" w:rsidRPr="002009C1">
        <w:rPr>
          <w:lang w:val="es-ES" w:eastAsia="de-DE"/>
        </w:rPr>
        <w:t>permanece similar e indiferenciado</w:t>
      </w:r>
      <w:r w:rsidR="00BD05C5" w:rsidRPr="006868F5">
        <w:rPr>
          <w:lang w:val="es-ES" w:eastAsia="de-DE"/>
        </w:rPr>
        <w:t xml:space="preserve"> en estas indicaciones.</w:t>
      </w:r>
    </w:p>
    <w:p w14:paraId="674A7DCE" w14:textId="77777777" w:rsidR="00BD05C5" w:rsidRPr="006868F5" w:rsidRDefault="00BD05C5" w:rsidP="006868F5">
      <w:pPr>
        <w:keepNext/>
        <w:keepLines/>
        <w:outlineLvl w:val="0"/>
        <w:rPr>
          <w:bCs/>
          <w:u w:val="single"/>
          <w:lang w:val="es-ES"/>
        </w:rPr>
      </w:pPr>
    </w:p>
    <w:p w14:paraId="2FC92B58" w14:textId="6DFFAF49" w:rsidR="00834462" w:rsidRPr="008A106B" w:rsidRDefault="00834462" w:rsidP="00834462">
      <w:pPr>
        <w:keepNext/>
        <w:keepLines/>
        <w:rPr>
          <w:lang w:val="es-ES"/>
        </w:rPr>
      </w:pPr>
      <w:r w:rsidRPr="008A106B">
        <w:rPr>
          <w:lang w:val="es-ES_tradnl"/>
        </w:rPr>
        <w:t xml:space="preserve">Las </w:t>
      </w:r>
      <w:r w:rsidR="00EA69BF">
        <w:rPr>
          <w:lang w:val="es-ES_tradnl"/>
        </w:rPr>
        <w:t>r</w:t>
      </w:r>
      <w:r>
        <w:rPr>
          <w:lang w:val="es-ES_tradnl"/>
        </w:rPr>
        <w:t xml:space="preserve">eacciones </w:t>
      </w:r>
      <w:proofErr w:type="gramStart"/>
      <w:r w:rsidR="00EA69BF">
        <w:rPr>
          <w:lang w:val="es-ES_tradnl"/>
        </w:rPr>
        <w:t>a</w:t>
      </w:r>
      <w:r>
        <w:rPr>
          <w:lang w:val="es-ES_tradnl"/>
        </w:rPr>
        <w:t>dversas</w:t>
      </w:r>
      <w:r w:rsidR="00EA69BF">
        <w:rPr>
          <w:lang w:val="es-ES_tradnl"/>
        </w:rPr>
        <w:t xml:space="preserve"> </w:t>
      </w:r>
      <w:r w:rsidRPr="008A106B">
        <w:rPr>
          <w:lang w:val="es-ES_tradnl"/>
        </w:rPr>
        <w:t xml:space="preserve"> notificadas</w:t>
      </w:r>
      <w:proofErr w:type="gramEnd"/>
      <w:r w:rsidRPr="008A106B">
        <w:rPr>
          <w:lang w:val="es-ES_tradnl"/>
        </w:rPr>
        <w:t xml:space="preserve"> con más frecuencia fueron</w:t>
      </w:r>
      <w:r>
        <w:rPr>
          <w:lang w:val="es-ES_tradnl"/>
        </w:rPr>
        <w:t>,</w:t>
      </w:r>
      <w:r w:rsidRPr="008A106B">
        <w:rPr>
          <w:lang w:val="es-ES_tradnl"/>
        </w:rPr>
        <w:t xml:space="preserve"> infe</w:t>
      </w:r>
      <w:r>
        <w:rPr>
          <w:lang w:val="es-ES_tradnl"/>
        </w:rPr>
        <w:t xml:space="preserve">cciones en el tracto </w:t>
      </w:r>
      <w:r w:rsidRPr="008A106B">
        <w:rPr>
          <w:lang w:val="es-ES_tradnl"/>
        </w:rPr>
        <w:t>respiratorio superior, nasofaringitis, cefalea, hipertensión y elevación de la ALT.</w:t>
      </w:r>
    </w:p>
    <w:p w14:paraId="53908AD6" w14:textId="77777777" w:rsidR="00834462" w:rsidRPr="00D972CC" w:rsidRDefault="00834462" w:rsidP="00834462">
      <w:pPr>
        <w:ind w:left="567" w:hanging="567"/>
        <w:outlineLvl w:val="0"/>
        <w:rPr>
          <w:bCs/>
          <w:lang w:val="es-ES"/>
        </w:rPr>
      </w:pPr>
    </w:p>
    <w:p w14:paraId="6B2B1299" w14:textId="77777777" w:rsidR="00834462" w:rsidRDefault="00834462" w:rsidP="00834462">
      <w:pPr>
        <w:ind w:left="567" w:hanging="567"/>
        <w:outlineLvl w:val="0"/>
        <w:rPr>
          <w:bCs/>
          <w:lang w:val="es-ES_tradnl"/>
        </w:rPr>
      </w:pPr>
      <w:r>
        <w:rPr>
          <w:bCs/>
          <w:lang w:val="es-ES_tradnl"/>
        </w:rPr>
        <w:t xml:space="preserve">Las reacciones adversas más graves fueron infecciones graves, complicaciones de la diverticulitis, y </w:t>
      </w:r>
    </w:p>
    <w:p w14:paraId="6E757622" w14:textId="77777777" w:rsidR="00834462" w:rsidRPr="00D706BA" w:rsidRDefault="00834462" w:rsidP="00834462">
      <w:pPr>
        <w:ind w:left="567" w:hanging="567"/>
        <w:outlineLvl w:val="0"/>
        <w:rPr>
          <w:bCs/>
          <w:lang w:val="es-ES"/>
        </w:rPr>
      </w:pPr>
      <w:r>
        <w:rPr>
          <w:bCs/>
          <w:lang w:val="es-ES_tradnl"/>
        </w:rPr>
        <w:t>reacciones de hipersensibilidad</w:t>
      </w:r>
      <w:r w:rsidR="001659FB">
        <w:rPr>
          <w:bCs/>
          <w:lang w:val="es-ES_tradnl"/>
        </w:rPr>
        <w:t>.</w:t>
      </w:r>
    </w:p>
    <w:p w14:paraId="2B41EE9D" w14:textId="77777777" w:rsidR="00834462" w:rsidRPr="008A106B" w:rsidRDefault="00834462" w:rsidP="00834462">
      <w:pPr>
        <w:ind w:left="567" w:hanging="567"/>
        <w:outlineLvl w:val="0"/>
        <w:rPr>
          <w:lang w:val="es-ES"/>
        </w:rPr>
      </w:pPr>
    </w:p>
    <w:p w14:paraId="1B6BC50B" w14:textId="77777777" w:rsidR="00853CE6" w:rsidRDefault="00D709C1" w:rsidP="00834462">
      <w:pPr>
        <w:rPr>
          <w:u w:val="single"/>
          <w:lang w:val="es-ES"/>
        </w:rPr>
      </w:pPr>
      <w:r w:rsidRPr="00DE55C8">
        <w:rPr>
          <w:u w:val="single"/>
          <w:lang w:val="es-ES"/>
        </w:rPr>
        <w:t xml:space="preserve">Tabla </w:t>
      </w:r>
      <w:r w:rsidR="00D05464" w:rsidRPr="00DE55C8">
        <w:rPr>
          <w:u w:val="single"/>
          <w:lang w:val="es-ES"/>
        </w:rPr>
        <w:t xml:space="preserve">con la lista de </w:t>
      </w:r>
      <w:r w:rsidR="00853CE6" w:rsidRPr="00DE55C8">
        <w:rPr>
          <w:u w:val="single"/>
          <w:lang w:val="es-ES"/>
        </w:rPr>
        <w:t>reacciones adversas</w:t>
      </w:r>
    </w:p>
    <w:p w14:paraId="1072FFD4" w14:textId="77777777" w:rsidR="00EA69BF" w:rsidRPr="002F45CE" w:rsidRDefault="00EA69BF" w:rsidP="00834462">
      <w:pPr>
        <w:rPr>
          <w:u w:val="single"/>
          <w:lang w:val="es-ES"/>
        </w:rPr>
      </w:pPr>
    </w:p>
    <w:p w14:paraId="26CD30C6" w14:textId="086E7319" w:rsidR="00834462" w:rsidRPr="00DE55C8" w:rsidRDefault="00834462" w:rsidP="00834462">
      <w:pPr>
        <w:rPr>
          <w:lang w:val="es-ES"/>
        </w:rPr>
      </w:pPr>
      <w:r w:rsidRPr="008A106B">
        <w:rPr>
          <w:lang w:val="es-ES_tradnl"/>
        </w:rPr>
        <w:t>L</w:t>
      </w:r>
      <w:r w:rsidR="00B26F8A">
        <w:rPr>
          <w:lang w:val="es-ES_tradnl"/>
        </w:rPr>
        <w:t>a</w:t>
      </w:r>
      <w:r w:rsidRPr="008A106B">
        <w:rPr>
          <w:lang w:val="es-ES_tradnl"/>
        </w:rPr>
        <w:t xml:space="preserve">s </w:t>
      </w:r>
      <w:r w:rsidR="00EA69BF">
        <w:rPr>
          <w:lang w:val="es-ES_tradnl"/>
        </w:rPr>
        <w:t xml:space="preserve">reacciones adversas </w:t>
      </w:r>
      <w:r w:rsidR="00180DB3" w:rsidRPr="00DE55C8">
        <w:rPr>
          <w:lang w:val="es-ES_tradnl"/>
        </w:rPr>
        <w:t xml:space="preserve">procedentes </w:t>
      </w:r>
      <w:r w:rsidR="00D53A27" w:rsidRPr="00DE55C8">
        <w:rPr>
          <w:lang w:val="es-ES_tradnl"/>
        </w:rPr>
        <w:t>de e</w:t>
      </w:r>
      <w:r w:rsidR="00180DB3" w:rsidRPr="00DE55C8">
        <w:rPr>
          <w:lang w:val="es-ES_tradnl"/>
        </w:rPr>
        <w:t>nsayos</w:t>
      </w:r>
      <w:r w:rsidR="00D53A27" w:rsidRPr="00DE55C8">
        <w:rPr>
          <w:lang w:val="es-ES_tradnl"/>
        </w:rPr>
        <w:t xml:space="preserve"> clínicos y/o experiencia poscomercialización con </w:t>
      </w:r>
      <w:r w:rsidR="00EA69BF" w:rsidRPr="00DE55C8">
        <w:rPr>
          <w:lang w:val="es-ES_tradnl"/>
        </w:rPr>
        <w:t xml:space="preserve">tocilizumab </w:t>
      </w:r>
      <w:r w:rsidR="00B26F8A" w:rsidRPr="00DE55C8">
        <w:rPr>
          <w:lang w:val="es-ES_tradnl"/>
        </w:rPr>
        <w:t>de acuerdo</w:t>
      </w:r>
      <w:r w:rsidR="004813E3" w:rsidRPr="00DE55C8">
        <w:rPr>
          <w:lang w:val="es-ES_tradnl"/>
        </w:rPr>
        <w:t xml:space="preserve"> a los casos espontáneos, literatura y casos de </w:t>
      </w:r>
      <w:del w:id="849" w:author="AUTHOR">
        <w:r w:rsidR="004813E3" w:rsidRPr="00DE55C8" w:rsidDel="00FF4632">
          <w:rPr>
            <w:lang w:val="es-ES_tradnl"/>
          </w:rPr>
          <w:delText xml:space="preserve">estudios </w:delText>
        </w:r>
      </w:del>
      <w:ins w:id="850" w:author="AUTHOR">
        <w:r w:rsidR="00FF4632">
          <w:rPr>
            <w:lang w:val="es-ES_tradnl"/>
          </w:rPr>
          <w:t>ensayos</w:t>
        </w:r>
        <w:r w:rsidR="00FF4632" w:rsidRPr="00DE55C8">
          <w:rPr>
            <w:lang w:val="es-ES_tradnl"/>
          </w:rPr>
          <w:t xml:space="preserve"> </w:t>
        </w:r>
      </w:ins>
      <w:r w:rsidR="004813E3" w:rsidRPr="00DE55C8">
        <w:rPr>
          <w:lang w:val="es-ES_tradnl"/>
        </w:rPr>
        <w:t xml:space="preserve">no </w:t>
      </w:r>
      <w:r w:rsidR="004813E3" w:rsidRPr="00DE55C8">
        <w:rPr>
          <w:lang w:val="es-ES_tradnl"/>
        </w:rPr>
        <w:lastRenderedPageBreak/>
        <w:t>intervencionales reportados</w:t>
      </w:r>
      <w:r w:rsidR="00D53A27" w:rsidRPr="00DE55C8">
        <w:rPr>
          <w:lang w:val="es-ES_tradnl"/>
        </w:rPr>
        <w:t>, están list</w:t>
      </w:r>
      <w:r w:rsidRPr="00DE55C8">
        <w:rPr>
          <w:lang w:val="es-ES_tradnl"/>
        </w:rPr>
        <w:t xml:space="preserve">ados en la Tabla 1 </w:t>
      </w:r>
      <w:r w:rsidR="00D53A27" w:rsidRPr="00DE55C8">
        <w:rPr>
          <w:lang w:val="es-ES_tradnl"/>
        </w:rPr>
        <w:t xml:space="preserve">y </w:t>
      </w:r>
      <w:r w:rsidRPr="00DE55C8">
        <w:rPr>
          <w:lang w:val="es-ES_tradnl"/>
        </w:rPr>
        <w:t xml:space="preserve">se presentan según la clasificación </w:t>
      </w:r>
      <w:r w:rsidR="00AB237E" w:rsidRPr="004A3215">
        <w:rPr>
          <w:lang w:val="es-ES_tradnl"/>
        </w:rPr>
        <w:t xml:space="preserve">por órgano y sistemas de </w:t>
      </w:r>
      <w:r w:rsidR="00FF454C" w:rsidRPr="004A3215">
        <w:rPr>
          <w:lang w:val="es-ES_tradnl"/>
        </w:rPr>
        <w:t>Med</w:t>
      </w:r>
      <w:r w:rsidR="00D53A27" w:rsidRPr="004A3215">
        <w:rPr>
          <w:lang w:val="es-ES_tradnl"/>
        </w:rPr>
        <w:t>DRA</w:t>
      </w:r>
      <w:r w:rsidR="00AB237E" w:rsidRPr="004A3215">
        <w:rPr>
          <w:lang w:val="es-ES_tradnl"/>
        </w:rPr>
        <w:t>(SOC, por sus siglas en inglés)</w:t>
      </w:r>
      <w:r w:rsidR="00D53A27" w:rsidRPr="004A3215">
        <w:rPr>
          <w:lang w:val="es-ES_tradnl"/>
        </w:rPr>
        <w:t>.</w:t>
      </w:r>
      <w:r w:rsidRPr="004A3215">
        <w:rPr>
          <w:lang w:val="es-ES_tradnl"/>
        </w:rPr>
        <w:t xml:space="preserve"> </w:t>
      </w:r>
      <w:r w:rsidRPr="004A3215">
        <w:rPr>
          <w:lang w:val="es-ES"/>
        </w:rPr>
        <w:t>La</w:t>
      </w:r>
      <w:r w:rsidR="00654170" w:rsidRPr="00DE55C8">
        <w:rPr>
          <w:lang w:val="es-ES"/>
        </w:rPr>
        <w:t xml:space="preserve"> correspondiente categoría de</w:t>
      </w:r>
      <w:r w:rsidRPr="00DE55C8">
        <w:rPr>
          <w:lang w:val="es-ES"/>
        </w:rPr>
        <w:t xml:space="preserve"> frecuencia </w:t>
      </w:r>
      <w:del w:id="851" w:author="AUTHOR">
        <w:r w:rsidR="00654170" w:rsidRPr="00DE55C8" w:rsidDel="000C7D20">
          <w:rPr>
            <w:lang w:val="es-ES"/>
          </w:rPr>
          <w:delText>para cada RA</w:delText>
        </w:r>
        <w:r w:rsidR="00B26F8A" w:rsidRPr="00DE55C8" w:rsidDel="000C7D20">
          <w:rPr>
            <w:lang w:val="es-ES"/>
          </w:rPr>
          <w:delText>M</w:delText>
        </w:r>
        <w:r w:rsidR="00654170" w:rsidRPr="00DE55C8" w:rsidDel="000C7D20">
          <w:rPr>
            <w:lang w:val="es-ES"/>
          </w:rPr>
          <w:delText xml:space="preserve"> </w:delText>
        </w:r>
      </w:del>
      <w:r w:rsidR="00654170" w:rsidRPr="00DE55C8">
        <w:rPr>
          <w:lang w:val="es-ES"/>
        </w:rPr>
        <w:t xml:space="preserve">está </w:t>
      </w:r>
      <w:r w:rsidR="00180DB3" w:rsidRPr="00DE55C8">
        <w:rPr>
          <w:lang w:val="es-ES"/>
        </w:rPr>
        <w:t xml:space="preserve">basada </w:t>
      </w:r>
      <w:r w:rsidRPr="00DE55C8">
        <w:rPr>
          <w:lang w:val="es-ES"/>
        </w:rPr>
        <w:t xml:space="preserve">de la siguiente manera: </w:t>
      </w:r>
      <w:r w:rsidRPr="00DE55C8">
        <w:rPr>
          <w:lang w:val="es-ES_tradnl"/>
        </w:rPr>
        <w:t>muy frecuentes (≥</w:t>
      </w:r>
      <w:r w:rsidR="003532C2" w:rsidRPr="00F30AB8">
        <w:rPr>
          <w:szCs w:val="22"/>
          <w:lang w:val="es-ES"/>
        </w:rPr>
        <w:t> </w:t>
      </w:r>
      <w:r w:rsidRPr="00DE55C8">
        <w:rPr>
          <w:lang w:val="es-ES_tradnl"/>
        </w:rPr>
        <w:t>1/10); frecuentes (≥</w:t>
      </w:r>
      <w:r w:rsidR="003532C2" w:rsidRPr="00F30AB8">
        <w:rPr>
          <w:szCs w:val="22"/>
          <w:lang w:val="es-ES"/>
        </w:rPr>
        <w:t> </w:t>
      </w:r>
      <w:r w:rsidRPr="00DE55C8">
        <w:rPr>
          <w:lang w:val="es-ES_tradnl"/>
        </w:rPr>
        <w:t>1/100 a &lt;</w:t>
      </w:r>
      <w:r w:rsidR="003532C2" w:rsidRPr="00F30AB8">
        <w:rPr>
          <w:szCs w:val="22"/>
          <w:lang w:val="es-ES"/>
        </w:rPr>
        <w:t> </w:t>
      </w:r>
      <w:r w:rsidRPr="00DE55C8">
        <w:rPr>
          <w:lang w:val="es-ES_tradnl"/>
        </w:rPr>
        <w:t>1/10)</w:t>
      </w:r>
      <w:r w:rsidR="00A01DF1" w:rsidRPr="00DE55C8">
        <w:rPr>
          <w:lang w:val="es-ES_tradnl"/>
        </w:rPr>
        <w:t>,</w:t>
      </w:r>
      <w:r w:rsidRPr="00DE55C8">
        <w:rPr>
          <w:lang w:val="es-ES_tradnl"/>
        </w:rPr>
        <w:t xml:space="preserve">  poco frecuentes (≥</w:t>
      </w:r>
      <w:r w:rsidR="003532C2" w:rsidRPr="00F30AB8">
        <w:rPr>
          <w:noProof/>
          <w:szCs w:val="22"/>
          <w:lang w:val="es-ES"/>
        </w:rPr>
        <w:t> </w:t>
      </w:r>
      <w:r w:rsidRPr="00DE55C8">
        <w:rPr>
          <w:lang w:val="es-ES_tradnl"/>
        </w:rPr>
        <w:t>1/1.000 a &lt;</w:t>
      </w:r>
      <w:r w:rsidR="003532C2" w:rsidRPr="00F30AB8">
        <w:rPr>
          <w:noProof/>
          <w:szCs w:val="22"/>
          <w:lang w:val="es-ES"/>
        </w:rPr>
        <w:t> </w:t>
      </w:r>
      <w:r w:rsidRPr="00DE55C8">
        <w:rPr>
          <w:lang w:val="es-ES_tradnl"/>
        </w:rPr>
        <w:t>1/100), raras (</w:t>
      </w:r>
      <w:r w:rsidR="003532C2" w:rsidRPr="00F30AB8">
        <w:rPr>
          <w:noProof/>
          <w:szCs w:val="22"/>
          <w:lang w:val="es-ES"/>
        </w:rPr>
        <w:t>≥ </w:t>
      </w:r>
      <w:r w:rsidRPr="00DE55C8">
        <w:rPr>
          <w:lang w:val="es-ES_tradnl"/>
        </w:rPr>
        <w:t>1/10.000 a &lt;</w:t>
      </w:r>
      <w:r w:rsidR="003532C2" w:rsidRPr="00F30AB8">
        <w:rPr>
          <w:noProof/>
          <w:szCs w:val="22"/>
          <w:lang w:val="es-ES"/>
        </w:rPr>
        <w:t> </w:t>
      </w:r>
      <w:r w:rsidRPr="00DE55C8">
        <w:rPr>
          <w:lang w:val="es-ES_tradnl"/>
        </w:rPr>
        <w:t>1/1.000) o muy raras (&lt;</w:t>
      </w:r>
      <w:r w:rsidR="003532C2" w:rsidRPr="00F30AB8">
        <w:rPr>
          <w:noProof/>
          <w:szCs w:val="22"/>
          <w:lang w:val="es-ES"/>
        </w:rPr>
        <w:t> </w:t>
      </w:r>
      <w:r w:rsidRPr="00DE55C8">
        <w:rPr>
          <w:lang w:val="es-ES_tradnl"/>
        </w:rPr>
        <w:t>1/10.000)</w:t>
      </w:r>
      <w:r w:rsidR="00EA69BF" w:rsidRPr="00DE55C8">
        <w:rPr>
          <w:lang w:val="es-ES_tradnl"/>
        </w:rPr>
        <w:t xml:space="preserve"> y frecuencia no conocida (no puede estimarse a partir de los datos disponibles)</w:t>
      </w:r>
      <w:r w:rsidRPr="00DE55C8">
        <w:rPr>
          <w:lang w:val="es-ES_tradnl"/>
        </w:rPr>
        <w:t>.</w:t>
      </w:r>
      <w:r w:rsidRPr="00DE55C8">
        <w:rPr>
          <w:lang w:val="es-ES"/>
        </w:rPr>
        <w:t xml:space="preserve"> Las reacciones adversas se enumeran en orden decreciente de gravedad dentro de cada intervalo de frecuencia</w:t>
      </w:r>
      <w:r w:rsidRPr="00DE55C8">
        <w:rPr>
          <w:lang w:val="es-ES_tradnl"/>
        </w:rPr>
        <w:t>.</w:t>
      </w:r>
    </w:p>
    <w:p w14:paraId="28D4DDB8" w14:textId="77777777" w:rsidR="00834462" w:rsidRPr="00DE55C8" w:rsidRDefault="00834462" w:rsidP="00834462">
      <w:pPr>
        <w:rPr>
          <w:lang w:val="es-ES"/>
        </w:rPr>
      </w:pPr>
    </w:p>
    <w:p w14:paraId="094AA1C1" w14:textId="21017332" w:rsidR="00834462" w:rsidRDefault="00834462" w:rsidP="00484513">
      <w:pPr>
        <w:keepNext/>
        <w:keepLines/>
        <w:rPr>
          <w:bCs/>
          <w:i/>
          <w:lang w:val="es-ES_tradnl"/>
        </w:rPr>
      </w:pPr>
      <w:r w:rsidRPr="00DE55C8">
        <w:rPr>
          <w:bCs/>
          <w:i/>
          <w:lang w:val="es-ES_tradnl"/>
        </w:rPr>
        <w:t>T</w:t>
      </w:r>
      <w:r w:rsidR="00D05464" w:rsidRPr="00DE55C8">
        <w:rPr>
          <w:bCs/>
          <w:i/>
          <w:lang w:val="es-ES_tradnl"/>
        </w:rPr>
        <w:t>abla 1. Lista</w:t>
      </w:r>
      <w:r w:rsidRPr="00DE55C8">
        <w:rPr>
          <w:bCs/>
          <w:i/>
          <w:lang w:val="es-ES_tradnl"/>
        </w:rPr>
        <w:t xml:space="preserve"> de las </w:t>
      </w:r>
      <w:r w:rsidR="00EA69BF" w:rsidRPr="00DE55C8">
        <w:rPr>
          <w:bCs/>
          <w:i/>
          <w:lang w:val="es-ES_tradnl"/>
        </w:rPr>
        <w:t>reacciones adversas</w:t>
      </w:r>
      <w:r w:rsidRPr="00DE55C8">
        <w:rPr>
          <w:bCs/>
          <w:i/>
          <w:lang w:val="es-ES_tradnl"/>
        </w:rPr>
        <w:t xml:space="preserve"> que se producen</w:t>
      </w:r>
      <w:r w:rsidRPr="008A106B">
        <w:rPr>
          <w:bCs/>
          <w:i/>
          <w:lang w:val="es-ES_tradnl"/>
        </w:rPr>
        <w:t xml:space="preserve"> en pacientes trata</w:t>
      </w:r>
      <w:r w:rsidR="004D4390">
        <w:rPr>
          <w:bCs/>
          <w:i/>
          <w:lang w:val="es-ES_tradnl"/>
        </w:rPr>
        <w:t>dos</w:t>
      </w:r>
      <w:r w:rsidRPr="008A106B">
        <w:rPr>
          <w:bCs/>
          <w:i/>
          <w:lang w:val="es-ES_tradnl"/>
        </w:rPr>
        <w:t xml:space="preserve"> con </w:t>
      </w:r>
      <w:r w:rsidR="00EA69BF">
        <w:rPr>
          <w:bCs/>
          <w:i/>
          <w:lang w:val="es-ES_tradnl"/>
        </w:rPr>
        <w:t>tocilizumab</w:t>
      </w:r>
      <w:r w:rsidR="005169C6">
        <w:rPr>
          <w:bCs/>
          <w:i/>
          <w:lang w:val="es-ES_tradnl"/>
        </w:rPr>
        <w:t>.</w:t>
      </w:r>
    </w:p>
    <w:p w14:paraId="0F2C2EA6" w14:textId="77777777" w:rsidR="006C555D" w:rsidRDefault="006C555D" w:rsidP="00484513">
      <w:pPr>
        <w:keepNext/>
        <w:keepLines/>
        <w:rPr>
          <w:bCs/>
          <w:i/>
          <w:lang w:val="es-ES_tradnl"/>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1848"/>
        <w:gridCol w:w="1985"/>
        <w:gridCol w:w="1701"/>
        <w:gridCol w:w="1701"/>
        <w:gridCol w:w="1275"/>
      </w:tblGrid>
      <w:tr w:rsidR="00EA69BF" w:rsidRPr="00541248" w14:paraId="57AC436A" w14:textId="77777777" w:rsidTr="0017305E">
        <w:trPr>
          <w:cantSplit/>
          <w:tblHeader/>
        </w:trPr>
        <w:tc>
          <w:tcPr>
            <w:tcW w:w="1804" w:type="dxa"/>
            <w:vMerge w:val="restart"/>
          </w:tcPr>
          <w:p w14:paraId="2D065F5C" w14:textId="3D2136D7" w:rsidR="00EA69BF" w:rsidRPr="005A5612" w:rsidRDefault="00AB64E1" w:rsidP="00484513">
            <w:pPr>
              <w:keepNext/>
              <w:keepLines/>
              <w:jc w:val="center"/>
              <w:rPr>
                <w:b/>
                <w:bCs/>
                <w:lang w:val="es-ES_tradnl"/>
              </w:rPr>
            </w:pPr>
            <w:r>
              <w:rPr>
                <w:b/>
                <w:bCs/>
                <w:lang w:val="es-ES_tradnl"/>
              </w:rPr>
              <w:t>C</w:t>
            </w:r>
            <w:r w:rsidR="00EA69BF" w:rsidRPr="005A5612">
              <w:rPr>
                <w:b/>
                <w:bCs/>
                <w:lang w:val="es-ES_tradnl"/>
              </w:rPr>
              <w:t xml:space="preserve">lasificación </w:t>
            </w:r>
            <w:r>
              <w:rPr>
                <w:b/>
                <w:bCs/>
                <w:lang w:val="es-ES_tradnl"/>
              </w:rPr>
              <w:t>por</w:t>
            </w:r>
            <w:r w:rsidRPr="005A5612">
              <w:rPr>
                <w:b/>
                <w:bCs/>
                <w:lang w:val="es-ES_tradnl"/>
              </w:rPr>
              <w:t xml:space="preserve"> </w:t>
            </w:r>
            <w:r w:rsidR="00EA69BF" w:rsidRPr="005A5612">
              <w:rPr>
                <w:b/>
                <w:bCs/>
                <w:lang w:val="es-ES_tradnl"/>
              </w:rPr>
              <w:t xml:space="preserve">órganos </w:t>
            </w:r>
            <w:r>
              <w:rPr>
                <w:b/>
                <w:bCs/>
                <w:lang w:val="es-ES_tradnl"/>
              </w:rPr>
              <w:t xml:space="preserve">y sistemas de </w:t>
            </w:r>
            <w:r w:rsidR="00EA69BF">
              <w:rPr>
                <w:b/>
                <w:bCs/>
                <w:lang w:val="es-ES"/>
              </w:rPr>
              <w:t>MedDRA</w:t>
            </w:r>
            <w:r w:rsidR="00875945">
              <w:rPr>
                <w:b/>
                <w:bCs/>
                <w:lang w:val="es-ES"/>
              </w:rPr>
              <w:t xml:space="preserve"> (SOC)</w:t>
            </w:r>
          </w:p>
        </w:tc>
        <w:tc>
          <w:tcPr>
            <w:tcW w:w="8510" w:type="dxa"/>
            <w:gridSpan w:val="5"/>
          </w:tcPr>
          <w:p w14:paraId="68852A15" w14:textId="77777777" w:rsidR="00EA69BF" w:rsidRDefault="00EA69BF" w:rsidP="00484513">
            <w:pPr>
              <w:keepNext/>
              <w:keepLines/>
              <w:jc w:val="center"/>
              <w:rPr>
                <w:b/>
                <w:bCs/>
                <w:lang w:val="es-ES_tradnl"/>
              </w:rPr>
            </w:pPr>
            <w:r>
              <w:rPr>
                <w:b/>
                <w:bCs/>
                <w:lang w:val="es-ES_tradnl"/>
              </w:rPr>
              <w:t>Categoria de frecuencia con términos preferidos</w:t>
            </w:r>
          </w:p>
        </w:tc>
      </w:tr>
      <w:tr w:rsidR="00EA69BF" w:rsidRPr="005A5612" w14:paraId="76E61736" w14:textId="77777777" w:rsidTr="00F30AB8">
        <w:trPr>
          <w:cantSplit/>
          <w:trHeight w:val="687"/>
          <w:tblHeader/>
        </w:trPr>
        <w:tc>
          <w:tcPr>
            <w:tcW w:w="1804" w:type="dxa"/>
            <w:vMerge/>
          </w:tcPr>
          <w:p w14:paraId="06A326E8" w14:textId="77777777" w:rsidR="00EA69BF" w:rsidRPr="001A2675" w:rsidRDefault="00EA69BF" w:rsidP="00484513">
            <w:pPr>
              <w:keepNext/>
              <w:keepLines/>
              <w:jc w:val="center"/>
              <w:rPr>
                <w:b/>
                <w:bCs/>
                <w:lang w:val="es-ES"/>
              </w:rPr>
            </w:pPr>
          </w:p>
        </w:tc>
        <w:tc>
          <w:tcPr>
            <w:tcW w:w="1848" w:type="dxa"/>
          </w:tcPr>
          <w:p w14:paraId="3C184D40" w14:textId="77777777" w:rsidR="00EA69BF" w:rsidRPr="005A5612" w:rsidRDefault="00EA69BF" w:rsidP="00484513">
            <w:pPr>
              <w:keepNext/>
              <w:keepLines/>
              <w:jc w:val="center"/>
              <w:rPr>
                <w:b/>
                <w:bCs/>
                <w:lang w:val="en-GB"/>
              </w:rPr>
            </w:pPr>
            <w:r w:rsidRPr="005A5612">
              <w:rPr>
                <w:b/>
                <w:bCs/>
                <w:lang w:val="es-ES_tradnl"/>
              </w:rPr>
              <w:t>Muy frecuentes</w:t>
            </w:r>
          </w:p>
          <w:p w14:paraId="0B586838" w14:textId="77777777" w:rsidR="00EA69BF" w:rsidRPr="005A5612" w:rsidRDefault="00EA69BF" w:rsidP="00484513">
            <w:pPr>
              <w:keepNext/>
              <w:keepLines/>
              <w:jc w:val="center"/>
              <w:rPr>
                <w:b/>
                <w:lang w:val="en-GB"/>
              </w:rPr>
            </w:pPr>
          </w:p>
        </w:tc>
        <w:tc>
          <w:tcPr>
            <w:tcW w:w="1985" w:type="dxa"/>
          </w:tcPr>
          <w:p w14:paraId="59A2E942" w14:textId="77777777" w:rsidR="00EA69BF" w:rsidRPr="005A5612" w:rsidRDefault="00EA69BF" w:rsidP="00484513">
            <w:pPr>
              <w:keepNext/>
              <w:keepLines/>
              <w:jc w:val="center"/>
              <w:rPr>
                <w:b/>
                <w:bCs/>
                <w:lang w:val="en-GB"/>
              </w:rPr>
            </w:pPr>
            <w:r w:rsidRPr="005A5612">
              <w:rPr>
                <w:b/>
                <w:bCs/>
                <w:lang w:val="es-ES_tradnl"/>
              </w:rPr>
              <w:t>Frecuentes</w:t>
            </w:r>
          </w:p>
          <w:p w14:paraId="59DB7CAA" w14:textId="77777777" w:rsidR="00EA69BF" w:rsidRPr="005A5612" w:rsidRDefault="00EA69BF" w:rsidP="00484513">
            <w:pPr>
              <w:keepNext/>
              <w:keepLines/>
              <w:jc w:val="center"/>
            </w:pPr>
          </w:p>
        </w:tc>
        <w:tc>
          <w:tcPr>
            <w:tcW w:w="1701" w:type="dxa"/>
          </w:tcPr>
          <w:p w14:paraId="544A70FB" w14:textId="77777777" w:rsidR="00EA69BF" w:rsidRPr="005A5612" w:rsidRDefault="00EA69BF" w:rsidP="00484513">
            <w:pPr>
              <w:keepNext/>
              <w:keepLines/>
              <w:jc w:val="center"/>
              <w:rPr>
                <w:b/>
                <w:bCs/>
                <w:lang w:val="en-GB"/>
              </w:rPr>
            </w:pPr>
            <w:r w:rsidRPr="005A5612">
              <w:rPr>
                <w:b/>
                <w:bCs/>
                <w:lang w:val="es-ES_tradnl"/>
              </w:rPr>
              <w:t>Poco frecuentes</w:t>
            </w:r>
          </w:p>
          <w:p w14:paraId="46DD2440" w14:textId="77777777" w:rsidR="00EA69BF" w:rsidRPr="005A5612" w:rsidRDefault="00EA69BF" w:rsidP="00484513">
            <w:pPr>
              <w:keepNext/>
              <w:keepLines/>
              <w:jc w:val="center"/>
            </w:pPr>
          </w:p>
        </w:tc>
        <w:tc>
          <w:tcPr>
            <w:tcW w:w="1701" w:type="dxa"/>
          </w:tcPr>
          <w:p w14:paraId="2CC487A3" w14:textId="77777777" w:rsidR="00EA69BF" w:rsidRPr="005A5612" w:rsidRDefault="00EA69BF" w:rsidP="00484513">
            <w:pPr>
              <w:keepNext/>
              <w:keepLines/>
              <w:jc w:val="center"/>
              <w:rPr>
                <w:b/>
                <w:bCs/>
                <w:lang w:val="es-ES_tradnl"/>
              </w:rPr>
            </w:pPr>
            <w:r>
              <w:rPr>
                <w:b/>
                <w:bCs/>
                <w:lang w:val="es-ES_tradnl"/>
              </w:rPr>
              <w:t>Raros</w:t>
            </w:r>
          </w:p>
        </w:tc>
        <w:tc>
          <w:tcPr>
            <w:tcW w:w="1275" w:type="dxa"/>
          </w:tcPr>
          <w:p w14:paraId="0A9450A2" w14:textId="77777777" w:rsidR="00EA69BF" w:rsidRDefault="00EA69BF" w:rsidP="00484513">
            <w:pPr>
              <w:keepNext/>
              <w:keepLines/>
              <w:jc w:val="center"/>
              <w:rPr>
                <w:b/>
                <w:bCs/>
                <w:lang w:val="es-ES_tradnl"/>
              </w:rPr>
            </w:pPr>
            <w:r>
              <w:rPr>
                <w:b/>
                <w:bCs/>
                <w:lang w:val="es-ES_tradnl"/>
              </w:rPr>
              <w:t>Muy raras</w:t>
            </w:r>
          </w:p>
        </w:tc>
      </w:tr>
      <w:tr w:rsidR="00EA69BF" w:rsidRPr="005A5612" w14:paraId="3F40CE75" w14:textId="77777777" w:rsidTr="00F30AB8">
        <w:trPr>
          <w:cantSplit/>
        </w:trPr>
        <w:tc>
          <w:tcPr>
            <w:tcW w:w="1804" w:type="dxa"/>
          </w:tcPr>
          <w:p w14:paraId="741573F1" w14:textId="77777777" w:rsidR="00EA69BF" w:rsidRPr="005A5612" w:rsidRDefault="00EA69BF" w:rsidP="00977CE8">
            <w:pPr>
              <w:keepNext/>
              <w:keepLines/>
            </w:pPr>
            <w:r w:rsidRPr="005A5612">
              <w:rPr>
                <w:lang w:val="es-ES_tradnl"/>
              </w:rPr>
              <w:t>Infecciones e infestaciones</w:t>
            </w:r>
          </w:p>
        </w:tc>
        <w:tc>
          <w:tcPr>
            <w:tcW w:w="1848" w:type="dxa"/>
          </w:tcPr>
          <w:p w14:paraId="760DD22B" w14:textId="77777777" w:rsidR="00EA69BF" w:rsidRPr="005A5612" w:rsidRDefault="00EA69BF" w:rsidP="00977CE8">
            <w:pPr>
              <w:keepNext/>
              <w:keepLines/>
              <w:rPr>
                <w:lang w:val="es-ES"/>
              </w:rPr>
            </w:pPr>
            <w:r w:rsidRPr="005A5612">
              <w:rPr>
                <w:lang w:val="es-ES_tradnl"/>
              </w:rPr>
              <w:t>Infección de las vías respiratorias superiores</w:t>
            </w:r>
          </w:p>
        </w:tc>
        <w:tc>
          <w:tcPr>
            <w:tcW w:w="1985" w:type="dxa"/>
          </w:tcPr>
          <w:p w14:paraId="0B44B1F0" w14:textId="77777777" w:rsidR="00EA69BF" w:rsidRPr="005A5612" w:rsidRDefault="00EA69BF" w:rsidP="00977CE8">
            <w:pPr>
              <w:keepNext/>
              <w:keepLines/>
            </w:pPr>
            <w:r w:rsidRPr="005A5612">
              <w:rPr>
                <w:lang w:val="es-ES_tradnl"/>
              </w:rPr>
              <w:t>Celulitis, Neumonía, Herpes simple oral, Herpes zoster</w:t>
            </w:r>
          </w:p>
        </w:tc>
        <w:tc>
          <w:tcPr>
            <w:tcW w:w="1701" w:type="dxa"/>
          </w:tcPr>
          <w:p w14:paraId="656AF078" w14:textId="77777777" w:rsidR="00EA69BF" w:rsidRPr="005A5612" w:rsidRDefault="00EA69BF" w:rsidP="00977CE8">
            <w:pPr>
              <w:keepNext/>
              <w:keepLines/>
            </w:pPr>
            <w:r w:rsidRPr="005A5612">
              <w:rPr>
                <w:lang w:val="es-ES_tradnl"/>
              </w:rPr>
              <w:t>Diverticulitis</w:t>
            </w:r>
          </w:p>
        </w:tc>
        <w:tc>
          <w:tcPr>
            <w:tcW w:w="1701" w:type="dxa"/>
          </w:tcPr>
          <w:p w14:paraId="529812D8" w14:textId="77777777" w:rsidR="00EA69BF" w:rsidRPr="005A5612" w:rsidRDefault="00EA69BF" w:rsidP="00977CE8">
            <w:pPr>
              <w:keepNext/>
              <w:keepLines/>
              <w:rPr>
                <w:lang w:val="es-ES_tradnl"/>
              </w:rPr>
            </w:pPr>
          </w:p>
        </w:tc>
        <w:tc>
          <w:tcPr>
            <w:tcW w:w="1275" w:type="dxa"/>
          </w:tcPr>
          <w:p w14:paraId="2F17CDD9" w14:textId="77777777" w:rsidR="00EA69BF" w:rsidRPr="005A5612" w:rsidRDefault="00EA69BF" w:rsidP="00977CE8">
            <w:pPr>
              <w:keepNext/>
              <w:keepLines/>
              <w:rPr>
                <w:lang w:val="es-ES_tradnl"/>
              </w:rPr>
            </w:pPr>
          </w:p>
        </w:tc>
      </w:tr>
      <w:tr w:rsidR="00EA69BF" w:rsidRPr="005A5612" w14:paraId="5E47DCF9" w14:textId="77777777" w:rsidTr="00F30AB8">
        <w:trPr>
          <w:cantSplit/>
        </w:trPr>
        <w:tc>
          <w:tcPr>
            <w:tcW w:w="1804" w:type="dxa"/>
          </w:tcPr>
          <w:p w14:paraId="343D2310" w14:textId="77777777" w:rsidR="00EA69BF" w:rsidRPr="005A5612" w:rsidRDefault="00EA69BF" w:rsidP="00977CE8">
            <w:pPr>
              <w:keepNext/>
              <w:keepLines/>
              <w:rPr>
                <w:lang w:val="es-ES"/>
              </w:rPr>
            </w:pPr>
            <w:r w:rsidRPr="005A5612">
              <w:rPr>
                <w:lang w:val="es-ES_tradnl"/>
              </w:rPr>
              <w:t>Trastornos de la sangre y el sistema linfático</w:t>
            </w:r>
          </w:p>
        </w:tc>
        <w:tc>
          <w:tcPr>
            <w:tcW w:w="1848" w:type="dxa"/>
          </w:tcPr>
          <w:p w14:paraId="2876FE5F" w14:textId="77777777" w:rsidR="00EA69BF" w:rsidRPr="005A5612" w:rsidRDefault="00EA69BF" w:rsidP="00977CE8">
            <w:pPr>
              <w:keepNext/>
              <w:keepLines/>
              <w:rPr>
                <w:lang w:val="es-ES"/>
              </w:rPr>
            </w:pPr>
          </w:p>
        </w:tc>
        <w:tc>
          <w:tcPr>
            <w:tcW w:w="1985" w:type="dxa"/>
          </w:tcPr>
          <w:p w14:paraId="78094904" w14:textId="77777777" w:rsidR="00EA69BF" w:rsidRPr="005A5612" w:rsidRDefault="00EA69BF" w:rsidP="00977CE8">
            <w:pPr>
              <w:keepNext/>
              <w:keepLines/>
              <w:rPr>
                <w:lang w:val="en-GB"/>
              </w:rPr>
            </w:pPr>
            <w:r w:rsidRPr="005A5612">
              <w:rPr>
                <w:lang w:val="es-ES_tradnl"/>
              </w:rPr>
              <w:t>Leucopenia, Neutropenia</w:t>
            </w:r>
            <w:r>
              <w:rPr>
                <w:lang w:val="es-ES_tradnl"/>
              </w:rPr>
              <w:t>, H</w:t>
            </w:r>
            <w:r w:rsidRPr="00A50280">
              <w:rPr>
                <w:lang w:val="es-ES_tradnl"/>
              </w:rPr>
              <w:t>ipofibrinogenemia</w:t>
            </w:r>
          </w:p>
        </w:tc>
        <w:tc>
          <w:tcPr>
            <w:tcW w:w="1701" w:type="dxa"/>
          </w:tcPr>
          <w:p w14:paraId="17431BBC" w14:textId="77777777" w:rsidR="00EA69BF" w:rsidRPr="005A5612" w:rsidRDefault="00EA69BF" w:rsidP="00977CE8">
            <w:pPr>
              <w:keepNext/>
              <w:keepLines/>
              <w:rPr>
                <w:lang w:val="en-GB"/>
              </w:rPr>
            </w:pPr>
          </w:p>
        </w:tc>
        <w:tc>
          <w:tcPr>
            <w:tcW w:w="1701" w:type="dxa"/>
          </w:tcPr>
          <w:p w14:paraId="048BC9C0" w14:textId="77777777" w:rsidR="00EA69BF" w:rsidRPr="005A5612" w:rsidRDefault="00EA69BF" w:rsidP="00977CE8">
            <w:pPr>
              <w:keepNext/>
              <w:keepLines/>
              <w:rPr>
                <w:lang w:val="en-GB"/>
              </w:rPr>
            </w:pPr>
          </w:p>
        </w:tc>
        <w:tc>
          <w:tcPr>
            <w:tcW w:w="1275" w:type="dxa"/>
          </w:tcPr>
          <w:p w14:paraId="01C7850C" w14:textId="77777777" w:rsidR="00EA69BF" w:rsidRPr="005A5612" w:rsidRDefault="00EA69BF" w:rsidP="00977CE8">
            <w:pPr>
              <w:keepNext/>
              <w:keepLines/>
              <w:rPr>
                <w:lang w:val="en-GB"/>
              </w:rPr>
            </w:pPr>
          </w:p>
        </w:tc>
      </w:tr>
      <w:tr w:rsidR="00EA69BF" w:rsidRPr="005A5612" w14:paraId="42D402EE" w14:textId="77777777" w:rsidTr="00F30AB8">
        <w:trPr>
          <w:cantSplit/>
        </w:trPr>
        <w:tc>
          <w:tcPr>
            <w:tcW w:w="1804" w:type="dxa"/>
          </w:tcPr>
          <w:p w14:paraId="05F51E78" w14:textId="77777777" w:rsidR="00EA69BF" w:rsidRPr="005A5612" w:rsidRDefault="00EA69BF" w:rsidP="00977CE8">
            <w:pPr>
              <w:keepNext/>
              <w:keepLines/>
              <w:rPr>
                <w:lang w:val="es-ES_tradnl"/>
              </w:rPr>
            </w:pPr>
            <w:r>
              <w:rPr>
                <w:lang w:val="es-ES_tradnl"/>
              </w:rPr>
              <w:t>Trastornos del sistema inmunológico</w:t>
            </w:r>
          </w:p>
        </w:tc>
        <w:tc>
          <w:tcPr>
            <w:tcW w:w="1848" w:type="dxa"/>
          </w:tcPr>
          <w:p w14:paraId="279E9C31" w14:textId="77777777" w:rsidR="00EA69BF" w:rsidRPr="005A5612" w:rsidRDefault="00EA69BF" w:rsidP="00977CE8">
            <w:pPr>
              <w:keepNext/>
              <w:keepLines/>
              <w:rPr>
                <w:lang w:val="es-ES"/>
              </w:rPr>
            </w:pPr>
          </w:p>
        </w:tc>
        <w:tc>
          <w:tcPr>
            <w:tcW w:w="1985" w:type="dxa"/>
          </w:tcPr>
          <w:p w14:paraId="0ADAB8EE" w14:textId="77777777" w:rsidR="00EA69BF" w:rsidRPr="005A5612" w:rsidRDefault="00EA69BF" w:rsidP="00977CE8">
            <w:pPr>
              <w:keepNext/>
              <w:keepLines/>
              <w:rPr>
                <w:lang w:val="es-ES_tradnl"/>
              </w:rPr>
            </w:pPr>
          </w:p>
        </w:tc>
        <w:tc>
          <w:tcPr>
            <w:tcW w:w="1701" w:type="dxa"/>
          </w:tcPr>
          <w:p w14:paraId="03F52DA0" w14:textId="77777777" w:rsidR="00EA69BF" w:rsidRPr="005A5612" w:rsidRDefault="00EA69BF" w:rsidP="00977CE8">
            <w:pPr>
              <w:keepNext/>
              <w:keepLines/>
              <w:rPr>
                <w:lang w:val="en-GB"/>
              </w:rPr>
            </w:pPr>
          </w:p>
        </w:tc>
        <w:tc>
          <w:tcPr>
            <w:tcW w:w="1701" w:type="dxa"/>
          </w:tcPr>
          <w:p w14:paraId="6FE3F836" w14:textId="77777777" w:rsidR="00EA69BF" w:rsidRPr="00E576A0" w:rsidRDefault="00EA69BF" w:rsidP="00977CE8">
            <w:pPr>
              <w:keepNext/>
              <w:keepLines/>
              <w:rPr>
                <w:rFonts w:ascii="PMingLiU" w:hAnsi="PMingLiU"/>
                <w:vertAlign w:val="superscript"/>
                <w:lang w:val="en-GB"/>
              </w:rPr>
            </w:pPr>
            <w:r>
              <w:rPr>
                <w:lang w:val="en-GB"/>
              </w:rPr>
              <w:t>Anafilaxia (mortal)</w:t>
            </w:r>
            <w:r>
              <w:rPr>
                <w:rFonts w:ascii="PMingLiU" w:hAnsi="PMingLiU"/>
                <w:vertAlign w:val="superscript"/>
                <w:lang w:val="en-GB"/>
              </w:rPr>
              <w:t>1,2,3</w:t>
            </w:r>
          </w:p>
        </w:tc>
        <w:tc>
          <w:tcPr>
            <w:tcW w:w="1275" w:type="dxa"/>
          </w:tcPr>
          <w:p w14:paraId="17B62C73" w14:textId="77777777" w:rsidR="00EA69BF" w:rsidRDefault="00EA69BF" w:rsidP="00977CE8">
            <w:pPr>
              <w:keepNext/>
              <w:keepLines/>
              <w:rPr>
                <w:lang w:val="en-GB"/>
              </w:rPr>
            </w:pPr>
          </w:p>
        </w:tc>
      </w:tr>
      <w:tr w:rsidR="00EA69BF" w:rsidRPr="005A5612" w14:paraId="6BC4FC70" w14:textId="77777777" w:rsidTr="00F30AB8">
        <w:trPr>
          <w:cantSplit/>
        </w:trPr>
        <w:tc>
          <w:tcPr>
            <w:tcW w:w="1804" w:type="dxa"/>
          </w:tcPr>
          <w:p w14:paraId="5A81456B" w14:textId="77777777" w:rsidR="00EA69BF" w:rsidRDefault="00EA69BF" w:rsidP="00977CE8">
            <w:pPr>
              <w:keepNext/>
              <w:keepLines/>
              <w:rPr>
                <w:lang w:val="es-ES_tradnl"/>
              </w:rPr>
            </w:pPr>
            <w:r w:rsidRPr="005A5612">
              <w:rPr>
                <w:lang w:val="es-ES_tradnl"/>
              </w:rPr>
              <w:t>Trastornos endocrinos</w:t>
            </w:r>
          </w:p>
        </w:tc>
        <w:tc>
          <w:tcPr>
            <w:tcW w:w="1848" w:type="dxa"/>
          </w:tcPr>
          <w:p w14:paraId="2C50F55C" w14:textId="77777777" w:rsidR="00EA69BF" w:rsidRPr="005A5612" w:rsidRDefault="00EA69BF" w:rsidP="00977CE8">
            <w:pPr>
              <w:keepNext/>
              <w:keepLines/>
              <w:rPr>
                <w:lang w:val="es-ES"/>
              </w:rPr>
            </w:pPr>
          </w:p>
        </w:tc>
        <w:tc>
          <w:tcPr>
            <w:tcW w:w="1985" w:type="dxa"/>
          </w:tcPr>
          <w:p w14:paraId="38E19BF2" w14:textId="77777777" w:rsidR="00EA69BF" w:rsidRPr="005A5612" w:rsidRDefault="00EA69BF" w:rsidP="00977CE8">
            <w:pPr>
              <w:keepNext/>
              <w:keepLines/>
              <w:rPr>
                <w:lang w:val="es-ES_tradnl"/>
              </w:rPr>
            </w:pPr>
          </w:p>
        </w:tc>
        <w:tc>
          <w:tcPr>
            <w:tcW w:w="1701" w:type="dxa"/>
          </w:tcPr>
          <w:p w14:paraId="42285E5E" w14:textId="77777777" w:rsidR="00EA69BF" w:rsidRPr="005A5612" w:rsidRDefault="00EA69BF" w:rsidP="00977CE8">
            <w:pPr>
              <w:keepNext/>
              <w:keepLines/>
              <w:rPr>
                <w:lang w:val="en-GB"/>
              </w:rPr>
            </w:pPr>
            <w:r w:rsidRPr="005A5612">
              <w:rPr>
                <w:lang w:val="es-ES"/>
              </w:rPr>
              <w:t>Hipotiroidismo</w:t>
            </w:r>
          </w:p>
        </w:tc>
        <w:tc>
          <w:tcPr>
            <w:tcW w:w="1701" w:type="dxa"/>
          </w:tcPr>
          <w:p w14:paraId="21B9129E" w14:textId="77777777" w:rsidR="00EA69BF" w:rsidRDefault="00EA69BF" w:rsidP="00977CE8">
            <w:pPr>
              <w:keepNext/>
              <w:keepLines/>
              <w:rPr>
                <w:lang w:val="en-GB"/>
              </w:rPr>
            </w:pPr>
          </w:p>
        </w:tc>
        <w:tc>
          <w:tcPr>
            <w:tcW w:w="1275" w:type="dxa"/>
          </w:tcPr>
          <w:p w14:paraId="540C0267" w14:textId="77777777" w:rsidR="00EA69BF" w:rsidRDefault="00EA69BF" w:rsidP="00977CE8">
            <w:pPr>
              <w:keepNext/>
              <w:keepLines/>
              <w:rPr>
                <w:lang w:val="en-GB"/>
              </w:rPr>
            </w:pPr>
          </w:p>
        </w:tc>
      </w:tr>
      <w:tr w:rsidR="00EA69BF" w:rsidRPr="005A5612" w14:paraId="42222C56" w14:textId="77777777" w:rsidTr="00F30AB8">
        <w:trPr>
          <w:cantSplit/>
        </w:trPr>
        <w:tc>
          <w:tcPr>
            <w:tcW w:w="1804" w:type="dxa"/>
          </w:tcPr>
          <w:p w14:paraId="7F15386A" w14:textId="77777777" w:rsidR="00EA69BF" w:rsidRPr="005A5612" w:rsidRDefault="00EA69BF" w:rsidP="00977CE8">
            <w:pPr>
              <w:keepNext/>
              <w:keepLines/>
              <w:rPr>
                <w:lang w:val="es-ES"/>
              </w:rPr>
            </w:pPr>
            <w:r w:rsidRPr="005A5612">
              <w:rPr>
                <w:lang w:val="es-ES_tradnl"/>
              </w:rPr>
              <w:t>Trastornos del metabolismo y la nutrición</w:t>
            </w:r>
          </w:p>
        </w:tc>
        <w:tc>
          <w:tcPr>
            <w:tcW w:w="1848" w:type="dxa"/>
          </w:tcPr>
          <w:p w14:paraId="6C2231B7" w14:textId="77777777" w:rsidR="00EA69BF" w:rsidRPr="005A5612" w:rsidRDefault="00EA69BF" w:rsidP="00977CE8">
            <w:pPr>
              <w:keepNext/>
              <w:keepLines/>
              <w:rPr>
                <w:lang w:val="es-ES"/>
              </w:rPr>
            </w:pPr>
            <w:r w:rsidRPr="005A5612">
              <w:rPr>
                <w:lang w:val="es-ES_tradnl"/>
              </w:rPr>
              <w:t>Hipercolesterolemia*</w:t>
            </w:r>
          </w:p>
        </w:tc>
        <w:tc>
          <w:tcPr>
            <w:tcW w:w="1985" w:type="dxa"/>
          </w:tcPr>
          <w:p w14:paraId="76DA3961" w14:textId="77777777" w:rsidR="00EA69BF" w:rsidRPr="005A5612" w:rsidRDefault="00EA69BF" w:rsidP="00977CE8">
            <w:pPr>
              <w:keepNext/>
              <w:keepLines/>
            </w:pPr>
          </w:p>
        </w:tc>
        <w:tc>
          <w:tcPr>
            <w:tcW w:w="1701" w:type="dxa"/>
          </w:tcPr>
          <w:p w14:paraId="2CD840D7" w14:textId="77777777" w:rsidR="00EA69BF" w:rsidRPr="005A5612" w:rsidRDefault="00EA69BF" w:rsidP="00977CE8">
            <w:pPr>
              <w:keepNext/>
              <w:keepLines/>
            </w:pPr>
            <w:r w:rsidRPr="005A5612">
              <w:rPr>
                <w:lang w:val="es-ES_tradnl"/>
              </w:rPr>
              <w:t>Hipertrigliceridemia</w:t>
            </w:r>
          </w:p>
        </w:tc>
        <w:tc>
          <w:tcPr>
            <w:tcW w:w="1701" w:type="dxa"/>
          </w:tcPr>
          <w:p w14:paraId="7F3C42A8" w14:textId="77777777" w:rsidR="00EA69BF" w:rsidRPr="005A5612" w:rsidRDefault="00EA69BF" w:rsidP="00977CE8">
            <w:pPr>
              <w:keepNext/>
              <w:keepLines/>
              <w:rPr>
                <w:lang w:val="es-ES_tradnl"/>
              </w:rPr>
            </w:pPr>
          </w:p>
        </w:tc>
        <w:tc>
          <w:tcPr>
            <w:tcW w:w="1275" w:type="dxa"/>
          </w:tcPr>
          <w:p w14:paraId="45D61CF8" w14:textId="77777777" w:rsidR="00EA69BF" w:rsidRPr="005A5612" w:rsidRDefault="00EA69BF" w:rsidP="00977CE8">
            <w:pPr>
              <w:keepNext/>
              <w:keepLines/>
              <w:rPr>
                <w:lang w:val="es-ES_tradnl"/>
              </w:rPr>
            </w:pPr>
          </w:p>
        </w:tc>
      </w:tr>
      <w:tr w:rsidR="00EA69BF" w:rsidRPr="005A5612" w14:paraId="6D61BA76" w14:textId="77777777" w:rsidTr="00F30AB8">
        <w:trPr>
          <w:cantSplit/>
        </w:trPr>
        <w:tc>
          <w:tcPr>
            <w:tcW w:w="1804" w:type="dxa"/>
          </w:tcPr>
          <w:p w14:paraId="340BBBB4" w14:textId="77777777" w:rsidR="00EA69BF" w:rsidRPr="005A5612" w:rsidRDefault="00EA69BF" w:rsidP="00977CE8">
            <w:pPr>
              <w:keepNext/>
              <w:keepLines/>
              <w:rPr>
                <w:lang w:val="es-ES_tradnl"/>
              </w:rPr>
            </w:pPr>
            <w:r w:rsidRPr="005A5612">
              <w:rPr>
                <w:lang w:val="es-ES_tradnl"/>
              </w:rPr>
              <w:t>Trastornos del sistema nervioso</w:t>
            </w:r>
          </w:p>
        </w:tc>
        <w:tc>
          <w:tcPr>
            <w:tcW w:w="1848" w:type="dxa"/>
          </w:tcPr>
          <w:p w14:paraId="412CC7C6" w14:textId="77777777" w:rsidR="00EA69BF" w:rsidRPr="005A5612" w:rsidRDefault="00EA69BF" w:rsidP="00977CE8">
            <w:pPr>
              <w:keepNext/>
              <w:keepLines/>
              <w:rPr>
                <w:lang w:val="es-ES_tradnl"/>
              </w:rPr>
            </w:pPr>
          </w:p>
        </w:tc>
        <w:tc>
          <w:tcPr>
            <w:tcW w:w="1985" w:type="dxa"/>
          </w:tcPr>
          <w:p w14:paraId="6DF8D988" w14:textId="77777777" w:rsidR="00EA69BF" w:rsidRPr="005A5612" w:rsidRDefault="00EA69BF" w:rsidP="00977CE8">
            <w:pPr>
              <w:keepNext/>
              <w:keepLines/>
            </w:pPr>
            <w:r w:rsidRPr="005A5612">
              <w:rPr>
                <w:lang w:val="es-ES_tradnl"/>
              </w:rPr>
              <w:t>Cefalea, Mareos</w:t>
            </w:r>
          </w:p>
        </w:tc>
        <w:tc>
          <w:tcPr>
            <w:tcW w:w="1701" w:type="dxa"/>
          </w:tcPr>
          <w:p w14:paraId="7EBE381B" w14:textId="77777777" w:rsidR="00EA69BF" w:rsidRPr="005A5612" w:rsidRDefault="00EA69BF" w:rsidP="00977CE8">
            <w:pPr>
              <w:keepNext/>
              <w:keepLines/>
              <w:rPr>
                <w:lang w:val="es-ES_tradnl"/>
              </w:rPr>
            </w:pPr>
          </w:p>
        </w:tc>
        <w:tc>
          <w:tcPr>
            <w:tcW w:w="1701" w:type="dxa"/>
          </w:tcPr>
          <w:p w14:paraId="627B4DD5" w14:textId="77777777" w:rsidR="00EA69BF" w:rsidRPr="005A5612" w:rsidRDefault="00EA69BF" w:rsidP="00977CE8">
            <w:pPr>
              <w:keepNext/>
              <w:keepLines/>
              <w:rPr>
                <w:lang w:val="es-ES_tradnl"/>
              </w:rPr>
            </w:pPr>
          </w:p>
        </w:tc>
        <w:tc>
          <w:tcPr>
            <w:tcW w:w="1275" w:type="dxa"/>
          </w:tcPr>
          <w:p w14:paraId="2F65BF1E" w14:textId="77777777" w:rsidR="00EA69BF" w:rsidRPr="005A5612" w:rsidRDefault="00EA69BF" w:rsidP="00977CE8">
            <w:pPr>
              <w:keepNext/>
              <w:keepLines/>
              <w:rPr>
                <w:lang w:val="es-ES_tradnl"/>
              </w:rPr>
            </w:pPr>
          </w:p>
        </w:tc>
      </w:tr>
      <w:tr w:rsidR="00EA69BF" w:rsidRPr="005A5612" w14:paraId="6BBFAE1F" w14:textId="77777777" w:rsidTr="00F30AB8">
        <w:trPr>
          <w:cantSplit/>
        </w:trPr>
        <w:tc>
          <w:tcPr>
            <w:tcW w:w="1804" w:type="dxa"/>
          </w:tcPr>
          <w:p w14:paraId="593B3588" w14:textId="77777777" w:rsidR="00EA69BF" w:rsidRPr="005A5612" w:rsidRDefault="00EA69BF" w:rsidP="00977CE8">
            <w:r w:rsidRPr="005A5612">
              <w:rPr>
                <w:lang w:val="es-ES_tradnl"/>
              </w:rPr>
              <w:t>Trastornos oculares</w:t>
            </w:r>
          </w:p>
        </w:tc>
        <w:tc>
          <w:tcPr>
            <w:tcW w:w="1848" w:type="dxa"/>
          </w:tcPr>
          <w:p w14:paraId="4F817534" w14:textId="77777777" w:rsidR="00EA69BF" w:rsidRPr="005A5612" w:rsidRDefault="00EA69BF" w:rsidP="00977CE8">
            <w:pPr>
              <w:rPr>
                <w:lang w:val="en-GB"/>
              </w:rPr>
            </w:pPr>
          </w:p>
        </w:tc>
        <w:tc>
          <w:tcPr>
            <w:tcW w:w="1985" w:type="dxa"/>
          </w:tcPr>
          <w:p w14:paraId="347A1AB7" w14:textId="77777777" w:rsidR="00EA69BF" w:rsidRPr="005A5612" w:rsidRDefault="00EA69BF" w:rsidP="00977CE8">
            <w:r w:rsidRPr="005A5612">
              <w:rPr>
                <w:lang w:val="es-ES_tradnl"/>
              </w:rPr>
              <w:t>Conjuntivitis</w:t>
            </w:r>
          </w:p>
        </w:tc>
        <w:tc>
          <w:tcPr>
            <w:tcW w:w="1701" w:type="dxa"/>
          </w:tcPr>
          <w:p w14:paraId="4B5FBB9E" w14:textId="77777777" w:rsidR="00EA69BF" w:rsidRPr="005A5612" w:rsidRDefault="00EA69BF" w:rsidP="00977CE8">
            <w:pPr>
              <w:rPr>
                <w:lang w:val="en-GB"/>
              </w:rPr>
            </w:pPr>
          </w:p>
        </w:tc>
        <w:tc>
          <w:tcPr>
            <w:tcW w:w="1701" w:type="dxa"/>
          </w:tcPr>
          <w:p w14:paraId="32AD6DC6" w14:textId="77777777" w:rsidR="00EA69BF" w:rsidRPr="005A5612" w:rsidRDefault="00EA69BF" w:rsidP="00977CE8">
            <w:pPr>
              <w:rPr>
                <w:lang w:val="en-GB"/>
              </w:rPr>
            </w:pPr>
          </w:p>
        </w:tc>
        <w:tc>
          <w:tcPr>
            <w:tcW w:w="1275" w:type="dxa"/>
          </w:tcPr>
          <w:p w14:paraId="42590272" w14:textId="77777777" w:rsidR="00EA69BF" w:rsidRPr="005A5612" w:rsidRDefault="00EA69BF" w:rsidP="00977CE8">
            <w:pPr>
              <w:rPr>
                <w:lang w:val="en-GB"/>
              </w:rPr>
            </w:pPr>
          </w:p>
        </w:tc>
      </w:tr>
      <w:tr w:rsidR="00EA69BF" w:rsidRPr="005A5612" w14:paraId="3D5DEA0D" w14:textId="77777777" w:rsidTr="00F30AB8">
        <w:trPr>
          <w:cantSplit/>
        </w:trPr>
        <w:tc>
          <w:tcPr>
            <w:tcW w:w="1804" w:type="dxa"/>
          </w:tcPr>
          <w:p w14:paraId="3387CBE1" w14:textId="77777777" w:rsidR="00EA69BF" w:rsidRPr="005A5612" w:rsidRDefault="00EA69BF" w:rsidP="00977CE8">
            <w:pPr>
              <w:rPr>
                <w:lang w:val="es-ES_tradnl"/>
              </w:rPr>
            </w:pPr>
            <w:r w:rsidRPr="005A5612">
              <w:rPr>
                <w:lang w:val="es-ES_tradnl"/>
              </w:rPr>
              <w:t>Trastornos vasculares</w:t>
            </w:r>
          </w:p>
        </w:tc>
        <w:tc>
          <w:tcPr>
            <w:tcW w:w="1848" w:type="dxa"/>
          </w:tcPr>
          <w:p w14:paraId="7BA550E0" w14:textId="77777777" w:rsidR="00EA69BF" w:rsidRPr="005A5612" w:rsidRDefault="00EA69BF" w:rsidP="00977CE8">
            <w:pPr>
              <w:rPr>
                <w:lang w:val="en-GB"/>
              </w:rPr>
            </w:pPr>
          </w:p>
        </w:tc>
        <w:tc>
          <w:tcPr>
            <w:tcW w:w="1985" w:type="dxa"/>
          </w:tcPr>
          <w:p w14:paraId="101C8EEC" w14:textId="77777777" w:rsidR="00EA69BF" w:rsidRPr="005A5612" w:rsidRDefault="00EA69BF" w:rsidP="00977CE8">
            <w:pPr>
              <w:rPr>
                <w:lang w:val="es-ES_tradnl"/>
              </w:rPr>
            </w:pPr>
            <w:r w:rsidRPr="005A5612">
              <w:rPr>
                <w:lang w:val="es-ES_tradnl"/>
              </w:rPr>
              <w:t>Hipertensión</w:t>
            </w:r>
          </w:p>
        </w:tc>
        <w:tc>
          <w:tcPr>
            <w:tcW w:w="1701" w:type="dxa"/>
          </w:tcPr>
          <w:p w14:paraId="32A3BCCA" w14:textId="77777777" w:rsidR="00EA69BF" w:rsidRPr="005A5612" w:rsidRDefault="00EA69BF" w:rsidP="00977CE8">
            <w:pPr>
              <w:rPr>
                <w:lang w:val="en-GB"/>
              </w:rPr>
            </w:pPr>
          </w:p>
        </w:tc>
        <w:tc>
          <w:tcPr>
            <w:tcW w:w="1701" w:type="dxa"/>
          </w:tcPr>
          <w:p w14:paraId="4E8E6F0B" w14:textId="77777777" w:rsidR="00EA69BF" w:rsidRPr="005A5612" w:rsidRDefault="00EA69BF" w:rsidP="00977CE8">
            <w:pPr>
              <w:rPr>
                <w:lang w:val="en-GB"/>
              </w:rPr>
            </w:pPr>
          </w:p>
        </w:tc>
        <w:tc>
          <w:tcPr>
            <w:tcW w:w="1275" w:type="dxa"/>
          </w:tcPr>
          <w:p w14:paraId="4946D4C8" w14:textId="77777777" w:rsidR="00EA69BF" w:rsidRPr="005A5612" w:rsidRDefault="00EA69BF" w:rsidP="00977CE8">
            <w:pPr>
              <w:rPr>
                <w:lang w:val="en-GB"/>
              </w:rPr>
            </w:pPr>
          </w:p>
        </w:tc>
      </w:tr>
      <w:tr w:rsidR="00EA69BF" w:rsidRPr="005A5612" w14:paraId="754F43E7" w14:textId="77777777" w:rsidTr="00F30AB8">
        <w:trPr>
          <w:cantSplit/>
        </w:trPr>
        <w:tc>
          <w:tcPr>
            <w:tcW w:w="1804" w:type="dxa"/>
          </w:tcPr>
          <w:p w14:paraId="56E8D60E" w14:textId="77777777" w:rsidR="00EA69BF" w:rsidRPr="005A5612" w:rsidRDefault="00EA69BF" w:rsidP="00977CE8">
            <w:pPr>
              <w:rPr>
                <w:lang w:val="es-ES_tradnl"/>
              </w:rPr>
            </w:pPr>
            <w:r w:rsidRPr="005A5612">
              <w:rPr>
                <w:lang w:val="es-ES_tradnl"/>
              </w:rPr>
              <w:t>Trastornos respiratorios, torácicos y mediastínicos</w:t>
            </w:r>
          </w:p>
        </w:tc>
        <w:tc>
          <w:tcPr>
            <w:tcW w:w="1848" w:type="dxa"/>
          </w:tcPr>
          <w:p w14:paraId="3D68AF0D" w14:textId="77777777" w:rsidR="00EA69BF" w:rsidRPr="005A5612" w:rsidRDefault="00EA69BF" w:rsidP="00977CE8">
            <w:pPr>
              <w:rPr>
                <w:lang w:val="es-ES_tradnl"/>
              </w:rPr>
            </w:pPr>
          </w:p>
        </w:tc>
        <w:tc>
          <w:tcPr>
            <w:tcW w:w="1985" w:type="dxa"/>
          </w:tcPr>
          <w:p w14:paraId="74106900" w14:textId="77777777" w:rsidR="00EA69BF" w:rsidRPr="005A5612" w:rsidRDefault="00EA69BF" w:rsidP="00977CE8">
            <w:pPr>
              <w:rPr>
                <w:lang w:val="es-ES_tradnl"/>
              </w:rPr>
            </w:pPr>
            <w:r w:rsidRPr="005A5612">
              <w:rPr>
                <w:lang w:val="es-ES_tradnl"/>
              </w:rPr>
              <w:t>Tos, Disnea</w:t>
            </w:r>
          </w:p>
        </w:tc>
        <w:tc>
          <w:tcPr>
            <w:tcW w:w="1701" w:type="dxa"/>
          </w:tcPr>
          <w:p w14:paraId="349918B1" w14:textId="77777777" w:rsidR="00EA69BF" w:rsidRPr="005A5612" w:rsidRDefault="00EA69BF" w:rsidP="00977CE8">
            <w:pPr>
              <w:rPr>
                <w:lang w:val="es-ES"/>
              </w:rPr>
            </w:pPr>
          </w:p>
        </w:tc>
        <w:tc>
          <w:tcPr>
            <w:tcW w:w="1701" w:type="dxa"/>
          </w:tcPr>
          <w:p w14:paraId="70550328" w14:textId="77777777" w:rsidR="00EA69BF" w:rsidRPr="005A5612" w:rsidRDefault="00EA69BF" w:rsidP="00977CE8">
            <w:pPr>
              <w:rPr>
                <w:lang w:val="es-ES"/>
              </w:rPr>
            </w:pPr>
          </w:p>
        </w:tc>
        <w:tc>
          <w:tcPr>
            <w:tcW w:w="1275" w:type="dxa"/>
          </w:tcPr>
          <w:p w14:paraId="086712F7" w14:textId="77777777" w:rsidR="00EA69BF" w:rsidRPr="005A5612" w:rsidRDefault="00EA69BF" w:rsidP="00977CE8">
            <w:pPr>
              <w:rPr>
                <w:lang w:val="es-ES"/>
              </w:rPr>
            </w:pPr>
          </w:p>
        </w:tc>
      </w:tr>
      <w:tr w:rsidR="00EA69BF" w:rsidRPr="005A5612" w14:paraId="2BB1902B" w14:textId="77777777" w:rsidTr="00F30AB8">
        <w:trPr>
          <w:cantSplit/>
        </w:trPr>
        <w:tc>
          <w:tcPr>
            <w:tcW w:w="1804" w:type="dxa"/>
          </w:tcPr>
          <w:p w14:paraId="7CECDB44" w14:textId="77777777" w:rsidR="00EA69BF" w:rsidRPr="005A5612" w:rsidRDefault="00EA69BF" w:rsidP="00977CE8">
            <w:pPr>
              <w:rPr>
                <w:lang w:val="es-ES_tradnl"/>
              </w:rPr>
            </w:pPr>
            <w:r w:rsidRPr="005A5612">
              <w:rPr>
                <w:lang w:val="es-ES_tradnl"/>
              </w:rPr>
              <w:t>Trastornos digestivos</w:t>
            </w:r>
          </w:p>
        </w:tc>
        <w:tc>
          <w:tcPr>
            <w:tcW w:w="1848" w:type="dxa"/>
          </w:tcPr>
          <w:p w14:paraId="25A4C4B4" w14:textId="77777777" w:rsidR="00EA69BF" w:rsidRPr="005A5612" w:rsidRDefault="00EA69BF" w:rsidP="00977CE8">
            <w:pPr>
              <w:rPr>
                <w:lang w:val="es-ES_tradnl"/>
              </w:rPr>
            </w:pPr>
          </w:p>
        </w:tc>
        <w:tc>
          <w:tcPr>
            <w:tcW w:w="1985" w:type="dxa"/>
          </w:tcPr>
          <w:p w14:paraId="3D1AF0C0" w14:textId="77777777" w:rsidR="00EA69BF" w:rsidRPr="005A5612" w:rsidRDefault="00EA69BF" w:rsidP="00977CE8">
            <w:pPr>
              <w:rPr>
                <w:lang w:val="es-ES_tradnl"/>
              </w:rPr>
            </w:pPr>
            <w:r w:rsidRPr="005A5612">
              <w:rPr>
                <w:lang w:val="es-ES_tradnl"/>
              </w:rPr>
              <w:t>Dolor abdominal, Ulceración oral, Gastritis</w:t>
            </w:r>
          </w:p>
        </w:tc>
        <w:tc>
          <w:tcPr>
            <w:tcW w:w="1701" w:type="dxa"/>
          </w:tcPr>
          <w:p w14:paraId="4D92DAE7" w14:textId="77777777" w:rsidR="00EA69BF" w:rsidRPr="005A5612" w:rsidRDefault="00EA69BF" w:rsidP="00977CE8">
            <w:pPr>
              <w:rPr>
                <w:lang w:val="es-ES"/>
              </w:rPr>
            </w:pPr>
            <w:r w:rsidRPr="005A5612">
              <w:rPr>
                <w:lang w:val="es-ES_tradnl"/>
              </w:rPr>
              <w:t xml:space="preserve">Estomatitis, </w:t>
            </w:r>
            <w:r>
              <w:rPr>
                <w:lang w:val="es-ES_tradnl"/>
              </w:rPr>
              <w:t>Ú</w:t>
            </w:r>
            <w:r w:rsidRPr="005A5612">
              <w:rPr>
                <w:lang w:val="es-ES_tradnl"/>
              </w:rPr>
              <w:t>lcera gástrica</w:t>
            </w:r>
            <w:r>
              <w:rPr>
                <w:lang w:val="es-ES_tradnl"/>
              </w:rPr>
              <w:t xml:space="preserve"> </w:t>
            </w:r>
          </w:p>
        </w:tc>
        <w:tc>
          <w:tcPr>
            <w:tcW w:w="1701" w:type="dxa"/>
          </w:tcPr>
          <w:p w14:paraId="15E4B201" w14:textId="77777777" w:rsidR="00EA69BF" w:rsidRPr="005A5612" w:rsidRDefault="00EA69BF" w:rsidP="00977CE8">
            <w:pPr>
              <w:rPr>
                <w:lang w:val="es-ES"/>
              </w:rPr>
            </w:pPr>
          </w:p>
        </w:tc>
        <w:tc>
          <w:tcPr>
            <w:tcW w:w="1275" w:type="dxa"/>
          </w:tcPr>
          <w:p w14:paraId="018D7AED" w14:textId="77777777" w:rsidR="00EA69BF" w:rsidRPr="005A5612" w:rsidRDefault="00EA69BF" w:rsidP="00977CE8">
            <w:pPr>
              <w:rPr>
                <w:lang w:val="es-ES"/>
              </w:rPr>
            </w:pPr>
          </w:p>
        </w:tc>
      </w:tr>
      <w:tr w:rsidR="00EA69BF" w:rsidRPr="005A5612" w14:paraId="26F4A93F" w14:textId="77777777" w:rsidTr="00F30AB8">
        <w:trPr>
          <w:cantSplit/>
        </w:trPr>
        <w:tc>
          <w:tcPr>
            <w:tcW w:w="1804" w:type="dxa"/>
          </w:tcPr>
          <w:p w14:paraId="55F492B2" w14:textId="77777777" w:rsidR="00EA69BF" w:rsidRPr="005A5612" w:rsidRDefault="00EA69BF" w:rsidP="00977CE8">
            <w:pPr>
              <w:rPr>
                <w:lang w:val="es-ES_tradnl"/>
              </w:rPr>
            </w:pPr>
            <w:r>
              <w:rPr>
                <w:lang w:val="es-ES_tradnl"/>
              </w:rPr>
              <w:t>Trastornos hepatobiliares</w:t>
            </w:r>
          </w:p>
        </w:tc>
        <w:tc>
          <w:tcPr>
            <w:tcW w:w="1848" w:type="dxa"/>
          </w:tcPr>
          <w:p w14:paraId="22AC8A2C" w14:textId="77777777" w:rsidR="00EA69BF" w:rsidRPr="005A5612" w:rsidRDefault="00EA69BF" w:rsidP="00977CE8">
            <w:pPr>
              <w:rPr>
                <w:lang w:val="es-ES_tradnl"/>
              </w:rPr>
            </w:pPr>
          </w:p>
        </w:tc>
        <w:tc>
          <w:tcPr>
            <w:tcW w:w="1985" w:type="dxa"/>
          </w:tcPr>
          <w:p w14:paraId="503D9180" w14:textId="77777777" w:rsidR="00EA69BF" w:rsidRPr="005A5612" w:rsidRDefault="00EA69BF" w:rsidP="00977CE8">
            <w:pPr>
              <w:rPr>
                <w:lang w:val="es-ES_tradnl"/>
              </w:rPr>
            </w:pPr>
          </w:p>
        </w:tc>
        <w:tc>
          <w:tcPr>
            <w:tcW w:w="1701" w:type="dxa"/>
          </w:tcPr>
          <w:p w14:paraId="6503BB55" w14:textId="77777777" w:rsidR="00EA69BF" w:rsidRPr="005A5612" w:rsidRDefault="00EA69BF" w:rsidP="00977CE8">
            <w:pPr>
              <w:rPr>
                <w:lang w:val="en-GB"/>
              </w:rPr>
            </w:pPr>
          </w:p>
        </w:tc>
        <w:tc>
          <w:tcPr>
            <w:tcW w:w="1701" w:type="dxa"/>
          </w:tcPr>
          <w:p w14:paraId="5B3691EE" w14:textId="77777777" w:rsidR="00EA69BF" w:rsidRDefault="00EA69BF" w:rsidP="00977CE8">
            <w:pPr>
              <w:rPr>
                <w:lang w:val="es-ES"/>
              </w:rPr>
            </w:pPr>
            <w:r>
              <w:rPr>
                <w:lang w:val="es-ES"/>
              </w:rPr>
              <w:t>Daño hepático inducido por medicamentos, Hepatitis, Ictericia</w:t>
            </w:r>
          </w:p>
          <w:p w14:paraId="5789406F" w14:textId="3E41B32B" w:rsidR="00EA69BF" w:rsidRPr="00F30AB8" w:rsidRDefault="00EA69BF" w:rsidP="00977CE8">
            <w:pPr>
              <w:rPr>
                <w:lang w:val="es-ES"/>
              </w:rPr>
            </w:pPr>
          </w:p>
        </w:tc>
        <w:tc>
          <w:tcPr>
            <w:tcW w:w="1275" w:type="dxa"/>
          </w:tcPr>
          <w:p w14:paraId="4779CE85" w14:textId="77777777" w:rsidR="00EA69BF" w:rsidRDefault="00EA69BF" w:rsidP="00977CE8">
            <w:pPr>
              <w:rPr>
                <w:lang w:val="es-ES"/>
              </w:rPr>
            </w:pPr>
            <w:r>
              <w:rPr>
                <w:lang w:val="es-ES"/>
              </w:rPr>
              <w:t>Fallo hepático</w:t>
            </w:r>
          </w:p>
        </w:tc>
      </w:tr>
      <w:tr w:rsidR="00EA69BF" w:rsidRPr="005A5612" w14:paraId="69DF774E" w14:textId="77777777" w:rsidTr="00F30AB8">
        <w:trPr>
          <w:cantSplit/>
        </w:trPr>
        <w:tc>
          <w:tcPr>
            <w:tcW w:w="1804" w:type="dxa"/>
          </w:tcPr>
          <w:p w14:paraId="130DA311" w14:textId="77777777" w:rsidR="00EA69BF" w:rsidRPr="005A5612" w:rsidRDefault="00EA69BF" w:rsidP="00977CE8">
            <w:pPr>
              <w:rPr>
                <w:lang w:val="es-ES_tradnl"/>
              </w:rPr>
            </w:pPr>
            <w:r w:rsidRPr="005A5612">
              <w:rPr>
                <w:lang w:val="es-ES_tradnl"/>
              </w:rPr>
              <w:t>Trastornos de la piel y del tejido subcutáneo</w:t>
            </w:r>
          </w:p>
        </w:tc>
        <w:tc>
          <w:tcPr>
            <w:tcW w:w="1848" w:type="dxa"/>
          </w:tcPr>
          <w:p w14:paraId="0D357A1A" w14:textId="77777777" w:rsidR="00EA69BF" w:rsidRPr="005A5612" w:rsidRDefault="00EA69BF" w:rsidP="00977CE8">
            <w:pPr>
              <w:rPr>
                <w:lang w:val="es-ES_tradnl"/>
              </w:rPr>
            </w:pPr>
          </w:p>
        </w:tc>
        <w:tc>
          <w:tcPr>
            <w:tcW w:w="1985" w:type="dxa"/>
          </w:tcPr>
          <w:p w14:paraId="5799F064" w14:textId="77777777" w:rsidR="00EA69BF" w:rsidRPr="005A5612" w:rsidRDefault="00EA69BF" w:rsidP="00977CE8">
            <w:pPr>
              <w:rPr>
                <w:lang w:val="es-ES_tradnl"/>
              </w:rPr>
            </w:pPr>
            <w:r w:rsidRPr="005A5612">
              <w:rPr>
                <w:lang w:val="es-ES_tradnl"/>
              </w:rPr>
              <w:t>Erupción, Prurito, Urticaria</w:t>
            </w:r>
          </w:p>
        </w:tc>
        <w:tc>
          <w:tcPr>
            <w:tcW w:w="1701" w:type="dxa"/>
          </w:tcPr>
          <w:p w14:paraId="47A807F7" w14:textId="77777777" w:rsidR="00EA69BF" w:rsidRPr="005A5612" w:rsidRDefault="00EA69BF" w:rsidP="00977CE8">
            <w:pPr>
              <w:rPr>
                <w:lang w:val="en-GB"/>
              </w:rPr>
            </w:pPr>
          </w:p>
        </w:tc>
        <w:tc>
          <w:tcPr>
            <w:tcW w:w="1701" w:type="dxa"/>
          </w:tcPr>
          <w:p w14:paraId="14466E31" w14:textId="77777777" w:rsidR="00EA69BF" w:rsidRPr="005A5612" w:rsidRDefault="00EA69BF" w:rsidP="00977CE8">
            <w:pPr>
              <w:rPr>
                <w:lang w:val="en-GB"/>
              </w:rPr>
            </w:pPr>
            <w:r>
              <w:t>Sindrome de Stevens-Johnson</w:t>
            </w:r>
            <w:r>
              <w:rPr>
                <w:vertAlign w:val="superscript"/>
              </w:rPr>
              <w:t>3</w:t>
            </w:r>
          </w:p>
        </w:tc>
        <w:tc>
          <w:tcPr>
            <w:tcW w:w="1275" w:type="dxa"/>
          </w:tcPr>
          <w:p w14:paraId="6CFE1102" w14:textId="77777777" w:rsidR="00EA69BF" w:rsidRDefault="00EA69BF" w:rsidP="00977CE8"/>
        </w:tc>
      </w:tr>
      <w:tr w:rsidR="00EA69BF" w:rsidRPr="005A5612" w14:paraId="7A22AF8C" w14:textId="77777777" w:rsidTr="00F30AB8">
        <w:trPr>
          <w:cantSplit/>
        </w:trPr>
        <w:tc>
          <w:tcPr>
            <w:tcW w:w="1804" w:type="dxa"/>
          </w:tcPr>
          <w:p w14:paraId="3CF0D5A9" w14:textId="77777777" w:rsidR="00EA69BF" w:rsidRPr="005A5612" w:rsidRDefault="00EA69BF" w:rsidP="00977CE8">
            <w:pPr>
              <w:rPr>
                <w:lang w:val="es-ES_tradnl"/>
              </w:rPr>
            </w:pPr>
            <w:r w:rsidRPr="005A5612">
              <w:rPr>
                <w:lang w:val="es-ES_tradnl"/>
              </w:rPr>
              <w:t>Trastornos renales</w:t>
            </w:r>
            <w:r>
              <w:rPr>
                <w:lang w:val="es-ES_tradnl"/>
              </w:rPr>
              <w:t xml:space="preserve"> y del tracto urinario</w:t>
            </w:r>
          </w:p>
        </w:tc>
        <w:tc>
          <w:tcPr>
            <w:tcW w:w="1848" w:type="dxa"/>
          </w:tcPr>
          <w:p w14:paraId="7E418490" w14:textId="77777777" w:rsidR="00EA69BF" w:rsidRPr="005A5612" w:rsidRDefault="00EA69BF" w:rsidP="00977CE8">
            <w:pPr>
              <w:rPr>
                <w:lang w:val="es-ES_tradnl"/>
              </w:rPr>
            </w:pPr>
          </w:p>
        </w:tc>
        <w:tc>
          <w:tcPr>
            <w:tcW w:w="1985" w:type="dxa"/>
          </w:tcPr>
          <w:p w14:paraId="32879627" w14:textId="77777777" w:rsidR="00EA69BF" w:rsidRPr="005A5612" w:rsidRDefault="00EA69BF" w:rsidP="00977CE8">
            <w:pPr>
              <w:rPr>
                <w:lang w:val="es-ES_tradnl"/>
              </w:rPr>
            </w:pPr>
          </w:p>
        </w:tc>
        <w:tc>
          <w:tcPr>
            <w:tcW w:w="1701" w:type="dxa"/>
          </w:tcPr>
          <w:p w14:paraId="16982A2A" w14:textId="77777777" w:rsidR="00EA69BF" w:rsidRPr="005A5612" w:rsidRDefault="00EA69BF" w:rsidP="00977CE8">
            <w:pPr>
              <w:rPr>
                <w:lang w:val="en-GB"/>
              </w:rPr>
            </w:pPr>
            <w:r w:rsidRPr="005A5612">
              <w:rPr>
                <w:lang w:val="en-GB"/>
              </w:rPr>
              <w:t>Nefrolitiasis</w:t>
            </w:r>
          </w:p>
          <w:p w14:paraId="6696587C" w14:textId="77777777" w:rsidR="00EA69BF" w:rsidRPr="005A5612" w:rsidRDefault="00EA69BF" w:rsidP="00977CE8">
            <w:pPr>
              <w:rPr>
                <w:lang w:val="es-ES"/>
              </w:rPr>
            </w:pPr>
          </w:p>
        </w:tc>
        <w:tc>
          <w:tcPr>
            <w:tcW w:w="1701" w:type="dxa"/>
          </w:tcPr>
          <w:p w14:paraId="30CD74F9" w14:textId="77777777" w:rsidR="00EA69BF" w:rsidRPr="005A5612" w:rsidRDefault="00EA69BF" w:rsidP="00977CE8">
            <w:pPr>
              <w:rPr>
                <w:lang w:val="en-GB"/>
              </w:rPr>
            </w:pPr>
          </w:p>
        </w:tc>
        <w:tc>
          <w:tcPr>
            <w:tcW w:w="1275" w:type="dxa"/>
          </w:tcPr>
          <w:p w14:paraId="550D4BD3" w14:textId="77777777" w:rsidR="00EA69BF" w:rsidRPr="005A5612" w:rsidRDefault="00EA69BF" w:rsidP="00977CE8">
            <w:pPr>
              <w:rPr>
                <w:lang w:val="en-GB"/>
              </w:rPr>
            </w:pPr>
          </w:p>
        </w:tc>
      </w:tr>
      <w:tr w:rsidR="00EA69BF" w:rsidRPr="00541248" w14:paraId="6DEB82E4" w14:textId="77777777" w:rsidTr="00F30AB8">
        <w:trPr>
          <w:cantSplit/>
        </w:trPr>
        <w:tc>
          <w:tcPr>
            <w:tcW w:w="1804" w:type="dxa"/>
          </w:tcPr>
          <w:p w14:paraId="1FB57C28" w14:textId="77777777" w:rsidR="00EA69BF" w:rsidRDefault="00EA69BF" w:rsidP="00977CE8">
            <w:pPr>
              <w:rPr>
                <w:lang w:val="es-ES_tradnl"/>
              </w:rPr>
            </w:pPr>
            <w:r w:rsidRPr="005A5612">
              <w:rPr>
                <w:lang w:val="es-ES_tradnl"/>
              </w:rPr>
              <w:lastRenderedPageBreak/>
              <w:t xml:space="preserve">Trastornos Generales y en el lugar de administración </w:t>
            </w:r>
          </w:p>
        </w:tc>
        <w:tc>
          <w:tcPr>
            <w:tcW w:w="1848" w:type="dxa"/>
          </w:tcPr>
          <w:p w14:paraId="1068CC65" w14:textId="77777777" w:rsidR="00EA69BF" w:rsidRPr="005A5612" w:rsidRDefault="00EA69BF" w:rsidP="00977CE8">
            <w:pPr>
              <w:rPr>
                <w:lang w:val="es-ES_tradnl"/>
              </w:rPr>
            </w:pPr>
          </w:p>
        </w:tc>
        <w:tc>
          <w:tcPr>
            <w:tcW w:w="1985" w:type="dxa"/>
          </w:tcPr>
          <w:p w14:paraId="1F760B92" w14:textId="77777777" w:rsidR="00EA69BF" w:rsidRPr="005A5612" w:rsidRDefault="00EA69BF" w:rsidP="00977CE8">
            <w:pPr>
              <w:rPr>
                <w:lang w:val="es-ES_tradnl"/>
              </w:rPr>
            </w:pPr>
            <w:r w:rsidRPr="005A5612">
              <w:rPr>
                <w:lang w:val="es-ES"/>
              </w:rPr>
              <w:t>Edema periférico, Reacciones de hipersensibilidad</w:t>
            </w:r>
          </w:p>
        </w:tc>
        <w:tc>
          <w:tcPr>
            <w:tcW w:w="1701" w:type="dxa"/>
          </w:tcPr>
          <w:p w14:paraId="0EA6A174" w14:textId="77777777" w:rsidR="00EA69BF" w:rsidRPr="005A5612" w:rsidRDefault="00EA69BF" w:rsidP="00977CE8">
            <w:pPr>
              <w:rPr>
                <w:lang w:val="es-ES"/>
              </w:rPr>
            </w:pPr>
          </w:p>
        </w:tc>
        <w:tc>
          <w:tcPr>
            <w:tcW w:w="1701" w:type="dxa"/>
          </w:tcPr>
          <w:p w14:paraId="298CA892" w14:textId="77777777" w:rsidR="00EA69BF" w:rsidRDefault="00EA69BF" w:rsidP="00977CE8">
            <w:pPr>
              <w:rPr>
                <w:lang w:val="es-ES"/>
              </w:rPr>
            </w:pPr>
          </w:p>
        </w:tc>
        <w:tc>
          <w:tcPr>
            <w:tcW w:w="1275" w:type="dxa"/>
          </w:tcPr>
          <w:p w14:paraId="142BC32E" w14:textId="77777777" w:rsidR="00EA69BF" w:rsidRDefault="00EA69BF" w:rsidP="00977CE8">
            <w:pPr>
              <w:rPr>
                <w:lang w:val="es-ES"/>
              </w:rPr>
            </w:pPr>
          </w:p>
        </w:tc>
      </w:tr>
      <w:tr w:rsidR="00EA69BF" w:rsidRPr="00541248" w14:paraId="39B1DD65" w14:textId="77777777" w:rsidTr="00F30AB8">
        <w:trPr>
          <w:cantSplit/>
        </w:trPr>
        <w:tc>
          <w:tcPr>
            <w:tcW w:w="1804" w:type="dxa"/>
          </w:tcPr>
          <w:p w14:paraId="7F095418" w14:textId="77777777" w:rsidR="00EA69BF" w:rsidRPr="005A5612" w:rsidRDefault="00EA69BF" w:rsidP="00977CE8">
            <w:pPr>
              <w:rPr>
                <w:lang w:val="es-ES_tradnl"/>
              </w:rPr>
            </w:pPr>
            <w:r w:rsidRPr="005A5612">
              <w:rPr>
                <w:lang w:val="es-ES_tradnl"/>
              </w:rPr>
              <w:t>Exploraciones complementarias</w:t>
            </w:r>
          </w:p>
        </w:tc>
        <w:tc>
          <w:tcPr>
            <w:tcW w:w="1848" w:type="dxa"/>
          </w:tcPr>
          <w:p w14:paraId="23EC12E2" w14:textId="77777777" w:rsidR="00EA69BF" w:rsidRPr="005A5612" w:rsidRDefault="00EA69BF" w:rsidP="00977CE8">
            <w:pPr>
              <w:rPr>
                <w:lang w:val="es-ES_tradnl"/>
              </w:rPr>
            </w:pPr>
          </w:p>
        </w:tc>
        <w:tc>
          <w:tcPr>
            <w:tcW w:w="1985" w:type="dxa"/>
          </w:tcPr>
          <w:p w14:paraId="329D2CD0" w14:textId="77777777" w:rsidR="00EA69BF" w:rsidRPr="005A5612" w:rsidRDefault="00EA69BF" w:rsidP="00977CE8">
            <w:pPr>
              <w:rPr>
                <w:lang w:val="es-ES"/>
              </w:rPr>
            </w:pPr>
            <w:r w:rsidRPr="005A5612">
              <w:rPr>
                <w:lang w:val="es-ES_tradnl"/>
              </w:rPr>
              <w:t>Elevación de las transaminasas hepáticas, Aumento de peso, Elevación de la bilirrubina total*</w:t>
            </w:r>
          </w:p>
        </w:tc>
        <w:tc>
          <w:tcPr>
            <w:tcW w:w="1701" w:type="dxa"/>
          </w:tcPr>
          <w:p w14:paraId="52CCF0B1" w14:textId="77777777" w:rsidR="00EA69BF" w:rsidRPr="005A5612" w:rsidRDefault="00EA69BF" w:rsidP="00977CE8">
            <w:pPr>
              <w:rPr>
                <w:lang w:val="es-ES"/>
              </w:rPr>
            </w:pPr>
          </w:p>
        </w:tc>
        <w:tc>
          <w:tcPr>
            <w:tcW w:w="1701" w:type="dxa"/>
          </w:tcPr>
          <w:p w14:paraId="1B3A9AEF" w14:textId="77777777" w:rsidR="00EA69BF" w:rsidRDefault="00EA69BF" w:rsidP="00977CE8">
            <w:pPr>
              <w:rPr>
                <w:lang w:val="es-ES"/>
              </w:rPr>
            </w:pPr>
          </w:p>
        </w:tc>
        <w:tc>
          <w:tcPr>
            <w:tcW w:w="1275" w:type="dxa"/>
          </w:tcPr>
          <w:p w14:paraId="32567421" w14:textId="77777777" w:rsidR="00EA69BF" w:rsidRDefault="00EA69BF" w:rsidP="00977CE8">
            <w:pPr>
              <w:rPr>
                <w:lang w:val="es-ES"/>
              </w:rPr>
            </w:pPr>
          </w:p>
        </w:tc>
      </w:tr>
    </w:tbl>
    <w:p w14:paraId="77874980" w14:textId="77777777" w:rsidR="005169C6" w:rsidRDefault="005169C6" w:rsidP="00091E13">
      <w:pPr>
        <w:keepNext/>
        <w:keepLines/>
        <w:rPr>
          <w:sz w:val="18"/>
          <w:szCs w:val="18"/>
          <w:lang w:val="es-ES_tradnl"/>
        </w:rPr>
      </w:pPr>
    </w:p>
    <w:p w14:paraId="1C1B9D3A" w14:textId="77777777" w:rsidR="00236DFB" w:rsidRDefault="00834462" w:rsidP="00091E13">
      <w:pPr>
        <w:keepNext/>
        <w:keepLines/>
        <w:rPr>
          <w:sz w:val="18"/>
          <w:szCs w:val="18"/>
          <w:lang w:val="es-ES_tradnl"/>
        </w:rPr>
      </w:pPr>
      <w:r w:rsidRPr="00817DCE">
        <w:rPr>
          <w:sz w:val="18"/>
          <w:szCs w:val="18"/>
          <w:lang w:val="es-ES_tradnl"/>
        </w:rPr>
        <w:t>* Incluida las elevaciones obtenidas como parte de la monitorización de rutina del laboratorio (ver texto más abajo).</w:t>
      </w:r>
    </w:p>
    <w:p w14:paraId="6A6B78EF" w14:textId="77777777" w:rsidR="0038472E" w:rsidRDefault="0038472E" w:rsidP="00091E13">
      <w:pPr>
        <w:keepNext/>
        <w:keepLines/>
        <w:rPr>
          <w:sz w:val="18"/>
          <w:szCs w:val="18"/>
          <w:lang w:val="es-ES_tradnl"/>
        </w:rPr>
      </w:pPr>
      <w:r>
        <w:rPr>
          <w:sz w:val="18"/>
          <w:szCs w:val="18"/>
          <w:vertAlign w:val="superscript"/>
          <w:lang w:val="es-ES_tradnl"/>
        </w:rPr>
        <w:t xml:space="preserve">1 </w:t>
      </w:r>
      <w:r>
        <w:rPr>
          <w:sz w:val="18"/>
          <w:szCs w:val="18"/>
          <w:lang w:val="es-ES_tradnl"/>
        </w:rPr>
        <w:t>Ver sección 4.3</w:t>
      </w:r>
    </w:p>
    <w:p w14:paraId="380B51E0" w14:textId="77777777" w:rsidR="0038472E" w:rsidRDefault="0038472E" w:rsidP="00091E13">
      <w:pPr>
        <w:keepNext/>
        <w:keepLines/>
        <w:rPr>
          <w:sz w:val="18"/>
          <w:szCs w:val="18"/>
          <w:lang w:val="es-ES_tradnl"/>
        </w:rPr>
      </w:pPr>
      <w:r>
        <w:rPr>
          <w:sz w:val="18"/>
          <w:szCs w:val="18"/>
          <w:vertAlign w:val="superscript"/>
          <w:lang w:val="es-ES_tradnl"/>
        </w:rPr>
        <w:t xml:space="preserve">2 </w:t>
      </w:r>
      <w:r>
        <w:rPr>
          <w:sz w:val="18"/>
          <w:szCs w:val="18"/>
          <w:lang w:val="es-ES_tradnl"/>
        </w:rPr>
        <w:t>Ver sección 4.4</w:t>
      </w:r>
    </w:p>
    <w:p w14:paraId="2550CB2E" w14:textId="6DB43A19" w:rsidR="0038472E" w:rsidRDefault="0038472E" w:rsidP="00091E13">
      <w:pPr>
        <w:keepNext/>
        <w:keepLines/>
        <w:rPr>
          <w:sz w:val="18"/>
          <w:szCs w:val="18"/>
          <w:lang w:val="es-ES_tradnl"/>
        </w:rPr>
      </w:pPr>
      <w:r>
        <w:rPr>
          <w:sz w:val="18"/>
          <w:szCs w:val="18"/>
          <w:vertAlign w:val="superscript"/>
          <w:lang w:val="es-ES_tradnl"/>
        </w:rPr>
        <w:t xml:space="preserve">3 </w:t>
      </w:r>
      <w:r>
        <w:rPr>
          <w:sz w:val="18"/>
          <w:szCs w:val="18"/>
          <w:lang w:val="es-ES_tradnl"/>
        </w:rPr>
        <w:t>Esta re</w:t>
      </w:r>
      <w:r w:rsidR="00D52B51">
        <w:rPr>
          <w:sz w:val="18"/>
          <w:szCs w:val="18"/>
          <w:lang w:val="es-ES_tradnl"/>
        </w:rPr>
        <w:t xml:space="preserve">acción adversa se identificó </w:t>
      </w:r>
      <w:r w:rsidR="007C0408">
        <w:rPr>
          <w:sz w:val="18"/>
          <w:szCs w:val="18"/>
          <w:lang w:val="es-ES_tradnl"/>
        </w:rPr>
        <w:t>por vigilancia post-comercia</w:t>
      </w:r>
      <w:r w:rsidR="00D52B51">
        <w:rPr>
          <w:sz w:val="18"/>
          <w:szCs w:val="18"/>
          <w:lang w:val="es-ES_tradnl"/>
        </w:rPr>
        <w:t xml:space="preserve">lización, pero </w:t>
      </w:r>
      <w:ins w:id="852" w:author="AUTHOR">
        <w:r w:rsidR="00D00D6F">
          <w:rPr>
            <w:sz w:val="18"/>
            <w:szCs w:val="18"/>
            <w:lang w:val="es-ES_tradnl"/>
          </w:rPr>
          <w:t xml:space="preserve">no </w:t>
        </w:r>
      </w:ins>
      <w:r w:rsidR="00D52B51">
        <w:rPr>
          <w:sz w:val="18"/>
          <w:szCs w:val="18"/>
          <w:lang w:val="es-ES_tradnl"/>
        </w:rPr>
        <w:t xml:space="preserve">se observó </w:t>
      </w:r>
      <w:r w:rsidR="007C0408">
        <w:rPr>
          <w:sz w:val="18"/>
          <w:szCs w:val="18"/>
          <w:lang w:val="es-ES_tradnl"/>
        </w:rPr>
        <w:t>en ensayos clínicos</w:t>
      </w:r>
      <w:r w:rsidR="00CF43ED">
        <w:rPr>
          <w:sz w:val="18"/>
          <w:szCs w:val="18"/>
          <w:lang w:val="es-ES_tradnl"/>
        </w:rPr>
        <w:t xml:space="preserve"> controlados</w:t>
      </w:r>
      <w:r w:rsidR="007C0408">
        <w:rPr>
          <w:sz w:val="18"/>
          <w:szCs w:val="18"/>
          <w:lang w:val="es-ES_tradnl"/>
        </w:rPr>
        <w:t>.</w:t>
      </w:r>
    </w:p>
    <w:p w14:paraId="278F5E28" w14:textId="79834306" w:rsidR="007C0408" w:rsidRPr="0038472E" w:rsidRDefault="00D52B51" w:rsidP="00091E13">
      <w:pPr>
        <w:keepNext/>
        <w:keepLines/>
        <w:rPr>
          <w:sz w:val="18"/>
          <w:szCs w:val="18"/>
          <w:lang w:val="es-ES_tradnl"/>
        </w:rPr>
      </w:pPr>
      <w:r>
        <w:rPr>
          <w:sz w:val="18"/>
          <w:szCs w:val="18"/>
          <w:lang w:val="es-ES_tradnl"/>
        </w:rPr>
        <w:t xml:space="preserve">La categoría de frecuencia se estimó </w:t>
      </w:r>
      <w:r w:rsidR="007C0408">
        <w:rPr>
          <w:sz w:val="18"/>
          <w:szCs w:val="18"/>
          <w:lang w:val="es-ES_tradnl"/>
        </w:rPr>
        <w:t xml:space="preserve">utilizando el límite superior del intervalo de confianza del 95% calculado a partir del número total de pacientes expuestos a </w:t>
      </w:r>
      <w:r w:rsidR="00EA69BF">
        <w:rPr>
          <w:sz w:val="18"/>
          <w:szCs w:val="18"/>
          <w:lang w:val="es-ES_tradnl"/>
        </w:rPr>
        <w:t>tocilizumab</w:t>
      </w:r>
      <w:r w:rsidR="007C0408">
        <w:rPr>
          <w:sz w:val="18"/>
          <w:szCs w:val="18"/>
          <w:lang w:val="es-ES_tradnl"/>
        </w:rPr>
        <w:t xml:space="preserve"> en ensayos clínicos.</w:t>
      </w:r>
    </w:p>
    <w:p w14:paraId="421BF215" w14:textId="77777777" w:rsidR="00827BE7" w:rsidRPr="00817DCE" w:rsidRDefault="00827BE7" w:rsidP="003569D6">
      <w:pPr>
        <w:rPr>
          <w:sz w:val="18"/>
          <w:szCs w:val="18"/>
          <w:lang w:val="es-ES_tradnl"/>
        </w:rPr>
      </w:pPr>
    </w:p>
    <w:p w14:paraId="4522E965" w14:textId="77777777" w:rsidR="00D90204" w:rsidRDefault="00EA69BF" w:rsidP="003569D6">
      <w:pPr>
        <w:keepNext/>
        <w:keepLines/>
        <w:autoSpaceDE w:val="0"/>
        <w:autoSpaceDN w:val="0"/>
        <w:adjustRightInd w:val="0"/>
        <w:rPr>
          <w:rFonts w:eastAsia="SimSun"/>
          <w:szCs w:val="22"/>
          <w:u w:val="single"/>
          <w:lang w:val="es-ES" w:eastAsia="zh-CN"/>
        </w:rPr>
      </w:pPr>
      <w:r>
        <w:rPr>
          <w:rFonts w:eastAsia="SimSun"/>
          <w:szCs w:val="22"/>
          <w:u w:val="single"/>
          <w:lang w:val="es-ES_tradnl" w:eastAsia="zh-CN"/>
        </w:rPr>
        <w:t xml:space="preserve">Descripción de reacciones adversas </w:t>
      </w:r>
      <w:r w:rsidR="00A12F24">
        <w:rPr>
          <w:rFonts w:eastAsia="SimSun"/>
          <w:szCs w:val="22"/>
          <w:u w:val="single"/>
          <w:lang w:val="es-ES_tradnl" w:eastAsia="zh-CN"/>
        </w:rPr>
        <w:t xml:space="preserve">seleccionadas </w:t>
      </w:r>
      <w:r>
        <w:rPr>
          <w:rFonts w:eastAsia="SimSun"/>
          <w:szCs w:val="22"/>
          <w:u w:val="single"/>
          <w:lang w:val="es-ES_tradnl" w:eastAsia="zh-CN"/>
        </w:rPr>
        <w:t>(</w:t>
      </w:r>
      <w:r w:rsidR="00D90204">
        <w:rPr>
          <w:rFonts w:eastAsia="SimSun"/>
          <w:szCs w:val="22"/>
          <w:u w:val="single"/>
          <w:lang w:val="es-ES" w:eastAsia="zh-CN"/>
        </w:rPr>
        <w:t>Uso</w:t>
      </w:r>
      <w:r w:rsidR="00D90204" w:rsidRPr="00286CDE">
        <w:rPr>
          <w:rFonts w:eastAsia="SimSun"/>
          <w:szCs w:val="22"/>
          <w:u w:val="single"/>
          <w:lang w:val="es-ES" w:eastAsia="zh-CN"/>
        </w:rPr>
        <w:t xml:space="preserve"> </w:t>
      </w:r>
      <w:r w:rsidR="00D90204">
        <w:rPr>
          <w:rFonts w:eastAsia="SimSun"/>
          <w:szCs w:val="22"/>
          <w:u w:val="single"/>
          <w:lang w:val="es-ES" w:eastAsia="zh-CN"/>
        </w:rPr>
        <w:t>subcutáneo</w:t>
      </w:r>
      <w:r>
        <w:rPr>
          <w:rFonts w:eastAsia="SimSun"/>
          <w:szCs w:val="22"/>
          <w:u w:val="single"/>
          <w:lang w:val="es-ES" w:eastAsia="zh-CN"/>
        </w:rPr>
        <w:t>)</w:t>
      </w:r>
    </w:p>
    <w:p w14:paraId="67609265" w14:textId="77777777" w:rsidR="00EA69BF" w:rsidRDefault="00EA69BF" w:rsidP="003569D6">
      <w:pPr>
        <w:keepNext/>
        <w:keepLines/>
        <w:autoSpaceDE w:val="0"/>
        <w:autoSpaceDN w:val="0"/>
        <w:adjustRightInd w:val="0"/>
        <w:rPr>
          <w:rFonts w:eastAsia="SimSun"/>
          <w:szCs w:val="22"/>
          <w:u w:val="single"/>
          <w:lang w:val="es-ES" w:eastAsia="zh-CN"/>
        </w:rPr>
      </w:pPr>
    </w:p>
    <w:p w14:paraId="7EDD0A33" w14:textId="77777777" w:rsidR="00D90204" w:rsidRPr="00F30AB8" w:rsidRDefault="00EA69BF" w:rsidP="003569D6">
      <w:pPr>
        <w:keepNext/>
        <w:keepLines/>
        <w:autoSpaceDE w:val="0"/>
        <w:autoSpaceDN w:val="0"/>
        <w:adjustRightInd w:val="0"/>
        <w:rPr>
          <w:rFonts w:eastAsia="SimSun"/>
          <w:i/>
          <w:szCs w:val="22"/>
          <w:lang w:val="es-ES" w:eastAsia="zh-CN"/>
        </w:rPr>
      </w:pPr>
      <w:r w:rsidRPr="00F30AB8">
        <w:rPr>
          <w:rFonts w:eastAsia="SimSun"/>
          <w:i/>
          <w:szCs w:val="22"/>
          <w:lang w:val="es-ES" w:eastAsia="zh-CN"/>
        </w:rPr>
        <w:t xml:space="preserve">Pacientes </w:t>
      </w:r>
      <w:r w:rsidR="003532C2">
        <w:rPr>
          <w:rFonts w:eastAsia="SimSun"/>
          <w:i/>
          <w:szCs w:val="22"/>
          <w:lang w:val="es-ES" w:eastAsia="zh-CN"/>
        </w:rPr>
        <w:t xml:space="preserve">con </w:t>
      </w:r>
      <w:r w:rsidR="00D90204" w:rsidRPr="00F30AB8">
        <w:rPr>
          <w:rFonts w:eastAsia="SimSun"/>
          <w:i/>
          <w:szCs w:val="22"/>
          <w:lang w:val="es-ES" w:eastAsia="zh-CN"/>
        </w:rPr>
        <w:t>AR</w:t>
      </w:r>
    </w:p>
    <w:p w14:paraId="00DD3ABF" w14:textId="3715346E" w:rsidR="00D90204" w:rsidRDefault="00D90204" w:rsidP="00F30AB8">
      <w:pPr>
        <w:rPr>
          <w:lang w:val="es-ES"/>
        </w:rPr>
      </w:pPr>
      <w:r>
        <w:rPr>
          <w:rFonts w:eastAsia="SimSun"/>
          <w:szCs w:val="22"/>
          <w:lang w:val="es-ES" w:eastAsia="zh-CN"/>
        </w:rPr>
        <w:t xml:space="preserve">La seguridad de </w:t>
      </w:r>
      <w:r w:rsidR="00EA69BF">
        <w:rPr>
          <w:szCs w:val="22"/>
          <w:lang w:val="es-ES"/>
        </w:rPr>
        <w:t>tocilizuma</w:t>
      </w:r>
      <w:del w:id="853" w:author="AUTHOR">
        <w:r w:rsidR="00EA69BF" w:rsidDel="00D00D6F">
          <w:rPr>
            <w:szCs w:val="22"/>
            <w:lang w:val="es-ES"/>
          </w:rPr>
          <w:delText>n</w:delText>
        </w:r>
      </w:del>
      <w:ins w:id="854" w:author="AUTHOR">
        <w:r w:rsidR="00D00D6F">
          <w:rPr>
            <w:szCs w:val="22"/>
            <w:lang w:val="es-ES"/>
          </w:rPr>
          <w:t>b</w:t>
        </w:r>
      </w:ins>
      <w:r w:rsidR="00EA69BF" w:rsidRPr="006868F5">
        <w:rPr>
          <w:szCs w:val="22"/>
          <w:lang w:val="es-ES"/>
        </w:rPr>
        <w:t xml:space="preserve"> </w:t>
      </w:r>
      <w:r>
        <w:rPr>
          <w:rFonts w:eastAsia="SimSun"/>
          <w:szCs w:val="22"/>
          <w:lang w:val="es-ES" w:eastAsia="zh-CN"/>
        </w:rPr>
        <w:t xml:space="preserve">subcutáneo en AR incluye un ensayo doble ciego, controlado, multicéntrico, </w:t>
      </w:r>
      <w:r w:rsidRPr="00286CDE">
        <w:rPr>
          <w:lang w:val="es-ES"/>
        </w:rPr>
        <w:t xml:space="preserve">SC-I. SC-I </w:t>
      </w:r>
      <w:r>
        <w:rPr>
          <w:lang w:val="es-ES"/>
        </w:rPr>
        <w:t>es</w:t>
      </w:r>
      <w:r w:rsidRPr="00286CDE">
        <w:rPr>
          <w:lang w:val="es-ES"/>
        </w:rPr>
        <w:t xml:space="preserve"> un e</w:t>
      </w:r>
      <w:r>
        <w:rPr>
          <w:lang w:val="es-ES"/>
        </w:rPr>
        <w:t>nsay</w:t>
      </w:r>
      <w:r w:rsidRPr="00286CDE">
        <w:rPr>
          <w:lang w:val="es-ES"/>
        </w:rPr>
        <w:t>o de no inferioridad</w:t>
      </w:r>
      <w:r>
        <w:rPr>
          <w:lang w:val="es-ES"/>
        </w:rPr>
        <w:t>,</w:t>
      </w:r>
      <w:r w:rsidRPr="00286CDE">
        <w:rPr>
          <w:lang w:val="es-ES"/>
        </w:rPr>
        <w:t xml:space="preserve"> que comparó la eficacia y seguridad de </w:t>
      </w:r>
      <w:r w:rsidRPr="006868F5">
        <w:rPr>
          <w:szCs w:val="22"/>
          <w:lang w:val="es-ES"/>
        </w:rPr>
        <w:t xml:space="preserve"> </w:t>
      </w:r>
      <w:r w:rsidRPr="00286CDE">
        <w:rPr>
          <w:lang w:val="es-ES"/>
        </w:rPr>
        <w:t>162</w:t>
      </w:r>
      <w:r w:rsidR="000776DF">
        <w:rPr>
          <w:lang w:val="es-ES"/>
        </w:rPr>
        <w:t> </w:t>
      </w:r>
      <w:r w:rsidRPr="00286CDE">
        <w:rPr>
          <w:lang w:val="es-ES"/>
        </w:rPr>
        <w:t>mg administrado</w:t>
      </w:r>
      <w:r>
        <w:rPr>
          <w:lang w:val="es-ES"/>
        </w:rPr>
        <w:t>s</w:t>
      </w:r>
      <w:r w:rsidRPr="00286CDE">
        <w:rPr>
          <w:lang w:val="es-ES"/>
        </w:rPr>
        <w:t xml:space="preserve"> una vez por semana frente a 8</w:t>
      </w:r>
      <w:r w:rsidR="000776DF">
        <w:rPr>
          <w:lang w:val="es-ES"/>
        </w:rPr>
        <w:t> </w:t>
      </w:r>
      <w:r w:rsidRPr="00286CDE">
        <w:rPr>
          <w:lang w:val="es-ES"/>
        </w:rPr>
        <w:t>mg/kg v</w:t>
      </w:r>
      <w:r>
        <w:rPr>
          <w:lang w:val="es-ES"/>
        </w:rPr>
        <w:t>ía intravenosa en 1.262</w:t>
      </w:r>
      <w:r w:rsidR="000776DF">
        <w:rPr>
          <w:lang w:val="es-ES"/>
        </w:rPr>
        <w:t> </w:t>
      </w:r>
      <w:r>
        <w:rPr>
          <w:lang w:val="es-ES"/>
        </w:rPr>
        <w:t xml:space="preserve"> pacientes con AR. Todos los pacientes recibieron previamente FAMEs no biológicos. La seguridad e inmunogenicidad observada por la administración de </w:t>
      </w:r>
      <w:r w:rsidR="00EA69BF">
        <w:rPr>
          <w:szCs w:val="22"/>
          <w:lang w:val="es-ES"/>
        </w:rPr>
        <w:t>tocilizumab</w:t>
      </w:r>
      <w:r w:rsidR="00EA69BF" w:rsidRPr="006868F5">
        <w:rPr>
          <w:szCs w:val="22"/>
          <w:lang w:val="es-ES"/>
        </w:rPr>
        <w:t xml:space="preserve"> </w:t>
      </w:r>
      <w:r>
        <w:rPr>
          <w:lang w:val="es-ES"/>
        </w:rPr>
        <w:t xml:space="preserve">subcutáneo, estuvo en línea con el perfil de seguridad conocido de </w:t>
      </w:r>
      <w:r w:rsidR="00EA69BF">
        <w:rPr>
          <w:szCs w:val="22"/>
          <w:lang w:val="es-ES"/>
        </w:rPr>
        <w:t>tocilizumab</w:t>
      </w:r>
      <w:r w:rsidR="00EA69BF" w:rsidRPr="006868F5">
        <w:rPr>
          <w:szCs w:val="22"/>
          <w:lang w:val="es-ES"/>
        </w:rPr>
        <w:t xml:space="preserve"> </w:t>
      </w:r>
      <w:r>
        <w:rPr>
          <w:lang w:val="es-ES"/>
        </w:rPr>
        <w:t>intravenoso y no se observaron reacciones adversas nuevas o inesperadas (ver tabla</w:t>
      </w:r>
      <w:r w:rsidR="000776DF">
        <w:rPr>
          <w:lang w:val="es-ES"/>
        </w:rPr>
        <w:t> </w:t>
      </w:r>
      <w:r>
        <w:rPr>
          <w:lang w:val="es-ES"/>
        </w:rPr>
        <w:t xml:space="preserve">1). Se observó una mayor frecuencia de reacciones en el lugar de la inyección en el </w:t>
      </w:r>
      <w:del w:id="855" w:author="AUTHOR">
        <w:r w:rsidDel="004E273B">
          <w:rPr>
            <w:lang w:val="es-ES"/>
          </w:rPr>
          <w:delText>brazo</w:delText>
        </w:r>
      </w:del>
      <w:ins w:id="856" w:author="AUTHOR">
        <w:r w:rsidR="004E273B">
          <w:rPr>
            <w:lang w:val="es-ES"/>
          </w:rPr>
          <w:t>grupo</w:t>
        </w:r>
      </w:ins>
      <w:r>
        <w:rPr>
          <w:lang w:val="es-ES"/>
        </w:rPr>
        <w:t xml:space="preserve"> subcutáneo comparado con la inyección subcutánea con placebo del </w:t>
      </w:r>
      <w:del w:id="857" w:author="AUTHOR">
        <w:r w:rsidDel="004E273B">
          <w:rPr>
            <w:lang w:val="es-ES"/>
          </w:rPr>
          <w:delText>brazo</w:delText>
        </w:r>
      </w:del>
      <w:ins w:id="858" w:author="AUTHOR">
        <w:r w:rsidR="004E273B">
          <w:rPr>
            <w:lang w:val="es-ES"/>
          </w:rPr>
          <w:t>grupo</w:t>
        </w:r>
      </w:ins>
      <w:r>
        <w:rPr>
          <w:lang w:val="es-ES"/>
        </w:rPr>
        <w:t xml:space="preserve"> intravenoso.</w:t>
      </w:r>
    </w:p>
    <w:p w14:paraId="42235A5F" w14:textId="77777777" w:rsidR="00D90204" w:rsidRDefault="00D90204" w:rsidP="00D90204">
      <w:pPr>
        <w:autoSpaceDE w:val="0"/>
        <w:autoSpaceDN w:val="0"/>
        <w:adjustRightInd w:val="0"/>
        <w:rPr>
          <w:lang w:val="es-ES"/>
        </w:rPr>
      </w:pPr>
    </w:p>
    <w:p w14:paraId="614ED610" w14:textId="77777777" w:rsidR="00D90204" w:rsidRPr="00F30AB8" w:rsidRDefault="00D90204" w:rsidP="00D90204">
      <w:pPr>
        <w:autoSpaceDE w:val="0"/>
        <w:autoSpaceDN w:val="0"/>
        <w:adjustRightInd w:val="0"/>
        <w:rPr>
          <w:i/>
          <w:u w:val="single"/>
          <w:lang w:val="es-ES"/>
        </w:rPr>
      </w:pPr>
      <w:r w:rsidRPr="00F30AB8">
        <w:rPr>
          <w:i/>
          <w:u w:val="single"/>
          <w:lang w:val="es-ES"/>
        </w:rPr>
        <w:t>Reacciones en el lugar de la inyección</w:t>
      </w:r>
    </w:p>
    <w:p w14:paraId="28770A2B" w14:textId="017A4649" w:rsidR="00D90204" w:rsidRDefault="00D90204" w:rsidP="00D90204">
      <w:pPr>
        <w:autoSpaceDE w:val="0"/>
        <w:autoSpaceDN w:val="0"/>
        <w:adjustRightInd w:val="0"/>
        <w:rPr>
          <w:lang w:val="es-ES"/>
        </w:rPr>
      </w:pPr>
      <w:r>
        <w:rPr>
          <w:lang w:val="es-ES"/>
        </w:rPr>
        <w:t xml:space="preserve">Durante el periodo controlado de 6 meses, en SC-I, la frecuencia de reacciones en el lugar de la inyección, fue de 10, 1 % (64/631) para </w:t>
      </w:r>
      <w:r w:rsidR="00EA69BF">
        <w:rPr>
          <w:lang w:val="es-ES"/>
        </w:rPr>
        <w:t xml:space="preserve">tocilizumab </w:t>
      </w:r>
      <w:r>
        <w:rPr>
          <w:lang w:val="es-ES"/>
        </w:rPr>
        <w:t xml:space="preserve">subcutáneo y de 2,4 % (15/631) para el placebo </w:t>
      </w:r>
      <w:r w:rsidRPr="00286CDE">
        <w:rPr>
          <w:lang w:val="es-ES"/>
        </w:rPr>
        <w:t>subcutáneo (</w:t>
      </w:r>
      <w:r>
        <w:rPr>
          <w:lang w:val="es-ES"/>
        </w:rPr>
        <w:t>del grupo de tocilizumab intravenoso) con inyecciones semanales. Estas reacciones en el lugar de la inyección (incluyendo eritema, prurito, dolor y hematomas) fueron de intensidad leve a moderada en cuanto a gravedad. La mayoría fue resuelta sin ningún tratamiento y no se necesitó interrumpir el tratamiento.</w:t>
      </w:r>
    </w:p>
    <w:p w14:paraId="79CDCBBD" w14:textId="77777777" w:rsidR="00D90204" w:rsidRDefault="00D90204" w:rsidP="00D90204">
      <w:pPr>
        <w:autoSpaceDE w:val="0"/>
        <w:autoSpaceDN w:val="0"/>
        <w:adjustRightInd w:val="0"/>
        <w:rPr>
          <w:lang w:val="es-ES"/>
        </w:rPr>
      </w:pPr>
    </w:p>
    <w:p w14:paraId="670E13BC" w14:textId="77777777" w:rsidR="00D90204" w:rsidRPr="00F30AB8" w:rsidRDefault="00D90204" w:rsidP="00D90204">
      <w:pPr>
        <w:autoSpaceDE w:val="0"/>
        <w:autoSpaceDN w:val="0"/>
        <w:adjustRightInd w:val="0"/>
        <w:rPr>
          <w:i/>
          <w:u w:val="single"/>
          <w:lang w:val="es-ES"/>
        </w:rPr>
      </w:pPr>
      <w:r w:rsidRPr="00F30AB8">
        <w:rPr>
          <w:i/>
          <w:u w:val="single"/>
          <w:lang w:val="es-ES"/>
        </w:rPr>
        <w:t>Inmunogenicidad</w:t>
      </w:r>
    </w:p>
    <w:p w14:paraId="2217F9BA" w14:textId="0355F0AB" w:rsidR="00D90204" w:rsidRDefault="00D90204" w:rsidP="00D90204">
      <w:pPr>
        <w:autoSpaceDE w:val="0"/>
        <w:autoSpaceDN w:val="0"/>
        <w:adjustRightInd w:val="0"/>
        <w:rPr>
          <w:lang w:val="es-ES"/>
        </w:rPr>
      </w:pPr>
      <w:r>
        <w:rPr>
          <w:lang w:val="es-ES"/>
        </w:rPr>
        <w:t xml:space="preserve">En </w:t>
      </w:r>
      <w:r w:rsidRPr="00286CDE">
        <w:rPr>
          <w:lang w:val="es-ES"/>
        </w:rPr>
        <w:t>SC-I,</w:t>
      </w:r>
      <w:r>
        <w:rPr>
          <w:lang w:val="es-ES"/>
        </w:rPr>
        <w:t xml:space="preserve"> en un total de 625</w:t>
      </w:r>
      <w:r w:rsidR="00DE55C8" w:rsidRPr="00F30AB8">
        <w:rPr>
          <w:szCs w:val="22"/>
          <w:lang w:val="es-ES"/>
        </w:rPr>
        <w:t> </w:t>
      </w:r>
      <w:r>
        <w:rPr>
          <w:lang w:val="es-ES"/>
        </w:rPr>
        <w:t xml:space="preserve">pacientes tratados con </w:t>
      </w:r>
      <w:r w:rsidR="007B4A4E">
        <w:rPr>
          <w:szCs w:val="22"/>
          <w:lang w:val="es-ES"/>
        </w:rPr>
        <w:t>tocilizumab</w:t>
      </w:r>
      <w:r w:rsidR="007B4A4E" w:rsidRPr="006868F5">
        <w:rPr>
          <w:szCs w:val="22"/>
          <w:lang w:val="es-ES"/>
        </w:rPr>
        <w:t xml:space="preserve"> </w:t>
      </w:r>
      <w:r>
        <w:rPr>
          <w:lang w:val="es-ES"/>
        </w:rPr>
        <w:t>162</w:t>
      </w:r>
      <w:r w:rsidR="00DE55C8" w:rsidRPr="00F30AB8">
        <w:rPr>
          <w:szCs w:val="22"/>
          <w:lang w:val="es-ES"/>
        </w:rPr>
        <w:t> </w:t>
      </w:r>
      <w:r>
        <w:rPr>
          <w:lang w:val="es-ES"/>
        </w:rPr>
        <w:t xml:space="preserve">mg semanal, </w:t>
      </w:r>
      <w:r w:rsidRPr="00286CDE">
        <w:rPr>
          <w:lang w:val="es-ES"/>
        </w:rPr>
        <w:t xml:space="preserve">se estudiaron los </w:t>
      </w:r>
      <w:r>
        <w:rPr>
          <w:lang w:val="es-ES"/>
        </w:rPr>
        <w:t>anticuerpos anti-</w:t>
      </w:r>
      <w:r w:rsidRPr="006868F5">
        <w:rPr>
          <w:szCs w:val="22"/>
          <w:lang w:val="es-ES"/>
        </w:rPr>
        <w:t xml:space="preserve"> </w:t>
      </w:r>
      <w:r w:rsidR="007B4A4E">
        <w:rPr>
          <w:szCs w:val="22"/>
          <w:lang w:val="es-ES"/>
        </w:rPr>
        <w:t>tocilizumab</w:t>
      </w:r>
      <w:r w:rsidR="007B4A4E" w:rsidRPr="006868F5" w:rsidDel="007B4A4E">
        <w:rPr>
          <w:szCs w:val="22"/>
          <w:lang w:val="es-ES"/>
        </w:rPr>
        <w:t xml:space="preserve"> </w:t>
      </w:r>
      <w:r>
        <w:rPr>
          <w:lang w:val="es-ES"/>
        </w:rPr>
        <w:t>en un periodo de 6 meses controlado. Cinco pacientes (0,8 %) desarrollaron anticuerpos anti-</w:t>
      </w:r>
      <w:r w:rsidRPr="006868F5">
        <w:rPr>
          <w:szCs w:val="22"/>
          <w:lang w:val="es-ES"/>
        </w:rPr>
        <w:t xml:space="preserve"> </w:t>
      </w:r>
      <w:r w:rsidR="007B4A4E">
        <w:rPr>
          <w:szCs w:val="22"/>
          <w:lang w:val="es-ES"/>
        </w:rPr>
        <w:t>tocilizumab</w:t>
      </w:r>
      <w:r w:rsidR="007B4A4E" w:rsidRPr="006868F5" w:rsidDel="007B4A4E">
        <w:rPr>
          <w:szCs w:val="22"/>
          <w:lang w:val="es-ES"/>
        </w:rPr>
        <w:t xml:space="preserve"> </w:t>
      </w:r>
      <w:r>
        <w:rPr>
          <w:lang w:val="es-ES"/>
        </w:rPr>
        <w:t>positivos, de los cuales, todos desarrollaron anticuerpos anti-</w:t>
      </w:r>
      <w:r w:rsidRPr="006868F5">
        <w:rPr>
          <w:szCs w:val="22"/>
          <w:lang w:val="es-ES"/>
        </w:rPr>
        <w:t xml:space="preserve"> </w:t>
      </w:r>
      <w:r w:rsidR="007B4A4E">
        <w:rPr>
          <w:szCs w:val="22"/>
          <w:lang w:val="es-ES"/>
        </w:rPr>
        <w:t>tocilizumab</w:t>
      </w:r>
      <w:r w:rsidR="007B4A4E" w:rsidRPr="006868F5" w:rsidDel="007B4A4E">
        <w:rPr>
          <w:szCs w:val="22"/>
          <w:lang w:val="es-ES"/>
        </w:rPr>
        <w:t xml:space="preserve"> </w:t>
      </w:r>
      <w:r>
        <w:rPr>
          <w:lang w:val="es-ES"/>
        </w:rPr>
        <w:t>neutralizantes. Un paciente dio positivo el isotipo de IgE (0,2 %).</w:t>
      </w:r>
    </w:p>
    <w:p w14:paraId="0CD413AA" w14:textId="77777777" w:rsidR="00D90204" w:rsidRDefault="00D90204" w:rsidP="00D90204">
      <w:pPr>
        <w:autoSpaceDE w:val="0"/>
        <w:autoSpaceDN w:val="0"/>
        <w:adjustRightInd w:val="0"/>
        <w:rPr>
          <w:lang w:val="es-ES"/>
        </w:rPr>
      </w:pPr>
    </w:p>
    <w:p w14:paraId="3F0311FC" w14:textId="30352181" w:rsidR="00D90204" w:rsidRDefault="00D90204" w:rsidP="00D90204">
      <w:pPr>
        <w:autoSpaceDE w:val="0"/>
        <w:autoSpaceDN w:val="0"/>
        <w:adjustRightInd w:val="0"/>
        <w:rPr>
          <w:lang w:val="es-ES"/>
        </w:rPr>
      </w:pPr>
      <w:r>
        <w:rPr>
          <w:lang w:val="es-ES"/>
        </w:rPr>
        <w:t xml:space="preserve">En </w:t>
      </w:r>
      <w:r w:rsidRPr="00286CDE">
        <w:rPr>
          <w:lang w:val="es-ES"/>
        </w:rPr>
        <w:t>SC-II</w:t>
      </w:r>
      <w:r>
        <w:rPr>
          <w:lang w:val="es-ES"/>
        </w:rPr>
        <w:t>, en un total de 434</w:t>
      </w:r>
      <w:r w:rsidR="003532C2" w:rsidRPr="00BB710F">
        <w:rPr>
          <w:szCs w:val="22"/>
          <w:lang w:val="es-ES"/>
        </w:rPr>
        <w:t> </w:t>
      </w:r>
      <w:r>
        <w:rPr>
          <w:lang w:val="es-ES"/>
        </w:rPr>
        <w:t>pacientes tratados con tocilizumab 162</w:t>
      </w:r>
      <w:r w:rsidR="00DE55C8" w:rsidRPr="00F30AB8">
        <w:rPr>
          <w:szCs w:val="22"/>
          <w:lang w:val="es-ES"/>
        </w:rPr>
        <w:t> </w:t>
      </w:r>
      <w:r>
        <w:rPr>
          <w:lang w:val="es-ES"/>
        </w:rPr>
        <w:t xml:space="preserve">mg cada dos semanas, </w:t>
      </w:r>
      <w:r w:rsidRPr="00286CDE">
        <w:rPr>
          <w:lang w:val="es-ES"/>
        </w:rPr>
        <w:t>se estudiaron los anticuerpos anti-</w:t>
      </w:r>
      <w:r w:rsidRPr="006868F5">
        <w:rPr>
          <w:szCs w:val="22"/>
          <w:lang w:val="es-ES"/>
        </w:rPr>
        <w:t xml:space="preserve"> </w:t>
      </w:r>
      <w:r w:rsidR="00DE55C8">
        <w:rPr>
          <w:szCs w:val="22"/>
          <w:lang w:val="es-ES"/>
        </w:rPr>
        <w:t>tocilizumab</w:t>
      </w:r>
      <w:r w:rsidRPr="00286CDE" w:rsidDel="00C34E7D">
        <w:rPr>
          <w:lang w:val="es-ES"/>
        </w:rPr>
        <w:t xml:space="preserve"> </w:t>
      </w:r>
      <w:r w:rsidRPr="00286CDE">
        <w:rPr>
          <w:lang w:val="es-ES"/>
        </w:rPr>
        <w:t>en un periodo de 6</w:t>
      </w:r>
      <w:r w:rsidR="00DE55C8" w:rsidRPr="00F30AB8">
        <w:rPr>
          <w:szCs w:val="22"/>
          <w:lang w:val="es-ES"/>
        </w:rPr>
        <w:t> </w:t>
      </w:r>
      <w:r w:rsidRPr="00286CDE">
        <w:rPr>
          <w:lang w:val="es-ES"/>
        </w:rPr>
        <w:t>meses controlado. Siete pacient</w:t>
      </w:r>
      <w:r>
        <w:rPr>
          <w:lang w:val="es-ES"/>
        </w:rPr>
        <w:t>es (1,6 %) desarrollaron anticuerpos anti-</w:t>
      </w:r>
      <w:r w:rsidRPr="006868F5">
        <w:rPr>
          <w:szCs w:val="22"/>
          <w:lang w:val="es-ES"/>
        </w:rPr>
        <w:t xml:space="preserve"> </w:t>
      </w:r>
      <w:r w:rsidR="00DE55C8">
        <w:rPr>
          <w:szCs w:val="22"/>
          <w:lang w:val="es-ES"/>
        </w:rPr>
        <w:t>tocilizumab</w:t>
      </w:r>
      <w:r>
        <w:rPr>
          <w:lang w:val="es-ES"/>
        </w:rPr>
        <w:t xml:space="preserve"> positivos, de los cuales, seis (1,4 %) desarrollaron anticuerpos anti-</w:t>
      </w:r>
      <w:r w:rsidRPr="006868F5">
        <w:rPr>
          <w:szCs w:val="22"/>
          <w:lang w:val="es-ES"/>
        </w:rPr>
        <w:t xml:space="preserve"> </w:t>
      </w:r>
      <w:r w:rsidR="00DE55C8">
        <w:rPr>
          <w:szCs w:val="22"/>
          <w:lang w:val="es-ES"/>
        </w:rPr>
        <w:t>tocilizumab</w:t>
      </w:r>
      <w:r w:rsidR="00DE55C8" w:rsidDel="00254862">
        <w:rPr>
          <w:lang w:val="es-ES"/>
        </w:rPr>
        <w:t xml:space="preserve"> </w:t>
      </w:r>
      <w:r>
        <w:rPr>
          <w:lang w:val="es-ES"/>
        </w:rPr>
        <w:t>neutralizantes. Cuatro pacientes dieron positivo el isotipo de IgE (0,9 %).</w:t>
      </w:r>
    </w:p>
    <w:p w14:paraId="73D5D758" w14:textId="77777777" w:rsidR="00D90204" w:rsidRDefault="00D90204" w:rsidP="00D90204">
      <w:pPr>
        <w:autoSpaceDE w:val="0"/>
        <w:autoSpaceDN w:val="0"/>
        <w:adjustRightInd w:val="0"/>
        <w:rPr>
          <w:lang w:val="es-ES"/>
        </w:rPr>
      </w:pPr>
    </w:p>
    <w:p w14:paraId="6DB35343" w14:textId="77777777" w:rsidR="00D90204" w:rsidRDefault="00D90204" w:rsidP="00D90204">
      <w:pPr>
        <w:autoSpaceDE w:val="0"/>
        <w:autoSpaceDN w:val="0"/>
        <w:adjustRightInd w:val="0"/>
        <w:rPr>
          <w:lang w:val="es-ES"/>
        </w:rPr>
      </w:pPr>
      <w:r>
        <w:rPr>
          <w:lang w:val="es-ES"/>
        </w:rPr>
        <w:t>No se observó correlación entre el desarrollo de anticuerpos con la respuesta clínica o efectos adversos.</w:t>
      </w:r>
    </w:p>
    <w:p w14:paraId="138E1AC4" w14:textId="5E43D5D1" w:rsidR="00D90204" w:rsidDel="00E3715A" w:rsidRDefault="00D90204" w:rsidP="00D90204">
      <w:pPr>
        <w:autoSpaceDE w:val="0"/>
        <w:autoSpaceDN w:val="0"/>
        <w:adjustRightInd w:val="0"/>
        <w:rPr>
          <w:del w:id="859" w:author="tcs" w:date="2026-02-26T10:50:00Z"/>
          <w:lang w:val="es-ES"/>
        </w:rPr>
      </w:pPr>
    </w:p>
    <w:p w14:paraId="4DA59A8F" w14:textId="6DF1735F" w:rsidR="00D90204" w:rsidRPr="00513DDB" w:rsidRDefault="00D90204" w:rsidP="00D90204">
      <w:pPr>
        <w:keepNext/>
        <w:keepLines/>
        <w:autoSpaceDE w:val="0"/>
        <w:autoSpaceDN w:val="0"/>
        <w:adjustRightInd w:val="0"/>
        <w:rPr>
          <w:b/>
          <w:i/>
          <w:iCs/>
          <w:lang w:val="es-ES_tradnl"/>
        </w:rPr>
      </w:pPr>
    </w:p>
    <w:p w14:paraId="6527331E" w14:textId="77777777" w:rsidR="00D90204" w:rsidRPr="00F30AB8" w:rsidRDefault="00D90204" w:rsidP="00D90204">
      <w:pPr>
        <w:keepNext/>
        <w:keepLines/>
        <w:autoSpaceDE w:val="0"/>
        <w:autoSpaceDN w:val="0"/>
        <w:adjustRightInd w:val="0"/>
        <w:rPr>
          <w:i/>
          <w:iCs/>
          <w:u w:val="single"/>
          <w:lang w:val="es-ES_tradnl"/>
        </w:rPr>
      </w:pPr>
      <w:r w:rsidRPr="00F30AB8">
        <w:rPr>
          <w:i/>
          <w:iCs/>
          <w:u w:val="single"/>
          <w:lang w:val="es-ES_tradnl"/>
        </w:rPr>
        <w:t xml:space="preserve">Neutrófilos </w:t>
      </w:r>
    </w:p>
    <w:p w14:paraId="2BE0F791" w14:textId="3634787C" w:rsidR="00D90204" w:rsidRDefault="00D90204" w:rsidP="00D90204">
      <w:pPr>
        <w:autoSpaceDE w:val="0"/>
        <w:autoSpaceDN w:val="0"/>
        <w:adjustRightInd w:val="0"/>
        <w:rPr>
          <w:lang w:val="es-ES_tradnl"/>
        </w:rPr>
      </w:pPr>
      <w:r>
        <w:rPr>
          <w:lang w:val="es-ES_tradnl"/>
        </w:rPr>
        <w:t>Durante 6</w:t>
      </w:r>
      <w:r w:rsidR="00DE55C8" w:rsidRPr="00F30AB8">
        <w:rPr>
          <w:szCs w:val="22"/>
          <w:lang w:val="es-ES"/>
        </w:rPr>
        <w:t> </w:t>
      </w:r>
      <w:r>
        <w:rPr>
          <w:lang w:val="es-ES_tradnl"/>
        </w:rPr>
        <w:t xml:space="preserve">meses del ensayo clínico SC-I con </w:t>
      </w:r>
      <w:r w:rsidR="00EA0B87">
        <w:rPr>
          <w:szCs w:val="22"/>
          <w:lang w:val="es-ES"/>
        </w:rPr>
        <w:t>tocilizumab</w:t>
      </w:r>
      <w:r>
        <w:rPr>
          <w:lang w:val="es-ES_tradnl"/>
        </w:rPr>
        <w:t>, en la monitorización de rutina del laboratorio, se produjeron descensos en el</w:t>
      </w:r>
      <w:r w:rsidRPr="008A106B">
        <w:rPr>
          <w:lang w:val="es-ES_tradnl"/>
        </w:rPr>
        <w:t xml:space="preserve"> recuento de neutrófilos por debajo de 1</w:t>
      </w:r>
      <w:r w:rsidR="00DE55C8" w:rsidRPr="00F30AB8">
        <w:rPr>
          <w:szCs w:val="22"/>
          <w:lang w:val="es-ES" w:eastAsia="de-DE"/>
        </w:rPr>
        <w:t> </w:t>
      </w:r>
      <w:proofErr w:type="gramStart"/>
      <w:r w:rsidR="00DE55C8" w:rsidRPr="00F30AB8">
        <w:rPr>
          <w:szCs w:val="22"/>
          <w:lang w:val="es-ES" w:eastAsia="de-DE"/>
        </w:rPr>
        <w:t>× </w:t>
      </w:r>
      <w:r w:rsidR="00DE55C8" w:rsidRPr="008A106B" w:rsidDel="00DE55C8">
        <w:rPr>
          <w:lang w:val="es-ES_tradnl"/>
        </w:rPr>
        <w:t xml:space="preserve"> </w:t>
      </w:r>
      <w:r w:rsidRPr="008A106B">
        <w:rPr>
          <w:lang w:val="es-ES_tradnl"/>
        </w:rPr>
        <w:t>10</w:t>
      </w:r>
      <w:r w:rsidRPr="008A106B">
        <w:rPr>
          <w:vertAlign w:val="superscript"/>
          <w:lang w:val="es-ES_tradnl"/>
        </w:rPr>
        <w:t>9</w:t>
      </w:r>
      <w:proofErr w:type="gramEnd"/>
      <w:r w:rsidRPr="008A106B">
        <w:rPr>
          <w:lang w:val="es-ES_tradnl"/>
        </w:rPr>
        <w:t xml:space="preserve">/l en el </w:t>
      </w:r>
      <w:r>
        <w:rPr>
          <w:lang w:val="es-ES_tradnl"/>
        </w:rPr>
        <w:t>2</w:t>
      </w:r>
      <w:r w:rsidRPr="008A106B">
        <w:rPr>
          <w:lang w:val="es-ES_tradnl"/>
        </w:rPr>
        <w:t>,</w:t>
      </w:r>
      <w:r>
        <w:rPr>
          <w:lang w:val="es-ES_tradnl"/>
        </w:rPr>
        <w:t>9</w:t>
      </w:r>
      <w:r w:rsidRPr="008A106B">
        <w:rPr>
          <w:lang w:val="es-ES_tradnl"/>
        </w:rPr>
        <w:t xml:space="preserve"> % de los pacientes </w:t>
      </w:r>
      <w:r>
        <w:rPr>
          <w:lang w:val="es-ES_tradnl"/>
        </w:rPr>
        <w:t>en la dosis subcutánea semanal.</w:t>
      </w:r>
    </w:p>
    <w:p w14:paraId="70863E34" w14:textId="77777777" w:rsidR="00D90204" w:rsidRDefault="00D90204" w:rsidP="00D90204">
      <w:pPr>
        <w:autoSpaceDE w:val="0"/>
        <w:autoSpaceDN w:val="0"/>
        <w:adjustRightInd w:val="0"/>
        <w:rPr>
          <w:lang w:val="es-ES_tradnl"/>
        </w:rPr>
      </w:pPr>
    </w:p>
    <w:p w14:paraId="690D4A7F" w14:textId="7BAAE66E" w:rsidR="00D90204" w:rsidRDefault="00D90204" w:rsidP="00D90204">
      <w:pPr>
        <w:autoSpaceDE w:val="0"/>
        <w:autoSpaceDN w:val="0"/>
        <w:adjustRightInd w:val="0"/>
        <w:rPr>
          <w:lang w:val="es-ES_tradnl"/>
        </w:rPr>
      </w:pPr>
      <w:r>
        <w:rPr>
          <w:lang w:val="es-ES_tradnl"/>
        </w:rPr>
        <w:t xml:space="preserve">No hubo relación clara entre el descenso de neutrófilos </w:t>
      </w:r>
      <w:r w:rsidRPr="008A106B">
        <w:rPr>
          <w:lang w:val="es-ES_tradnl"/>
        </w:rPr>
        <w:t>por debajo de 1</w:t>
      </w:r>
      <w:r w:rsidR="00DE55C8" w:rsidRPr="00F30AB8">
        <w:rPr>
          <w:szCs w:val="22"/>
          <w:lang w:val="es-ES" w:eastAsia="de-DE"/>
        </w:rPr>
        <w:t> </w:t>
      </w:r>
      <w:proofErr w:type="gramStart"/>
      <w:r w:rsidR="00DE55C8" w:rsidRPr="00F30AB8">
        <w:rPr>
          <w:szCs w:val="22"/>
          <w:lang w:val="es-ES" w:eastAsia="de-DE"/>
        </w:rPr>
        <w:t>× </w:t>
      </w:r>
      <w:r w:rsidR="00DE55C8" w:rsidRPr="008A106B" w:rsidDel="00DE55C8">
        <w:rPr>
          <w:lang w:val="es-ES_tradnl"/>
        </w:rPr>
        <w:t xml:space="preserve"> </w:t>
      </w:r>
      <w:r w:rsidRPr="008A106B">
        <w:rPr>
          <w:lang w:val="es-ES_tradnl"/>
        </w:rPr>
        <w:t>10</w:t>
      </w:r>
      <w:r w:rsidRPr="008A106B">
        <w:rPr>
          <w:vertAlign w:val="superscript"/>
          <w:lang w:val="es-ES_tradnl"/>
        </w:rPr>
        <w:t>9</w:t>
      </w:r>
      <w:proofErr w:type="gramEnd"/>
      <w:r w:rsidRPr="008A106B">
        <w:rPr>
          <w:lang w:val="es-ES_tradnl"/>
        </w:rPr>
        <w:t>/l</w:t>
      </w:r>
      <w:r>
        <w:rPr>
          <w:lang w:val="es-ES_tradnl"/>
        </w:rPr>
        <w:t xml:space="preserve"> y la aparición de infecciones graves.</w:t>
      </w:r>
    </w:p>
    <w:p w14:paraId="3DEFE2D9" w14:textId="77777777" w:rsidR="00D90204" w:rsidRDefault="00D90204" w:rsidP="00D90204">
      <w:pPr>
        <w:autoSpaceDE w:val="0"/>
        <w:autoSpaceDN w:val="0"/>
        <w:adjustRightInd w:val="0"/>
        <w:rPr>
          <w:lang w:val="es-ES_tradnl"/>
        </w:rPr>
      </w:pPr>
    </w:p>
    <w:p w14:paraId="36DE6A36" w14:textId="77777777" w:rsidR="00D90204" w:rsidRPr="00F30AB8" w:rsidRDefault="00D90204" w:rsidP="00D90204">
      <w:pPr>
        <w:keepNext/>
        <w:autoSpaceDE w:val="0"/>
        <w:autoSpaceDN w:val="0"/>
        <w:adjustRightInd w:val="0"/>
        <w:rPr>
          <w:i/>
          <w:u w:val="single"/>
          <w:lang w:val="es-ES"/>
        </w:rPr>
      </w:pPr>
      <w:r w:rsidRPr="00F30AB8">
        <w:rPr>
          <w:i/>
          <w:u w:val="single"/>
          <w:lang w:val="es-ES_tradnl"/>
        </w:rPr>
        <w:t>Plaquetas</w:t>
      </w:r>
    </w:p>
    <w:p w14:paraId="0D9D691F" w14:textId="6D480033" w:rsidR="00D90204" w:rsidRDefault="00D90204" w:rsidP="00D90204">
      <w:pPr>
        <w:autoSpaceDE w:val="0"/>
        <w:autoSpaceDN w:val="0"/>
        <w:adjustRightInd w:val="0"/>
        <w:rPr>
          <w:lang w:val="es-ES"/>
        </w:rPr>
      </w:pPr>
      <w:r>
        <w:rPr>
          <w:lang w:val="es-ES_tradnl"/>
        </w:rPr>
        <w:t xml:space="preserve">Durante 6 meses del ensayo clínico SC-I con </w:t>
      </w:r>
      <w:r w:rsidR="00EA0B87">
        <w:rPr>
          <w:szCs w:val="22"/>
          <w:lang w:val="es-ES"/>
        </w:rPr>
        <w:t>tocilizumab</w:t>
      </w:r>
      <w:r>
        <w:rPr>
          <w:lang w:val="es-ES_tradnl"/>
        </w:rPr>
        <w:t xml:space="preserve">, en la monitorización de rutina del laboratorio, ninguno de los pacientes </w:t>
      </w:r>
      <w:r w:rsidRPr="008A106B">
        <w:rPr>
          <w:lang w:val="es-ES_tradnl"/>
        </w:rPr>
        <w:t xml:space="preserve">tratados con </w:t>
      </w:r>
      <w:r>
        <w:rPr>
          <w:lang w:val="es-ES_tradnl"/>
        </w:rPr>
        <w:t>la dosis subcutánea semanal tuvieron un descenso en el recuento de plaquetas</w:t>
      </w:r>
      <w:r w:rsidR="00DE55C8" w:rsidRPr="00F30AB8">
        <w:rPr>
          <w:szCs w:val="22"/>
          <w:lang w:val="es-ES" w:eastAsia="de-DE"/>
        </w:rPr>
        <w:t> ≤</w:t>
      </w:r>
      <w:r w:rsidRPr="00286CDE">
        <w:rPr>
          <w:lang w:val="es-ES"/>
        </w:rPr>
        <w:t>50</w:t>
      </w:r>
      <w:r w:rsidR="00DE55C8" w:rsidRPr="00F30AB8">
        <w:rPr>
          <w:szCs w:val="22"/>
          <w:lang w:val="es-ES" w:eastAsia="de-DE"/>
        </w:rPr>
        <w:t> </w:t>
      </w:r>
      <w:proofErr w:type="gramStart"/>
      <w:r w:rsidR="00DE55C8" w:rsidRPr="00F30AB8">
        <w:rPr>
          <w:szCs w:val="22"/>
          <w:lang w:val="es-ES" w:eastAsia="de-DE"/>
        </w:rPr>
        <w:t>× </w:t>
      </w:r>
      <w:r w:rsidR="00DE55C8" w:rsidRPr="00286CDE" w:rsidDel="00DE55C8">
        <w:rPr>
          <w:lang w:val="es-ES"/>
        </w:rPr>
        <w:t xml:space="preserve"> </w:t>
      </w:r>
      <w:r w:rsidRPr="00286CDE">
        <w:rPr>
          <w:lang w:val="es-ES"/>
        </w:rPr>
        <w:t>10</w:t>
      </w:r>
      <w:r w:rsidRPr="00286CDE">
        <w:rPr>
          <w:vertAlign w:val="superscript"/>
          <w:lang w:val="es-ES"/>
        </w:rPr>
        <w:t>3</w:t>
      </w:r>
      <w:proofErr w:type="gramEnd"/>
      <w:r w:rsidRPr="00286CDE">
        <w:rPr>
          <w:lang w:val="es-ES"/>
        </w:rPr>
        <w:t>/</w:t>
      </w:r>
      <w:r w:rsidRPr="0044170A">
        <w:rPr>
          <w:lang w:val="en-GB"/>
        </w:rPr>
        <w:t>μ</w:t>
      </w:r>
      <w:r w:rsidRPr="00286CDE">
        <w:rPr>
          <w:lang w:val="es-ES"/>
        </w:rPr>
        <w:t>l.</w:t>
      </w:r>
    </w:p>
    <w:p w14:paraId="6AD67305" w14:textId="77777777" w:rsidR="00D90204" w:rsidRDefault="00D90204" w:rsidP="00D90204">
      <w:pPr>
        <w:autoSpaceDE w:val="0"/>
        <w:autoSpaceDN w:val="0"/>
        <w:adjustRightInd w:val="0"/>
        <w:rPr>
          <w:lang w:val="es-ES"/>
        </w:rPr>
      </w:pPr>
    </w:p>
    <w:p w14:paraId="40077FD3" w14:textId="77777777" w:rsidR="00513DDB" w:rsidRPr="00F30AB8" w:rsidRDefault="00D90204" w:rsidP="00D90204">
      <w:pPr>
        <w:outlineLvl w:val="0"/>
        <w:rPr>
          <w:i/>
          <w:iCs/>
          <w:u w:val="single"/>
          <w:lang w:val="es-ES_tradnl"/>
        </w:rPr>
      </w:pPr>
      <w:r w:rsidRPr="00F30AB8">
        <w:rPr>
          <w:i/>
          <w:iCs/>
          <w:u w:val="single"/>
          <w:lang w:val="es-ES_tradnl"/>
        </w:rPr>
        <w:t xml:space="preserve">Elevaciones de las transaminasas hepáticas </w:t>
      </w:r>
    </w:p>
    <w:p w14:paraId="7ABFA8FA" w14:textId="49D6E100" w:rsidR="00D90204" w:rsidRDefault="00D90204" w:rsidP="00D90204">
      <w:pPr>
        <w:outlineLvl w:val="0"/>
        <w:rPr>
          <w:lang w:val="es-ES_tradnl"/>
        </w:rPr>
      </w:pPr>
      <w:r>
        <w:rPr>
          <w:lang w:val="es-ES_tradnl"/>
        </w:rPr>
        <w:t xml:space="preserve">Durante 6 meses del ensayo clínico SC-I con </w:t>
      </w:r>
      <w:r w:rsidR="00EA0B87">
        <w:rPr>
          <w:szCs w:val="22"/>
          <w:lang w:val="es-ES"/>
        </w:rPr>
        <w:t>tocilizumab</w:t>
      </w:r>
      <w:r>
        <w:rPr>
          <w:lang w:val="es-ES_tradnl"/>
        </w:rPr>
        <w:t xml:space="preserve">, en la monitorización de rutina del laboratorio, </w:t>
      </w:r>
      <w:r>
        <w:rPr>
          <w:lang w:val="es-ES"/>
        </w:rPr>
        <w:t>ocurrieron</w:t>
      </w:r>
      <w:r>
        <w:rPr>
          <w:lang w:val="es-ES_tradnl"/>
        </w:rPr>
        <w:t xml:space="preserve"> elevaciones en ALT o AST</w:t>
      </w:r>
      <w:r w:rsidRPr="00286CDE">
        <w:rPr>
          <w:lang w:val="es-ES"/>
        </w:rPr>
        <w:t xml:space="preserve"> ≥3</w:t>
      </w:r>
      <w:r w:rsidR="00DE55C8" w:rsidRPr="00F30AB8">
        <w:rPr>
          <w:szCs w:val="22"/>
          <w:lang w:val="es-ES" w:eastAsia="de-DE"/>
        </w:rPr>
        <w:t xml:space="preserve"> × </w:t>
      </w:r>
      <w:r>
        <w:rPr>
          <w:lang w:val="es-ES"/>
        </w:rPr>
        <w:t>LSN en el 6,5 % y el 1,4 % de los pacientes, respectivamente en la dosis</w:t>
      </w:r>
      <w:r w:rsidRPr="008A106B">
        <w:rPr>
          <w:lang w:val="es-ES_tradnl"/>
        </w:rPr>
        <w:t xml:space="preserve"> </w:t>
      </w:r>
      <w:r>
        <w:rPr>
          <w:lang w:val="es-ES_tradnl"/>
        </w:rPr>
        <w:t>subcutánea semanal.</w:t>
      </w:r>
    </w:p>
    <w:p w14:paraId="25C26B2B" w14:textId="77777777" w:rsidR="00D90204" w:rsidRDefault="00D90204" w:rsidP="00D90204">
      <w:pPr>
        <w:outlineLvl w:val="0"/>
        <w:rPr>
          <w:lang w:val="es-ES_tradnl"/>
        </w:rPr>
      </w:pPr>
    </w:p>
    <w:p w14:paraId="2E961D46" w14:textId="77777777" w:rsidR="00513DDB" w:rsidRPr="00F30AB8" w:rsidRDefault="00D90204" w:rsidP="00D90204">
      <w:pPr>
        <w:outlineLvl w:val="0"/>
        <w:rPr>
          <w:i/>
          <w:iCs/>
          <w:u w:val="single"/>
          <w:lang w:val="es-ES_tradnl"/>
        </w:rPr>
      </w:pPr>
      <w:r w:rsidRPr="00F30AB8">
        <w:rPr>
          <w:i/>
          <w:iCs/>
          <w:u w:val="single"/>
          <w:lang w:val="es-ES_tradnl"/>
        </w:rPr>
        <w:t xml:space="preserve">Parámetros lipídicos </w:t>
      </w:r>
    </w:p>
    <w:p w14:paraId="4FEDD94D" w14:textId="08108F96" w:rsidR="00D90204" w:rsidRDefault="00D90204" w:rsidP="00D90204">
      <w:pPr>
        <w:outlineLvl w:val="0"/>
        <w:rPr>
          <w:lang w:val="es-ES" w:eastAsia="de-DE"/>
        </w:rPr>
      </w:pPr>
      <w:r>
        <w:rPr>
          <w:lang w:val="es-ES_tradnl"/>
        </w:rPr>
        <w:t>Durante 6</w:t>
      </w:r>
      <w:r w:rsidR="00DE55C8" w:rsidRPr="00F30AB8">
        <w:rPr>
          <w:rFonts w:eastAsia="PMingLiU"/>
          <w:szCs w:val="22"/>
          <w:lang w:val="es-ES" w:eastAsia="de-DE"/>
        </w:rPr>
        <w:t> </w:t>
      </w:r>
      <w:r>
        <w:rPr>
          <w:lang w:val="es-ES_tradnl"/>
        </w:rPr>
        <w:t xml:space="preserve">meses del ensayo clínico SC-I con </w:t>
      </w:r>
      <w:r w:rsidR="00EA0B87">
        <w:rPr>
          <w:szCs w:val="22"/>
          <w:lang w:val="es-ES"/>
        </w:rPr>
        <w:t>tocilizumab</w:t>
      </w:r>
      <w:r>
        <w:rPr>
          <w:lang w:val="es-ES_tradnl"/>
        </w:rPr>
        <w:t>, en la monitorización de rutina del laboratorio, el 19 % de los pacient</w:t>
      </w:r>
      <w:r w:rsidRPr="00286CDE">
        <w:rPr>
          <w:lang w:val="es-ES_tradnl"/>
        </w:rPr>
        <w:t>es experimentaron elevacion</w:t>
      </w:r>
      <w:r>
        <w:rPr>
          <w:lang w:val="es-ES_tradnl"/>
        </w:rPr>
        <w:t xml:space="preserve">es sostenidas en el colesterol total   </w:t>
      </w:r>
      <w:r>
        <w:rPr>
          <w:lang w:val="es-ES" w:eastAsia="de-DE"/>
        </w:rPr>
        <w:t>&gt; 6,</w:t>
      </w:r>
      <w:r w:rsidRPr="00286CDE">
        <w:rPr>
          <w:lang w:val="es-ES" w:eastAsia="de-DE"/>
        </w:rPr>
        <w:t>2</w:t>
      </w:r>
      <w:r w:rsidR="00DE55C8" w:rsidRPr="00F30AB8">
        <w:rPr>
          <w:rFonts w:eastAsia="PMingLiU"/>
          <w:szCs w:val="22"/>
          <w:lang w:val="es-ES" w:eastAsia="de-DE"/>
        </w:rPr>
        <w:t> </w:t>
      </w:r>
      <w:r w:rsidRPr="00286CDE">
        <w:rPr>
          <w:lang w:val="es-ES" w:eastAsia="de-DE"/>
        </w:rPr>
        <w:t>mmol/l (240</w:t>
      </w:r>
      <w:r w:rsidR="00DE55C8" w:rsidRPr="00F30AB8">
        <w:rPr>
          <w:rFonts w:eastAsia="PMingLiU"/>
          <w:szCs w:val="22"/>
          <w:lang w:val="es-ES" w:eastAsia="de-DE"/>
        </w:rPr>
        <w:t> </w:t>
      </w:r>
      <w:r w:rsidRPr="00286CDE">
        <w:rPr>
          <w:lang w:val="es-ES" w:eastAsia="de-DE"/>
        </w:rPr>
        <w:t>mg/dl),</w:t>
      </w:r>
      <w:r>
        <w:rPr>
          <w:lang w:val="es-ES" w:eastAsia="de-DE"/>
        </w:rPr>
        <w:t xml:space="preserve"> de estos el </w:t>
      </w:r>
      <w:r w:rsidRPr="00286CDE">
        <w:rPr>
          <w:lang w:val="es-ES" w:eastAsia="de-DE"/>
        </w:rPr>
        <w:t>9</w:t>
      </w:r>
      <w:r>
        <w:rPr>
          <w:lang w:val="es-ES" w:eastAsia="de-DE"/>
        </w:rPr>
        <w:t xml:space="preserve"> </w:t>
      </w:r>
      <w:r w:rsidRPr="00286CDE">
        <w:rPr>
          <w:lang w:val="es-ES" w:eastAsia="de-DE"/>
        </w:rPr>
        <w:t>%</w:t>
      </w:r>
      <w:r>
        <w:rPr>
          <w:lang w:val="es-ES" w:eastAsia="de-DE"/>
        </w:rPr>
        <w:t xml:space="preserve"> experimentó aumentos sostenidos en LDL a </w:t>
      </w:r>
      <w:r w:rsidRPr="00500C68">
        <w:rPr>
          <w:lang w:val="en-GB" w:eastAsia="de-DE"/>
        </w:rPr>
        <w:sym w:font="Symbol" w:char="F0B3"/>
      </w:r>
      <w:r>
        <w:rPr>
          <w:lang w:val="es-ES" w:eastAsia="de-DE"/>
        </w:rPr>
        <w:t> 4,</w:t>
      </w:r>
      <w:r w:rsidRPr="00286CDE">
        <w:rPr>
          <w:lang w:val="es-ES" w:eastAsia="de-DE"/>
        </w:rPr>
        <w:t>1</w:t>
      </w:r>
      <w:r w:rsidR="00DE55C8" w:rsidRPr="00F30AB8">
        <w:rPr>
          <w:rFonts w:eastAsia="PMingLiU"/>
          <w:szCs w:val="22"/>
          <w:lang w:val="es-ES" w:eastAsia="de-DE"/>
        </w:rPr>
        <w:t> </w:t>
      </w:r>
      <w:r w:rsidRPr="00286CDE">
        <w:rPr>
          <w:lang w:val="es-ES" w:eastAsia="de-DE"/>
        </w:rPr>
        <w:t>mmol/l (160</w:t>
      </w:r>
      <w:r w:rsidR="00DE55C8" w:rsidRPr="00F30AB8">
        <w:rPr>
          <w:rFonts w:eastAsia="PMingLiU"/>
          <w:szCs w:val="22"/>
          <w:lang w:val="es-ES" w:eastAsia="de-DE"/>
        </w:rPr>
        <w:t> </w:t>
      </w:r>
      <w:r w:rsidRPr="00286CDE">
        <w:rPr>
          <w:lang w:val="es-ES" w:eastAsia="de-DE"/>
        </w:rPr>
        <w:t>mg/dl)</w:t>
      </w:r>
      <w:r>
        <w:rPr>
          <w:lang w:val="es-ES" w:eastAsia="de-DE"/>
        </w:rPr>
        <w:t xml:space="preserve"> en la dosis subcutánea semanal.</w:t>
      </w:r>
    </w:p>
    <w:p w14:paraId="72B634C3" w14:textId="77777777" w:rsidR="00D90204" w:rsidRPr="0035042A" w:rsidRDefault="00D90204" w:rsidP="00D90204">
      <w:pPr>
        <w:outlineLvl w:val="0"/>
        <w:rPr>
          <w:lang w:val="es-ES" w:eastAsia="de-DE"/>
        </w:rPr>
      </w:pPr>
    </w:p>
    <w:p w14:paraId="53131C38" w14:textId="7E611760" w:rsidR="00D90204" w:rsidRPr="00F30AB8" w:rsidRDefault="00EA0B87" w:rsidP="00D90204">
      <w:pPr>
        <w:outlineLvl w:val="0"/>
        <w:rPr>
          <w:bCs/>
          <w:i/>
          <w:lang w:val="es-ES" w:eastAsia="de-DE"/>
        </w:rPr>
      </w:pPr>
      <w:r w:rsidRPr="00F30AB8">
        <w:rPr>
          <w:bCs/>
          <w:i/>
          <w:lang w:val="es-ES" w:eastAsia="de-DE"/>
        </w:rPr>
        <w:t>Pacientes</w:t>
      </w:r>
      <w:r w:rsidR="00DE55C8" w:rsidRPr="00F30AB8">
        <w:rPr>
          <w:bCs/>
          <w:i/>
          <w:lang w:val="es-ES" w:eastAsia="de-DE"/>
        </w:rPr>
        <w:t xml:space="preserve"> con</w:t>
      </w:r>
      <w:r w:rsidRPr="00F30AB8">
        <w:rPr>
          <w:bCs/>
          <w:i/>
          <w:lang w:val="es-ES" w:eastAsia="de-DE"/>
        </w:rPr>
        <w:t xml:space="preserve"> </w:t>
      </w:r>
      <w:r w:rsidR="00D90204" w:rsidRPr="00F30AB8">
        <w:rPr>
          <w:bCs/>
          <w:i/>
          <w:lang w:val="es-ES" w:eastAsia="de-DE"/>
        </w:rPr>
        <w:t>AIJs</w:t>
      </w:r>
    </w:p>
    <w:p w14:paraId="1F2E6218" w14:textId="7EC57011" w:rsidR="00D90204" w:rsidRPr="0035042A" w:rsidRDefault="00D90204" w:rsidP="00D90204">
      <w:pPr>
        <w:outlineLvl w:val="0"/>
        <w:rPr>
          <w:lang w:val="es-ES" w:eastAsia="de-DE"/>
        </w:rPr>
      </w:pPr>
      <w:r w:rsidRPr="0035042A">
        <w:rPr>
          <w:lang w:val="es-ES" w:eastAsia="de-DE"/>
        </w:rPr>
        <w:t xml:space="preserve">El perfil de seguridad de </w:t>
      </w:r>
      <w:r w:rsidR="00EA0B87">
        <w:rPr>
          <w:szCs w:val="22"/>
          <w:lang w:val="es-ES"/>
        </w:rPr>
        <w:t>tocilizumab</w:t>
      </w:r>
      <w:r w:rsidR="00EA0B87" w:rsidRPr="0035042A" w:rsidDel="00EA0B87">
        <w:rPr>
          <w:lang w:val="es-ES" w:eastAsia="de-DE"/>
        </w:rPr>
        <w:t xml:space="preserve"> </w:t>
      </w:r>
      <w:r w:rsidRPr="0035042A">
        <w:rPr>
          <w:lang w:val="es-ES" w:eastAsia="de-DE"/>
        </w:rPr>
        <w:t>subcutáneo se evaluó en 51 pacientes pediátricos (de 1 año a 17 años de edad) con AIJs. En general, las reacciones adversas en pacientes con AIJs fueron similares en tipo a las observadas en pacientes con RA (ver sección</w:t>
      </w:r>
      <w:ins w:id="860" w:author="AUTHOR">
        <w:r w:rsidR="000C7D20">
          <w:rPr>
            <w:lang w:val="es-ES" w:eastAsia="de-DE"/>
          </w:rPr>
          <w:t xml:space="preserve"> 4.8</w:t>
        </w:r>
      </w:ins>
      <w:del w:id="861" w:author="AUTHOR">
        <w:r w:rsidRPr="0035042A" w:rsidDel="000C7D20">
          <w:rPr>
            <w:lang w:val="es-ES" w:eastAsia="de-DE"/>
          </w:rPr>
          <w:delText xml:space="preserve"> de Efectos Adversos</w:delText>
        </w:r>
      </w:del>
      <w:r w:rsidRPr="0035042A">
        <w:rPr>
          <w:lang w:val="es-ES" w:eastAsia="de-DE"/>
        </w:rPr>
        <w:t>)</w:t>
      </w:r>
    </w:p>
    <w:p w14:paraId="5175ECB6" w14:textId="77777777" w:rsidR="00D90204" w:rsidRPr="0035042A" w:rsidRDefault="00D90204" w:rsidP="00D90204">
      <w:pPr>
        <w:outlineLvl w:val="0"/>
        <w:rPr>
          <w:lang w:val="es-ES" w:eastAsia="de-DE"/>
        </w:rPr>
      </w:pPr>
    </w:p>
    <w:p w14:paraId="3406F296" w14:textId="77777777" w:rsidR="00D90204" w:rsidRPr="00F30AB8" w:rsidRDefault="00D90204" w:rsidP="00D90204">
      <w:pPr>
        <w:outlineLvl w:val="0"/>
        <w:rPr>
          <w:i/>
          <w:u w:val="single"/>
          <w:lang w:val="es-ES" w:eastAsia="de-DE"/>
        </w:rPr>
      </w:pPr>
      <w:r w:rsidRPr="00F30AB8">
        <w:rPr>
          <w:i/>
          <w:u w:val="single"/>
          <w:lang w:val="es-ES" w:eastAsia="de-DE"/>
        </w:rPr>
        <w:t>Infecciones</w:t>
      </w:r>
    </w:p>
    <w:p w14:paraId="0995309F" w14:textId="02391026" w:rsidR="00D90204" w:rsidRDefault="00D90204" w:rsidP="00D90204">
      <w:pPr>
        <w:outlineLvl w:val="0"/>
        <w:rPr>
          <w:ins w:id="862" w:author="AUTHOR"/>
          <w:lang w:val="es-ES" w:eastAsia="de-DE"/>
        </w:rPr>
      </w:pPr>
      <w:r w:rsidRPr="0035042A">
        <w:rPr>
          <w:lang w:val="es-ES" w:eastAsia="de-DE"/>
        </w:rPr>
        <w:t xml:space="preserve">La tasa de infección en pacientes con AIJs tratados con </w:t>
      </w:r>
      <w:r w:rsidR="00EA0B87">
        <w:rPr>
          <w:szCs w:val="22"/>
          <w:lang w:val="es-ES"/>
        </w:rPr>
        <w:t>tocilizumab</w:t>
      </w:r>
      <w:r w:rsidR="00EA0B87" w:rsidRPr="0035042A" w:rsidDel="00EA0B87">
        <w:rPr>
          <w:lang w:val="es-ES" w:eastAsia="de-DE"/>
        </w:rPr>
        <w:t xml:space="preserve"> </w:t>
      </w:r>
      <w:r w:rsidR="00EA0B87">
        <w:rPr>
          <w:lang w:val="es-ES" w:eastAsia="de-DE"/>
        </w:rPr>
        <w:t>subcatáneo</w:t>
      </w:r>
      <w:r w:rsidRPr="0035042A">
        <w:rPr>
          <w:lang w:val="es-ES" w:eastAsia="de-DE"/>
        </w:rPr>
        <w:t xml:space="preserve"> fue comparable con la tasa de</w:t>
      </w:r>
      <w:r w:rsidR="00BD71E2">
        <w:rPr>
          <w:lang w:val="es-ES" w:eastAsia="de-DE"/>
        </w:rPr>
        <w:t xml:space="preserve"> infección en pacientes con AIJ</w:t>
      </w:r>
      <w:r w:rsidRPr="0035042A">
        <w:rPr>
          <w:lang w:val="es-ES" w:eastAsia="de-DE"/>
        </w:rPr>
        <w:t xml:space="preserve">s tratados con </w:t>
      </w:r>
      <w:r w:rsidR="00EA0B87">
        <w:rPr>
          <w:szCs w:val="22"/>
          <w:lang w:val="es-ES"/>
        </w:rPr>
        <w:t>tocilizumab</w:t>
      </w:r>
      <w:r w:rsidR="00EA0B87" w:rsidRPr="0035042A" w:rsidDel="00EA0B87">
        <w:rPr>
          <w:lang w:val="es-ES" w:eastAsia="de-DE"/>
        </w:rPr>
        <w:t xml:space="preserve"> </w:t>
      </w:r>
      <w:r w:rsidR="00EA0B87">
        <w:rPr>
          <w:lang w:val="es-ES" w:eastAsia="de-DE"/>
        </w:rPr>
        <w:t>intravenoso</w:t>
      </w:r>
      <w:ins w:id="863" w:author="AUTHOR">
        <w:r w:rsidR="00D00D6F">
          <w:rPr>
            <w:lang w:val="es-ES" w:eastAsia="de-DE"/>
          </w:rPr>
          <w:t xml:space="preserve"> </w:t>
        </w:r>
      </w:ins>
      <w:r w:rsidRPr="0035042A">
        <w:rPr>
          <w:lang w:val="es-ES" w:eastAsia="de-DE"/>
        </w:rPr>
        <w:t>IV.</w:t>
      </w:r>
    </w:p>
    <w:p w14:paraId="3F8C8094" w14:textId="77777777" w:rsidR="00FF4632" w:rsidRPr="0035042A" w:rsidRDefault="00FF4632" w:rsidP="00D90204">
      <w:pPr>
        <w:outlineLvl w:val="0"/>
        <w:rPr>
          <w:lang w:val="es-ES" w:eastAsia="de-DE"/>
        </w:rPr>
      </w:pPr>
    </w:p>
    <w:p w14:paraId="611C8C9E" w14:textId="53CB30DF" w:rsidR="00D90204" w:rsidRPr="00F30AB8" w:rsidRDefault="00D90204" w:rsidP="00D90204">
      <w:pPr>
        <w:outlineLvl w:val="0"/>
        <w:rPr>
          <w:i/>
          <w:u w:val="single"/>
          <w:lang w:val="es-ES" w:eastAsia="de-DE"/>
        </w:rPr>
      </w:pPr>
      <w:r w:rsidRPr="00F30AB8">
        <w:rPr>
          <w:i/>
          <w:u w:val="single"/>
          <w:lang w:val="es-ES" w:eastAsia="de-DE"/>
        </w:rPr>
        <w:t xml:space="preserve">Reacciones en el </w:t>
      </w:r>
      <w:r w:rsidR="003532C2">
        <w:rPr>
          <w:i/>
          <w:u w:val="single"/>
          <w:lang w:val="es-ES" w:eastAsia="de-DE"/>
        </w:rPr>
        <w:t>L</w:t>
      </w:r>
      <w:r w:rsidR="003532C2" w:rsidRPr="00F30AB8">
        <w:rPr>
          <w:i/>
          <w:u w:val="single"/>
          <w:lang w:val="es-ES" w:eastAsia="de-DE"/>
        </w:rPr>
        <w:t xml:space="preserve">ugar </w:t>
      </w:r>
      <w:r w:rsidRPr="00F30AB8">
        <w:rPr>
          <w:i/>
          <w:u w:val="single"/>
          <w:lang w:val="es-ES" w:eastAsia="de-DE"/>
        </w:rPr>
        <w:t xml:space="preserve">de la </w:t>
      </w:r>
      <w:r w:rsidR="003532C2">
        <w:rPr>
          <w:i/>
          <w:u w:val="single"/>
          <w:lang w:val="es-ES" w:eastAsia="de-DE"/>
        </w:rPr>
        <w:t>I</w:t>
      </w:r>
      <w:r w:rsidR="003532C2" w:rsidRPr="00F30AB8">
        <w:rPr>
          <w:i/>
          <w:u w:val="single"/>
          <w:lang w:val="es-ES" w:eastAsia="de-DE"/>
        </w:rPr>
        <w:t>nyección</w:t>
      </w:r>
      <w:r w:rsidR="003532C2">
        <w:rPr>
          <w:i/>
          <w:u w:val="single"/>
          <w:lang w:val="es-ES" w:eastAsia="de-DE"/>
        </w:rPr>
        <w:t xml:space="preserve"> (RLI)</w:t>
      </w:r>
    </w:p>
    <w:p w14:paraId="1F4B8628" w14:textId="3B9C1AED" w:rsidR="00D90204" w:rsidRPr="0035042A" w:rsidRDefault="00D90204" w:rsidP="00D90204">
      <w:pPr>
        <w:outlineLvl w:val="0"/>
        <w:rPr>
          <w:lang w:val="es-ES" w:eastAsia="de-DE"/>
        </w:rPr>
      </w:pPr>
      <w:r w:rsidRPr="0035042A">
        <w:rPr>
          <w:lang w:val="es-ES" w:eastAsia="de-DE"/>
        </w:rPr>
        <w:t xml:space="preserve">En el </w:t>
      </w:r>
      <w:del w:id="864" w:author="AUTHOR">
        <w:r w:rsidRPr="0035042A" w:rsidDel="00FF4632">
          <w:rPr>
            <w:lang w:val="es-ES" w:eastAsia="de-DE"/>
          </w:rPr>
          <w:delText xml:space="preserve">estudio </w:delText>
        </w:r>
      </w:del>
      <w:ins w:id="865" w:author="AUTHOR">
        <w:r w:rsidR="00FF4632">
          <w:rPr>
            <w:lang w:val="es-ES" w:eastAsia="de-DE"/>
          </w:rPr>
          <w:t>ensayo</w:t>
        </w:r>
        <w:r w:rsidR="00FF4632" w:rsidRPr="0035042A">
          <w:rPr>
            <w:lang w:val="es-ES" w:eastAsia="de-DE"/>
          </w:rPr>
          <w:t xml:space="preserve"> </w:t>
        </w:r>
      </w:ins>
      <w:r w:rsidR="00EA0B87">
        <w:rPr>
          <w:lang w:val="es-ES" w:eastAsia="de-DE"/>
        </w:rPr>
        <w:t>subcutáneo</w:t>
      </w:r>
      <w:r w:rsidRPr="0035042A">
        <w:rPr>
          <w:lang w:val="es-ES" w:eastAsia="de-DE"/>
        </w:rPr>
        <w:t xml:space="preserve"> (WA28118), un total de 41,2% (21/51) de los pacientes con AIJs experimentaron RLI con </w:t>
      </w:r>
      <w:r w:rsidR="00EA0B87">
        <w:rPr>
          <w:szCs w:val="22"/>
          <w:lang w:val="es-ES"/>
        </w:rPr>
        <w:t>tocilizumab</w:t>
      </w:r>
      <w:r w:rsidR="00EA0B87" w:rsidRPr="0035042A" w:rsidDel="00EA0B87">
        <w:rPr>
          <w:lang w:val="es-ES" w:eastAsia="de-DE"/>
        </w:rPr>
        <w:t xml:space="preserve"> </w:t>
      </w:r>
      <w:r w:rsidR="00EA0B87">
        <w:rPr>
          <w:lang w:val="es-ES" w:eastAsia="de-DE"/>
        </w:rPr>
        <w:t>subcutáneo</w:t>
      </w:r>
      <w:r w:rsidRPr="0035042A">
        <w:rPr>
          <w:lang w:val="es-ES" w:eastAsia="de-DE"/>
        </w:rPr>
        <w:t>. Las RLI más fre</w:t>
      </w:r>
      <w:del w:id="866" w:author="AUTHOR">
        <w:r w:rsidRPr="0035042A" w:rsidDel="00D00D6F">
          <w:rPr>
            <w:lang w:val="es-ES" w:eastAsia="de-DE"/>
          </w:rPr>
          <w:delText>q</w:delText>
        </w:r>
      </w:del>
      <w:ins w:id="867" w:author="AUTHOR">
        <w:r w:rsidR="00D00D6F">
          <w:rPr>
            <w:lang w:val="es-ES" w:eastAsia="de-DE"/>
          </w:rPr>
          <w:t>c</w:t>
        </w:r>
      </w:ins>
      <w:r w:rsidRPr="0035042A">
        <w:rPr>
          <w:lang w:val="es-ES" w:eastAsia="de-DE"/>
        </w:rPr>
        <w:t>uentes fueron eritema, prurito, dolor e hinchazón en el lugar de la inyección. La mayoría de las RLI notificadas fueron de Grado 1 y ninguna RLI notificada fue grave ni requirieron la retirada del tratamiento o la interrupción de la dosis.</w:t>
      </w:r>
    </w:p>
    <w:p w14:paraId="2F667091" w14:textId="77777777" w:rsidR="00D90204" w:rsidRPr="0035042A" w:rsidRDefault="00D90204" w:rsidP="00D90204">
      <w:pPr>
        <w:outlineLvl w:val="0"/>
        <w:rPr>
          <w:lang w:val="es-ES" w:eastAsia="de-DE"/>
        </w:rPr>
      </w:pPr>
    </w:p>
    <w:p w14:paraId="07F941D2" w14:textId="77777777" w:rsidR="00D90204" w:rsidRPr="00F30AB8" w:rsidRDefault="00D90204" w:rsidP="00D90204">
      <w:pPr>
        <w:outlineLvl w:val="0"/>
        <w:rPr>
          <w:u w:val="single"/>
          <w:lang w:val="es-ES" w:eastAsia="de-DE"/>
        </w:rPr>
      </w:pPr>
      <w:r w:rsidRPr="00F30AB8">
        <w:rPr>
          <w:i/>
          <w:u w:val="single"/>
          <w:lang w:val="es-ES" w:eastAsia="de-DE"/>
        </w:rPr>
        <w:t>Inmunogenicidad</w:t>
      </w:r>
    </w:p>
    <w:p w14:paraId="005ED249" w14:textId="72C47687" w:rsidR="00D90204" w:rsidRPr="0035042A" w:rsidRDefault="00D90204" w:rsidP="00D90204">
      <w:pPr>
        <w:outlineLvl w:val="0"/>
        <w:rPr>
          <w:lang w:val="es-ES" w:eastAsia="de-DE"/>
        </w:rPr>
      </w:pPr>
      <w:r w:rsidRPr="0035042A">
        <w:rPr>
          <w:lang w:val="es-ES" w:eastAsia="de-DE"/>
        </w:rPr>
        <w:t xml:space="preserve">En el </w:t>
      </w:r>
      <w:del w:id="868" w:author="AUTHOR">
        <w:r w:rsidRPr="0035042A" w:rsidDel="00FF4632">
          <w:rPr>
            <w:lang w:val="es-ES" w:eastAsia="de-DE"/>
          </w:rPr>
          <w:delText xml:space="preserve">estudio </w:delText>
        </w:r>
      </w:del>
      <w:ins w:id="869" w:author="AUTHOR">
        <w:r w:rsidR="00FF4632">
          <w:rPr>
            <w:lang w:val="es-ES" w:eastAsia="de-DE"/>
          </w:rPr>
          <w:t>ensayo</w:t>
        </w:r>
        <w:r w:rsidR="00FF4632" w:rsidRPr="0035042A">
          <w:rPr>
            <w:lang w:val="es-ES" w:eastAsia="de-DE"/>
          </w:rPr>
          <w:t xml:space="preserve"> </w:t>
        </w:r>
      </w:ins>
      <w:r w:rsidR="00EA0B87">
        <w:rPr>
          <w:lang w:val="es-ES" w:eastAsia="de-DE"/>
        </w:rPr>
        <w:t>subcutáneo</w:t>
      </w:r>
      <w:r w:rsidRPr="0035042A">
        <w:rPr>
          <w:lang w:val="es-ES" w:eastAsia="de-DE"/>
        </w:rPr>
        <w:t xml:space="preserve"> (WA28118), 46 de 51 (90,2%) de los pacientes analizados para anticuerpos anti-tocilizumab al inicio del estudio tenían al menos un resultado de detección posbasal. Ningún paciente desarrolló anticuerpos anti-tociluzumab positivos después del inicio del estudio.</w:t>
      </w:r>
    </w:p>
    <w:p w14:paraId="50B5E873" w14:textId="77777777" w:rsidR="00D90204" w:rsidRPr="0035042A" w:rsidRDefault="00D90204" w:rsidP="00D90204">
      <w:pPr>
        <w:outlineLvl w:val="0"/>
        <w:rPr>
          <w:lang w:val="es-ES" w:eastAsia="de-DE"/>
        </w:rPr>
      </w:pPr>
    </w:p>
    <w:p w14:paraId="6DA36AE1" w14:textId="77777777" w:rsidR="00D90204" w:rsidRPr="00F30AB8" w:rsidRDefault="00D90204" w:rsidP="00D90204">
      <w:pPr>
        <w:outlineLvl w:val="0"/>
        <w:rPr>
          <w:i/>
          <w:u w:val="single"/>
          <w:lang w:val="es-ES" w:eastAsia="de-DE"/>
        </w:rPr>
      </w:pPr>
      <w:r w:rsidRPr="00F30AB8">
        <w:rPr>
          <w:i/>
          <w:u w:val="single"/>
          <w:lang w:val="es-ES" w:eastAsia="de-DE"/>
        </w:rPr>
        <w:t>Anomalías en los valores de laboratorio</w:t>
      </w:r>
    </w:p>
    <w:p w14:paraId="31481F91" w14:textId="059B0ACA" w:rsidR="00D90204" w:rsidRDefault="00D90204" w:rsidP="00D90204">
      <w:pPr>
        <w:outlineLvl w:val="0"/>
        <w:rPr>
          <w:lang w:val="es-ES" w:eastAsia="de-DE"/>
        </w:rPr>
      </w:pPr>
      <w:r w:rsidRPr="0035042A">
        <w:rPr>
          <w:lang w:val="es-ES" w:eastAsia="de-DE"/>
        </w:rPr>
        <w:t xml:space="preserve">En el </w:t>
      </w:r>
      <w:del w:id="870" w:author="AUTHOR">
        <w:r w:rsidRPr="0035042A" w:rsidDel="00FF4632">
          <w:rPr>
            <w:lang w:val="es-ES" w:eastAsia="de-DE"/>
          </w:rPr>
          <w:delText xml:space="preserve">estudio </w:delText>
        </w:r>
      </w:del>
      <w:ins w:id="871" w:author="AUTHOR">
        <w:r w:rsidR="00FF4632">
          <w:rPr>
            <w:lang w:val="es-ES" w:eastAsia="de-DE"/>
          </w:rPr>
          <w:t>ensayo</w:t>
        </w:r>
        <w:r w:rsidR="00FF4632" w:rsidRPr="0035042A">
          <w:rPr>
            <w:lang w:val="es-ES" w:eastAsia="de-DE"/>
          </w:rPr>
          <w:t xml:space="preserve"> </w:t>
        </w:r>
      </w:ins>
      <w:r w:rsidR="00EA0B87">
        <w:rPr>
          <w:lang w:val="es-ES" w:eastAsia="de-DE"/>
        </w:rPr>
        <w:t>subcutáneo</w:t>
      </w:r>
      <w:r w:rsidRPr="0035042A">
        <w:rPr>
          <w:lang w:val="es-ES" w:eastAsia="de-DE"/>
        </w:rPr>
        <w:t xml:space="preserve"> (WA28118) abierto, de 52 semanas, se produjo una disminución del recuento de neutrófilos inferior a 1</w:t>
      </w:r>
      <w:r w:rsidR="00DE55C8" w:rsidRPr="00F30AB8">
        <w:rPr>
          <w:rFonts w:eastAsia="SimSun"/>
          <w:szCs w:val="22"/>
          <w:lang w:val="es-ES" w:eastAsia="zh-CN"/>
        </w:rPr>
        <w:t>×</w:t>
      </w:r>
      <w:r w:rsidRPr="0035042A">
        <w:rPr>
          <w:lang w:val="es-ES" w:eastAsia="de-DE"/>
        </w:rPr>
        <w:t xml:space="preserve">109/lL en el 23,5% de los pacientes tratados con </w:t>
      </w:r>
      <w:r w:rsidR="00EA0B87">
        <w:rPr>
          <w:szCs w:val="22"/>
          <w:lang w:val="es-ES"/>
        </w:rPr>
        <w:t>tocilizumab</w:t>
      </w:r>
      <w:r w:rsidR="00EA0B87" w:rsidRPr="0035042A" w:rsidDel="00EA0B87">
        <w:rPr>
          <w:lang w:val="es-ES" w:eastAsia="de-DE"/>
        </w:rPr>
        <w:t xml:space="preserve"> </w:t>
      </w:r>
      <w:r w:rsidR="00EA0B87">
        <w:rPr>
          <w:lang w:val="es-ES" w:eastAsia="de-DE"/>
        </w:rPr>
        <w:t xml:space="preserve"> subcutáneo</w:t>
      </w:r>
      <w:r w:rsidRPr="0035042A">
        <w:rPr>
          <w:lang w:val="es-ES" w:eastAsia="de-DE"/>
        </w:rPr>
        <w:t>. Se produjo un descenso del recuento de plaquetas por debajo de 100</w:t>
      </w:r>
      <w:r w:rsidR="00DE55C8" w:rsidRPr="00F30AB8">
        <w:rPr>
          <w:rFonts w:eastAsia="SimSun"/>
          <w:szCs w:val="22"/>
          <w:lang w:val="es-ES" w:eastAsia="zh-CN"/>
        </w:rPr>
        <w:t>×</w:t>
      </w:r>
      <w:r w:rsidRPr="0035042A">
        <w:rPr>
          <w:lang w:val="es-ES" w:eastAsia="de-DE"/>
        </w:rPr>
        <w:t xml:space="preserve">103/μlL en el 2% de los pacientes tratados con </w:t>
      </w:r>
      <w:r w:rsidR="00EA0B87">
        <w:rPr>
          <w:szCs w:val="22"/>
          <w:lang w:val="es-ES"/>
        </w:rPr>
        <w:t>tocilizumab</w:t>
      </w:r>
      <w:r w:rsidR="00EA0B87" w:rsidRPr="0035042A" w:rsidDel="00EA0B87">
        <w:rPr>
          <w:lang w:val="es-ES" w:eastAsia="de-DE"/>
        </w:rPr>
        <w:t xml:space="preserve"> </w:t>
      </w:r>
      <w:r w:rsidR="00EA0B87">
        <w:rPr>
          <w:lang w:val="es-ES" w:eastAsia="de-DE"/>
        </w:rPr>
        <w:t>subcutáneo</w:t>
      </w:r>
      <w:r w:rsidRPr="0035042A">
        <w:rPr>
          <w:lang w:val="es-ES" w:eastAsia="de-DE"/>
        </w:rPr>
        <w:t>. Se produjo una elevació</w:t>
      </w:r>
      <w:r w:rsidR="00DC1783">
        <w:rPr>
          <w:lang w:val="es-ES" w:eastAsia="de-DE"/>
        </w:rPr>
        <w:t>n la ALT o la AST de ≥3</w:t>
      </w:r>
      <w:r w:rsidR="00DE55C8" w:rsidRPr="00F30AB8">
        <w:rPr>
          <w:rFonts w:eastAsia="SimSun"/>
          <w:szCs w:val="22"/>
          <w:lang w:val="es-ES" w:eastAsia="zh-CN"/>
        </w:rPr>
        <w:t>×</w:t>
      </w:r>
      <w:r w:rsidR="00DC1783">
        <w:rPr>
          <w:lang w:val="es-ES" w:eastAsia="de-DE"/>
        </w:rPr>
        <w:t>LSN</w:t>
      </w:r>
      <w:r w:rsidRPr="0035042A">
        <w:rPr>
          <w:lang w:val="es-ES" w:eastAsia="de-DE"/>
        </w:rPr>
        <w:t xml:space="preserve"> en un 9,8% </w:t>
      </w:r>
      <w:proofErr w:type="gramStart"/>
      <w:r w:rsidRPr="0035042A">
        <w:rPr>
          <w:lang w:val="es-ES" w:eastAsia="de-DE"/>
        </w:rPr>
        <w:t>y  un</w:t>
      </w:r>
      <w:proofErr w:type="gramEnd"/>
      <w:r w:rsidRPr="0035042A">
        <w:rPr>
          <w:lang w:val="es-ES" w:eastAsia="de-DE"/>
        </w:rPr>
        <w:t xml:space="preserve"> 4,0% de los pacientes tratados con </w:t>
      </w:r>
      <w:r w:rsidR="00EA0B87">
        <w:rPr>
          <w:szCs w:val="22"/>
          <w:lang w:val="es-ES"/>
        </w:rPr>
        <w:t>tocilizumab</w:t>
      </w:r>
      <w:r w:rsidR="00EA0B87" w:rsidRPr="0035042A" w:rsidDel="00EA0B87">
        <w:rPr>
          <w:lang w:val="es-ES" w:eastAsia="de-DE"/>
        </w:rPr>
        <w:t xml:space="preserve"> </w:t>
      </w:r>
      <w:r w:rsidR="00EA0B87">
        <w:rPr>
          <w:lang w:val="es-ES" w:eastAsia="de-DE"/>
        </w:rPr>
        <w:t>subcutáneo</w:t>
      </w:r>
      <w:r w:rsidRPr="0035042A">
        <w:rPr>
          <w:lang w:val="es-ES" w:eastAsia="de-DE"/>
        </w:rPr>
        <w:t>, respectivamente</w:t>
      </w:r>
      <w:r w:rsidR="00D54DB5">
        <w:rPr>
          <w:lang w:val="es-ES" w:eastAsia="de-DE"/>
        </w:rPr>
        <w:t>.</w:t>
      </w:r>
    </w:p>
    <w:p w14:paraId="36EFD1D2" w14:textId="77777777" w:rsidR="00D90204" w:rsidRDefault="00D90204" w:rsidP="00D90204">
      <w:pPr>
        <w:outlineLvl w:val="0"/>
        <w:rPr>
          <w:lang w:val="es-ES" w:eastAsia="de-DE"/>
        </w:rPr>
      </w:pPr>
    </w:p>
    <w:p w14:paraId="29513E75" w14:textId="77777777" w:rsidR="00D90204" w:rsidRPr="00F30AB8" w:rsidRDefault="00D90204" w:rsidP="00D90204">
      <w:pPr>
        <w:autoSpaceDE w:val="0"/>
        <w:autoSpaceDN w:val="0"/>
        <w:adjustRightInd w:val="0"/>
        <w:rPr>
          <w:i/>
          <w:u w:val="single"/>
          <w:lang w:val="es-ES" w:eastAsia="de-DE"/>
        </w:rPr>
      </w:pPr>
      <w:r w:rsidRPr="00F30AB8">
        <w:rPr>
          <w:i/>
          <w:u w:val="single"/>
          <w:lang w:val="es-ES" w:eastAsia="de-DE"/>
        </w:rPr>
        <w:t>Parámetros lipídicos</w:t>
      </w:r>
    </w:p>
    <w:p w14:paraId="2CD5C7D3" w14:textId="669A3B50" w:rsidR="00D90204" w:rsidRDefault="00D90204" w:rsidP="00D90204">
      <w:pPr>
        <w:autoSpaceDE w:val="0"/>
        <w:autoSpaceDN w:val="0"/>
        <w:adjustRightInd w:val="0"/>
        <w:rPr>
          <w:u w:val="single"/>
          <w:lang w:val="es-ES" w:eastAsia="de-DE"/>
        </w:rPr>
      </w:pPr>
      <w:r>
        <w:rPr>
          <w:lang w:val="es-ES" w:eastAsia="de-DE"/>
        </w:rPr>
        <w:t xml:space="preserve">En el </w:t>
      </w:r>
      <w:ins w:id="872" w:author="AUTHOR">
        <w:r w:rsidR="00FF4632">
          <w:rPr>
            <w:lang w:val="es-ES" w:eastAsia="de-DE"/>
          </w:rPr>
          <w:t>ensayo</w:t>
        </w:r>
      </w:ins>
      <w:del w:id="873" w:author="AUTHOR">
        <w:r w:rsidDel="00FF4632">
          <w:rPr>
            <w:lang w:val="es-ES" w:eastAsia="de-DE"/>
          </w:rPr>
          <w:delText>estudio</w:delText>
        </w:r>
      </w:del>
      <w:r>
        <w:rPr>
          <w:lang w:val="es-ES" w:eastAsia="de-DE"/>
        </w:rPr>
        <w:t xml:space="preserve"> </w:t>
      </w:r>
      <w:r w:rsidR="00EA0B87">
        <w:rPr>
          <w:lang w:val="es-ES" w:eastAsia="de-DE"/>
        </w:rPr>
        <w:t>subcutáneo</w:t>
      </w:r>
      <w:r>
        <w:rPr>
          <w:lang w:val="es-ES" w:eastAsia="de-DE"/>
        </w:rPr>
        <w:t xml:space="preserve"> (WA28118) abierto, de 52 semanas, el 23,4% y el 35,4% de los pacientes experimentaron</w:t>
      </w:r>
      <w:r w:rsidRPr="006A1006">
        <w:rPr>
          <w:lang w:val="es-ES" w:eastAsia="de-DE"/>
        </w:rPr>
        <w:t xml:space="preserve"> una elevación pos</w:t>
      </w:r>
      <w:r w:rsidRPr="00BE7EBF">
        <w:rPr>
          <w:lang w:val="es-ES" w:eastAsia="de-DE"/>
        </w:rPr>
        <w:t xml:space="preserve">basal </w:t>
      </w:r>
      <w:r w:rsidRPr="00757A87">
        <w:rPr>
          <w:lang w:val="es-ES" w:eastAsia="de-DE"/>
        </w:rPr>
        <w:t xml:space="preserve">de su valor </w:t>
      </w:r>
      <w:r w:rsidRPr="00FC7261">
        <w:rPr>
          <w:lang w:val="es-ES" w:eastAsia="de-DE"/>
        </w:rPr>
        <w:t>de colesterol LDL a ≥ 130</w:t>
      </w:r>
      <w:r w:rsidR="00DE55C8" w:rsidRPr="00F30AB8">
        <w:rPr>
          <w:szCs w:val="22"/>
          <w:lang w:val="es-ES"/>
        </w:rPr>
        <w:t> </w:t>
      </w:r>
      <w:r w:rsidRPr="00FC7261">
        <w:rPr>
          <w:lang w:val="es-ES" w:eastAsia="de-DE"/>
        </w:rPr>
        <w:t xml:space="preserve">mg/dl y un valor </w:t>
      </w:r>
      <w:r w:rsidRPr="001E5394">
        <w:rPr>
          <w:lang w:val="es-ES" w:eastAsia="de-DE"/>
        </w:rPr>
        <w:t>de colesterol total de ≥ 200 mg/dl</w:t>
      </w:r>
      <w:r w:rsidRPr="00FA0A14">
        <w:rPr>
          <w:lang w:val="es-ES" w:eastAsia="de-DE"/>
        </w:rPr>
        <w:t>, respectivamente</w:t>
      </w:r>
      <w:r w:rsidRPr="006616E4">
        <w:rPr>
          <w:lang w:val="es-ES" w:eastAsia="de-DE"/>
        </w:rPr>
        <w:t>,</w:t>
      </w:r>
      <w:r w:rsidRPr="002F682A">
        <w:rPr>
          <w:lang w:val="es-ES" w:eastAsia="de-DE"/>
        </w:rPr>
        <w:t xml:space="preserve"> en cualquier momento d</w:t>
      </w:r>
      <w:r w:rsidRPr="00F1099C">
        <w:rPr>
          <w:lang w:val="es-ES" w:eastAsia="de-DE"/>
        </w:rPr>
        <w:t xml:space="preserve">el </w:t>
      </w:r>
      <w:ins w:id="874" w:author="AUTHOR">
        <w:r w:rsidR="00FF4632">
          <w:rPr>
            <w:lang w:val="es-ES" w:eastAsia="de-DE"/>
          </w:rPr>
          <w:t>ensayo</w:t>
        </w:r>
      </w:ins>
      <w:del w:id="875" w:author="AUTHOR">
        <w:r w:rsidRPr="00F1099C" w:rsidDel="00FF4632">
          <w:rPr>
            <w:lang w:val="es-ES" w:eastAsia="de-DE"/>
          </w:rPr>
          <w:delText>estudio</w:delText>
        </w:r>
      </w:del>
      <w:r>
        <w:rPr>
          <w:lang w:val="es-ES" w:eastAsia="de-DE"/>
        </w:rPr>
        <w:t>.</w:t>
      </w:r>
    </w:p>
    <w:p w14:paraId="205FC1C5" w14:textId="77777777" w:rsidR="00D90204" w:rsidRPr="006616E4" w:rsidRDefault="00D90204" w:rsidP="00D90204">
      <w:pPr>
        <w:autoSpaceDE w:val="0"/>
        <w:autoSpaceDN w:val="0"/>
        <w:adjustRightInd w:val="0"/>
        <w:rPr>
          <w:u w:val="single"/>
          <w:lang w:val="es-ES" w:eastAsia="de-DE"/>
        </w:rPr>
      </w:pPr>
    </w:p>
    <w:p w14:paraId="14996D6C" w14:textId="0ADC48EE" w:rsidR="00D90204" w:rsidRPr="00F30AB8" w:rsidRDefault="00EA0B87" w:rsidP="00F30AB8">
      <w:pPr>
        <w:keepNext/>
        <w:keepLines/>
        <w:autoSpaceDE w:val="0"/>
        <w:autoSpaceDN w:val="0"/>
        <w:adjustRightInd w:val="0"/>
        <w:rPr>
          <w:i/>
          <w:lang w:val="es-ES" w:eastAsia="de-DE"/>
        </w:rPr>
      </w:pPr>
      <w:r w:rsidRPr="00F30AB8">
        <w:rPr>
          <w:i/>
          <w:lang w:val="es-ES" w:eastAsia="de-DE"/>
        </w:rPr>
        <w:t>Pacientes</w:t>
      </w:r>
      <w:r w:rsidR="00DE55C8">
        <w:rPr>
          <w:i/>
          <w:lang w:val="es-ES" w:eastAsia="de-DE"/>
        </w:rPr>
        <w:t xml:space="preserve"> con</w:t>
      </w:r>
      <w:r w:rsidRPr="00F30AB8">
        <w:rPr>
          <w:i/>
          <w:lang w:val="es-ES" w:eastAsia="de-DE"/>
        </w:rPr>
        <w:t xml:space="preserve"> </w:t>
      </w:r>
      <w:r w:rsidR="00D90204" w:rsidRPr="00F30AB8">
        <w:rPr>
          <w:i/>
          <w:lang w:val="es-ES" w:eastAsia="de-DE"/>
        </w:rPr>
        <w:t>AIJp</w:t>
      </w:r>
    </w:p>
    <w:p w14:paraId="5D078D51" w14:textId="39718737" w:rsidR="00D90204" w:rsidRPr="005D42FD" w:rsidRDefault="00D90204" w:rsidP="00F30AB8">
      <w:pPr>
        <w:keepNext/>
        <w:keepLines/>
        <w:autoSpaceDE w:val="0"/>
        <w:autoSpaceDN w:val="0"/>
        <w:adjustRightInd w:val="0"/>
        <w:rPr>
          <w:lang w:val="es-ES" w:eastAsia="de-DE"/>
        </w:rPr>
      </w:pPr>
      <w:r w:rsidRPr="00666987">
        <w:rPr>
          <w:lang w:val="es-ES" w:eastAsia="de-DE"/>
        </w:rPr>
        <w:t xml:space="preserve">El </w:t>
      </w:r>
      <w:r w:rsidRPr="00865037">
        <w:rPr>
          <w:lang w:val="es-ES" w:eastAsia="de-DE"/>
        </w:rPr>
        <w:t xml:space="preserve">perfil de seguridad de </w:t>
      </w:r>
      <w:r w:rsidR="00EA0B87">
        <w:rPr>
          <w:szCs w:val="22"/>
          <w:lang w:val="es-ES"/>
        </w:rPr>
        <w:t>tocilizumab</w:t>
      </w:r>
      <w:r w:rsidR="00EA0B87" w:rsidRPr="00865037" w:rsidDel="00EA0B87">
        <w:rPr>
          <w:lang w:val="es-ES" w:eastAsia="de-DE"/>
        </w:rPr>
        <w:t xml:space="preserve"> </w:t>
      </w:r>
      <w:r w:rsidRPr="00865037">
        <w:rPr>
          <w:lang w:val="es-ES" w:eastAsia="de-DE"/>
        </w:rPr>
        <w:t>subcutáneo se</w:t>
      </w:r>
      <w:r w:rsidRPr="00666987">
        <w:rPr>
          <w:lang w:val="es-ES" w:eastAsia="de-DE"/>
        </w:rPr>
        <w:t xml:space="preserve"> evaluó </w:t>
      </w:r>
      <w:r>
        <w:rPr>
          <w:lang w:val="es-ES" w:eastAsia="de-DE"/>
        </w:rPr>
        <w:t xml:space="preserve">también </w:t>
      </w:r>
      <w:r w:rsidRPr="00666987">
        <w:rPr>
          <w:lang w:val="es-ES" w:eastAsia="de-DE"/>
        </w:rPr>
        <w:t xml:space="preserve">en 52 pacientes pediátricos con AIJp. En la población </w:t>
      </w:r>
      <w:r>
        <w:rPr>
          <w:lang w:val="es-ES" w:eastAsia="de-DE"/>
        </w:rPr>
        <w:t xml:space="preserve">expuesta total con AIJp, el total de pacientes que recibieron </w:t>
      </w:r>
      <w:r w:rsidR="00EA0B87">
        <w:rPr>
          <w:szCs w:val="22"/>
          <w:lang w:val="es-ES"/>
        </w:rPr>
        <w:t>tocilizumab</w:t>
      </w:r>
      <w:r w:rsidR="00EA0B87" w:rsidRPr="005D42FD" w:rsidDel="00EA0B87">
        <w:rPr>
          <w:lang w:val="es-ES" w:eastAsia="de-DE"/>
        </w:rPr>
        <w:t xml:space="preserve"> </w:t>
      </w:r>
      <w:r w:rsidR="00EA0B87">
        <w:rPr>
          <w:lang w:val="es-ES" w:eastAsia="de-DE"/>
        </w:rPr>
        <w:t>intravenoso</w:t>
      </w:r>
      <w:r>
        <w:rPr>
          <w:lang w:val="es-ES" w:eastAsia="de-DE"/>
        </w:rPr>
        <w:t xml:space="preserve"> fue de 184,4</w:t>
      </w:r>
      <w:r w:rsidR="00DE55C8" w:rsidRPr="00F30AB8">
        <w:rPr>
          <w:szCs w:val="22"/>
          <w:lang w:val="es-ES"/>
        </w:rPr>
        <w:t> </w:t>
      </w:r>
      <w:r w:rsidRPr="005D42FD">
        <w:rPr>
          <w:lang w:val="es-ES" w:eastAsia="de-DE"/>
        </w:rPr>
        <w:t>paciente</w:t>
      </w:r>
      <w:r>
        <w:rPr>
          <w:lang w:val="es-ES" w:eastAsia="de-DE"/>
        </w:rPr>
        <w:t>s año</w:t>
      </w:r>
      <w:r w:rsidRPr="005D42FD">
        <w:rPr>
          <w:lang w:val="es-ES" w:eastAsia="de-DE"/>
        </w:rPr>
        <w:t xml:space="preserve"> y </w:t>
      </w:r>
      <w:r>
        <w:rPr>
          <w:lang w:val="es-ES" w:eastAsia="de-DE"/>
        </w:rPr>
        <w:t>de 50,4</w:t>
      </w:r>
      <w:r w:rsidR="00DE55C8" w:rsidRPr="00F30AB8">
        <w:rPr>
          <w:szCs w:val="22"/>
          <w:lang w:val="es-ES"/>
        </w:rPr>
        <w:t> </w:t>
      </w:r>
      <w:r>
        <w:rPr>
          <w:lang w:val="es-ES" w:eastAsia="de-DE"/>
        </w:rPr>
        <w:t xml:space="preserve">pacientes año en los pacientes que recibieron tocilizumab </w:t>
      </w:r>
      <w:r w:rsidR="00EA0B87">
        <w:rPr>
          <w:lang w:val="es-ES" w:eastAsia="de-DE"/>
        </w:rPr>
        <w:t>subcutáneo</w:t>
      </w:r>
      <w:ins w:id="876" w:author="AUTHOR">
        <w:r w:rsidR="00D00D6F">
          <w:rPr>
            <w:lang w:val="es-ES" w:eastAsia="de-DE"/>
          </w:rPr>
          <w:t xml:space="preserve"> </w:t>
        </w:r>
      </w:ins>
      <w:r>
        <w:rPr>
          <w:lang w:val="es-ES" w:eastAsia="de-DE"/>
        </w:rPr>
        <w:t>SC.</w:t>
      </w:r>
      <w:r w:rsidRPr="005D42FD">
        <w:rPr>
          <w:lang w:val="es-ES" w:eastAsia="de-DE"/>
        </w:rPr>
        <w:t xml:space="preserve"> En general, el perfil de segurida</w:t>
      </w:r>
      <w:r>
        <w:rPr>
          <w:lang w:val="es-ES" w:eastAsia="de-DE"/>
        </w:rPr>
        <w:t xml:space="preserve">d observado en pacientes con </w:t>
      </w:r>
      <w:r w:rsidRPr="005D42FD">
        <w:rPr>
          <w:lang w:val="es-ES" w:eastAsia="de-DE"/>
        </w:rPr>
        <w:t>A</w:t>
      </w:r>
      <w:r>
        <w:rPr>
          <w:lang w:val="es-ES" w:eastAsia="de-DE"/>
        </w:rPr>
        <w:t>IJp</w:t>
      </w:r>
      <w:r w:rsidRPr="005D42FD">
        <w:rPr>
          <w:lang w:val="es-ES" w:eastAsia="de-DE"/>
        </w:rPr>
        <w:t xml:space="preserve"> fue consistente con el perfil de seguridad conocido de </w:t>
      </w:r>
      <w:r w:rsidR="00EA0B87">
        <w:rPr>
          <w:szCs w:val="22"/>
          <w:lang w:val="es-ES"/>
        </w:rPr>
        <w:t>tocilizumab</w:t>
      </w:r>
      <w:r>
        <w:rPr>
          <w:lang w:val="es-ES" w:eastAsia="de-DE"/>
        </w:rPr>
        <w:t xml:space="preserve">, con la excepción de las </w:t>
      </w:r>
      <w:r w:rsidRPr="005D42FD">
        <w:rPr>
          <w:lang w:val="es-ES" w:eastAsia="de-DE"/>
        </w:rPr>
        <w:t>R</w:t>
      </w:r>
      <w:r>
        <w:rPr>
          <w:lang w:val="es-ES" w:eastAsia="de-DE"/>
        </w:rPr>
        <w:t>LI</w:t>
      </w:r>
      <w:r w:rsidRPr="005D42FD">
        <w:rPr>
          <w:lang w:val="es-ES" w:eastAsia="de-DE"/>
        </w:rPr>
        <w:t xml:space="preserve"> (ver Tabla</w:t>
      </w:r>
      <w:r w:rsidR="00DE55C8" w:rsidRPr="00F30AB8">
        <w:rPr>
          <w:szCs w:val="22"/>
          <w:lang w:val="es-ES"/>
        </w:rPr>
        <w:t> </w:t>
      </w:r>
      <w:r w:rsidRPr="005D42FD">
        <w:rPr>
          <w:lang w:val="es-ES" w:eastAsia="de-DE"/>
        </w:rPr>
        <w:t xml:space="preserve">1). </w:t>
      </w:r>
      <w:r>
        <w:rPr>
          <w:lang w:val="es-ES" w:eastAsia="de-DE"/>
        </w:rPr>
        <w:t xml:space="preserve">Tras las inyecciones con </w:t>
      </w:r>
      <w:r w:rsidR="00EA0B87">
        <w:rPr>
          <w:szCs w:val="22"/>
          <w:lang w:val="es-ES"/>
        </w:rPr>
        <w:t>tocilizumab</w:t>
      </w:r>
      <w:r w:rsidR="00EA0B87" w:rsidRPr="005D42FD" w:rsidDel="00EA0B87">
        <w:rPr>
          <w:lang w:val="es-ES" w:eastAsia="de-DE"/>
        </w:rPr>
        <w:t xml:space="preserve"> </w:t>
      </w:r>
      <w:r w:rsidR="00EA0B87">
        <w:rPr>
          <w:lang w:val="es-ES" w:eastAsia="de-DE"/>
        </w:rPr>
        <w:t>subcutáneo</w:t>
      </w:r>
      <w:r>
        <w:rPr>
          <w:lang w:val="es-ES" w:eastAsia="de-DE"/>
        </w:rPr>
        <w:t>,</w:t>
      </w:r>
      <w:r w:rsidRPr="005D42FD">
        <w:rPr>
          <w:lang w:val="es-ES" w:eastAsia="de-DE"/>
        </w:rPr>
        <w:t xml:space="preserve"> </w:t>
      </w:r>
      <w:r>
        <w:rPr>
          <w:lang w:val="es-ES" w:eastAsia="de-DE"/>
        </w:rPr>
        <w:t>u</w:t>
      </w:r>
      <w:r w:rsidRPr="005D42FD">
        <w:rPr>
          <w:lang w:val="es-ES" w:eastAsia="de-DE"/>
        </w:rPr>
        <w:t>na mayor</w:t>
      </w:r>
      <w:r>
        <w:rPr>
          <w:lang w:val="es-ES" w:eastAsia="de-DE"/>
        </w:rPr>
        <w:t xml:space="preserve"> proporción de pacientes con </w:t>
      </w:r>
      <w:r w:rsidRPr="005D42FD">
        <w:rPr>
          <w:lang w:val="es-ES" w:eastAsia="de-DE"/>
        </w:rPr>
        <w:t>A</w:t>
      </w:r>
      <w:r>
        <w:rPr>
          <w:lang w:val="es-ES" w:eastAsia="de-DE"/>
        </w:rPr>
        <w:t xml:space="preserve">IJp experimentaron </w:t>
      </w:r>
      <w:r w:rsidRPr="005D42FD">
        <w:rPr>
          <w:lang w:val="es-ES" w:eastAsia="de-DE"/>
        </w:rPr>
        <w:t>R</w:t>
      </w:r>
      <w:r>
        <w:rPr>
          <w:lang w:val="es-ES" w:eastAsia="de-DE"/>
        </w:rPr>
        <w:t xml:space="preserve">LI </w:t>
      </w:r>
      <w:r w:rsidRPr="005D42FD">
        <w:rPr>
          <w:lang w:val="es-ES" w:eastAsia="de-DE"/>
        </w:rPr>
        <w:t>en comparación con l</w:t>
      </w:r>
      <w:r>
        <w:rPr>
          <w:lang w:val="es-ES" w:eastAsia="de-DE"/>
        </w:rPr>
        <w:t xml:space="preserve">os pacientes adultos con </w:t>
      </w:r>
      <w:r w:rsidRPr="005D42FD">
        <w:rPr>
          <w:lang w:val="es-ES" w:eastAsia="de-DE"/>
        </w:rPr>
        <w:t>AR.</w:t>
      </w:r>
    </w:p>
    <w:p w14:paraId="05C54867" w14:textId="77777777" w:rsidR="00D90204" w:rsidRPr="005D42FD" w:rsidRDefault="00D90204" w:rsidP="00D90204">
      <w:pPr>
        <w:autoSpaceDE w:val="0"/>
        <w:autoSpaceDN w:val="0"/>
        <w:adjustRightInd w:val="0"/>
        <w:rPr>
          <w:lang w:val="es-ES" w:eastAsia="de-DE"/>
        </w:rPr>
      </w:pPr>
    </w:p>
    <w:p w14:paraId="7C774113" w14:textId="77777777" w:rsidR="00D90204" w:rsidRPr="00F30AB8" w:rsidRDefault="00D90204" w:rsidP="00D90204">
      <w:pPr>
        <w:autoSpaceDE w:val="0"/>
        <w:autoSpaceDN w:val="0"/>
        <w:adjustRightInd w:val="0"/>
        <w:rPr>
          <w:i/>
          <w:u w:val="single"/>
          <w:lang w:val="es-ES" w:eastAsia="de-DE"/>
        </w:rPr>
      </w:pPr>
      <w:r w:rsidRPr="00F30AB8">
        <w:rPr>
          <w:i/>
          <w:u w:val="single"/>
          <w:lang w:val="es-ES" w:eastAsia="de-DE"/>
        </w:rPr>
        <w:t>Infecciones</w:t>
      </w:r>
    </w:p>
    <w:p w14:paraId="060875CF" w14:textId="4D89A037" w:rsidR="00D90204" w:rsidRPr="005D42FD" w:rsidRDefault="00D90204" w:rsidP="00D90204">
      <w:pPr>
        <w:autoSpaceDE w:val="0"/>
        <w:autoSpaceDN w:val="0"/>
        <w:adjustRightInd w:val="0"/>
        <w:rPr>
          <w:lang w:val="es-ES" w:eastAsia="de-DE"/>
        </w:rPr>
      </w:pPr>
      <w:r>
        <w:rPr>
          <w:lang w:val="es-ES" w:eastAsia="de-DE"/>
        </w:rPr>
        <w:t xml:space="preserve">En el </w:t>
      </w:r>
      <w:ins w:id="877" w:author="AUTHOR">
        <w:r w:rsidR="00FF4632">
          <w:rPr>
            <w:lang w:val="es-ES" w:eastAsia="de-DE"/>
          </w:rPr>
          <w:t>ensayo</w:t>
        </w:r>
      </w:ins>
      <w:del w:id="878" w:author="AUTHOR">
        <w:r w:rsidDel="00FF4632">
          <w:rPr>
            <w:lang w:val="es-ES" w:eastAsia="de-DE"/>
          </w:rPr>
          <w:delText>estudio</w:delText>
        </w:r>
      </w:del>
      <w:r>
        <w:rPr>
          <w:lang w:val="es-ES" w:eastAsia="de-DE"/>
        </w:rPr>
        <w:t xml:space="preserve"> con </w:t>
      </w:r>
      <w:r w:rsidR="00EA0B87">
        <w:rPr>
          <w:szCs w:val="22"/>
          <w:lang w:val="es-ES"/>
        </w:rPr>
        <w:t>tocilizumab</w:t>
      </w:r>
      <w:r w:rsidR="00EA0B87" w:rsidRPr="005D42FD" w:rsidDel="00EA0B87">
        <w:rPr>
          <w:lang w:val="es-ES" w:eastAsia="de-DE"/>
        </w:rPr>
        <w:t xml:space="preserve"> </w:t>
      </w:r>
      <w:r w:rsidR="00EA0B87">
        <w:rPr>
          <w:lang w:val="es-ES" w:eastAsia="de-DE"/>
        </w:rPr>
        <w:t>subcutáneo</w:t>
      </w:r>
      <w:r w:rsidRPr="005D42FD">
        <w:rPr>
          <w:lang w:val="es-ES" w:eastAsia="de-DE"/>
        </w:rPr>
        <w:t>, la tasa d</w:t>
      </w:r>
      <w:r>
        <w:rPr>
          <w:lang w:val="es-ES" w:eastAsia="de-DE"/>
        </w:rPr>
        <w:t xml:space="preserve">e infección en pacientes con </w:t>
      </w:r>
      <w:r w:rsidRPr="005D42FD">
        <w:rPr>
          <w:lang w:val="es-ES" w:eastAsia="de-DE"/>
        </w:rPr>
        <w:t>A</w:t>
      </w:r>
      <w:r>
        <w:rPr>
          <w:lang w:val="es-ES" w:eastAsia="de-DE"/>
        </w:rPr>
        <w:t>IJp</w:t>
      </w:r>
      <w:r w:rsidRPr="005D42FD">
        <w:rPr>
          <w:lang w:val="es-ES" w:eastAsia="de-DE"/>
        </w:rPr>
        <w:t xml:space="preserve"> tratados con </w:t>
      </w:r>
      <w:r w:rsidR="00EA0B87">
        <w:rPr>
          <w:szCs w:val="22"/>
          <w:lang w:val="es-ES"/>
        </w:rPr>
        <w:t>tocilizumab</w:t>
      </w:r>
      <w:r w:rsidR="00EA0B87" w:rsidRPr="005D42FD" w:rsidDel="00EA0B87">
        <w:rPr>
          <w:lang w:val="es-ES" w:eastAsia="de-DE"/>
        </w:rPr>
        <w:t xml:space="preserve"> </w:t>
      </w:r>
      <w:r w:rsidR="00EA0B87">
        <w:rPr>
          <w:lang w:val="es-ES" w:eastAsia="de-DE"/>
        </w:rPr>
        <w:t>subcutáneo</w:t>
      </w:r>
      <w:r>
        <w:rPr>
          <w:lang w:val="es-ES" w:eastAsia="de-DE"/>
        </w:rPr>
        <w:t xml:space="preserve"> </w:t>
      </w:r>
      <w:r w:rsidRPr="005D42FD">
        <w:rPr>
          <w:lang w:val="es-ES" w:eastAsia="de-DE"/>
        </w:rPr>
        <w:t>fue comparable co</w:t>
      </w:r>
      <w:r>
        <w:rPr>
          <w:lang w:val="es-ES" w:eastAsia="de-DE"/>
        </w:rPr>
        <w:t xml:space="preserve">n la tasa de infección en pacientes con </w:t>
      </w:r>
      <w:r w:rsidRPr="005D42FD">
        <w:rPr>
          <w:lang w:val="es-ES" w:eastAsia="de-DE"/>
        </w:rPr>
        <w:t>A</w:t>
      </w:r>
      <w:r>
        <w:rPr>
          <w:lang w:val="es-ES" w:eastAsia="de-DE"/>
        </w:rPr>
        <w:t>IJp</w:t>
      </w:r>
      <w:r w:rsidRPr="005D42FD">
        <w:rPr>
          <w:lang w:val="es-ES" w:eastAsia="de-DE"/>
        </w:rPr>
        <w:t xml:space="preserve"> tratados con </w:t>
      </w:r>
      <w:del w:id="879" w:author="AUTHOR">
        <w:r w:rsidR="00EA0B87" w:rsidDel="000C7D20">
          <w:rPr>
            <w:lang w:val="es-ES" w:eastAsia="de-DE"/>
          </w:rPr>
          <w:delText>t</w:delText>
        </w:r>
        <w:r w:rsidR="00DE55C8" w:rsidDel="000C7D20">
          <w:rPr>
            <w:lang w:val="es-ES" w:eastAsia="de-DE"/>
          </w:rPr>
          <w:delText>ratamiento</w:delText>
        </w:r>
        <w:r w:rsidR="00EA0B87" w:rsidDel="000C7D20">
          <w:rPr>
            <w:lang w:val="es-ES" w:eastAsia="de-DE"/>
          </w:rPr>
          <w:delText xml:space="preserve"> </w:delText>
        </w:r>
      </w:del>
      <w:ins w:id="880" w:author="AUTHOR">
        <w:r w:rsidR="000C7D20">
          <w:rPr>
            <w:lang w:val="es-ES" w:eastAsia="de-DE"/>
          </w:rPr>
          <w:t xml:space="preserve">tocilizumab </w:t>
        </w:r>
      </w:ins>
      <w:r w:rsidR="00EA0B87">
        <w:rPr>
          <w:lang w:val="es-ES" w:eastAsia="de-DE"/>
        </w:rPr>
        <w:t>intravenoso</w:t>
      </w:r>
      <w:r w:rsidRPr="005D42FD">
        <w:rPr>
          <w:lang w:val="es-ES" w:eastAsia="de-DE"/>
        </w:rPr>
        <w:t>.</w:t>
      </w:r>
    </w:p>
    <w:p w14:paraId="0D9C3C13" w14:textId="77777777" w:rsidR="00D90204" w:rsidRPr="005D42FD" w:rsidRDefault="00D90204" w:rsidP="00D90204">
      <w:pPr>
        <w:autoSpaceDE w:val="0"/>
        <w:autoSpaceDN w:val="0"/>
        <w:adjustRightInd w:val="0"/>
        <w:rPr>
          <w:lang w:val="es-ES" w:eastAsia="de-DE"/>
        </w:rPr>
      </w:pPr>
    </w:p>
    <w:p w14:paraId="3DB96F62" w14:textId="77777777" w:rsidR="00D90204" w:rsidRPr="00F30AB8" w:rsidRDefault="00D90204" w:rsidP="00D90204">
      <w:pPr>
        <w:autoSpaceDE w:val="0"/>
        <w:autoSpaceDN w:val="0"/>
        <w:adjustRightInd w:val="0"/>
        <w:rPr>
          <w:i/>
          <w:u w:val="single"/>
          <w:lang w:val="es-ES" w:eastAsia="de-DE"/>
        </w:rPr>
      </w:pPr>
      <w:r w:rsidRPr="00F30AB8">
        <w:rPr>
          <w:i/>
          <w:u w:val="single"/>
          <w:lang w:val="es-ES" w:eastAsia="de-DE"/>
        </w:rPr>
        <w:t>Reacciones en el lugar de la inyección</w:t>
      </w:r>
    </w:p>
    <w:p w14:paraId="0DF2CB36" w14:textId="72A7AFDA" w:rsidR="00D90204" w:rsidRPr="005D42FD" w:rsidRDefault="00D90204" w:rsidP="00D90204">
      <w:pPr>
        <w:autoSpaceDE w:val="0"/>
        <w:autoSpaceDN w:val="0"/>
        <w:adjustRightInd w:val="0"/>
        <w:rPr>
          <w:lang w:val="es-ES" w:eastAsia="de-DE"/>
        </w:rPr>
      </w:pPr>
      <w:r>
        <w:rPr>
          <w:lang w:val="es-ES" w:eastAsia="de-DE"/>
        </w:rPr>
        <w:t>Un total de 28,</w:t>
      </w:r>
      <w:r w:rsidRPr="005D42FD">
        <w:rPr>
          <w:lang w:val="es-ES" w:eastAsia="de-DE"/>
        </w:rPr>
        <w:t xml:space="preserve">8% (15/52) </w:t>
      </w:r>
      <w:r>
        <w:rPr>
          <w:lang w:val="es-ES" w:eastAsia="de-DE"/>
        </w:rPr>
        <w:t xml:space="preserve">de los </w:t>
      </w:r>
      <w:r w:rsidRPr="005D42FD">
        <w:rPr>
          <w:lang w:val="es-ES" w:eastAsia="de-DE"/>
        </w:rPr>
        <w:t>paci</w:t>
      </w:r>
      <w:r>
        <w:rPr>
          <w:lang w:val="es-ES" w:eastAsia="de-DE"/>
        </w:rPr>
        <w:t xml:space="preserve">entes con AIJp experimentaron </w:t>
      </w:r>
      <w:r w:rsidRPr="005D42FD">
        <w:rPr>
          <w:lang w:val="es-ES" w:eastAsia="de-DE"/>
        </w:rPr>
        <w:t>R</w:t>
      </w:r>
      <w:r>
        <w:rPr>
          <w:lang w:val="es-ES" w:eastAsia="de-DE"/>
        </w:rPr>
        <w:t xml:space="preserve">LI con </w:t>
      </w:r>
      <w:r w:rsidR="00EA0B87">
        <w:rPr>
          <w:szCs w:val="22"/>
          <w:lang w:val="es-ES"/>
        </w:rPr>
        <w:t>tocilizumab</w:t>
      </w:r>
      <w:r w:rsidR="00EA0B87" w:rsidRPr="00865037" w:rsidDel="00EA0B87">
        <w:rPr>
          <w:lang w:val="es-ES" w:eastAsia="de-DE"/>
        </w:rPr>
        <w:t xml:space="preserve"> </w:t>
      </w:r>
      <w:proofErr w:type="gramStart"/>
      <w:r w:rsidR="00EA0B87" w:rsidRPr="00865037">
        <w:rPr>
          <w:lang w:val="es-ES" w:eastAsia="de-DE"/>
        </w:rPr>
        <w:t>subcutáneo</w:t>
      </w:r>
      <w:r w:rsidR="00EA0B87" w:rsidDel="00EA0B87">
        <w:rPr>
          <w:lang w:val="es-ES" w:eastAsia="de-DE"/>
        </w:rPr>
        <w:t xml:space="preserve"> </w:t>
      </w:r>
      <w:r>
        <w:rPr>
          <w:lang w:val="es-ES" w:eastAsia="de-DE"/>
        </w:rPr>
        <w:t>.</w:t>
      </w:r>
      <w:proofErr w:type="gramEnd"/>
      <w:r>
        <w:rPr>
          <w:lang w:val="es-ES" w:eastAsia="de-DE"/>
        </w:rPr>
        <w:t xml:space="preserve"> Estas </w:t>
      </w:r>
      <w:r w:rsidRPr="005D42FD">
        <w:rPr>
          <w:lang w:val="es-ES" w:eastAsia="de-DE"/>
        </w:rPr>
        <w:t>R</w:t>
      </w:r>
      <w:r>
        <w:rPr>
          <w:lang w:val="es-ES" w:eastAsia="de-DE"/>
        </w:rPr>
        <w:t>LI</w:t>
      </w:r>
      <w:r w:rsidRPr="005D42FD">
        <w:rPr>
          <w:lang w:val="es-ES" w:eastAsia="de-DE"/>
        </w:rPr>
        <w:t xml:space="preserve"> ocurrieron en un 44% de </w:t>
      </w:r>
      <w:r>
        <w:rPr>
          <w:lang w:val="es-ES" w:eastAsia="de-DE"/>
        </w:rPr>
        <w:t xml:space="preserve">los </w:t>
      </w:r>
      <w:r w:rsidRPr="005D42FD">
        <w:rPr>
          <w:lang w:val="es-ES" w:eastAsia="de-DE"/>
        </w:rPr>
        <w:t xml:space="preserve">pacientes </w:t>
      </w:r>
      <w:r>
        <w:rPr>
          <w:lang w:val="es-ES" w:eastAsia="de-DE"/>
        </w:rPr>
        <w:t>con peso ≥30 kg en comparación con un 14,8% en</w:t>
      </w:r>
      <w:r w:rsidRPr="005D42FD">
        <w:rPr>
          <w:lang w:val="es-ES" w:eastAsia="de-DE"/>
        </w:rPr>
        <w:t xml:space="preserve"> pacientes </w:t>
      </w:r>
      <w:r>
        <w:rPr>
          <w:lang w:val="es-ES" w:eastAsia="de-DE"/>
        </w:rPr>
        <w:t xml:space="preserve">con peso por debajo de los 30 kg. Las </w:t>
      </w:r>
      <w:r w:rsidRPr="005D42FD">
        <w:rPr>
          <w:lang w:val="es-ES" w:eastAsia="de-DE"/>
        </w:rPr>
        <w:t>R</w:t>
      </w:r>
      <w:r>
        <w:rPr>
          <w:lang w:val="es-ES" w:eastAsia="de-DE"/>
        </w:rPr>
        <w:t>LI</w:t>
      </w:r>
      <w:r w:rsidRPr="005D42FD">
        <w:rPr>
          <w:lang w:val="es-ES" w:eastAsia="de-DE"/>
        </w:rPr>
        <w:t xml:space="preserve"> más frecuentes </w:t>
      </w:r>
      <w:r w:rsidRPr="000D74F0">
        <w:rPr>
          <w:lang w:val="es-ES" w:eastAsia="de-DE"/>
        </w:rPr>
        <w:t>fueron eritema, hinchazón, hematoma</w:t>
      </w:r>
      <w:r w:rsidRPr="005D42FD">
        <w:rPr>
          <w:lang w:val="es-ES" w:eastAsia="de-DE"/>
        </w:rPr>
        <w:t>, dolor y prurito en el lug</w:t>
      </w:r>
      <w:r>
        <w:rPr>
          <w:lang w:val="es-ES" w:eastAsia="de-DE"/>
        </w:rPr>
        <w:t xml:space="preserve">ar de la inyección. Todas las </w:t>
      </w:r>
      <w:r w:rsidRPr="005D42FD">
        <w:rPr>
          <w:lang w:val="es-ES" w:eastAsia="de-DE"/>
        </w:rPr>
        <w:t>R</w:t>
      </w:r>
      <w:r>
        <w:rPr>
          <w:lang w:val="es-ES" w:eastAsia="de-DE"/>
        </w:rPr>
        <w:t>LI notificadas</w:t>
      </w:r>
      <w:r w:rsidRPr="005D42FD">
        <w:rPr>
          <w:lang w:val="es-ES" w:eastAsia="de-DE"/>
        </w:rPr>
        <w:t xml:space="preserve"> </w:t>
      </w:r>
      <w:r>
        <w:rPr>
          <w:lang w:val="es-ES" w:eastAsia="de-DE"/>
        </w:rPr>
        <w:t xml:space="preserve">no </w:t>
      </w:r>
      <w:r w:rsidRPr="005D42FD">
        <w:rPr>
          <w:lang w:val="es-ES" w:eastAsia="de-DE"/>
        </w:rPr>
        <w:t>fueron eventos graves</w:t>
      </w:r>
      <w:r>
        <w:rPr>
          <w:lang w:val="es-ES" w:eastAsia="de-DE"/>
        </w:rPr>
        <w:t xml:space="preserve">, Grado 1, y ninguna de las </w:t>
      </w:r>
      <w:r w:rsidRPr="005D42FD">
        <w:rPr>
          <w:lang w:val="es-ES" w:eastAsia="de-DE"/>
        </w:rPr>
        <w:t>R</w:t>
      </w:r>
      <w:r>
        <w:rPr>
          <w:lang w:val="es-ES" w:eastAsia="de-DE"/>
        </w:rPr>
        <w:t>LI</w:t>
      </w:r>
      <w:r w:rsidRPr="005D42FD">
        <w:rPr>
          <w:lang w:val="es-ES" w:eastAsia="de-DE"/>
        </w:rPr>
        <w:t xml:space="preserve"> requirió la retirada del trata</w:t>
      </w:r>
      <w:r>
        <w:rPr>
          <w:lang w:val="es-ES" w:eastAsia="de-DE"/>
        </w:rPr>
        <w:t>miento o la interrupción de la dosis</w:t>
      </w:r>
      <w:r w:rsidRPr="005D42FD">
        <w:rPr>
          <w:lang w:val="es-ES" w:eastAsia="de-DE"/>
        </w:rPr>
        <w:t>.</w:t>
      </w:r>
    </w:p>
    <w:p w14:paraId="366A8A78" w14:textId="77777777" w:rsidR="00D90204" w:rsidRPr="005D42FD" w:rsidRDefault="00D90204" w:rsidP="00D90204">
      <w:pPr>
        <w:autoSpaceDE w:val="0"/>
        <w:autoSpaceDN w:val="0"/>
        <w:adjustRightInd w:val="0"/>
        <w:rPr>
          <w:lang w:val="es-ES" w:eastAsia="de-DE"/>
        </w:rPr>
      </w:pPr>
    </w:p>
    <w:p w14:paraId="304EEBBF" w14:textId="77777777" w:rsidR="00D90204" w:rsidRPr="00F30AB8" w:rsidRDefault="00D90204" w:rsidP="00D90204">
      <w:pPr>
        <w:keepNext/>
        <w:keepLines/>
        <w:autoSpaceDE w:val="0"/>
        <w:autoSpaceDN w:val="0"/>
        <w:adjustRightInd w:val="0"/>
        <w:rPr>
          <w:i/>
          <w:u w:val="single"/>
          <w:lang w:val="es-ES" w:eastAsia="de-DE"/>
        </w:rPr>
      </w:pPr>
      <w:r w:rsidRPr="00F30AB8">
        <w:rPr>
          <w:i/>
          <w:u w:val="single"/>
          <w:lang w:val="es-ES" w:eastAsia="de-DE"/>
        </w:rPr>
        <w:t>Inmunogenicidad</w:t>
      </w:r>
    </w:p>
    <w:p w14:paraId="5EB6C32B" w14:textId="08FE59AD" w:rsidR="00D90204" w:rsidRPr="005D42FD" w:rsidRDefault="00D90204" w:rsidP="00D90204">
      <w:pPr>
        <w:keepNext/>
        <w:keepLines/>
        <w:autoSpaceDE w:val="0"/>
        <w:autoSpaceDN w:val="0"/>
        <w:adjustRightInd w:val="0"/>
        <w:rPr>
          <w:lang w:val="es-ES" w:eastAsia="de-DE"/>
        </w:rPr>
      </w:pPr>
      <w:r>
        <w:rPr>
          <w:lang w:val="es-ES" w:eastAsia="de-DE"/>
        </w:rPr>
        <w:t xml:space="preserve">En el </w:t>
      </w:r>
      <w:ins w:id="881" w:author="AUTHOR">
        <w:r w:rsidR="00FF4632">
          <w:rPr>
            <w:lang w:val="es-ES" w:eastAsia="de-DE"/>
          </w:rPr>
          <w:t>ensayo</w:t>
        </w:r>
      </w:ins>
      <w:del w:id="882" w:author="AUTHOR">
        <w:r w:rsidDel="00FF4632">
          <w:rPr>
            <w:lang w:val="es-ES" w:eastAsia="de-DE"/>
          </w:rPr>
          <w:delText>estudio</w:delText>
        </w:r>
      </w:del>
      <w:r w:rsidR="00EA0B87">
        <w:rPr>
          <w:szCs w:val="22"/>
          <w:lang w:val="es-ES"/>
        </w:rPr>
        <w:t xml:space="preserve"> </w:t>
      </w:r>
      <w:r w:rsidR="00EA0B87" w:rsidRPr="00865037">
        <w:rPr>
          <w:lang w:val="es-ES" w:eastAsia="de-DE"/>
        </w:rPr>
        <w:t>subcutáneo</w:t>
      </w:r>
      <w:r w:rsidR="00EA0B87" w:rsidRPr="006616E4">
        <w:rPr>
          <w:lang w:val="es-ES" w:eastAsia="de-DE"/>
        </w:rPr>
        <w:t xml:space="preserve"> </w:t>
      </w:r>
      <w:r w:rsidRPr="00CF214E">
        <w:rPr>
          <w:lang w:val="es-ES" w:eastAsia="de-DE"/>
        </w:rPr>
        <w:t>,</w:t>
      </w:r>
      <w:r>
        <w:rPr>
          <w:lang w:val="es-ES" w:eastAsia="de-DE"/>
        </w:rPr>
        <w:t xml:space="preserve"> el 5,8% (3/52)</w:t>
      </w:r>
      <w:r w:rsidRPr="005D42FD">
        <w:rPr>
          <w:lang w:val="es-ES" w:eastAsia="de-DE"/>
        </w:rPr>
        <w:t xml:space="preserve"> </w:t>
      </w:r>
      <w:r>
        <w:rPr>
          <w:lang w:val="es-ES" w:eastAsia="de-DE"/>
        </w:rPr>
        <w:t xml:space="preserve">de los pacientes </w:t>
      </w:r>
      <w:r w:rsidRPr="005D42FD">
        <w:rPr>
          <w:lang w:val="es-ES" w:eastAsia="de-DE"/>
        </w:rPr>
        <w:t xml:space="preserve">desarrolló anticuerpos neutralizantes anti-tocilizumab positivos sin desarrollar una reacción de hipersensibilidad grave o clínicamente significativa. De estos 3 pacientes, 1 se retiró posteriormente del </w:t>
      </w:r>
      <w:ins w:id="883" w:author="AUTHOR">
        <w:r w:rsidR="00FF4632">
          <w:rPr>
            <w:lang w:val="es-ES" w:eastAsia="de-DE"/>
          </w:rPr>
          <w:t>ensayo</w:t>
        </w:r>
      </w:ins>
      <w:del w:id="884" w:author="AUTHOR">
        <w:r w:rsidRPr="005D42FD" w:rsidDel="00FF4632">
          <w:rPr>
            <w:lang w:val="es-ES" w:eastAsia="de-DE"/>
          </w:rPr>
          <w:delText>estudio</w:delText>
        </w:r>
      </w:del>
      <w:r w:rsidRPr="005D42FD">
        <w:rPr>
          <w:lang w:val="es-ES" w:eastAsia="de-DE"/>
        </w:rPr>
        <w:t xml:space="preserve">. No se observó ninguna correlación entre el desarrollo de anticuerpos y la respuesta clínica o </w:t>
      </w:r>
      <w:r>
        <w:rPr>
          <w:lang w:val="es-ES" w:eastAsia="de-DE"/>
        </w:rPr>
        <w:t>efectos</w:t>
      </w:r>
      <w:r w:rsidRPr="005D42FD">
        <w:rPr>
          <w:lang w:val="es-ES" w:eastAsia="de-DE"/>
        </w:rPr>
        <w:t xml:space="preserve"> adversos</w:t>
      </w:r>
      <w:r>
        <w:rPr>
          <w:lang w:val="es-ES" w:eastAsia="de-DE"/>
        </w:rPr>
        <w:t>.</w:t>
      </w:r>
    </w:p>
    <w:p w14:paraId="246A3F16" w14:textId="77777777" w:rsidR="00D90204" w:rsidRPr="005D42FD" w:rsidRDefault="00D90204" w:rsidP="00D90204">
      <w:pPr>
        <w:keepNext/>
        <w:keepLines/>
        <w:autoSpaceDE w:val="0"/>
        <w:autoSpaceDN w:val="0"/>
        <w:adjustRightInd w:val="0"/>
        <w:rPr>
          <w:lang w:val="es-ES" w:eastAsia="de-DE"/>
        </w:rPr>
      </w:pPr>
    </w:p>
    <w:p w14:paraId="1B02E924" w14:textId="77777777" w:rsidR="00D90204" w:rsidRPr="00F30AB8" w:rsidRDefault="00D90204" w:rsidP="00D90204">
      <w:pPr>
        <w:keepNext/>
        <w:keepLines/>
        <w:autoSpaceDE w:val="0"/>
        <w:autoSpaceDN w:val="0"/>
        <w:adjustRightInd w:val="0"/>
        <w:rPr>
          <w:i/>
          <w:u w:val="single"/>
          <w:lang w:val="es-ES" w:eastAsia="de-DE"/>
        </w:rPr>
      </w:pPr>
      <w:r w:rsidRPr="00F30AB8">
        <w:rPr>
          <w:i/>
          <w:u w:val="single"/>
          <w:lang w:val="es-ES" w:eastAsia="de-DE"/>
        </w:rPr>
        <w:t>Anomalías en los valores de laboratorio</w:t>
      </w:r>
    </w:p>
    <w:p w14:paraId="59B6BBC1" w14:textId="59DBAACF" w:rsidR="00D90204" w:rsidRPr="005D42FD" w:rsidRDefault="00D90204" w:rsidP="00D90204">
      <w:pPr>
        <w:keepNext/>
        <w:keepLines/>
        <w:autoSpaceDE w:val="0"/>
        <w:autoSpaceDN w:val="0"/>
        <w:adjustRightInd w:val="0"/>
        <w:rPr>
          <w:lang w:val="es-ES" w:eastAsia="de-DE"/>
        </w:rPr>
      </w:pPr>
      <w:r>
        <w:rPr>
          <w:lang w:val="es-ES" w:eastAsia="de-DE"/>
        </w:rPr>
        <w:t>D</w:t>
      </w:r>
      <w:r w:rsidRPr="005D42FD">
        <w:rPr>
          <w:lang w:val="es-ES" w:eastAsia="de-DE"/>
        </w:rPr>
        <w:t xml:space="preserve">urante la monitorización rutinaria de </w:t>
      </w:r>
      <w:r>
        <w:rPr>
          <w:lang w:val="es-ES" w:eastAsia="de-DE"/>
        </w:rPr>
        <w:t xml:space="preserve">los valores de </w:t>
      </w:r>
      <w:r w:rsidRPr="005D42FD">
        <w:rPr>
          <w:lang w:val="es-ES" w:eastAsia="de-DE"/>
        </w:rPr>
        <w:t xml:space="preserve">laboratorio </w:t>
      </w:r>
      <w:r w:rsidRPr="00606BCF">
        <w:rPr>
          <w:lang w:val="es-ES" w:eastAsia="de-DE"/>
        </w:rPr>
        <w:t>e</w:t>
      </w:r>
      <w:r>
        <w:rPr>
          <w:lang w:val="es-ES" w:eastAsia="de-DE"/>
        </w:rPr>
        <w:t>n</w:t>
      </w:r>
      <w:r w:rsidRPr="00606BCF">
        <w:rPr>
          <w:lang w:val="es-ES" w:eastAsia="de-DE"/>
        </w:rPr>
        <w:t xml:space="preserve"> toda la población </w:t>
      </w:r>
      <w:r w:rsidRPr="006C05BA">
        <w:rPr>
          <w:lang w:val="es-ES" w:eastAsia="de-DE"/>
        </w:rPr>
        <w:t xml:space="preserve">expuesta a </w:t>
      </w:r>
      <w:r w:rsidR="00EA0B87">
        <w:rPr>
          <w:szCs w:val="22"/>
          <w:lang w:val="es-ES"/>
        </w:rPr>
        <w:t>tocilizumab</w:t>
      </w:r>
      <w:r w:rsidRPr="005D42FD">
        <w:rPr>
          <w:lang w:val="es-ES" w:eastAsia="de-DE"/>
        </w:rPr>
        <w:t>, se o</w:t>
      </w:r>
      <w:r>
        <w:rPr>
          <w:lang w:val="es-ES" w:eastAsia="de-DE"/>
        </w:rPr>
        <w:t>bservó</w:t>
      </w:r>
      <w:r w:rsidRPr="005D42FD">
        <w:rPr>
          <w:lang w:val="es-ES" w:eastAsia="de-DE"/>
        </w:rPr>
        <w:t xml:space="preserve"> una disminución en el recuento de neutrófilos por debajo de 1 × 10</w:t>
      </w:r>
      <w:r w:rsidRPr="006616E4">
        <w:rPr>
          <w:vertAlign w:val="superscript"/>
          <w:lang w:val="es-ES" w:eastAsia="de-DE"/>
        </w:rPr>
        <w:t>9</w:t>
      </w:r>
      <w:r>
        <w:rPr>
          <w:lang w:val="es-ES" w:eastAsia="de-DE"/>
        </w:rPr>
        <w:t>/</w:t>
      </w:r>
      <w:r w:rsidRPr="005D42FD">
        <w:rPr>
          <w:lang w:val="es-ES" w:eastAsia="de-DE"/>
        </w:rPr>
        <w:t>l en el 15,4% d</w:t>
      </w:r>
      <w:r>
        <w:rPr>
          <w:lang w:val="es-ES" w:eastAsia="de-DE"/>
        </w:rPr>
        <w:t xml:space="preserve">e los pacientes tratados con </w:t>
      </w:r>
      <w:r w:rsidR="00322380">
        <w:rPr>
          <w:szCs w:val="22"/>
          <w:lang w:val="es-ES"/>
        </w:rPr>
        <w:t>tocilizumab</w:t>
      </w:r>
      <w:r w:rsidR="00322380" w:rsidRPr="00865037" w:rsidDel="00EA0B87">
        <w:rPr>
          <w:lang w:val="es-ES" w:eastAsia="de-DE"/>
        </w:rPr>
        <w:t xml:space="preserve"> </w:t>
      </w:r>
      <w:r w:rsidR="00322380" w:rsidRPr="00865037">
        <w:rPr>
          <w:lang w:val="es-ES" w:eastAsia="de-DE"/>
        </w:rPr>
        <w:t>subcutáneo</w:t>
      </w:r>
      <w:r w:rsidRPr="005D42FD">
        <w:rPr>
          <w:lang w:val="es-ES" w:eastAsia="de-DE"/>
        </w:rPr>
        <w:t>. Se o</w:t>
      </w:r>
      <w:r>
        <w:rPr>
          <w:lang w:val="es-ES" w:eastAsia="de-DE"/>
        </w:rPr>
        <w:t xml:space="preserve">bservó una elevación </w:t>
      </w:r>
      <w:r w:rsidRPr="005D42FD">
        <w:rPr>
          <w:lang w:val="es-ES" w:eastAsia="de-DE"/>
        </w:rPr>
        <w:t>e</w:t>
      </w:r>
      <w:r>
        <w:rPr>
          <w:lang w:val="es-ES" w:eastAsia="de-DE"/>
        </w:rPr>
        <w:t>n</w:t>
      </w:r>
      <w:r w:rsidRPr="005D42FD">
        <w:rPr>
          <w:lang w:val="es-ES" w:eastAsia="de-DE"/>
        </w:rPr>
        <w:t xml:space="preserve"> ALT o </w:t>
      </w:r>
      <w:proofErr w:type="gramStart"/>
      <w:r w:rsidRPr="005D42FD">
        <w:rPr>
          <w:lang w:val="es-ES" w:eastAsia="de-DE"/>
        </w:rPr>
        <w:t>AST</w:t>
      </w:r>
      <w:r w:rsidR="00DE55C8" w:rsidRPr="00F30AB8">
        <w:rPr>
          <w:szCs w:val="22"/>
          <w:lang w:val="es-ES"/>
        </w:rPr>
        <w:t> </w:t>
      </w:r>
      <w:r w:rsidR="00DE55C8" w:rsidRPr="005D42FD" w:rsidDel="00DE55C8">
        <w:rPr>
          <w:lang w:val="es-ES" w:eastAsia="de-DE"/>
        </w:rPr>
        <w:t xml:space="preserve"> </w:t>
      </w:r>
      <w:r w:rsidRPr="005D42FD">
        <w:rPr>
          <w:lang w:val="es-ES" w:eastAsia="de-DE"/>
        </w:rPr>
        <w:t>≥</w:t>
      </w:r>
      <w:proofErr w:type="gramEnd"/>
      <w:r w:rsidRPr="005D42FD">
        <w:rPr>
          <w:lang w:val="es-ES" w:eastAsia="de-DE"/>
        </w:rPr>
        <w:t>3</w:t>
      </w:r>
      <w:r w:rsidR="00DE55C8" w:rsidRPr="00F30AB8">
        <w:rPr>
          <w:szCs w:val="22"/>
          <w:lang w:val="es-ES"/>
        </w:rPr>
        <w:t> × </w:t>
      </w:r>
      <w:r w:rsidR="00DE55C8" w:rsidRPr="005D42FD" w:rsidDel="00DE55C8">
        <w:rPr>
          <w:lang w:val="es-ES" w:eastAsia="de-DE"/>
        </w:rPr>
        <w:t xml:space="preserve"> </w:t>
      </w:r>
      <w:r w:rsidRPr="005D42FD">
        <w:rPr>
          <w:lang w:val="es-ES" w:eastAsia="de-DE"/>
        </w:rPr>
        <w:t xml:space="preserve">LSN en el 9,6% y </w:t>
      </w:r>
      <w:r>
        <w:rPr>
          <w:lang w:val="es-ES" w:eastAsia="de-DE"/>
        </w:rPr>
        <w:t xml:space="preserve">en </w:t>
      </w:r>
      <w:r w:rsidRPr="005D42FD">
        <w:rPr>
          <w:lang w:val="es-ES" w:eastAsia="de-DE"/>
        </w:rPr>
        <w:t xml:space="preserve">el 3,8% de los pacientes tratados con </w:t>
      </w:r>
      <w:r w:rsidR="00322380">
        <w:rPr>
          <w:szCs w:val="22"/>
          <w:lang w:val="es-ES"/>
        </w:rPr>
        <w:t>tocilizumab</w:t>
      </w:r>
      <w:r w:rsidR="00322380" w:rsidRPr="00865037" w:rsidDel="00EA0B87">
        <w:rPr>
          <w:lang w:val="es-ES" w:eastAsia="de-DE"/>
        </w:rPr>
        <w:t xml:space="preserve"> </w:t>
      </w:r>
      <w:r w:rsidR="00322380" w:rsidRPr="00865037">
        <w:rPr>
          <w:lang w:val="es-ES" w:eastAsia="de-DE"/>
        </w:rPr>
        <w:t>subcutáneo</w:t>
      </w:r>
      <w:r w:rsidR="00322380" w:rsidRPr="005D42FD" w:rsidDel="00322380">
        <w:rPr>
          <w:lang w:val="es-ES" w:eastAsia="de-DE"/>
        </w:rPr>
        <w:t xml:space="preserve"> </w:t>
      </w:r>
      <w:r w:rsidRPr="005D42FD">
        <w:rPr>
          <w:lang w:val="es-ES" w:eastAsia="de-DE"/>
        </w:rPr>
        <w:t>, respectivamente.</w:t>
      </w:r>
      <w:r>
        <w:rPr>
          <w:lang w:val="es-ES" w:eastAsia="de-DE"/>
        </w:rPr>
        <w:t xml:space="preserve"> Ningún paciente tratado con </w:t>
      </w:r>
      <w:r w:rsidR="00322380">
        <w:rPr>
          <w:szCs w:val="22"/>
          <w:lang w:val="es-ES"/>
        </w:rPr>
        <w:t>tocilizumab</w:t>
      </w:r>
      <w:r w:rsidR="00322380" w:rsidRPr="00865037" w:rsidDel="00EA0B87">
        <w:rPr>
          <w:lang w:val="es-ES" w:eastAsia="de-DE"/>
        </w:rPr>
        <w:t xml:space="preserve"> </w:t>
      </w:r>
      <w:r w:rsidR="00322380" w:rsidRPr="00865037">
        <w:rPr>
          <w:lang w:val="es-ES" w:eastAsia="de-DE"/>
        </w:rPr>
        <w:t>subcutáneo</w:t>
      </w:r>
      <w:r w:rsidR="00322380" w:rsidRPr="005D42FD" w:rsidDel="00322380">
        <w:rPr>
          <w:lang w:val="es-ES" w:eastAsia="de-DE"/>
        </w:rPr>
        <w:t xml:space="preserve"> </w:t>
      </w:r>
      <w:r w:rsidR="00322380">
        <w:rPr>
          <w:lang w:val="es-ES" w:eastAsia="de-DE"/>
        </w:rPr>
        <w:t xml:space="preserve"> </w:t>
      </w:r>
      <w:r w:rsidRPr="005D42FD">
        <w:rPr>
          <w:lang w:val="es-ES" w:eastAsia="de-DE"/>
        </w:rPr>
        <w:t xml:space="preserve">experimentó una disminución en el recuento de plaquetas </w:t>
      </w:r>
      <w:r w:rsidRPr="006429AE">
        <w:rPr>
          <w:rFonts w:eastAsia="SimSun"/>
          <w:lang w:val="en-GB"/>
        </w:rPr>
        <w:sym w:font="Symbol" w:char="F0A3"/>
      </w:r>
      <w:r w:rsidRPr="005D42FD">
        <w:rPr>
          <w:lang w:val="es-ES" w:eastAsia="de-DE"/>
        </w:rPr>
        <w:t>50 × 10</w:t>
      </w:r>
      <w:r w:rsidRPr="006616E4">
        <w:rPr>
          <w:vertAlign w:val="superscript"/>
          <w:lang w:val="es-ES" w:eastAsia="de-DE"/>
        </w:rPr>
        <w:t>3</w:t>
      </w:r>
      <w:r>
        <w:rPr>
          <w:lang w:val="es-ES" w:eastAsia="de-DE"/>
        </w:rPr>
        <w:t>/</w:t>
      </w:r>
      <w:r w:rsidRPr="005D42FD">
        <w:rPr>
          <w:lang w:val="es-ES" w:eastAsia="de-DE"/>
        </w:rPr>
        <w:t>μ</w:t>
      </w:r>
      <w:r>
        <w:rPr>
          <w:lang w:val="es-ES" w:eastAsia="de-DE"/>
        </w:rPr>
        <w:t>l</w:t>
      </w:r>
      <w:r w:rsidRPr="005D42FD">
        <w:rPr>
          <w:lang w:val="es-ES" w:eastAsia="de-DE"/>
        </w:rPr>
        <w:t>.</w:t>
      </w:r>
    </w:p>
    <w:p w14:paraId="524DC55C" w14:textId="77777777" w:rsidR="00D90204" w:rsidRPr="005D42FD" w:rsidRDefault="00D90204" w:rsidP="00D90204">
      <w:pPr>
        <w:keepNext/>
        <w:keepLines/>
        <w:autoSpaceDE w:val="0"/>
        <w:autoSpaceDN w:val="0"/>
        <w:adjustRightInd w:val="0"/>
        <w:rPr>
          <w:lang w:val="es-ES" w:eastAsia="de-DE"/>
        </w:rPr>
      </w:pPr>
    </w:p>
    <w:p w14:paraId="0C9949FE" w14:textId="77777777" w:rsidR="00D90204" w:rsidRPr="00F30AB8" w:rsidRDefault="00D90204" w:rsidP="00D90204">
      <w:pPr>
        <w:keepNext/>
        <w:keepLines/>
        <w:autoSpaceDE w:val="0"/>
        <w:autoSpaceDN w:val="0"/>
        <w:adjustRightInd w:val="0"/>
        <w:rPr>
          <w:i/>
          <w:u w:val="single"/>
          <w:lang w:val="es-ES" w:eastAsia="de-DE"/>
        </w:rPr>
      </w:pPr>
      <w:r w:rsidRPr="00F30AB8">
        <w:rPr>
          <w:i/>
          <w:u w:val="single"/>
          <w:lang w:val="es-ES" w:eastAsia="de-DE"/>
        </w:rPr>
        <w:t>Parámetros lipídicos</w:t>
      </w:r>
    </w:p>
    <w:p w14:paraId="6FB85A81" w14:textId="6005DA73" w:rsidR="00D90204" w:rsidRDefault="00D90204" w:rsidP="00D90204">
      <w:pPr>
        <w:outlineLvl w:val="0"/>
        <w:rPr>
          <w:lang w:val="es-ES" w:eastAsia="de-DE"/>
        </w:rPr>
      </w:pPr>
      <w:r w:rsidRPr="002F682A">
        <w:rPr>
          <w:lang w:val="es-ES" w:eastAsia="de-DE"/>
        </w:rPr>
        <w:t xml:space="preserve">En el </w:t>
      </w:r>
      <w:ins w:id="885" w:author="AUTHOR">
        <w:r w:rsidR="00FF4632">
          <w:rPr>
            <w:lang w:val="es-ES" w:eastAsia="de-DE"/>
          </w:rPr>
          <w:t xml:space="preserve">ensayo </w:t>
        </w:r>
      </w:ins>
      <w:del w:id="886" w:author="AUTHOR">
        <w:r w:rsidRPr="002F682A" w:rsidDel="00FF4632">
          <w:rPr>
            <w:lang w:val="es-ES" w:eastAsia="de-DE"/>
          </w:rPr>
          <w:delText>estudio</w:delText>
        </w:r>
      </w:del>
      <w:r w:rsidR="00322380" w:rsidRPr="00865037">
        <w:rPr>
          <w:lang w:val="es-ES" w:eastAsia="de-DE"/>
        </w:rPr>
        <w:t>subcutáneo</w:t>
      </w:r>
      <w:r w:rsidR="00322380" w:rsidRPr="002F682A" w:rsidDel="00322380">
        <w:rPr>
          <w:lang w:val="es-ES" w:eastAsia="de-DE"/>
        </w:rPr>
        <w:t xml:space="preserve"> </w:t>
      </w:r>
      <w:r w:rsidRPr="006A1006">
        <w:rPr>
          <w:lang w:val="es-ES" w:eastAsia="de-DE"/>
        </w:rPr>
        <w:t>, el 14,3% y el 12,8% de los pacientes experimentaron una elevación pos</w:t>
      </w:r>
      <w:r w:rsidRPr="00BE7EBF">
        <w:rPr>
          <w:lang w:val="es-ES" w:eastAsia="de-DE"/>
        </w:rPr>
        <w:t xml:space="preserve">basal </w:t>
      </w:r>
      <w:r w:rsidRPr="00757A87">
        <w:rPr>
          <w:lang w:val="es-ES" w:eastAsia="de-DE"/>
        </w:rPr>
        <w:t xml:space="preserve">de su valor </w:t>
      </w:r>
      <w:r w:rsidRPr="00FC7261">
        <w:rPr>
          <w:lang w:val="es-ES" w:eastAsia="de-DE"/>
        </w:rPr>
        <w:t>de colesterol LDL a ≥ 130</w:t>
      </w:r>
      <w:r w:rsidR="00DE55C8" w:rsidRPr="00F30AB8">
        <w:rPr>
          <w:szCs w:val="22"/>
          <w:lang w:val="es-ES"/>
        </w:rPr>
        <w:t> </w:t>
      </w:r>
      <w:r w:rsidRPr="00FC7261">
        <w:rPr>
          <w:lang w:val="es-ES" w:eastAsia="de-DE"/>
        </w:rPr>
        <w:t xml:space="preserve">mg/dl y un valor </w:t>
      </w:r>
      <w:r w:rsidRPr="001E5394">
        <w:rPr>
          <w:lang w:val="es-ES" w:eastAsia="de-DE"/>
        </w:rPr>
        <w:t>de colesterol total de ≥ 200</w:t>
      </w:r>
      <w:r w:rsidR="00DE55C8" w:rsidRPr="00F30AB8">
        <w:rPr>
          <w:szCs w:val="22"/>
          <w:lang w:val="es-ES"/>
        </w:rPr>
        <w:t> </w:t>
      </w:r>
      <w:r w:rsidRPr="001E5394">
        <w:rPr>
          <w:lang w:val="es-ES" w:eastAsia="de-DE"/>
        </w:rPr>
        <w:t>mg/dl</w:t>
      </w:r>
      <w:r w:rsidRPr="00FA0A14">
        <w:rPr>
          <w:lang w:val="es-ES" w:eastAsia="de-DE"/>
        </w:rPr>
        <w:t>, respectivamente</w:t>
      </w:r>
      <w:r w:rsidRPr="006616E4">
        <w:rPr>
          <w:lang w:val="es-ES" w:eastAsia="de-DE"/>
        </w:rPr>
        <w:t>,</w:t>
      </w:r>
      <w:r w:rsidRPr="002F682A">
        <w:rPr>
          <w:lang w:val="es-ES" w:eastAsia="de-DE"/>
        </w:rPr>
        <w:t xml:space="preserve"> en cualquier momento d</w:t>
      </w:r>
      <w:r w:rsidRPr="00F1099C">
        <w:rPr>
          <w:lang w:val="es-ES" w:eastAsia="de-DE"/>
        </w:rPr>
        <w:t xml:space="preserve">el </w:t>
      </w:r>
      <w:ins w:id="887" w:author="AUTHOR">
        <w:r w:rsidR="00FF4632">
          <w:rPr>
            <w:lang w:val="es-ES" w:eastAsia="de-DE"/>
          </w:rPr>
          <w:t>ensayo</w:t>
        </w:r>
      </w:ins>
      <w:del w:id="888" w:author="AUTHOR">
        <w:r w:rsidRPr="00F1099C" w:rsidDel="00FF4632">
          <w:rPr>
            <w:lang w:val="es-ES" w:eastAsia="de-DE"/>
          </w:rPr>
          <w:delText>estudio</w:delText>
        </w:r>
      </w:del>
      <w:r w:rsidRPr="0035042A">
        <w:rPr>
          <w:lang w:val="es-ES" w:eastAsia="de-DE"/>
        </w:rPr>
        <w:t>.</w:t>
      </w:r>
    </w:p>
    <w:p w14:paraId="0E7500C6" w14:textId="77777777" w:rsidR="00D90204" w:rsidRPr="006868F5" w:rsidRDefault="00D90204" w:rsidP="00E576A0">
      <w:pPr>
        <w:outlineLvl w:val="0"/>
        <w:rPr>
          <w:u w:val="single"/>
          <w:lang w:val="es-ES" w:eastAsia="de-DE"/>
        </w:rPr>
      </w:pPr>
    </w:p>
    <w:p w14:paraId="39AB73C9" w14:textId="6DEBD060" w:rsidR="00D90204" w:rsidRPr="00F30AB8" w:rsidRDefault="00322380" w:rsidP="00D90204">
      <w:pPr>
        <w:ind w:left="567" w:hanging="567"/>
        <w:outlineLvl w:val="0"/>
        <w:rPr>
          <w:i/>
          <w:lang w:val="es-ES" w:eastAsia="de-DE"/>
        </w:rPr>
      </w:pPr>
      <w:r w:rsidRPr="00F30AB8">
        <w:rPr>
          <w:i/>
          <w:lang w:val="es-ES" w:eastAsia="de-DE"/>
        </w:rPr>
        <w:t xml:space="preserve">Pacientes </w:t>
      </w:r>
      <w:ins w:id="889" w:author="AUTHOR">
        <w:r w:rsidR="00F30D29">
          <w:rPr>
            <w:i/>
            <w:lang w:val="es-ES" w:eastAsia="de-DE"/>
          </w:rPr>
          <w:t xml:space="preserve">con </w:t>
        </w:r>
      </w:ins>
      <w:r w:rsidR="00D90204" w:rsidRPr="00F30AB8">
        <w:rPr>
          <w:i/>
          <w:lang w:val="es-ES" w:eastAsia="de-DE"/>
        </w:rPr>
        <w:t>ACG</w:t>
      </w:r>
    </w:p>
    <w:p w14:paraId="0185C748" w14:textId="1A7C9BEE" w:rsidR="00D90204" w:rsidRPr="00C22F3F" w:rsidRDefault="00D90204" w:rsidP="00D90204">
      <w:pPr>
        <w:outlineLvl w:val="0"/>
        <w:rPr>
          <w:lang w:val="es-ES" w:eastAsia="de-DE"/>
        </w:rPr>
      </w:pPr>
      <w:r w:rsidRPr="00606BCF">
        <w:rPr>
          <w:lang w:val="es-ES" w:eastAsia="de-DE"/>
        </w:rPr>
        <w:t>E</w:t>
      </w:r>
      <w:r w:rsidRPr="006C05BA">
        <w:rPr>
          <w:lang w:val="es-ES" w:eastAsia="de-DE"/>
        </w:rPr>
        <w:t xml:space="preserve">n un </w:t>
      </w:r>
      <w:r>
        <w:rPr>
          <w:lang w:val="es-ES" w:eastAsia="de-DE"/>
        </w:rPr>
        <w:t>ensayo</w:t>
      </w:r>
      <w:r w:rsidRPr="006C05BA">
        <w:rPr>
          <w:lang w:val="es-ES" w:eastAsia="de-DE"/>
        </w:rPr>
        <w:t xml:space="preserve"> </w:t>
      </w:r>
      <w:r w:rsidRPr="00C22F3F">
        <w:rPr>
          <w:lang w:val="es-ES" w:eastAsia="de-DE"/>
        </w:rPr>
        <w:t xml:space="preserve">fase III (WA28119) se estudió la seguridad de </w:t>
      </w:r>
      <w:r w:rsidR="00322380">
        <w:rPr>
          <w:szCs w:val="22"/>
          <w:lang w:val="es-ES"/>
        </w:rPr>
        <w:t>tocilizumab</w:t>
      </w:r>
      <w:r w:rsidR="00322380" w:rsidRPr="00865037" w:rsidDel="00EA0B87">
        <w:rPr>
          <w:lang w:val="es-ES" w:eastAsia="de-DE"/>
        </w:rPr>
        <w:t xml:space="preserve"> </w:t>
      </w:r>
      <w:proofErr w:type="gramStart"/>
      <w:r w:rsidR="00322380" w:rsidRPr="00865037">
        <w:rPr>
          <w:lang w:val="es-ES" w:eastAsia="de-DE"/>
        </w:rPr>
        <w:t>subcutáneo</w:t>
      </w:r>
      <w:r w:rsidR="00322380" w:rsidRPr="006868F5" w:rsidDel="00322380">
        <w:rPr>
          <w:szCs w:val="22"/>
          <w:lang w:val="es-ES"/>
        </w:rPr>
        <w:t xml:space="preserve"> </w:t>
      </w:r>
      <w:r w:rsidRPr="00606BCF">
        <w:rPr>
          <w:szCs w:val="22"/>
          <w:lang w:val="es-ES"/>
        </w:rPr>
        <w:t xml:space="preserve"> en</w:t>
      </w:r>
      <w:proofErr w:type="gramEnd"/>
      <w:r w:rsidRPr="00606BCF">
        <w:rPr>
          <w:szCs w:val="22"/>
          <w:lang w:val="es-ES"/>
        </w:rPr>
        <w:t xml:space="preserve"> 251</w:t>
      </w:r>
      <w:r w:rsidR="00DE55C8" w:rsidRPr="00F30AB8">
        <w:rPr>
          <w:szCs w:val="22"/>
          <w:lang w:val="es-ES"/>
        </w:rPr>
        <w:t> </w:t>
      </w:r>
      <w:r w:rsidRPr="00606BCF">
        <w:rPr>
          <w:szCs w:val="22"/>
          <w:lang w:val="es-ES"/>
        </w:rPr>
        <w:t xml:space="preserve">pacientes con ACG. </w:t>
      </w:r>
      <w:r w:rsidRPr="00606BCF">
        <w:rPr>
          <w:lang w:val="es-ES" w:eastAsia="de-DE"/>
        </w:rPr>
        <w:t xml:space="preserve">De toda la población </w:t>
      </w:r>
      <w:r w:rsidRPr="006C05BA">
        <w:rPr>
          <w:lang w:val="es-ES" w:eastAsia="de-DE"/>
        </w:rPr>
        <w:t xml:space="preserve">expuesta a </w:t>
      </w:r>
      <w:r w:rsidR="00322380">
        <w:rPr>
          <w:szCs w:val="22"/>
          <w:lang w:val="es-ES"/>
        </w:rPr>
        <w:t>tocilizumab</w:t>
      </w:r>
      <w:r w:rsidR="00322380" w:rsidRPr="00865037" w:rsidDel="00EA0B87">
        <w:rPr>
          <w:lang w:val="es-ES" w:eastAsia="de-DE"/>
        </w:rPr>
        <w:t xml:space="preserve"> </w:t>
      </w:r>
      <w:del w:id="890" w:author="AUTHOR">
        <w:r w:rsidRPr="00C22F3F" w:rsidDel="00933621">
          <w:rPr>
            <w:lang w:val="es-ES" w:eastAsia="de-DE"/>
          </w:rPr>
          <w:delText>el</w:delText>
        </w:r>
      </w:del>
      <w:r w:rsidRPr="00C22F3F">
        <w:rPr>
          <w:lang w:val="es-ES" w:eastAsia="de-DE"/>
        </w:rPr>
        <w:t xml:space="preserve"> </w:t>
      </w:r>
      <w:ins w:id="891" w:author="AUTHOR">
        <w:r w:rsidR="00933621">
          <w:rPr>
            <w:lang w:val="es-ES" w:eastAsia="de-DE"/>
          </w:rPr>
          <w:t xml:space="preserve">la duración </w:t>
        </w:r>
      </w:ins>
      <w:r w:rsidRPr="00C22F3F">
        <w:rPr>
          <w:lang w:val="es-ES" w:eastAsia="de-DE"/>
        </w:rPr>
        <w:t>total de pacientes</w:t>
      </w:r>
      <w:del w:id="892" w:author="AUTHOR">
        <w:r w:rsidRPr="00C22F3F" w:rsidDel="00933621">
          <w:rPr>
            <w:lang w:val="es-ES" w:eastAsia="de-DE"/>
          </w:rPr>
          <w:delText xml:space="preserve"> expuestos al</w:delText>
        </w:r>
      </w:del>
      <w:ins w:id="893" w:author="AUTHOR">
        <w:r w:rsidR="00933621">
          <w:rPr>
            <w:lang w:val="es-ES" w:eastAsia="de-DE"/>
          </w:rPr>
          <w:t>-</w:t>
        </w:r>
      </w:ins>
      <w:r w:rsidRPr="00C22F3F">
        <w:rPr>
          <w:lang w:val="es-ES" w:eastAsia="de-DE"/>
        </w:rPr>
        <w:t xml:space="preserve"> año fue de 138,5</w:t>
      </w:r>
      <w:r w:rsidR="00DE55C8" w:rsidRPr="00F30AB8">
        <w:rPr>
          <w:szCs w:val="22"/>
          <w:lang w:val="es-ES"/>
        </w:rPr>
        <w:t> </w:t>
      </w:r>
      <w:r w:rsidRPr="00C22F3F">
        <w:rPr>
          <w:lang w:val="es-ES" w:eastAsia="de-DE"/>
        </w:rPr>
        <w:t>pacientes</w:t>
      </w:r>
      <w:ins w:id="894" w:author="AUTHOR">
        <w:r w:rsidR="00D00D6F">
          <w:rPr>
            <w:lang w:val="es-ES" w:eastAsia="de-DE"/>
          </w:rPr>
          <w:t>-año</w:t>
        </w:r>
      </w:ins>
      <w:r w:rsidRPr="00C22F3F">
        <w:rPr>
          <w:lang w:val="es-ES" w:eastAsia="de-DE"/>
        </w:rPr>
        <w:t xml:space="preserve"> durante los 12</w:t>
      </w:r>
      <w:r w:rsidR="00DE55C8" w:rsidRPr="00F30AB8">
        <w:rPr>
          <w:szCs w:val="22"/>
          <w:lang w:val="es-ES"/>
        </w:rPr>
        <w:t> </w:t>
      </w:r>
      <w:r w:rsidRPr="00C22F3F">
        <w:rPr>
          <w:lang w:val="es-ES" w:eastAsia="de-DE"/>
        </w:rPr>
        <w:t>meses de</w:t>
      </w:r>
      <w:r>
        <w:rPr>
          <w:lang w:val="es-ES" w:eastAsia="de-DE"/>
        </w:rPr>
        <w:t xml:space="preserve">l periodo del ensayo </w:t>
      </w:r>
      <w:r w:rsidRPr="00C22F3F">
        <w:rPr>
          <w:lang w:val="es-ES" w:eastAsia="de-DE"/>
        </w:rPr>
        <w:t>doble ciego, controlad</w:t>
      </w:r>
      <w:r>
        <w:rPr>
          <w:lang w:val="es-ES" w:eastAsia="de-DE"/>
        </w:rPr>
        <w:t>o</w:t>
      </w:r>
      <w:r w:rsidRPr="00C22F3F">
        <w:rPr>
          <w:lang w:val="es-ES" w:eastAsia="de-DE"/>
        </w:rPr>
        <w:t xml:space="preserve"> con placebo. El perfil de seguridad global observado en los grupos de tratamiento fue co</w:t>
      </w:r>
      <w:r>
        <w:rPr>
          <w:lang w:val="es-ES" w:eastAsia="de-DE"/>
        </w:rPr>
        <w:t>nsi</w:t>
      </w:r>
      <w:ins w:id="895" w:author="AUTHOR">
        <w:r w:rsidR="00933621">
          <w:rPr>
            <w:lang w:val="es-ES" w:eastAsia="de-DE"/>
          </w:rPr>
          <w:t>s</w:t>
        </w:r>
      </w:ins>
      <w:r>
        <w:rPr>
          <w:lang w:val="es-ES" w:eastAsia="de-DE"/>
        </w:rPr>
        <w:t>tente</w:t>
      </w:r>
      <w:r w:rsidRPr="00C22F3F">
        <w:rPr>
          <w:lang w:val="es-ES" w:eastAsia="de-DE"/>
        </w:rPr>
        <w:t xml:space="preserve"> con el perfil de seguridad conocido de </w:t>
      </w:r>
      <w:r w:rsidR="00322380">
        <w:rPr>
          <w:szCs w:val="22"/>
          <w:lang w:val="es-ES"/>
        </w:rPr>
        <w:t>tocilizumab</w:t>
      </w:r>
      <w:r w:rsidR="00322380">
        <w:rPr>
          <w:lang w:val="es-ES" w:eastAsia="de-DE"/>
        </w:rPr>
        <w:t xml:space="preserve"> </w:t>
      </w:r>
      <w:r w:rsidRPr="00C22F3F">
        <w:rPr>
          <w:lang w:val="es-ES" w:eastAsia="de-DE"/>
        </w:rPr>
        <w:t>(ver Tabla</w:t>
      </w:r>
      <w:r w:rsidR="00DE55C8" w:rsidRPr="00F30AB8">
        <w:rPr>
          <w:szCs w:val="22"/>
          <w:lang w:val="es-ES"/>
        </w:rPr>
        <w:t> </w:t>
      </w:r>
      <w:r w:rsidRPr="00C22F3F">
        <w:rPr>
          <w:lang w:val="es-ES" w:eastAsia="de-DE"/>
        </w:rPr>
        <w:t>1).</w:t>
      </w:r>
    </w:p>
    <w:p w14:paraId="043ABFCB" w14:textId="77777777" w:rsidR="00D90204" w:rsidRPr="00C22F3F" w:rsidRDefault="00D90204" w:rsidP="00D90204">
      <w:pPr>
        <w:tabs>
          <w:tab w:val="left" w:pos="0"/>
        </w:tabs>
        <w:outlineLvl w:val="0"/>
        <w:rPr>
          <w:lang w:val="es-ES" w:eastAsia="de-DE"/>
        </w:rPr>
      </w:pPr>
    </w:p>
    <w:p w14:paraId="5CDC8FC9" w14:textId="77777777" w:rsidR="00D90204" w:rsidRPr="00F30AB8" w:rsidRDefault="00D90204" w:rsidP="00D90204">
      <w:pPr>
        <w:tabs>
          <w:tab w:val="left" w:pos="0"/>
        </w:tabs>
        <w:outlineLvl w:val="0"/>
        <w:rPr>
          <w:u w:val="single"/>
          <w:lang w:val="es-ES" w:eastAsia="de-DE"/>
        </w:rPr>
      </w:pPr>
      <w:r w:rsidRPr="00F30AB8">
        <w:rPr>
          <w:i/>
          <w:u w:val="single"/>
          <w:lang w:val="es-ES" w:eastAsia="de-DE"/>
        </w:rPr>
        <w:t>Infecciones</w:t>
      </w:r>
    </w:p>
    <w:p w14:paraId="1484EA78" w14:textId="50A49987" w:rsidR="00D90204" w:rsidRPr="00C22F3F" w:rsidRDefault="00D90204" w:rsidP="00D90204">
      <w:pPr>
        <w:tabs>
          <w:tab w:val="left" w:pos="0"/>
        </w:tabs>
        <w:outlineLvl w:val="0"/>
        <w:rPr>
          <w:lang w:val="es-ES" w:eastAsia="de-DE"/>
        </w:rPr>
      </w:pPr>
      <w:r w:rsidRPr="00606BCF">
        <w:rPr>
          <w:lang w:val="es-ES" w:eastAsia="de-DE"/>
        </w:rPr>
        <w:t>La tasa de casos de infección/infección</w:t>
      </w:r>
      <w:r w:rsidRPr="006C05BA">
        <w:rPr>
          <w:lang w:val="es-ES" w:eastAsia="de-DE"/>
        </w:rPr>
        <w:t xml:space="preserve"> grave</w:t>
      </w:r>
      <w:r w:rsidRPr="00C22F3F">
        <w:rPr>
          <w:lang w:val="es-ES" w:eastAsia="de-DE"/>
        </w:rPr>
        <w:t xml:space="preserve"> fue similar entre el grupo semanal de </w:t>
      </w:r>
      <w:r w:rsidR="00322380">
        <w:rPr>
          <w:szCs w:val="22"/>
          <w:lang w:val="es-ES"/>
        </w:rPr>
        <w:t>tocilizumab</w:t>
      </w:r>
      <w:r w:rsidR="00322380" w:rsidRPr="00865037" w:rsidDel="00EA0B87">
        <w:rPr>
          <w:lang w:val="es-ES" w:eastAsia="de-DE"/>
        </w:rPr>
        <w:t xml:space="preserve"> </w:t>
      </w:r>
      <w:r w:rsidRPr="00182B3C">
        <w:rPr>
          <w:lang w:val="es-ES" w:eastAsia="de-DE"/>
        </w:rPr>
        <w:t>(200,2/9,7</w:t>
      </w:r>
      <w:r w:rsidR="00DE55C8" w:rsidRPr="00F30AB8">
        <w:rPr>
          <w:szCs w:val="22"/>
          <w:lang w:val="es-ES"/>
        </w:rPr>
        <w:t> </w:t>
      </w:r>
      <w:r w:rsidRPr="00606BCF">
        <w:rPr>
          <w:lang w:val="es-ES" w:eastAsia="de-DE"/>
        </w:rPr>
        <w:t>casos por cada 100</w:t>
      </w:r>
      <w:r w:rsidR="00DE55C8" w:rsidRPr="00F30AB8">
        <w:rPr>
          <w:szCs w:val="22"/>
          <w:lang w:val="es-ES"/>
        </w:rPr>
        <w:t> </w:t>
      </w:r>
      <w:r w:rsidRPr="00606BCF">
        <w:rPr>
          <w:lang w:val="es-ES" w:eastAsia="de-DE"/>
        </w:rPr>
        <w:t>pacientes-año)</w:t>
      </w:r>
      <w:r w:rsidRPr="006C05BA">
        <w:rPr>
          <w:lang w:val="es-ES" w:eastAsia="de-DE"/>
        </w:rPr>
        <w:t xml:space="preserve"> </w:t>
      </w:r>
      <w:r>
        <w:rPr>
          <w:lang w:val="es-ES" w:eastAsia="de-DE"/>
        </w:rPr>
        <w:t>frente a</w:t>
      </w:r>
      <w:r w:rsidRPr="00C22F3F">
        <w:rPr>
          <w:lang w:val="es-ES" w:eastAsia="de-DE"/>
        </w:rPr>
        <w:t xml:space="preserve"> los grupos de placebo más 26</w:t>
      </w:r>
      <w:r w:rsidR="00DE55C8" w:rsidRPr="00F30AB8">
        <w:rPr>
          <w:szCs w:val="22"/>
          <w:lang w:val="es-ES"/>
        </w:rPr>
        <w:t> </w:t>
      </w:r>
      <w:r w:rsidRPr="00C22F3F">
        <w:rPr>
          <w:lang w:val="es-ES" w:eastAsia="de-DE"/>
        </w:rPr>
        <w:t>semanas de reducción gradual de prednisona (156,0/4,2</w:t>
      </w:r>
      <w:r w:rsidR="00DE55C8" w:rsidRPr="00F30AB8">
        <w:rPr>
          <w:szCs w:val="22"/>
          <w:lang w:val="es-ES"/>
        </w:rPr>
        <w:t> </w:t>
      </w:r>
      <w:r w:rsidRPr="00C22F3F">
        <w:rPr>
          <w:lang w:val="es-ES" w:eastAsia="de-DE"/>
        </w:rPr>
        <w:t>casos por cada 100</w:t>
      </w:r>
      <w:r w:rsidR="00DE55C8" w:rsidRPr="00F30AB8">
        <w:rPr>
          <w:szCs w:val="22"/>
          <w:lang w:val="es-ES"/>
        </w:rPr>
        <w:t> </w:t>
      </w:r>
      <w:r w:rsidRPr="00C22F3F">
        <w:rPr>
          <w:lang w:val="es-ES" w:eastAsia="de-DE"/>
        </w:rPr>
        <w:t>pacientes-año) y placebo más 52</w:t>
      </w:r>
      <w:r w:rsidR="00DE55C8" w:rsidRPr="00F30AB8">
        <w:rPr>
          <w:szCs w:val="22"/>
          <w:lang w:val="es-ES"/>
        </w:rPr>
        <w:t> </w:t>
      </w:r>
      <w:r w:rsidRPr="00C22F3F">
        <w:rPr>
          <w:lang w:val="es-ES" w:eastAsia="de-DE"/>
        </w:rPr>
        <w:t>semanas de reducción gradual (210,2/12,5</w:t>
      </w:r>
      <w:r w:rsidR="00DE55C8" w:rsidRPr="00F30AB8">
        <w:rPr>
          <w:szCs w:val="22"/>
          <w:lang w:val="es-ES"/>
        </w:rPr>
        <w:t> </w:t>
      </w:r>
      <w:r w:rsidRPr="00C22F3F">
        <w:rPr>
          <w:lang w:val="es-ES" w:eastAsia="de-DE"/>
        </w:rPr>
        <w:t>casos por cada 100</w:t>
      </w:r>
      <w:r w:rsidR="00DE55C8" w:rsidRPr="00F30AB8">
        <w:rPr>
          <w:szCs w:val="22"/>
          <w:lang w:val="es-ES"/>
        </w:rPr>
        <w:t> </w:t>
      </w:r>
      <w:r w:rsidRPr="00C22F3F">
        <w:rPr>
          <w:lang w:val="es-ES" w:eastAsia="de-DE"/>
        </w:rPr>
        <w:t>pacientes-año).</w:t>
      </w:r>
    </w:p>
    <w:p w14:paraId="4A23CD04" w14:textId="77777777" w:rsidR="00D90204" w:rsidRPr="00C22F3F" w:rsidRDefault="00D90204" w:rsidP="00D90204">
      <w:pPr>
        <w:tabs>
          <w:tab w:val="left" w:pos="0"/>
        </w:tabs>
        <w:outlineLvl w:val="0"/>
        <w:rPr>
          <w:lang w:val="es-ES" w:eastAsia="de-DE"/>
        </w:rPr>
      </w:pPr>
    </w:p>
    <w:p w14:paraId="5A7D00F9" w14:textId="77777777" w:rsidR="00D90204" w:rsidRPr="00F30AB8" w:rsidRDefault="00D90204" w:rsidP="00D90204">
      <w:pPr>
        <w:keepNext/>
        <w:keepLines/>
        <w:tabs>
          <w:tab w:val="left" w:pos="0"/>
        </w:tabs>
        <w:outlineLvl w:val="0"/>
        <w:rPr>
          <w:u w:val="single"/>
          <w:lang w:val="es-ES" w:eastAsia="de-DE"/>
        </w:rPr>
      </w:pPr>
      <w:r w:rsidRPr="00F30AB8">
        <w:rPr>
          <w:i/>
          <w:u w:val="single"/>
          <w:lang w:val="es-ES" w:eastAsia="de-DE"/>
        </w:rPr>
        <w:lastRenderedPageBreak/>
        <w:t>Reacciones en el lugar de inyección</w:t>
      </w:r>
    </w:p>
    <w:p w14:paraId="089B273A" w14:textId="5D562985" w:rsidR="00D90204" w:rsidRDefault="00D90204" w:rsidP="00D90204">
      <w:pPr>
        <w:keepNext/>
        <w:keepLines/>
        <w:tabs>
          <w:tab w:val="left" w:pos="0"/>
        </w:tabs>
        <w:outlineLvl w:val="0"/>
        <w:rPr>
          <w:lang w:val="es-ES" w:eastAsia="de-DE"/>
        </w:rPr>
      </w:pPr>
      <w:r w:rsidRPr="00606BCF">
        <w:rPr>
          <w:rFonts w:eastAsia="SimSun"/>
          <w:szCs w:val="22"/>
          <w:lang w:val="es-ES" w:eastAsia="zh-CN"/>
        </w:rPr>
        <w:t xml:space="preserve">En el grupo de </w:t>
      </w:r>
      <w:r w:rsidR="00322380">
        <w:rPr>
          <w:szCs w:val="22"/>
          <w:lang w:val="es-ES"/>
        </w:rPr>
        <w:t>tocilizumab</w:t>
      </w:r>
      <w:r w:rsidR="00322380" w:rsidRPr="00865037" w:rsidDel="00EA0B87">
        <w:rPr>
          <w:lang w:val="es-ES" w:eastAsia="de-DE"/>
        </w:rPr>
        <w:t xml:space="preserve"> </w:t>
      </w:r>
      <w:r w:rsidRPr="00606BCF">
        <w:rPr>
          <w:lang w:val="es-ES" w:eastAsia="de-DE"/>
        </w:rPr>
        <w:t>subcutáne</w:t>
      </w:r>
      <w:r>
        <w:rPr>
          <w:lang w:val="es-ES" w:eastAsia="de-DE"/>
        </w:rPr>
        <w:t>o semanal</w:t>
      </w:r>
      <w:r w:rsidRPr="00606BCF">
        <w:rPr>
          <w:lang w:val="es-ES" w:eastAsia="de-DE"/>
        </w:rPr>
        <w:t>, un total del 6</w:t>
      </w:r>
      <w:r>
        <w:rPr>
          <w:lang w:val="es-ES" w:eastAsia="de-DE"/>
        </w:rPr>
        <w:t xml:space="preserve"> </w:t>
      </w:r>
      <w:r w:rsidRPr="00606BCF">
        <w:rPr>
          <w:lang w:val="es-ES" w:eastAsia="de-DE"/>
        </w:rPr>
        <w:t xml:space="preserve">% (6/100) de los </w:t>
      </w:r>
      <w:r w:rsidRPr="006C05BA">
        <w:rPr>
          <w:lang w:val="es-ES" w:eastAsia="de-DE"/>
        </w:rPr>
        <w:t>pacientes notific</w:t>
      </w:r>
      <w:r>
        <w:rPr>
          <w:lang w:val="es-ES" w:eastAsia="de-DE"/>
        </w:rPr>
        <w:t>aron</w:t>
      </w:r>
      <w:r w:rsidRPr="006C05BA">
        <w:rPr>
          <w:lang w:val="es-ES" w:eastAsia="de-DE"/>
        </w:rPr>
        <w:t xml:space="preserve"> reacciones a</w:t>
      </w:r>
      <w:r w:rsidRPr="00C22F3F">
        <w:rPr>
          <w:lang w:val="es-ES" w:eastAsia="de-DE"/>
        </w:rPr>
        <w:t>dversas en el lugar de la inyección subcutánea. No se notificaron reacciones adversas graves en el lugar de inyección o que requirieran la suspensión del tratamiento.</w:t>
      </w:r>
    </w:p>
    <w:p w14:paraId="433C9C95" w14:textId="77777777" w:rsidR="00D90204" w:rsidRPr="00C22F3F" w:rsidRDefault="00D90204" w:rsidP="00D90204">
      <w:pPr>
        <w:tabs>
          <w:tab w:val="left" w:pos="0"/>
        </w:tabs>
        <w:outlineLvl w:val="0"/>
        <w:rPr>
          <w:lang w:val="es-ES" w:eastAsia="de-DE"/>
        </w:rPr>
      </w:pPr>
    </w:p>
    <w:p w14:paraId="074FE908" w14:textId="77777777" w:rsidR="00D90204" w:rsidRPr="00F30AB8" w:rsidRDefault="00D90204" w:rsidP="00556927">
      <w:pPr>
        <w:autoSpaceDE w:val="0"/>
        <w:autoSpaceDN w:val="0"/>
        <w:adjustRightInd w:val="0"/>
        <w:rPr>
          <w:i/>
          <w:u w:val="single"/>
          <w:lang w:val="es-ES" w:eastAsia="de-DE"/>
        </w:rPr>
      </w:pPr>
      <w:r w:rsidRPr="00F30AB8">
        <w:rPr>
          <w:i/>
          <w:u w:val="single"/>
          <w:lang w:val="es-ES" w:eastAsia="de-DE"/>
        </w:rPr>
        <w:t>Inmunogenicidad</w:t>
      </w:r>
    </w:p>
    <w:p w14:paraId="1FAB96C6" w14:textId="53485EA7" w:rsidR="00D90204" w:rsidRPr="00C22F3F" w:rsidRDefault="00D90204" w:rsidP="00556927">
      <w:pPr>
        <w:autoSpaceDE w:val="0"/>
        <w:autoSpaceDN w:val="0"/>
        <w:adjustRightInd w:val="0"/>
        <w:rPr>
          <w:lang w:val="es-ES" w:eastAsia="de-DE"/>
        </w:rPr>
      </w:pPr>
      <w:r w:rsidRPr="006C05BA">
        <w:rPr>
          <w:rFonts w:eastAsia="SimSun"/>
          <w:szCs w:val="22"/>
          <w:lang w:val="es-ES" w:eastAsia="zh-CN"/>
        </w:rPr>
        <w:t xml:space="preserve">En el grupo de </w:t>
      </w:r>
      <w:r w:rsidR="00322380">
        <w:rPr>
          <w:szCs w:val="22"/>
          <w:lang w:val="es-ES"/>
        </w:rPr>
        <w:t>tocilizumab</w:t>
      </w:r>
      <w:r w:rsidR="00322380" w:rsidRPr="00865037" w:rsidDel="00EA0B87">
        <w:rPr>
          <w:lang w:val="es-ES" w:eastAsia="de-DE"/>
        </w:rPr>
        <w:t xml:space="preserve"> </w:t>
      </w:r>
      <w:r w:rsidRPr="006C05BA">
        <w:rPr>
          <w:lang w:val="es-ES" w:eastAsia="de-DE"/>
        </w:rPr>
        <w:t>subcutáneo</w:t>
      </w:r>
      <w:r>
        <w:rPr>
          <w:lang w:val="es-ES" w:eastAsia="de-DE"/>
        </w:rPr>
        <w:t xml:space="preserve"> semanal</w:t>
      </w:r>
      <w:r w:rsidRPr="006C05BA">
        <w:rPr>
          <w:lang w:val="es-ES" w:eastAsia="de-DE"/>
        </w:rPr>
        <w:t>, un paciente (1,1</w:t>
      </w:r>
      <w:r>
        <w:rPr>
          <w:lang w:val="es-ES" w:eastAsia="de-DE"/>
        </w:rPr>
        <w:t xml:space="preserve"> </w:t>
      </w:r>
      <w:r w:rsidRPr="006C05BA">
        <w:rPr>
          <w:lang w:val="es-ES" w:eastAsia="de-DE"/>
        </w:rPr>
        <w:t>%, 1/95) desarroll</w:t>
      </w:r>
      <w:r w:rsidRPr="00C22F3F">
        <w:rPr>
          <w:lang w:val="es-ES" w:eastAsia="de-DE"/>
        </w:rPr>
        <w:t xml:space="preserve">ó anticuerpos neutralizantes </w:t>
      </w:r>
      <w:r w:rsidRPr="006868F5">
        <w:rPr>
          <w:lang w:val="es-ES" w:eastAsia="de-DE"/>
        </w:rPr>
        <w:t>anti-</w:t>
      </w:r>
      <w:r w:rsidR="00DE55C8" w:rsidRPr="00DE55C8">
        <w:rPr>
          <w:szCs w:val="22"/>
          <w:lang w:val="es-ES"/>
        </w:rPr>
        <w:t xml:space="preserve"> </w:t>
      </w:r>
      <w:r w:rsidR="00DE55C8">
        <w:rPr>
          <w:szCs w:val="22"/>
          <w:lang w:val="es-ES"/>
        </w:rPr>
        <w:t>tocilizumab</w:t>
      </w:r>
      <w:r w:rsidRPr="00606BCF">
        <w:rPr>
          <w:lang w:val="es-ES" w:eastAsia="de-DE"/>
        </w:rPr>
        <w:t xml:space="preserve">, aunque no </w:t>
      </w:r>
      <w:r w:rsidRPr="006C05BA">
        <w:rPr>
          <w:lang w:val="es-ES" w:eastAsia="de-DE"/>
        </w:rPr>
        <w:t>fueron d</w:t>
      </w:r>
      <w:r w:rsidRPr="00C22F3F">
        <w:rPr>
          <w:lang w:val="es-ES" w:eastAsia="de-DE"/>
        </w:rPr>
        <w:t>el isotipo IgE. Este paciente no desarrolló reacción de hipersensibilidad o reacción en el lugar de inyección.</w:t>
      </w:r>
    </w:p>
    <w:p w14:paraId="14C3EC9E" w14:textId="77777777" w:rsidR="00D90204" w:rsidRPr="00C22F3F" w:rsidRDefault="00D90204" w:rsidP="00556927">
      <w:pPr>
        <w:autoSpaceDE w:val="0"/>
        <w:autoSpaceDN w:val="0"/>
        <w:adjustRightInd w:val="0"/>
        <w:rPr>
          <w:lang w:val="es-ES" w:eastAsia="de-DE"/>
        </w:rPr>
      </w:pPr>
    </w:p>
    <w:p w14:paraId="68812355" w14:textId="77777777" w:rsidR="00D90204" w:rsidRPr="00F30AB8" w:rsidRDefault="00D90204" w:rsidP="00D90204">
      <w:pPr>
        <w:keepNext/>
        <w:keepLines/>
        <w:autoSpaceDE w:val="0"/>
        <w:autoSpaceDN w:val="0"/>
        <w:adjustRightInd w:val="0"/>
        <w:rPr>
          <w:i/>
          <w:u w:val="single"/>
          <w:lang w:val="es-ES" w:eastAsia="de-DE"/>
        </w:rPr>
      </w:pPr>
      <w:r w:rsidRPr="00F30AB8">
        <w:rPr>
          <w:i/>
          <w:u w:val="single"/>
          <w:lang w:val="es-ES" w:eastAsia="de-DE"/>
        </w:rPr>
        <w:t>Neutrófilos</w:t>
      </w:r>
    </w:p>
    <w:p w14:paraId="3D3567CB" w14:textId="026B699F" w:rsidR="00D90204" w:rsidRPr="00C22F3F" w:rsidRDefault="00D90204" w:rsidP="00D90204">
      <w:pPr>
        <w:keepNext/>
        <w:keepLines/>
        <w:autoSpaceDE w:val="0"/>
        <w:autoSpaceDN w:val="0"/>
        <w:adjustRightInd w:val="0"/>
        <w:rPr>
          <w:lang w:val="es-ES" w:eastAsia="de-DE"/>
        </w:rPr>
      </w:pPr>
      <w:r w:rsidRPr="00C22F3F">
        <w:rPr>
          <w:lang w:val="es-ES" w:eastAsia="de-DE"/>
        </w:rPr>
        <w:t>En el ensayo clínico controlado de 12</w:t>
      </w:r>
      <w:r w:rsidR="00DE55C8" w:rsidRPr="002C5491">
        <w:rPr>
          <w:szCs w:val="22"/>
          <w:lang w:val="es-ES"/>
        </w:rPr>
        <w:t> </w:t>
      </w:r>
      <w:r w:rsidRPr="00C22F3F">
        <w:rPr>
          <w:lang w:val="es-ES" w:eastAsia="de-DE"/>
        </w:rPr>
        <w:t xml:space="preserve">meses de </w:t>
      </w:r>
      <w:r w:rsidR="00322380">
        <w:rPr>
          <w:szCs w:val="22"/>
          <w:lang w:val="es-ES"/>
        </w:rPr>
        <w:t>tocilizumab</w:t>
      </w:r>
      <w:r w:rsidR="00322380" w:rsidRPr="00865037" w:rsidDel="00EA0B87">
        <w:rPr>
          <w:lang w:val="es-ES" w:eastAsia="de-DE"/>
        </w:rPr>
        <w:t xml:space="preserve"> </w:t>
      </w:r>
      <w:r w:rsidRPr="00C22F3F">
        <w:rPr>
          <w:lang w:val="es-ES" w:eastAsia="de-DE"/>
        </w:rPr>
        <w:t>durante la monitorización de rutina, ocurrió un descenso en el recuento de neutrófilos por debajo de 1</w:t>
      </w:r>
      <w:r w:rsidRPr="006868F5">
        <w:rPr>
          <w:szCs w:val="22"/>
          <w:lang w:val="es-ES" w:eastAsia="de-DE"/>
        </w:rPr>
        <w:t>× 10</w:t>
      </w:r>
      <w:r w:rsidRPr="006868F5">
        <w:rPr>
          <w:szCs w:val="22"/>
          <w:vertAlign w:val="superscript"/>
          <w:lang w:val="es-ES" w:eastAsia="de-DE"/>
        </w:rPr>
        <w:t>9</w:t>
      </w:r>
      <w:r w:rsidRPr="006868F5">
        <w:rPr>
          <w:szCs w:val="22"/>
          <w:lang w:val="es-ES" w:eastAsia="de-DE"/>
        </w:rPr>
        <w:t>/</w:t>
      </w:r>
      <w:r w:rsidRPr="00606BCF">
        <w:rPr>
          <w:szCs w:val="22"/>
          <w:lang w:val="es-ES" w:eastAsia="de-DE"/>
        </w:rPr>
        <w:t>l</w:t>
      </w:r>
      <w:r w:rsidRPr="006C05BA">
        <w:rPr>
          <w:szCs w:val="22"/>
          <w:lang w:val="es-ES" w:eastAsia="de-DE"/>
        </w:rPr>
        <w:t xml:space="preserve"> en el 4</w:t>
      </w:r>
      <w:r>
        <w:rPr>
          <w:szCs w:val="22"/>
          <w:lang w:val="es-ES" w:eastAsia="de-DE"/>
        </w:rPr>
        <w:t xml:space="preserve"> </w:t>
      </w:r>
      <w:r w:rsidRPr="006C05BA">
        <w:rPr>
          <w:szCs w:val="22"/>
          <w:lang w:val="es-ES" w:eastAsia="de-DE"/>
        </w:rPr>
        <w:t>% de los pacientes d</w:t>
      </w:r>
      <w:r w:rsidRPr="00C22F3F">
        <w:rPr>
          <w:szCs w:val="22"/>
          <w:lang w:val="es-ES" w:eastAsia="de-DE"/>
        </w:rPr>
        <w:t xml:space="preserve">el grupo </w:t>
      </w:r>
      <w:r>
        <w:rPr>
          <w:szCs w:val="22"/>
          <w:lang w:val="es-ES" w:eastAsia="de-DE"/>
        </w:rPr>
        <w:t xml:space="preserve">de una dosis </w:t>
      </w:r>
      <w:r w:rsidRPr="00C22F3F">
        <w:rPr>
          <w:szCs w:val="22"/>
          <w:lang w:val="es-ES" w:eastAsia="de-DE"/>
        </w:rPr>
        <w:t xml:space="preserve">semanal de </w:t>
      </w:r>
      <w:r w:rsidR="00322380">
        <w:rPr>
          <w:szCs w:val="22"/>
          <w:lang w:val="es-ES"/>
        </w:rPr>
        <w:t>tocilizumab</w:t>
      </w:r>
      <w:r w:rsidR="00322380" w:rsidRPr="00865037" w:rsidDel="00EA0B87">
        <w:rPr>
          <w:lang w:val="es-ES" w:eastAsia="de-DE"/>
        </w:rPr>
        <w:t xml:space="preserve"> </w:t>
      </w:r>
      <w:proofErr w:type="gramStart"/>
      <w:r w:rsidR="00322380" w:rsidRPr="00865037">
        <w:rPr>
          <w:lang w:val="es-ES" w:eastAsia="de-DE"/>
        </w:rPr>
        <w:t>subcutáneo</w:t>
      </w:r>
      <w:r w:rsidR="00322380">
        <w:rPr>
          <w:szCs w:val="22"/>
          <w:lang w:val="es-ES" w:eastAsia="de-DE"/>
        </w:rPr>
        <w:t>.</w:t>
      </w:r>
      <w:r w:rsidRPr="00606BCF">
        <w:rPr>
          <w:szCs w:val="22"/>
          <w:lang w:val="es-ES" w:eastAsia="de-DE"/>
        </w:rPr>
        <w:t>Esto</w:t>
      </w:r>
      <w:proofErr w:type="gramEnd"/>
      <w:r w:rsidRPr="00606BCF">
        <w:rPr>
          <w:szCs w:val="22"/>
          <w:lang w:val="es-ES" w:eastAsia="de-DE"/>
        </w:rPr>
        <w:t xml:space="preserve"> no se observ</w:t>
      </w:r>
      <w:r w:rsidRPr="006C05BA">
        <w:rPr>
          <w:szCs w:val="22"/>
          <w:lang w:val="es-ES" w:eastAsia="de-DE"/>
        </w:rPr>
        <w:t xml:space="preserve">ó en ninguno de los grupos de placebo </w:t>
      </w:r>
      <w:r>
        <w:rPr>
          <w:szCs w:val="22"/>
          <w:lang w:val="es-ES" w:eastAsia="de-DE"/>
        </w:rPr>
        <w:t>con la</w:t>
      </w:r>
      <w:r w:rsidRPr="006C05BA">
        <w:rPr>
          <w:szCs w:val="22"/>
          <w:lang w:val="es-ES" w:eastAsia="de-DE"/>
        </w:rPr>
        <w:t xml:space="preserve"> </w:t>
      </w:r>
      <w:r w:rsidRPr="00C22F3F">
        <w:rPr>
          <w:szCs w:val="22"/>
          <w:lang w:val="es-ES" w:eastAsia="de-DE"/>
        </w:rPr>
        <w:t>disminución progresiva de prednisona.</w:t>
      </w:r>
      <w:r w:rsidRPr="00C22F3F">
        <w:rPr>
          <w:lang w:val="es-ES" w:eastAsia="de-DE"/>
        </w:rPr>
        <w:t xml:space="preserve"> </w:t>
      </w:r>
    </w:p>
    <w:p w14:paraId="44DBB083" w14:textId="77777777" w:rsidR="00D90204" w:rsidRPr="00C22F3F" w:rsidRDefault="00D90204" w:rsidP="00D90204">
      <w:pPr>
        <w:keepNext/>
        <w:keepLines/>
        <w:autoSpaceDE w:val="0"/>
        <w:autoSpaceDN w:val="0"/>
        <w:adjustRightInd w:val="0"/>
        <w:rPr>
          <w:lang w:val="es-ES" w:eastAsia="de-DE"/>
        </w:rPr>
      </w:pPr>
    </w:p>
    <w:p w14:paraId="3B0F5C4B" w14:textId="77777777" w:rsidR="00D90204" w:rsidRPr="00F30AB8" w:rsidRDefault="00D90204" w:rsidP="00D90204">
      <w:pPr>
        <w:keepNext/>
        <w:keepLines/>
        <w:autoSpaceDE w:val="0"/>
        <w:autoSpaceDN w:val="0"/>
        <w:adjustRightInd w:val="0"/>
        <w:rPr>
          <w:i/>
          <w:u w:val="single"/>
          <w:lang w:val="es-ES" w:eastAsia="de-DE"/>
        </w:rPr>
      </w:pPr>
      <w:r w:rsidRPr="00F30AB8">
        <w:rPr>
          <w:i/>
          <w:u w:val="single"/>
          <w:lang w:val="es-ES" w:eastAsia="de-DE"/>
        </w:rPr>
        <w:t>Plaquetas</w:t>
      </w:r>
    </w:p>
    <w:p w14:paraId="575486C1" w14:textId="1C6B8832" w:rsidR="00D90204" w:rsidRPr="00C22F3F" w:rsidRDefault="00D90204" w:rsidP="00D90204">
      <w:pPr>
        <w:keepNext/>
        <w:keepLines/>
        <w:autoSpaceDE w:val="0"/>
        <w:autoSpaceDN w:val="0"/>
        <w:adjustRightInd w:val="0"/>
        <w:rPr>
          <w:lang w:val="es-ES" w:eastAsia="de-DE"/>
        </w:rPr>
      </w:pPr>
      <w:r>
        <w:rPr>
          <w:lang w:val="es-ES" w:eastAsia="de-DE"/>
        </w:rPr>
        <w:t>D</w:t>
      </w:r>
      <w:r w:rsidRPr="006C05BA">
        <w:rPr>
          <w:lang w:val="es-ES" w:eastAsia="de-DE"/>
        </w:rPr>
        <w:t>urante la monitorización rutina</w:t>
      </w:r>
      <w:r>
        <w:rPr>
          <w:lang w:val="es-ES" w:eastAsia="de-DE"/>
        </w:rPr>
        <w:t>ria e</w:t>
      </w:r>
      <w:r w:rsidRPr="006C05BA">
        <w:rPr>
          <w:lang w:val="es-ES" w:eastAsia="de-DE"/>
        </w:rPr>
        <w:t>n el ensayo clínico controlado de 12</w:t>
      </w:r>
      <w:r w:rsidR="003532C2" w:rsidRPr="00F30AB8">
        <w:rPr>
          <w:szCs w:val="22"/>
          <w:lang w:val="es-ES" w:eastAsia="de-DE"/>
        </w:rPr>
        <w:t> </w:t>
      </w:r>
      <w:r w:rsidRPr="006C05BA">
        <w:rPr>
          <w:lang w:val="es-ES" w:eastAsia="de-DE"/>
        </w:rPr>
        <w:t xml:space="preserve">meses de </w:t>
      </w:r>
      <w:proofErr w:type="gramStart"/>
      <w:r w:rsidR="00322380">
        <w:rPr>
          <w:szCs w:val="22"/>
          <w:lang w:val="es-ES"/>
        </w:rPr>
        <w:t>tocilizumab</w:t>
      </w:r>
      <w:r w:rsidR="00322380" w:rsidRPr="00865037" w:rsidDel="00EA0B87">
        <w:rPr>
          <w:lang w:val="es-ES" w:eastAsia="de-DE"/>
        </w:rPr>
        <w:t xml:space="preserve"> </w:t>
      </w:r>
      <w:r w:rsidRPr="006C05BA">
        <w:rPr>
          <w:lang w:val="es-ES" w:eastAsia="de-DE"/>
        </w:rPr>
        <w:t>,</w:t>
      </w:r>
      <w:proofErr w:type="gramEnd"/>
      <w:r w:rsidRPr="006C05BA">
        <w:rPr>
          <w:lang w:val="es-ES" w:eastAsia="de-DE"/>
        </w:rPr>
        <w:t xml:space="preserve"> un paciente (1</w:t>
      </w:r>
      <w:r>
        <w:rPr>
          <w:lang w:val="es-ES" w:eastAsia="de-DE"/>
        </w:rPr>
        <w:t xml:space="preserve"> </w:t>
      </w:r>
      <w:r w:rsidRPr="006C05BA">
        <w:rPr>
          <w:lang w:val="es-ES" w:eastAsia="de-DE"/>
        </w:rPr>
        <w:t xml:space="preserve">%, 1/100) </w:t>
      </w:r>
      <w:r>
        <w:rPr>
          <w:lang w:val="es-ES" w:eastAsia="de-DE"/>
        </w:rPr>
        <w:t>d</w:t>
      </w:r>
      <w:r w:rsidRPr="006C05BA">
        <w:rPr>
          <w:lang w:val="es-ES" w:eastAsia="de-DE"/>
        </w:rPr>
        <w:t xml:space="preserve">el grupo </w:t>
      </w:r>
      <w:r w:rsidRPr="00C22F3F">
        <w:rPr>
          <w:lang w:val="es-ES" w:eastAsia="de-DE"/>
        </w:rPr>
        <w:t xml:space="preserve">de </w:t>
      </w:r>
      <w:r w:rsidR="00322380">
        <w:rPr>
          <w:szCs w:val="22"/>
          <w:lang w:val="es-ES"/>
        </w:rPr>
        <w:t>tocilizumab</w:t>
      </w:r>
      <w:r w:rsidR="00322380" w:rsidRPr="00865037" w:rsidDel="00EA0B87">
        <w:rPr>
          <w:lang w:val="es-ES" w:eastAsia="de-DE"/>
        </w:rPr>
        <w:t xml:space="preserve"> </w:t>
      </w:r>
      <w:r w:rsidRPr="00C22F3F">
        <w:rPr>
          <w:lang w:val="es-ES" w:eastAsia="de-DE"/>
        </w:rPr>
        <w:t>subcutáne</w:t>
      </w:r>
      <w:r>
        <w:rPr>
          <w:lang w:val="es-ES" w:eastAsia="de-DE"/>
        </w:rPr>
        <w:t>o</w:t>
      </w:r>
      <w:r w:rsidRPr="00C22F3F">
        <w:rPr>
          <w:lang w:val="es-ES" w:eastAsia="de-DE"/>
        </w:rPr>
        <w:t xml:space="preserve"> semanal</w:t>
      </w:r>
      <w:r>
        <w:rPr>
          <w:lang w:val="es-ES" w:eastAsia="de-DE"/>
        </w:rPr>
        <w:t>,</w:t>
      </w:r>
      <w:r w:rsidRPr="00C22F3F">
        <w:rPr>
          <w:lang w:val="es-ES" w:eastAsia="de-DE"/>
        </w:rPr>
        <w:t xml:space="preserve"> tuvo un único acontecimiento transitorio de disminución en el recuento de plaquetas a &lt;100 × 10</w:t>
      </w:r>
      <w:r w:rsidRPr="006868F5">
        <w:rPr>
          <w:vertAlign w:val="superscript"/>
          <w:lang w:val="es-ES" w:eastAsia="de-DE"/>
        </w:rPr>
        <w:t>3</w:t>
      </w:r>
      <w:r w:rsidRPr="00606BCF">
        <w:rPr>
          <w:lang w:val="es-ES" w:eastAsia="de-DE"/>
        </w:rPr>
        <w:t>/</w:t>
      </w:r>
      <w:r w:rsidRPr="006C05BA">
        <w:rPr>
          <w:lang w:val="es-ES" w:eastAsia="de-DE"/>
        </w:rPr>
        <w:t>μl</w:t>
      </w:r>
      <w:r w:rsidRPr="00C22F3F">
        <w:rPr>
          <w:lang w:val="es-ES" w:eastAsia="de-DE"/>
        </w:rPr>
        <w:t xml:space="preserve"> sin eventos hemorrágicos asociados. No se observó una disminución del recuento de plaquetas por debajo de 100 × 10</w:t>
      </w:r>
      <w:r w:rsidRPr="006868F5">
        <w:rPr>
          <w:vertAlign w:val="superscript"/>
          <w:lang w:val="es-ES" w:eastAsia="de-DE"/>
        </w:rPr>
        <w:t>3</w:t>
      </w:r>
      <w:r w:rsidRPr="00606BCF">
        <w:rPr>
          <w:lang w:val="es-ES" w:eastAsia="de-DE"/>
        </w:rPr>
        <w:t>/</w:t>
      </w:r>
      <w:r w:rsidRPr="006C05BA">
        <w:rPr>
          <w:lang w:val="es-ES" w:eastAsia="de-DE"/>
        </w:rPr>
        <w:t>μl en ninguno de los grupos de</w:t>
      </w:r>
      <w:r w:rsidRPr="00C22F3F">
        <w:rPr>
          <w:lang w:val="es-ES" w:eastAsia="de-DE"/>
        </w:rPr>
        <w:t xml:space="preserve"> placebo más disminución progresiva de prednisona.</w:t>
      </w:r>
    </w:p>
    <w:p w14:paraId="60C28E53" w14:textId="77777777" w:rsidR="00D90204" w:rsidRPr="00C22F3F" w:rsidRDefault="00D90204" w:rsidP="003569D6">
      <w:pPr>
        <w:autoSpaceDE w:val="0"/>
        <w:autoSpaceDN w:val="0"/>
        <w:adjustRightInd w:val="0"/>
        <w:rPr>
          <w:lang w:val="es-ES" w:eastAsia="de-DE"/>
        </w:rPr>
      </w:pPr>
    </w:p>
    <w:p w14:paraId="22DAFBCB" w14:textId="77777777" w:rsidR="00D90204" w:rsidRPr="00F30AB8" w:rsidRDefault="00D90204" w:rsidP="003569D6">
      <w:pPr>
        <w:keepNext/>
        <w:keepLines/>
        <w:ind w:left="567" w:hanging="567"/>
        <w:outlineLvl w:val="0"/>
        <w:rPr>
          <w:i/>
          <w:iCs/>
          <w:u w:val="single"/>
          <w:lang w:val="es-ES"/>
        </w:rPr>
      </w:pPr>
      <w:r w:rsidRPr="00F30AB8">
        <w:rPr>
          <w:i/>
          <w:iCs/>
          <w:u w:val="single"/>
          <w:lang w:val="es-ES_tradnl"/>
        </w:rPr>
        <w:t>Elevaciones de las transaminasas hepáticas</w:t>
      </w:r>
    </w:p>
    <w:p w14:paraId="45FA54F7" w14:textId="51E299AF" w:rsidR="00D90204" w:rsidRPr="00C22F3F" w:rsidRDefault="00D90204" w:rsidP="003569D6">
      <w:pPr>
        <w:keepNext/>
        <w:keepLines/>
        <w:autoSpaceDE w:val="0"/>
        <w:autoSpaceDN w:val="0"/>
        <w:adjustRightInd w:val="0"/>
        <w:rPr>
          <w:szCs w:val="22"/>
          <w:lang w:val="es-ES" w:eastAsia="de-DE"/>
        </w:rPr>
      </w:pPr>
      <w:r>
        <w:rPr>
          <w:lang w:val="es-ES" w:eastAsia="de-DE"/>
        </w:rPr>
        <w:t>D</w:t>
      </w:r>
      <w:r w:rsidRPr="006C05BA">
        <w:rPr>
          <w:lang w:val="es-ES" w:eastAsia="de-DE"/>
        </w:rPr>
        <w:t>urante la monitorización rutina</w:t>
      </w:r>
      <w:r>
        <w:rPr>
          <w:lang w:val="es-ES" w:eastAsia="de-DE"/>
        </w:rPr>
        <w:t>ria</w:t>
      </w:r>
      <w:r w:rsidRPr="00C22F3F">
        <w:rPr>
          <w:lang w:val="es-ES" w:eastAsia="de-DE"/>
        </w:rPr>
        <w:t xml:space="preserve"> </w:t>
      </w:r>
      <w:r>
        <w:rPr>
          <w:lang w:val="es-ES" w:eastAsia="de-DE"/>
        </w:rPr>
        <w:t>e</w:t>
      </w:r>
      <w:r w:rsidRPr="00C22F3F">
        <w:rPr>
          <w:lang w:val="es-ES" w:eastAsia="de-DE"/>
        </w:rPr>
        <w:t>n el ensayo clínico controlado de 12</w:t>
      </w:r>
      <w:r w:rsidR="003532C2" w:rsidRPr="00F30AB8">
        <w:rPr>
          <w:szCs w:val="22"/>
          <w:lang w:val="es-ES" w:eastAsia="de-DE"/>
        </w:rPr>
        <w:t> </w:t>
      </w:r>
      <w:r w:rsidRPr="00C22F3F">
        <w:rPr>
          <w:lang w:val="es-ES" w:eastAsia="de-DE"/>
        </w:rPr>
        <w:t xml:space="preserve">meses de </w:t>
      </w:r>
      <w:proofErr w:type="gramStart"/>
      <w:r w:rsidR="00322380">
        <w:rPr>
          <w:szCs w:val="22"/>
          <w:lang w:val="es-ES"/>
        </w:rPr>
        <w:t>tocilizumab</w:t>
      </w:r>
      <w:r w:rsidR="00322380" w:rsidRPr="00865037" w:rsidDel="00EA0B87">
        <w:rPr>
          <w:lang w:val="es-ES" w:eastAsia="de-DE"/>
        </w:rPr>
        <w:t xml:space="preserve"> </w:t>
      </w:r>
      <w:r w:rsidRPr="00C22F3F">
        <w:rPr>
          <w:lang w:val="es-ES" w:eastAsia="de-DE"/>
        </w:rPr>
        <w:t>,</w:t>
      </w:r>
      <w:proofErr w:type="gramEnd"/>
      <w:r w:rsidRPr="00C22F3F">
        <w:rPr>
          <w:lang w:val="es-ES" w:eastAsia="de-DE"/>
        </w:rPr>
        <w:t xml:space="preserve"> se observaron elevaciones en ALT</w:t>
      </w:r>
      <w:r w:rsidR="00D34894" w:rsidRPr="00F30AB8">
        <w:rPr>
          <w:szCs w:val="22"/>
          <w:lang w:val="es-ES" w:eastAsia="de-DE"/>
        </w:rPr>
        <w:t> ≥ </w:t>
      </w:r>
      <w:r w:rsidRPr="00C22F3F">
        <w:rPr>
          <w:szCs w:val="22"/>
          <w:lang w:val="es-ES" w:eastAsia="de-DE"/>
        </w:rPr>
        <w:t>3</w:t>
      </w:r>
      <w:r w:rsidR="00D34894" w:rsidRPr="00F30AB8">
        <w:rPr>
          <w:szCs w:val="22"/>
          <w:lang w:val="es-ES" w:eastAsia="de-DE"/>
        </w:rPr>
        <w:t>× </w:t>
      </w:r>
      <w:r w:rsidR="00D34894" w:rsidRPr="00C22F3F" w:rsidDel="00D34894">
        <w:rPr>
          <w:szCs w:val="22"/>
          <w:lang w:val="es-ES" w:eastAsia="de-DE"/>
        </w:rPr>
        <w:t xml:space="preserve"> </w:t>
      </w:r>
      <w:r w:rsidRPr="006868F5">
        <w:rPr>
          <w:szCs w:val="22"/>
          <w:lang w:val="es-ES" w:eastAsia="de-DE"/>
        </w:rPr>
        <w:t>L</w:t>
      </w:r>
      <w:r w:rsidRPr="00606BCF">
        <w:rPr>
          <w:szCs w:val="22"/>
          <w:lang w:val="es-ES" w:eastAsia="de-DE"/>
        </w:rPr>
        <w:t>SN</w:t>
      </w:r>
      <w:r w:rsidRPr="006C05BA">
        <w:rPr>
          <w:szCs w:val="22"/>
          <w:lang w:val="es-ES" w:eastAsia="de-DE"/>
        </w:rPr>
        <w:t xml:space="preserve"> en el 3</w:t>
      </w:r>
      <w:r>
        <w:rPr>
          <w:szCs w:val="22"/>
          <w:lang w:val="es-ES" w:eastAsia="de-DE"/>
        </w:rPr>
        <w:t xml:space="preserve"> </w:t>
      </w:r>
      <w:r w:rsidRPr="006C05BA">
        <w:rPr>
          <w:szCs w:val="22"/>
          <w:lang w:val="es-ES" w:eastAsia="de-DE"/>
        </w:rPr>
        <w:t xml:space="preserve">% de los pacientes </w:t>
      </w:r>
      <w:r>
        <w:rPr>
          <w:szCs w:val="22"/>
          <w:lang w:val="es-ES" w:eastAsia="de-DE"/>
        </w:rPr>
        <w:t>d</w:t>
      </w:r>
      <w:r w:rsidRPr="006C05BA">
        <w:rPr>
          <w:szCs w:val="22"/>
          <w:lang w:val="es-ES" w:eastAsia="de-DE"/>
        </w:rPr>
        <w:t xml:space="preserve">el grupo de </w:t>
      </w:r>
      <w:r w:rsidR="00322380">
        <w:rPr>
          <w:szCs w:val="22"/>
          <w:lang w:val="es-ES"/>
        </w:rPr>
        <w:t>tocilizumab</w:t>
      </w:r>
      <w:r w:rsidR="00322380" w:rsidRPr="00865037" w:rsidDel="00EA0B87">
        <w:rPr>
          <w:lang w:val="es-ES" w:eastAsia="de-DE"/>
        </w:rPr>
        <w:t xml:space="preserve"> </w:t>
      </w:r>
      <w:r w:rsidRPr="006C05BA">
        <w:rPr>
          <w:szCs w:val="22"/>
          <w:lang w:val="es-ES" w:eastAsia="de-DE"/>
        </w:rPr>
        <w:t>subcutáne</w:t>
      </w:r>
      <w:r>
        <w:rPr>
          <w:szCs w:val="22"/>
          <w:lang w:val="es-ES" w:eastAsia="de-DE"/>
        </w:rPr>
        <w:t>o</w:t>
      </w:r>
      <w:r w:rsidRPr="006C05BA">
        <w:rPr>
          <w:szCs w:val="22"/>
          <w:lang w:val="es-ES" w:eastAsia="de-DE"/>
        </w:rPr>
        <w:t xml:space="preserve"> semanal </w:t>
      </w:r>
      <w:r w:rsidRPr="00C22F3F">
        <w:rPr>
          <w:szCs w:val="22"/>
          <w:lang w:val="es-ES" w:eastAsia="de-DE"/>
        </w:rPr>
        <w:t>comparado con el 2</w:t>
      </w:r>
      <w:r>
        <w:rPr>
          <w:szCs w:val="22"/>
          <w:lang w:val="es-ES" w:eastAsia="de-DE"/>
        </w:rPr>
        <w:t xml:space="preserve"> </w:t>
      </w:r>
      <w:r w:rsidRPr="00C22F3F">
        <w:rPr>
          <w:szCs w:val="22"/>
          <w:lang w:val="es-ES" w:eastAsia="de-DE"/>
        </w:rPr>
        <w:t>% en el grupo placebo más disminución progresiva</w:t>
      </w:r>
      <w:r w:rsidRPr="006868F5">
        <w:rPr>
          <w:szCs w:val="22"/>
          <w:lang w:val="es-ES" w:eastAsia="de-DE"/>
        </w:rPr>
        <w:t xml:space="preserve"> </w:t>
      </w:r>
      <w:r w:rsidRPr="00606BCF">
        <w:rPr>
          <w:szCs w:val="22"/>
          <w:lang w:val="es-ES" w:eastAsia="de-DE"/>
        </w:rPr>
        <w:t>de</w:t>
      </w:r>
      <w:r w:rsidRPr="006C05BA">
        <w:rPr>
          <w:szCs w:val="22"/>
          <w:lang w:val="es-ES" w:eastAsia="de-DE"/>
        </w:rPr>
        <w:t xml:space="preserve"> prednisona durante 52</w:t>
      </w:r>
      <w:r w:rsidR="00D34894" w:rsidRPr="00F30AB8">
        <w:rPr>
          <w:szCs w:val="22"/>
          <w:lang w:val="es-ES" w:eastAsia="de-DE"/>
        </w:rPr>
        <w:t> </w:t>
      </w:r>
      <w:r w:rsidRPr="006C05BA">
        <w:rPr>
          <w:szCs w:val="22"/>
          <w:lang w:val="es-ES" w:eastAsia="de-DE"/>
        </w:rPr>
        <w:t>semanas y n</w:t>
      </w:r>
      <w:r w:rsidRPr="00C22F3F">
        <w:rPr>
          <w:szCs w:val="22"/>
          <w:lang w:val="es-ES" w:eastAsia="de-DE"/>
        </w:rPr>
        <w:t xml:space="preserve">inguno en el grupo placebo </w:t>
      </w:r>
      <w:r w:rsidRPr="0023138F">
        <w:rPr>
          <w:szCs w:val="22"/>
          <w:lang w:val="es-ES" w:eastAsia="de-DE"/>
        </w:rPr>
        <w:t>con la</w:t>
      </w:r>
      <w:r>
        <w:rPr>
          <w:szCs w:val="22"/>
          <w:lang w:val="es-ES" w:eastAsia="de-DE"/>
        </w:rPr>
        <w:t xml:space="preserve"> </w:t>
      </w:r>
      <w:r w:rsidRPr="00C22F3F">
        <w:rPr>
          <w:szCs w:val="22"/>
          <w:lang w:val="es-ES" w:eastAsia="de-DE"/>
        </w:rPr>
        <w:t>disminución progresiva de prednisona durante 26</w:t>
      </w:r>
      <w:r w:rsidR="00D34894" w:rsidRPr="00F30AB8">
        <w:rPr>
          <w:szCs w:val="22"/>
          <w:lang w:val="es-ES" w:eastAsia="de-DE"/>
        </w:rPr>
        <w:t> </w:t>
      </w:r>
      <w:r w:rsidRPr="00C22F3F">
        <w:rPr>
          <w:szCs w:val="22"/>
          <w:lang w:val="es-ES" w:eastAsia="de-DE"/>
        </w:rPr>
        <w:t xml:space="preserve">semanas. En el grupo de </w:t>
      </w:r>
      <w:r w:rsidR="00322380">
        <w:rPr>
          <w:szCs w:val="22"/>
          <w:lang w:val="es-ES"/>
        </w:rPr>
        <w:t>tocilizumab</w:t>
      </w:r>
      <w:r w:rsidR="00322380" w:rsidRPr="00865037" w:rsidDel="00EA0B87">
        <w:rPr>
          <w:lang w:val="es-ES" w:eastAsia="de-DE"/>
        </w:rPr>
        <w:t xml:space="preserve"> </w:t>
      </w:r>
      <w:r w:rsidRPr="00C22F3F">
        <w:rPr>
          <w:szCs w:val="22"/>
          <w:lang w:val="es-ES" w:eastAsia="de-DE"/>
        </w:rPr>
        <w:t>subcutáne</w:t>
      </w:r>
      <w:r>
        <w:rPr>
          <w:szCs w:val="22"/>
          <w:lang w:val="es-ES" w:eastAsia="de-DE"/>
        </w:rPr>
        <w:t>o</w:t>
      </w:r>
      <w:r w:rsidRPr="00C22F3F">
        <w:rPr>
          <w:szCs w:val="22"/>
          <w:lang w:val="es-ES" w:eastAsia="de-DE"/>
        </w:rPr>
        <w:t xml:space="preserve"> semanal se produjo una elevación en AST</w:t>
      </w:r>
      <w:r w:rsidR="00D34894" w:rsidRPr="00F30AB8">
        <w:rPr>
          <w:szCs w:val="22"/>
          <w:lang w:val="es-ES" w:eastAsia="de-DE"/>
        </w:rPr>
        <w:t> &gt; </w:t>
      </w:r>
      <w:r w:rsidRPr="00C22F3F">
        <w:rPr>
          <w:szCs w:val="22"/>
          <w:lang w:val="es-ES" w:eastAsia="de-DE"/>
        </w:rPr>
        <w:t>3</w:t>
      </w:r>
      <w:r w:rsidR="00D34894" w:rsidRPr="00F30AB8">
        <w:rPr>
          <w:szCs w:val="22"/>
          <w:lang w:val="es-ES" w:eastAsia="de-DE"/>
        </w:rPr>
        <w:t> </w:t>
      </w:r>
      <w:r w:rsidRPr="00C22F3F">
        <w:rPr>
          <w:szCs w:val="22"/>
          <w:lang w:val="es-ES" w:eastAsia="de-DE"/>
        </w:rPr>
        <w:t>LSN en el 1</w:t>
      </w:r>
      <w:r>
        <w:rPr>
          <w:szCs w:val="22"/>
          <w:lang w:val="es-ES" w:eastAsia="de-DE"/>
        </w:rPr>
        <w:t xml:space="preserve"> </w:t>
      </w:r>
      <w:r w:rsidRPr="00C22F3F">
        <w:rPr>
          <w:szCs w:val="22"/>
          <w:lang w:val="es-ES" w:eastAsia="de-DE"/>
        </w:rPr>
        <w:t>% de los pacientes, comparado con los grupos placebo más disminución progresiva de prednisona</w:t>
      </w:r>
      <w:r>
        <w:rPr>
          <w:szCs w:val="22"/>
          <w:lang w:val="es-ES" w:eastAsia="de-DE"/>
        </w:rPr>
        <w:t xml:space="preserve"> en los que no se produjo ningún evento</w:t>
      </w:r>
      <w:r w:rsidRPr="00C22F3F">
        <w:rPr>
          <w:szCs w:val="22"/>
          <w:lang w:val="es-ES" w:eastAsia="de-DE"/>
        </w:rPr>
        <w:t>.</w:t>
      </w:r>
    </w:p>
    <w:p w14:paraId="2F9A66BE" w14:textId="77777777" w:rsidR="00D90204" w:rsidRPr="00C22F3F" w:rsidRDefault="00D90204" w:rsidP="00D90204">
      <w:pPr>
        <w:autoSpaceDE w:val="0"/>
        <w:autoSpaceDN w:val="0"/>
        <w:adjustRightInd w:val="0"/>
        <w:rPr>
          <w:szCs w:val="22"/>
          <w:lang w:val="es-ES" w:eastAsia="de-DE"/>
        </w:rPr>
      </w:pPr>
    </w:p>
    <w:p w14:paraId="516446C9" w14:textId="77777777" w:rsidR="00D90204" w:rsidRPr="00C22F3F" w:rsidRDefault="00D90204" w:rsidP="00D90204">
      <w:pPr>
        <w:ind w:left="567" w:hanging="567"/>
        <w:outlineLvl w:val="0"/>
        <w:rPr>
          <w:i/>
          <w:iCs/>
          <w:lang w:val="es-ES"/>
        </w:rPr>
      </w:pPr>
      <w:r w:rsidRPr="00C22F3F">
        <w:rPr>
          <w:i/>
          <w:iCs/>
          <w:lang w:val="es-ES_tradnl"/>
        </w:rPr>
        <w:t>Parámetros lipídicos</w:t>
      </w:r>
    </w:p>
    <w:p w14:paraId="0EFC7CF7" w14:textId="01889D03" w:rsidR="007C0408" w:rsidRDefault="00D90204" w:rsidP="00E576A0">
      <w:pPr>
        <w:rPr>
          <w:szCs w:val="22"/>
          <w:lang w:val="es-ES" w:eastAsia="de-DE"/>
        </w:rPr>
      </w:pPr>
      <w:r>
        <w:rPr>
          <w:lang w:val="es-ES" w:eastAsia="de-DE"/>
        </w:rPr>
        <w:t>D</w:t>
      </w:r>
      <w:r w:rsidRPr="006C05BA">
        <w:rPr>
          <w:lang w:val="es-ES" w:eastAsia="de-DE"/>
        </w:rPr>
        <w:t>urante la monitorización rutina</w:t>
      </w:r>
      <w:r>
        <w:rPr>
          <w:lang w:val="es-ES" w:eastAsia="de-DE"/>
        </w:rPr>
        <w:t>ria</w:t>
      </w:r>
      <w:r w:rsidRPr="00C22F3F">
        <w:rPr>
          <w:lang w:val="es-ES" w:eastAsia="de-DE"/>
        </w:rPr>
        <w:t xml:space="preserve"> </w:t>
      </w:r>
      <w:r>
        <w:rPr>
          <w:lang w:val="es-ES" w:eastAsia="de-DE"/>
        </w:rPr>
        <w:t>e</w:t>
      </w:r>
      <w:r w:rsidRPr="00C22F3F">
        <w:rPr>
          <w:lang w:val="es-ES" w:eastAsia="de-DE"/>
        </w:rPr>
        <w:t xml:space="preserve">n el ensayo clínico controlado </w:t>
      </w:r>
      <w:r w:rsidR="00513DDB">
        <w:rPr>
          <w:lang w:val="es-ES" w:eastAsia="de-DE"/>
        </w:rPr>
        <w:t>de 12</w:t>
      </w:r>
      <w:r w:rsidR="00D34894" w:rsidRPr="00F30AB8">
        <w:rPr>
          <w:szCs w:val="22"/>
          <w:lang w:val="es-ES" w:eastAsia="de-DE"/>
        </w:rPr>
        <w:t> </w:t>
      </w:r>
      <w:r w:rsidR="00513DDB">
        <w:rPr>
          <w:lang w:val="es-ES" w:eastAsia="de-DE"/>
        </w:rPr>
        <w:t xml:space="preserve">meses de </w:t>
      </w:r>
      <w:r w:rsidR="00322380">
        <w:rPr>
          <w:szCs w:val="22"/>
          <w:lang w:val="es-ES"/>
        </w:rPr>
        <w:t>tocilizumab</w:t>
      </w:r>
      <w:r w:rsidR="00322380" w:rsidRPr="00865037" w:rsidDel="00EA0B87">
        <w:rPr>
          <w:lang w:val="es-ES" w:eastAsia="de-DE"/>
        </w:rPr>
        <w:t xml:space="preserve"> </w:t>
      </w:r>
      <w:r w:rsidR="00513DDB">
        <w:rPr>
          <w:lang w:val="es-ES" w:eastAsia="de-DE"/>
        </w:rPr>
        <w:t xml:space="preserve">el 34% </w:t>
      </w:r>
      <w:r w:rsidRPr="00C22F3F">
        <w:rPr>
          <w:lang w:val="es-ES" w:eastAsia="de-DE"/>
        </w:rPr>
        <w:t>de los pacientes experimentaron elevaciones prolongadas en el colesterol total &gt; 6,2 mmol/l (240 mg/dl), con un 15</w:t>
      </w:r>
      <w:r>
        <w:rPr>
          <w:lang w:val="es-ES" w:eastAsia="de-DE"/>
        </w:rPr>
        <w:t xml:space="preserve"> </w:t>
      </w:r>
      <w:r w:rsidRPr="00C22F3F">
        <w:rPr>
          <w:lang w:val="es-ES" w:eastAsia="de-DE"/>
        </w:rPr>
        <w:t>% que experimentó una elevación prolongada de LDL a</w:t>
      </w:r>
      <w:r w:rsidR="00D34894" w:rsidRPr="00F30AB8">
        <w:rPr>
          <w:szCs w:val="22"/>
          <w:lang w:val="es-ES" w:eastAsia="de-DE"/>
        </w:rPr>
        <w:t> </w:t>
      </w:r>
      <w:r w:rsidRPr="00606BCF">
        <w:rPr>
          <w:szCs w:val="22"/>
          <w:lang w:val="en-GB" w:eastAsia="de-DE"/>
        </w:rPr>
        <w:sym w:font="Symbol" w:char="F0B3"/>
      </w:r>
      <w:r w:rsidRPr="00606BCF">
        <w:rPr>
          <w:szCs w:val="22"/>
          <w:lang w:val="es-ES" w:eastAsia="de-DE"/>
        </w:rPr>
        <w:t> 4</w:t>
      </w:r>
      <w:r w:rsidRPr="006C05BA">
        <w:rPr>
          <w:szCs w:val="22"/>
          <w:lang w:val="es-ES" w:eastAsia="de-DE"/>
        </w:rPr>
        <w:t>,1 mmol/</w:t>
      </w:r>
      <w:r w:rsidRPr="00C22F3F">
        <w:rPr>
          <w:szCs w:val="22"/>
          <w:lang w:val="es-ES" w:eastAsia="de-DE"/>
        </w:rPr>
        <w:t>l (160 mg/dl</w:t>
      </w:r>
      <w:r w:rsidRPr="006868F5">
        <w:rPr>
          <w:szCs w:val="22"/>
          <w:lang w:val="es-ES" w:eastAsia="de-DE"/>
        </w:rPr>
        <w:t>)</w:t>
      </w:r>
      <w:r w:rsidRPr="00606BCF">
        <w:rPr>
          <w:szCs w:val="22"/>
          <w:lang w:val="es-ES" w:eastAsia="de-DE"/>
        </w:rPr>
        <w:t xml:space="preserve"> en el grupo de </w:t>
      </w:r>
      <w:r w:rsidR="00322380">
        <w:rPr>
          <w:szCs w:val="22"/>
          <w:lang w:val="es-ES"/>
        </w:rPr>
        <w:t>tocilizumab</w:t>
      </w:r>
      <w:r w:rsidR="00322380" w:rsidRPr="00865037" w:rsidDel="00EA0B87">
        <w:rPr>
          <w:lang w:val="es-ES" w:eastAsia="de-DE"/>
        </w:rPr>
        <w:t xml:space="preserve"> </w:t>
      </w:r>
      <w:r w:rsidRPr="006C05BA">
        <w:rPr>
          <w:szCs w:val="22"/>
          <w:lang w:val="es-ES" w:eastAsia="de-DE"/>
        </w:rPr>
        <w:t>subcutáne</w:t>
      </w:r>
      <w:r>
        <w:rPr>
          <w:szCs w:val="22"/>
          <w:lang w:val="es-ES" w:eastAsia="de-DE"/>
        </w:rPr>
        <w:t>o</w:t>
      </w:r>
      <w:r w:rsidRPr="00606BCF">
        <w:rPr>
          <w:szCs w:val="22"/>
          <w:lang w:val="es-ES" w:eastAsia="de-DE"/>
        </w:rPr>
        <w:t xml:space="preserve"> semanal</w:t>
      </w:r>
      <w:r w:rsidRPr="00C22F3F">
        <w:rPr>
          <w:szCs w:val="22"/>
          <w:lang w:val="es-ES" w:eastAsia="de-DE"/>
        </w:rPr>
        <w:t>.</w:t>
      </w:r>
    </w:p>
    <w:p w14:paraId="0752D172" w14:textId="77777777" w:rsidR="0079644F" w:rsidRDefault="0079644F" w:rsidP="00D90204">
      <w:pPr>
        <w:ind w:left="567" w:hanging="567"/>
        <w:outlineLvl w:val="0"/>
        <w:rPr>
          <w:b/>
          <w:iCs/>
          <w:u w:val="single"/>
          <w:lang w:val="es-ES_tradnl"/>
        </w:rPr>
      </w:pPr>
    </w:p>
    <w:p w14:paraId="0F39C15B" w14:textId="77777777" w:rsidR="007C0408" w:rsidRPr="00467FFD" w:rsidRDefault="0017305E" w:rsidP="00834462">
      <w:pPr>
        <w:ind w:left="567" w:hanging="567"/>
        <w:outlineLvl w:val="0"/>
        <w:rPr>
          <w:iCs/>
          <w:u w:val="single"/>
          <w:lang w:val="es-ES_tradnl"/>
          <w:rPrChange w:id="896" w:author="AUTHOR">
            <w:rPr>
              <w:i/>
              <w:iCs/>
              <w:lang w:val="es-ES_tradnl"/>
            </w:rPr>
          </w:rPrChange>
        </w:rPr>
      </w:pPr>
      <w:r w:rsidRPr="000C7D20">
        <w:rPr>
          <w:iCs/>
          <w:u w:val="single"/>
          <w:lang w:val="es-ES_tradnl"/>
        </w:rPr>
        <w:t>Descripción</w:t>
      </w:r>
      <w:r w:rsidRPr="00467FFD">
        <w:rPr>
          <w:iCs/>
          <w:u w:val="single"/>
          <w:lang w:val="es-ES_tradnl"/>
          <w:rPrChange w:id="897" w:author="AUTHOR">
            <w:rPr>
              <w:i/>
              <w:iCs/>
              <w:lang w:val="es-ES_tradnl"/>
            </w:rPr>
          </w:rPrChange>
        </w:rPr>
        <w:t xml:space="preserve"> de reaccines adversas seleccionadas (</w:t>
      </w:r>
      <w:r w:rsidR="007C0408" w:rsidRPr="00467FFD">
        <w:rPr>
          <w:iCs/>
          <w:u w:val="single"/>
          <w:lang w:val="es-ES_tradnl"/>
          <w:rPrChange w:id="898" w:author="AUTHOR">
            <w:rPr>
              <w:i/>
              <w:iCs/>
              <w:lang w:val="es-ES_tradnl"/>
            </w:rPr>
          </w:rPrChange>
        </w:rPr>
        <w:t>Vía intravenosa</w:t>
      </w:r>
      <w:r w:rsidRPr="00467FFD">
        <w:rPr>
          <w:iCs/>
          <w:u w:val="single"/>
          <w:lang w:val="es-ES_tradnl"/>
          <w:rPrChange w:id="899" w:author="AUTHOR">
            <w:rPr>
              <w:i/>
              <w:iCs/>
              <w:lang w:val="es-ES_tradnl"/>
            </w:rPr>
          </w:rPrChange>
        </w:rPr>
        <w:t>)</w:t>
      </w:r>
    </w:p>
    <w:p w14:paraId="35BB89B7" w14:textId="77777777" w:rsidR="0017305E" w:rsidRPr="00F30AB8" w:rsidRDefault="0017305E" w:rsidP="00834462">
      <w:pPr>
        <w:ind w:left="567" w:hanging="567"/>
        <w:outlineLvl w:val="0"/>
        <w:rPr>
          <w:i/>
          <w:iCs/>
          <w:lang w:val="es-ES_tradnl"/>
        </w:rPr>
      </w:pPr>
    </w:p>
    <w:p w14:paraId="769EFA28" w14:textId="77777777" w:rsidR="005169C6" w:rsidRPr="00F30AB8" w:rsidRDefault="0017305E" w:rsidP="00834462">
      <w:pPr>
        <w:ind w:left="567" w:hanging="567"/>
        <w:outlineLvl w:val="0"/>
        <w:rPr>
          <w:i/>
          <w:iCs/>
          <w:lang w:val="es-ES_tradnl"/>
        </w:rPr>
      </w:pPr>
      <w:r w:rsidRPr="00F30AB8">
        <w:rPr>
          <w:i/>
          <w:iCs/>
          <w:lang w:val="es-ES_tradnl"/>
        </w:rPr>
        <w:t>Pacientes</w:t>
      </w:r>
      <w:r w:rsidR="00DE55C8">
        <w:rPr>
          <w:i/>
          <w:iCs/>
          <w:lang w:val="es-ES_tradnl"/>
        </w:rPr>
        <w:t xml:space="preserve"> con</w:t>
      </w:r>
      <w:r w:rsidRPr="00F30AB8">
        <w:rPr>
          <w:i/>
          <w:iCs/>
          <w:lang w:val="es-ES_tradnl"/>
        </w:rPr>
        <w:t xml:space="preserve"> </w:t>
      </w:r>
      <w:r w:rsidR="005169C6" w:rsidRPr="00F30AB8">
        <w:rPr>
          <w:i/>
          <w:iCs/>
          <w:lang w:val="es-ES_tradnl"/>
        </w:rPr>
        <w:t>AR</w:t>
      </w:r>
    </w:p>
    <w:p w14:paraId="4BEFD813" w14:textId="77777777" w:rsidR="005169C6" w:rsidRPr="00494459" w:rsidRDefault="005169C6" w:rsidP="005169C6">
      <w:pPr>
        <w:keepNext/>
        <w:keepLines/>
        <w:ind w:left="567" w:hanging="567"/>
        <w:outlineLvl w:val="0"/>
        <w:rPr>
          <w:i/>
          <w:lang w:val="es-ES"/>
        </w:rPr>
      </w:pPr>
    </w:p>
    <w:p w14:paraId="4B41415F" w14:textId="64D4E246" w:rsidR="005169C6" w:rsidRPr="006868F5" w:rsidRDefault="005169C6" w:rsidP="005169C6">
      <w:pPr>
        <w:keepNext/>
        <w:keepLines/>
        <w:rPr>
          <w:lang w:val="es-ES_tradnl"/>
        </w:rPr>
      </w:pPr>
      <w:r w:rsidRPr="008A106B">
        <w:rPr>
          <w:lang w:val="es-ES_tradnl"/>
        </w:rPr>
        <w:t xml:space="preserve">La seguridad de </w:t>
      </w:r>
      <w:r w:rsidR="0017305E">
        <w:rPr>
          <w:szCs w:val="22"/>
          <w:lang w:val="es-ES"/>
        </w:rPr>
        <w:t>tocilizumab</w:t>
      </w:r>
      <w:r w:rsidR="0017305E" w:rsidRPr="00865037" w:rsidDel="00EA0B87">
        <w:rPr>
          <w:lang w:val="es-ES" w:eastAsia="de-DE"/>
        </w:rPr>
        <w:t xml:space="preserve"> </w:t>
      </w:r>
      <w:r w:rsidR="001F318B">
        <w:rPr>
          <w:lang w:val="es-ES_tradnl"/>
        </w:rPr>
        <w:t xml:space="preserve">fue </w:t>
      </w:r>
      <w:r w:rsidRPr="008A106B">
        <w:rPr>
          <w:lang w:val="es-ES_tradnl"/>
        </w:rPr>
        <w:t xml:space="preserve">estudiada en </w:t>
      </w:r>
      <w:r w:rsidR="00D41A98">
        <w:rPr>
          <w:lang w:val="es-ES_tradnl"/>
        </w:rPr>
        <w:t>5</w:t>
      </w:r>
      <w:r w:rsidR="00D41A98" w:rsidRPr="008A106B">
        <w:rPr>
          <w:lang w:val="es-ES_tradnl"/>
        </w:rPr>
        <w:t xml:space="preserve"> </w:t>
      </w:r>
      <w:r w:rsidRPr="008A106B">
        <w:rPr>
          <w:lang w:val="es-ES_tradnl"/>
        </w:rPr>
        <w:t>e</w:t>
      </w:r>
      <w:r w:rsidR="00C434A4">
        <w:rPr>
          <w:lang w:val="es-ES_tradnl"/>
        </w:rPr>
        <w:t>nsay</w:t>
      </w:r>
      <w:r w:rsidRPr="008A106B">
        <w:rPr>
          <w:lang w:val="es-ES_tradnl"/>
        </w:rPr>
        <w:t xml:space="preserve">os </w:t>
      </w:r>
      <w:r w:rsidR="00D41A98">
        <w:rPr>
          <w:lang w:val="es-ES_tradnl"/>
        </w:rPr>
        <w:t xml:space="preserve">fase III, </w:t>
      </w:r>
      <w:r w:rsidRPr="008A106B">
        <w:rPr>
          <w:lang w:val="es-ES_tradnl"/>
        </w:rPr>
        <w:t xml:space="preserve">controlados </w:t>
      </w:r>
      <w:r w:rsidR="00D41A98">
        <w:rPr>
          <w:lang w:val="es-ES_tradnl"/>
        </w:rPr>
        <w:t>doble ciego</w:t>
      </w:r>
      <w:r w:rsidRPr="008A106B">
        <w:rPr>
          <w:lang w:val="es-ES_tradnl"/>
        </w:rPr>
        <w:t xml:space="preserve"> y sus </w:t>
      </w:r>
      <w:r w:rsidRPr="00CE21AF">
        <w:rPr>
          <w:lang w:val="es-ES_tradnl"/>
        </w:rPr>
        <w:t>fases de extensión</w:t>
      </w:r>
      <w:ins w:id="900" w:author="AUTHOR">
        <w:r w:rsidR="000C7D20">
          <w:rPr>
            <w:lang w:val="es-ES_tradnl"/>
          </w:rPr>
          <w:t xml:space="preserve"> (ver sección 5.1)</w:t>
        </w:r>
      </w:ins>
      <w:r w:rsidRPr="008A106B">
        <w:rPr>
          <w:lang w:val="es-ES_tradnl"/>
        </w:rPr>
        <w:t>.</w:t>
      </w:r>
      <w:r w:rsidRPr="008A106B">
        <w:rPr>
          <w:lang w:val="es-ES"/>
        </w:rPr>
        <w:t xml:space="preserve"> </w:t>
      </w:r>
    </w:p>
    <w:p w14:paraId="2175A5A4" w14:textId="77777777" w:rsidR="005169C6" w:rsidRPr="006868F5" w:rsidRDefault="005169C6" w:rsidP="00834462">
      <w:pPr>
        <w:ind w:left="567" w:hanging="567"/>
        <w:outlineLvl w:val="0"/>
        <w:rPr>
          <w:iCs/>
          <w:u w:val="single"/>
          <w:lang w:val="es-ES"/>
        </w:rPr>
      </w:pPr>
    </w:p>
    <w:p w14:paraId="39604D09" w14:textId="0E903287" w:rsidR="00D54DB5" w:rsidRDefault="00A57FDD" w:rsidP="005169C6">
      <w:pPr>
        <w:keepNext/>
        <w:keepLines/>
        <w:rPr>
          <w:lang w:val="es-ES_tradnl"/>
        </w:rPr>
      </w:pPr>
      <w:r>
        <w:rPr>
          <w:lang w:val="es-ES"/>
        </w:rPr>
        <w:t>L</w:t>
      </w:r>
      <w:r w:rsidR="00D41A98" w:rsidRPr="00D41A98">
        <w:rPr>
          <w:lang w:val="es-ES"/>
        </w:rPr>
        <w:t xml:space="preserve">a población </w:t>
      </w:r>
      <w:r w:rsidR="00D41A98" w:rsidRPr="00F30AB8">
        <w:rPr>
          <w:i/>
          <w:iCs/>
          <w:lang w:val="es-ES"/>
        </w:rPr>
        <w:t xml:space="preserve">control </w:t>
      </w:r>
      <w:r w:rsidRPr="00F30AB8">
        <w:rPr>
          <w:i/>
          <w:iCs/>
          <w:lang w:val="es-ES"/>
        </w:rPr>
        <w:t>total</w:t>
      </w:r>
      <w:r>
        <w:rPr>
          <w:lang w:val="es-ES"/>
        </w:rPr>
        <w:t xml:space="preserve"> </w:t>
      </w:r>
      <w:r w:rsidR="00D41A98" w:rsidRPr="00D41A98">
        <w:rPr>
          <w:lang w:val="es-ES"/>
        </w:rPr>
        <w:t xml:space="preserve">incluye </w:t>
      </w:r>
      <w:r w:rsidR="00D41A98">
        <w:rPr>
          <w:lang w:val="es-ES"/>
        </w:rPr>
        <w:t xml:space="preserve">a </w:t>
      </w:r>
      <w:r w:rsidR="00D41A98" w:rsidRPr="00D41A98">
        <w:rPr>
          <w:lang w:val="es-ES"/>
        </w:rPr>
        <w:t>todos los pacientes de las fases doble ciego de cada e</w:t>
      </w:r>
      <w:r w:rsidR="00D41A98">
        <w:rPr>
          <w:lang w:val="es-ES"/>
        </w:rPr>
        <w:t>nsayo</w:t>
      </w:r>
      <w:r w:rsidR="00D41A98" w:rsidRPr="00D41A98">
        <w:rPr>
          <w:lang w:val="es-ES"/>
        </w:rPr>
        <w:t xml:space="preserve"> </w:t>
      </w:r>
      <w:r>
        <w:rPr>
          <w:lang w:val="es-ES"/>
        </w:rPr>
        <w:t xml:space="preserve">principal </w:t>
      </w:r>
      <w:r w:rsidR="00D41A98" w:rsidRPr="00D41A98">
        <w:rPr>
          <w:lang w:val="es-ES"/>
        </w:rPr>
        <w:t xml:space="preserve">desde la </w:t>
      </w:r>
      <w:r w:rsidR="00D41A98">
        <w:rPr>
          <w:lang w:val="es-ES"/>
        </w:rPr>
        <w:t>randomización</w:t>
      </w:r>
      <w:r w:rsidR="00D41A98" w:rsidRPr="00D41A98">
        <w:rPr>
          <w:lang w:val="es-ES"/>
        </w:rPr>
        <w:t xml:space="preserve"> hasta el primer cambio en </w:t>
      </w:r>
      <w:r w:rsidR="00167D76">
        <w:rPr>
          <w:lang w:val="es-ES"/>
        </w:rPr>
        <w:t xml:space="preserve">la pauta posológica </w:t>
      </w:r>
      <w:r w:rsidR="00D41A98" w:rsidRPr="00D41A98">
        <w:rPr>
          <w:lang w:val="es-ES"/>
        </w:rPr>
        <w:t xml:space="preserve">de tratamiento o </w:t>
      </w:r>
      <w:r>
        <w:rPr>
          <w:lang w:val="es-ES"/>
        </w:rPr>
        <w:t xml:space="preserve">bien </w:t>
      </w:r>
      <w:r w:rsidR="008A4B87">
        <w:rPr>
          <w:lang w:val="es-ES"/>
        </w:rPr>
        <w:t xml:space="preserve">al alcanzar los </w:t>
      </w:r>
      <w:r w:rsidR="00D41A98" w:rsidRPr="00D41A98">
        <w:rPr>
          <w:lang w:val="es-ES"/>
        </w:rPr>
        <w:t xml:space="preserve">dos años. </w:t>
      </w:r>
      <w:r w:rsidR="005169C6" w:rsidRPr="008A106B">
        <w:rPr>
          <w:lang w:val="es-ES"/>
        </w:rPr>
        <w:t xml:space="preserve">El periodo </w:t>
      </w:r>
      <w:del w:id="901" w:author="AUTHOR">
        <w:r w:rsidR="005169C6" w:rsidRPr="008A106B" w:rsidDel="00933621">
          <w:rPr>
            <w:lang w:val="es-ES"/>
          </w:rPr>
          <w:delText xml:space="preserve">doble ciego </w:delText>
        </w:r>
      </w:del>
      <w:r w:rsidR="00F8631D" w:rsidRPr="002E7278">
        <w:rPr>
          <w:lang w:val="es-ES"/>
        </w:rPr>
        <w:t>controlado</w:t>
      </w:r>
      <w:r w:rsidR="00F8631D" w:rsidRPr="008A106B">
        <w:rPr>
          <w:lang w:val="es-ES"/>
        </w:rPr>
        <w:t xml:space="preserve"> </w:t>
      </w:r>
      <w:r w:rsidR="005169C6" w:rsidRPr="008A106B">
        <w:rPr>
          <w:lang w:val="es-ES"/>
        </w:rPr>
        <w:t>fue de 6</w:t>
      </w:r>
      <w:r w:rsidR="00D34894" w:rsidRPr="00F30AB8">
        <w:rPr>
          <w:szCs w:val="22"/>
          <w:lang w:val="es-ES" w:eastAsia="de-DE"/>
        </w:rPr>
        <w:t> </w:t>
      </w:r>
      <w:r w:rsidR="005169C6" w:rsidRPr="008A106B">
        <w:rPr>
          <w:lang w:val="es-ES"/>
        </w:rPr>
        <w:t>meses en cuatro e</w:t>
      </w:r>
      <w:r w:rsidR="00C434A4">
        <w:rPr>
          <w:lang w:val="es-ES"/>
        </w:rPr>
        <w:t>nsay</w:t>
      </w:r>
      <w:r w:rsidR="005169C6" w:rsidRPr="008A106B">
        <w:rPr>
          <w:lang w:val="es-ES"/>
        </w:rPr>
        <w:t xml:space="preserve">os </w:t>
      </w:r>
      <w:r w:rsidR="00FC57AE">
        <w:rPr>
          <w:lang w:val="es-ES"/>
        </w:rPr>
        <w:t>y de hasta 2</w:t>
      </w:r>
      <w:r w:rsidR="00D34894" w:rsidRPr="00F30AB8">
        <w:rPr>
          <w:szCs w:val="22"/>
          <w:lang w:val="es-ES" w:eastAsia="de-DE"/>
        </w:rPr>
        <w:t> </w:t>
      </w:r>
      <w:r w:rsidR="00FC57AE">
        <w:rPr>
          <w:lang w:val="es-ES"/>
        </w:rPr>
        <w:t>años en un</w:t>
      </w:r>
      <w:r w:rsidR="005169C6" w:rsidRPr="008A106B">
        <w:rPr>
          <w:lang w:val="es-ES"/>
        </w:rPr>
        <w:t xml:space="preserve"> e</w:t>
      </w:r>
      <w:r w:rsidR="00C434A4">
        <w:rPr>
          <w:lang w:val="es-ES"/>
        </w:rPr>
        <w:t>nsay</w:t>
      </w:r>
      <w:r w:rsidR="005169C6" w:rsidRPr="008A106B">
        <w:rPr>
          <w:lang w:val="es-ES"/>
        </w:rPr>
        <w:t xml:space="preserve">o. </w:t>
      </w:r>
      <w:r w:rsidR="005169C6" w:rsidRPr="008A106B">
        <w:rPr>
          <w:lang w:val="es-ES_tradnl"/>
        </w:rPr>
        <w:t>En los e</w:t>
      </w:r>
      <w:r w:rsidR="00C434A4">
        <w:rPr>
          <w:lang w:val="es-ES_tradnl"/>
        </w:rPr>
        <w:t>nsay</w:t>
      </w:r>
      <w:r w:rsidR="005169C6" w:rsidRPr="008A106B">
        <w:rPr>
          <w:lang w:val="es-ES_tradnl"/>
        </w:rPr>
        <w:t>os doble ciego</w:t>
      </w:r>
      <w:r w:rsidR="00F8631D" w:rsidRPr="00F8631D">
        <w:rPr>
          <w:lang w:val="es-ES_tradnl"/>
        </w:rPr>
        <w:t xml:space="preserve"> </w:t>
      </w:r>
      <w:r w:rsidR="00F8631D" w:rsidRPr="008A106B">
        <w:rPr>
          <w:lang w:val="es-ES_tradnl"/>
        </w:rPr>
        <w:t>controlados</w:t>
      </w:r>
      <w:r w:rsidR="005169C6" w:rsidRPr="008A106B">
        <w:rPr>
          <w:lang w:val="es-ES_tradnl"/>
        </w:rPr>
        <w:t>, 774</w:t>
      </w:r>
      <w:r w:rsidR="00D34894" w:rsidRPr="00F30AB8">
        <w:rPr>
          <w:szCs w:val="22"/>
          <w:lang w:val="es-ES" w:eastAsia="de-DE"/>
        </w:rPr>
        <w:t> </w:t>
      </w:r>
      <w:r w:rsidR="005169C6" w:rsidRPr="008A106B">
        <w:rPr>
          <w:lang w:val="es-ES_tradnl"/>
        </w:rPr>
        <w:t>pacientes recibieron</w:t>
      </w:r>
      <w:r w:rsidR="005169C6">
        <w:rPr>
          <w:lang w:val="es-ES_tradnl"/>
        </w:rPr>
        <w:t xml:space="preserve"> </w:t>
      </w:r>
      <w:r w:rsidR="0017305E">
        <w:rPr>
          <w:szCs w:val="22"/>
          <w:lang w:val="es-ES"/>
        </w:rPr>
        <w:t>tocilizumab</w:t>
      </w:r>
      <w:r w:rsidR="0017305E" w:rsidRPr="00865037" w:rsidDel="00EA0B87">
        <w:rPr>
          <w:lang w:val="es-ES" w:eastAsia="de-DE"/>
        </w:rPr>
        <w:t xml:space="preserve"> </w:t>
      </w:r>
      <w:r w:rsidR="001F318B">
        <w:rPr>
          <w:lang w:val="es-ES_tradnl"/>
        </w:rPr>
        <w:t xml:space="preserve">a una dosis de </w:t>
      </w:r>
      <w:r w:rsidR="005169C6" w:rsidRPr="008A106B">
        <w:rPr>
          <w:lang w:val="es-ES_tradnl"/>
        </w:rPr>
        <w:t>4 mg/kg en combinación con MTX, 1</w:t>
      </w:r>
      <w:r w:rsidR="00A259A6">
        <w:rPr>
          <w:lang w:val="es-ES_tradnl"/>
        </w:rPr>
        <w:t>.</w:t>
      </w:r>
      <w:r w:rsidR="005169C6" w:rsidRPr="008A106B">
        <w:rPr>
          <w:lang w:val="es-ES_tradnl"/>
        </w:rPr>
        <w:t>870</w:t>
      </w:r>
      <w:r w:rsidR="00D34894" w:rsidRPr="00F30AB8">
        <w:rPr>
          <w:szCs w:val="22"/>
          <w:lang w:val="es-ES" w:eastAsia="de-DE"/>
        </w:rPr>
        <w:t> </w:t>
      </w:r>
      <w:r w:rsidR="005169C6" w:rsidRPr="008A106B">
        <w:rPr>
          <w:lang w:val="es-ES_tradnl"/>
        </w:rPr>
        <w:t xml:space="preserve">pacientes recibieron </w:t>
      </w:r>
      <w:r w:rsidR="008A4B87">
        <w:rPr>
          <w:szCs w:val="22"/>
          <w:lang w:val="es-ES"/>
        </w:rPr>
        <w:t>tocilizumab</w:t>
      </w:r>
      <w:r w:rsidR="008A4B87" w:rsidRPr="001F318B">
        <w:rPr>
          <w:szCs w:val="22"/>
          <w:lang w:val="es-ES"/>
        </w:rPr>
        <w:t xml:space="preserve"> </w:t>
      </w:r>
      <w:r w:rsidR="001F318B" w:rsidRPr="001F318B">
        <w:rPr>
          <w:szCs w:val="22"/>
          <w:lang w:val="es-ES"/>
        </w:rPr>
        <w:t>a una dosis de</w:t>
      </w:r>
      <w:r w:rsidR="005169C6" w:rsidRPr="008A106B">
        <w:rPr>
          <w:lang w:val="es-ES_tradnl"/>
        </w:rPr>
        <w:t xml:space="preserve"> 8 mg/kg en combinación con MTX u otros FAMEs y 288</w:t>
      </w:r>
      <w:r w:rsidR="00D34894" w:rsidRPr="00F30AB8">
        <w:rPr>
          <w:szCs w:val="22"/>
          <w:lang w:val="es-ES" w:eastAsia="de-DE"/>
        </w:rPr>
        <w:t> </w:t>
      </w:r>
      <w:r w:rsidR="005169C6" w:rsidRPr="008A106B">
        <w:rPr>
          <w:lang w:val="es-ES_tradnl"/>
        </w:rPr>
        <w:t xml:space="preserve">pacientes recibieron </w:t>
      </w:r>
      <w:r w:rsidR="008A4B87">
        <w:rPr>
          <w:szCs w:val="22"/>
          <w:lang w:val="es-ES"/>
        </w:rPr>
        <w:t>tocilizumab</w:t>
      </w:r>
      <w:r w:rsidR="005169C6" w:rsidRPr="008A106B">
        <w:rPr>
          <w:lang w:val="es-ES_tradnl"/>
        </w:rPr>
        <w:t xml:space="preserve"> </w:t>
      </w:r>
      <w:r w:rsidR="001F318B">
        <w:rPr>
          <w:lang w:val="es-ES_tradnl"/>
        </w:rPr>
        <w:t xml:space="preserve">a una dosis de </w:t>
      </w:r>
      <w:r w:rsidR="005169C6" w:rsidRPr="008A106B">
        <w:rPr>
          <w:lang w:val="es-ES_tradnl"/>
        </w:rPr>
        <w:t>8 mg/kg en monoterapia.</w:t>
      </w:r>
    </w:p>
    <w:p w14:paraId="3E781E8C" w14:textId="77777777" w:rsidR="005169C6" w:rsidRPr="00286CDE" w:rsidRDefault="005169C6" w:rsidP="005169C6">
      <w:pPr>
        <w:keepNext/>
        <w:keepLines/>
        <w:rPr>
          <w:lang w:val="es-ES_tradnl"/>
        </w:rPr>
      </w:pPr>
      <w:r w:rsidRPr="008A106B">
        <w:rPr>
          <w:lang w:val="es-ES"/>
        </w:rPr>
        <w:t xml:space="preserve"> </w:t>
      </w:r>
    </w:p>
    <w:p w14:paraId="2138B741" w14:textId="13EBF350" w:rsidR="005169C6" w:rsidRDefault="005169C6" w:rsidP="005169C6">
      <w:pPr>
        <w:rPr>
          <w:lang w:val="es-ES_tradnl"/>
        </w:rPr>
      </w:pPr>
      <w:r w:rsidRPr="008A106B">
        <w:rPr>
          <w:lang w:val="es-ES_tradnl"/>
        </w:rPr>
        <w:t>La población expuesta</w:t>
      </w:r>
      <w:r w:rsidR="008A4B87">
        <w:rPr>
          <w:lang w:val="es-ES_tradnl"/>
        </w:rPr>
        <w:t xml:space="preserve"> total</w:t>
      </w:r>
      <w:r w:rsidRPr="008A106B">
        <w:rPr>
          <w:lang w:val="es-ES_tradnl"/>
        </w:rPr>
        <w:t xml:space="preserve"> </w:t>
      </w:r>
      <w:del w:id="902" w:author="AUTHOR">
        <w:r w:rsidRPr="008A106B" w:rsidDel="00933621">
          <w:rPr>
            <w:lang w:val="es-ES_tradnl"/>
          </w:rPr>
          <w:delText xml:space="preserve">a largo plazo </w:delText>
        </w:r>
      </w:del>
      <w:r w:rsidRPr="008A106B">
        <w:rPr>
          <w:lang w:val="es-ES_tradnl"/>
        </w:rPr>
        <w:t xml:space="preserve">incluye a todos los pacientes que recibieron al menos una dosis de </w:t>
      </w:r>
      <w:r w:rsidR="0017305E">
        <w:rPr>
          <w:szCs w:val="22"/>
          <w:lang w:val="es-ES"/>
        </w:rPr>
        <w:t>tocilizumab</w:t>
      </w:r>
      <w:r w:rsidR="0017305E" w:rsidRPr="00865037" w:rsidDel="00EA0B87">
        <w:rPr>
          <w:lang w:val="es-ES" w:eastAsia="de-DE"/>
        </w:rPr>
        <w:t xml:space="preserve"> </w:t>
      </w:r>
      <w:r w:rsidR="00965C85">
        <w:rPr>
          <w:lang w:val="es-ES_tradnl"/>
        </w:rPr>
        <w:t xml:space="preserve">bien </w:t>
      </w:r>
      <w:r w:rsidRPr="008A106B">
        <w:rPr>
          <w:lang w:val="es-ES_tradnl"/>
        </w:rPr>
        <w:t xml:space="preserve">en </w:t>
      </w:r>
      <w:r w:rsidR="006119F6">
        <w:rPr>
          <w:lang w:val="es-ES_tradnl"/>
        </w:rPr>
        <w:t>el periodo</w:t>
      </w:r>
      <w:r w:rsidRPr="008A106B">
        <w:rPr>
          <w:lang w:val="es-ES_tradnl"/>
        </w:rPr>
        <w:t xml:space="preserve"> doble ciego </w:t>
      </w:r>
      <w:r w:rsidR="00F8631D" w:rsidRPr="008A106B">
        <w:rPr>
          <w:lang w:val="es-ES_tradnl"/>
        </w:rPr>
        <w:t>controlado</w:t>
      </w:r>
      <w:r w:rsidR="00EB4B69">
        <w:rPr>
          <w:lang w:val="es-ES_tradnl"/>
        </w:rPr>
        <w:t xml:space="preserve"> </w:t>
      </w:r>
      <w:r w:rsidRPr="008A106B">
        <w:rPr>
          <w:lang w:val="es-ES_tradnl"/>
        </w:rPr>
        <w:t xml:space="preserve">o en la fase abierta de los </w:t>
      </w:r>
      <w:del w:id="903" w:author="AUTHOR">
        <w:r w:rsidRPr="008A106B" w:rsidDel="00F30D29">
          <w:rPr>
            <w:lang w:val="es-ES_tradnl"/>
          </w:rPr>
          <w:delText xml:space="preserve">estudios </w:delText>
        </w:r>
      </w:del>
      <w:ins w:id="904" w:author="AUTHOR">
        <w:r w:rsidR="00F30D29">
          <w:rPr>
            <w:lang w:val="es-ES_tradnl"/>
          </w:rPr>
          <w:t>ensayos</w:t>
        </w:r>
        <w:r w:rsidR="00F30D29" w:rsidRPr="008A106B">
          <w:rPr>
            <w:lang w:val="es-ES_tradnl"/>
          </w:rPr>
          <w:t xml:space="preserve"> </w:t>
        </w:r>
      </w:ins>
      <w:r w:rsidRPr="008A106B">
        <w:rPr>
          <w:lang w:val="es-ES_tradnl"/>
        </w:rPr>
        <w:t>de extensión. De los 4</w:t>
      </w:r>
      <w:r w:rsidR="00A259A6">
        <w:rPr>
          <w:lang w:val="es-ES_tradnl"/>
        </w:rPr>
        <w:t>.</w:t>
      </w:r>
      <w:r w:rsidRPr="008A106B">
        <w:rPr>
          <w:lang w:val="es-ES_tradnl"/>
        </w:rPr>
        <w:t>009 pacientes expuestos, 3</w:t>
      </w:r>
      <w:r w:rsidR="00A259A6">
        <w:rPr>
          <w:lang w:val="es-ES_tradnl"/>
        </w:rPr>
        <w:t>.</w:t>
      </w:r>
      <w:r w:rsidRPr="008A106B">
        <w:rPr>
          <w:lang w:val="es-ES_tradnl"/>
        </w:rPr>
        <w:t xml:space="preserve">577 recibieron tratamiento durante al menos </w:t>
      </w:r>
      <w:r w:rsidRPr="008A106B">
        <w:rPr>
          <w:lang w:val="es-ES_tradnl"/>
        </w:rPr>
        <w:lastRenderedPageBreak/>
        <w:t>6 meses, 3</w:t>
      </w:r>
      <w:r w:rsidR="00A259A6">
        <w:rPr>
          <w:lang w:val="es-ES_tradnl"/>
        </w:rPr>
        <w:t>.</w:t>
      </w:r>
      <w:r w:rsidRPr="008A106B">
        <w:rPr>
          <w:lang w:val="es-ES_tradnl"/>
        </w:rPr>
        <w:t>296 durante al menos 1</w:t>
      </w:r>
      <w:r w:rsidR="003532C2" w:rsidRPr="00F30AB8">
        <w:rPr>
          <w:szCs w:val="22"/>
          <w:lang w:val="es-ES"/>
        </w:rPr>
        <w:t> </w:t>
      </w:r>
      <w:r w:rsidRPr="008A106B">
        <w:rPr>
          <w:lang w:val="es-ES_tradnl"/>
        </w:rPr>
        <w:t>año, 2</w:t>
      </w:r>
      <w:r w:rsidR="00A259A6">
        <w:rPr>
          <w:lang w:val="es-ES_tradnl"/>
        </w:rPr>
        <w:t>.</w:t>
      </w:r>
      <w:r w:rsidRPr="008A106B">
        <w:rPr>
          <w:lang w:val="es-ES_tradnl"/>
        </w:rPr>
        <w:t>806 recibieron tratamiento durante al menos 2</w:t>
      </w:r>
      <w:r w:rsidR="003532C2" w:rsidRPr="00F30AB8">
        <w:rPr>
          <w:szCs w:val="22"/>
          <w:lang w:val="es-ES"/>
        </w:rPr>
        <w:t> </w:t>
      </w:r>
      <w:r w:rsidRPr="008A106B">
        <w:rPr>
          <w:lang w:val="es-ES_tradnl"/>
        </w:rPr>
        <w:t>años y 1</w:t>
      </w:r>
      <w:r w:rsidR="00A259A6">
        <w:rPr>
          <w:lang w:val="es-ES_tradnl"/>
        </w:rPr>
        <w:t>.</w:t>
      </w:r>
      <w:r w:rsidRPr="008A106B">
        <w:rPr>
          <w:lang w:val="es-ES_tradnl"/>
        </w:rPr>
        <w:t>222 durante 3 años.</w:t>
      </w:r>
    </w:p>
    <w:p w14:paraId="17DAFCA7" w14:textId="77777777" w:rsidR="008A4B87" w:rsidRPr="008A106B" w:rsidRDefault="008A4B87" w:rsidP="005169C6">
      <w:pPr>
        <w:rPr>
          <w:lang w:val="es-ES"/>
        </w:rPr>
      </w:pPr>
    </w:p>
    <w:p w14:paraId="59BC0CDC" w14:textId="77777777" w:rsidR="00834462" w:rsidRPr="00F30AB8" w:rsidRDefault="00834462" w:rsidP="00556927">
      <w:pPr>
        <w:widowControl w:val="0"/>
        <w:ind w:left="567" w:hanging="567"/>
        <w:outlineLvl w:val="0"/>
        <w:rPr>
          <w:u w:val="single"/>
          <w:lang w:val="es-ES"/>
        </w:rPr>
      </w:pPr>
      <w:r w:rsidRPr="00F30AB8">
        <w:rPr>
          <w:i/>
          <w:iCs/>
          <w:u w:val="single"/>
          <w:lang w:val="es-ES_tradnl"/>
        </w:rPr>
        <w:t>Infecciones</w:t>
      </w:r>
      <w:r w:rsidRPr="00F30AB8">
        <w:rPr>
          <w:i/>
          <w:iCs/>
          <w:u w:val="single"/>
          <w:lang w:val="es-ES"/>
        </w:rPr>
        <w:t xml:space="preserve"> </w:t>
      </w:r>
    </w:p>
    <w:p w14:paraId="1E463B1A" w14:textId="11E07E53" w:rsidR="00834462" w:rsidRPr="008A106B" w:rsidRDefault="00834462" w:rsidP="00556927">
      <w:pPr>
        <w:widowControl w:val="0"/>
        <w:rPr>
          <w:lang w:val="es-ES"/>
        </w:rPr>
      </w:pPr>
      <w:r w:rsidRPr="008A106B">
        <w:rPr>
          <w:lang w:val="es-ES_tradnl"/>
        </w:rPr>
        <w:t xml:space="preserve">En los estudios controlados de 6 meses, la tasa de todas las infecciones notificadas con el tratamiento de </w:t>
      </w:r>
      <w:r w:rsidR="0017305E">
        <w:rPr>
          <w:szCs w:val="22"/>
          <w:lang w:val="es-ES"/>
        </w:rPr>
        <w:t>tocilizumab</w:t>
      </w:r>
      <w:r w:rsidR="0017305E" w:rsidRPr="00865037" w:rsidDel="00EA0B87">
        <w:rPr>
          <w:lang w:val="es-ES" w:eastAsia="de-DE"/>
        </w:rPr>
        <w:t xml:space="preserve"> </w:t>
      </w:r>
      <w:r w:rsidRPr="008A106B">
        <w:rPr>
          <w:lang w:val="es-ES_tradnl"/>
        </w:rPr>
        <w:t>8 mg/kg más FAMEs</w:t>
      </w:r>
      <w:r w:rsidR="00915AF1">
        <w:rPr>
          <w:lang w:val="es-ES_tradnl"/>
        </w:rPr>
        <w:t>,</w:t>
      </w:r>
      <w:r w:rsidRPr="008A106B">
        <w:rPr>
          <w:lang w:val="es-ES_tradnl"/>
        </w:rPr>
        <w:t xml:space="preserve"> fue de 127</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pacientes-años comparada con 112</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w:t>
      </w:r>
      <w:r>
        <w:rPr>
          <w:lang w:val="es-ES_tradnl"/>
        </w:rPr>
        <w:t>-</w:t>
      </w:r>
      <w:r w:rsidRPr="008A106B">
        <w:rPr>
          <w:lang w:val="es-ES_tradnl"/>
        </w:rPr>
        <w:t>años en el grupo de placebo más FAMEs.</w:t>
      </w:r>
      <w:r w:rsidRPr="008A106B">
        <w:rPr>
          <w:lang w:val="es-ES"/>
        </w:rPr>
        <w:t xml:space="preserve"> </w:t>
      </w:r>
      <w:r w:rsidRPr="008A106B">
        <w:rPr>
          <w:lang w:val="es-ES_tradnl"/>
        </w:rPr>
        <w:t xml:space="preserve">En la población expuesta a largo plazo, la tasa global de infecciones con </w:t>
      </w:r>
      <w:proofErr w:type="gramStart"/>
      <w:r w:rsidR="0017305E">
        <w:rPr>
          <w:szCs w:val="22"/>
          <w:lang w:val="es-ES"/>
        </w:rPr>
        <w:t>tocilizumab</w:t>
      </w:r>
      <w:r w:rsidR="0017305E" w:rsidRPr="00865037" w:rsidDel="00EA0B87">
        <w:rPr>
          <w:lang w:val="es-ES" w:eastAsia="de-DE"/>
        </w:rPr>
        <w:t xml:space="preserve"> </w:t>
      </w:r>
      <w:r w:rsidR="00915AF1">
        <w:rPr>
          <w:lang w:val="es-ES_tradnl"/>
        </w:rPr>
        <w:t>,</w:t>
      </w:r>
      <w:proofErr w:type="gramEnd"/>
      <w:r w:rsidRPr="008A106B">
        <w:rPr>
          <w:lang w:val="es-ES_tradnl"/>
        </w:rPr>
        <w:t xml:space="preserve"> fue de 108</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pacientes-años de exposición.</w:t>
      </w:r>
    </w:p>
    <w:p w14:paraId="07560C7F" w14:textId="77777777" w:rsidR="00834462" w:rsidRPr="008A106B" w:rsidRDefault="00834462" w:rsidP="00556927">
      <w:pPr>
        <w:widowControl w:val="0"/>
        <w:rPr>
          <w:lang w:val="es-ES"/>
        </w:rPr>
      </w:pPr>
    </w:p>
    <w:p w14:paraId="0B2A1285" w14:textId="4C3C816D" w:rsidR="00834462" w:rsidRDefault="00834462" w:rsidP="00834462">
      <w:pPr>
        <w:rPr>
          <w:lang w:val="es-ES"/>
        </w:rPr>
      </w:pPr>
      <w:r w:rsidRPr="008A106B">
        <w:rPr>
          <w:lang w:val="es-ES_tradnl"/>
        </w:rPr>
        <w:t xml:space="preserve">En los ensayos clínicos controlados de 6 meses, la tasa de todas las infecciones graves comunicadas con </w:t>
      </w:r>
      <w:r w:rsidR="0017305E">
        <w:rPr>
          <w:szCs w:val="22"/>
          <w:lang w:val="es-ES"/>
        </w:rPr>
        <w:t>tocilizumab</w:t>
      </w:r>
      <w:r w:rsidR="0017305E" w:rsidRPr="006868F5">
        <w:rPr>
          <w:szCs w:val="22"/>
          <w:lang w:val="es-ES"/>
        </w:rPr>
        <w:t xml:space="preserve"> </w:t>
      </w:r>
      <w:r w:rsidRPr="008A106B">
        <w:rPr>
          <w:lang w:val="es-ES_tradnl"/>
        </w:rPr>
        <w:t>8 mg/kg más FAMEs</w:t>
      </w:r>
      <w:r w:rsidR="00915AF1">
        <w:rPr>
          <w:lang w:val="es-ES_tradnl"/>
        </w:rPr>
        <w:t>,</w:t>
      </w:r>
      <w:r w:rsidRPr="008A106B">
        <w:rPr>
          <w:lang w:val="es-ES_tradnl"/>
        </w:rPr>
        <w:t xml:space="preserve"> fue de 5,3</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pacientes-años de exposición comparada con 3,9 acontecimientos por 100 pacientes</w:t>
      </w:r>
      <w:r>
        <w:rPr>
          <w:lang w:val="es-ES_tradnl"/>
        </w:rPr>
        <w:t>-</w:t>
      </w:r>
      <w:r w:rsidRPr="008A106B">
        <w:rPr>
          <w:lang w:val="es-ES_tradnl"/>
        </w:rPr>
        <w:t>años de exposición en el grupo de placebo más FAMEs.</w:t>
      </w:r>
      <w:r w:rsidRPr="008A106B">
        <w:rPr>
          <w:lang w:val="es-ES"/>
        </w:rPr>
        <w:t xml:space="preserve"> </w:t>
      </w:r>
      <w:r w:rsidRPr="008A106B">
        <w:rPr>
          <w:lang w:val="es-ES_tradnl"/>
        </w:rPr>
        <w:t xml:space="preserve">En el </w:t>
      </w:r>
      <w:r w:rsidR="00C434A4" w:rsidRPr="008A106B">
        <w:rPr>
          <w:lang w:val="es-ES_tradnl"/>
        </w:rPr>
        <w:t>e</w:t>
      </w:r>
      <w:r w:rsidR="00C434A4">
        <w:rPr>
          <w:lang w:val="es-ES_tradnl"/>
        </w:rPr>
        <w:t>nsay</w:t>
      </w:r>
      <w:r w:rsidR="00C434A4" w:rsidRPr="008A106B">
        <w:rPr>
          <w:lang w:val="es-ES_tradnl"/>
        </w:rPr>
        <w:t xml:space="preserve">o </w:t>
      </w:r>
      <w:r w:rsidRPr="008A106B">
        <w:rPr>
          <w:lang w:val="es-ES_tradnl"/>
        </w:rPr>
        <w:t>de monoterapia, la tasa de infecciones graves fue de 3,6</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w:t>
      </w:r>
      <w:r>
        <w:rPr>
          <w:lang w:val="es-ES_tradnl"/>
        </w:rPr>
        <w:t>-</w:t>
      </w:r>
      <w:r w:rsidRPr="008A106B">
        <w:rPr>
          <w:lang w:val="es-ES_tradnl"/>
        </w:rPr>
        <w:t xml:space="preserve">años de exposición en el grupo de </w:t>
      </w:r>
      <w:r w:rsidR="0017305E">
        <w:rPr>
          <w:szCs w:val="22"/>
          <w:lang w:val="es-ES"/>
        </w:rPr>
        <w:t>tocilizumab</w:t>
      </w:r>
      <w:r w:rsidR="0017305E" w:rsidRPr="006868F5" w:rsidDel="0017305E">
        <w:rPr>
          <w:szCs w:val="22"/>
          <w:lang w:val="es-ES"/>
        </w:rPr>
        <w:t xml:space="preserve"> </w:t>
      </w:r>
      <w:r w:rsidRPr="008A106B">
        <w:rPr>
          <w:lang w:val="es-ES_tradnl"/>
        </w:rPr>
        <w:t>y 1,5</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w:t>
      </w:r>
      <w:r>
        <w:rPr>
          <w:lang w:val="es-ES_tradnl"/>
        </w:rPr>
        <w:t>-</w:t>
      </w:r>
      <w:r w:rsidRPr="008A106B">
        <w:rPr>
          <w:lang w:val="es-ES_tradnl"/>
        </w:rPr>
        <w:t>años de exposición en el grupo de MTX.</w:t>
      </w:r>
      <w:r w:rsidRPr="008A106B">
        <w:rPr>
          <w:lang w:val="es-ES"/>
        </w:rPr>
        <w:t xml:space="preserve"> </w:t>
      </w:r>
    </w:p>
    <w:p w14:paraId="68153C80" w14:textId="77777777" w:rsidR="00D54DB5" w:rsidRPr="008A106B" w:rsidRDefault="00D54DB5" w:rsidP="00834462">
      <w:pPr>
        <w:rPr>
          <w:lang w:val="es-ES"/>
        </w:rPr>
      </w:pPr>
    </w:p>
    <w:p w14:paraId="11BEDF95" w14:textId="479E6A7D" w:rsidR="00834462" w:rsidRDefault="00834462" w:rsidP="00834462">
      <w:pPr>
        <w:rPr>
          <w:lang w:val="es-ES_tradnl"/>
        </w:rPr>
      </w:pPr>
      <w:r w:rsidRPr="00900098">
        <w:rPr>
          <w:lang w:val="es-ES_tradnl"/>
        </w:rPr>
        <w:t>En</w:t>
      </w:r>
      <w:del w:id="905" w:author="AUTHOR">
        <w:r w:rsidRPr="00900098" w:rsidDel="00431AD6">
          <w:rPr>
            <w:lang w:val="es-ES_tradnl"/>
          </w:rPr>
          <w:delText xml:space="preserve"> </w:delText>
        </w:r>
        <w:r w:rsidR="008A4B87" w:rsidDel="00431AD6">
          <w:rPr>
            <w:lang w:val="es-ES_tradnl"/>
          </w:rPr>
          <w:delText>toda</w:delText>
        </w:r>
      </w:del>
      <w:r w:rsidR="008A4B87">
        <w:rPr>
          <w:lang w:val="es-ES_tradnl"/>
        </w:rPr>
        <w:t xml:space="preserve"> </w:t>
      </w:r>
      <w:r w:rsidRPr="00900098">
        <w:rPr>
          <w:lang w:val="es-ES_tradnl"/>
        </w:rPr>
        <w:t>la población expuesta</w:t>
      </w:r>
      <w:ins w:id="906" w:author="AUTHOR">
        <w:r w:rsidR="00431AD6">
          <w:rPr>
            <w:lang w:val="es-ES_tradnl"/>
          </w:rPr>
          <w:t xml:space="preserve"> a largo plazo</w:t>
        </w:r>
      </w:ins>
      <w:r w:rsidRPr="00900098">
        <w:rPr>
          <w:lang w:val="es-ES_tradnl"/>
        </w:rPr>
        <w:t xml:space="preserve"> la tasa global de infecciones</w:t>
      </w:r>
      <w:ins w:id="907" w:author="AUTHOR">
        <w:r w:rsidR="00933621">
          <w:rPr>
            <w:lang w:val="es-ES_tradnl"/>
          </w:rPr>
          <w:t xml:space="preserve"> graves</w:t>
        </w:r>
        <w:r w:rsidR="00431AD6" w:rsidRPr="00467FFD">
          <w:rPr>
            <w:lang w:val="es-ES"/>
            <w:rPrChange w:id="908" w:author="AUTHOR">
              <w:rPr/>
            </w:rPrChange>
          </w:rPr>
          <w:t xml:space="preserve"> </w:t>
        </w:r>
        <w:r w:rsidR="00431AD6" w:rsidRPr="00431AD6">
          <w:rPr>
            <w:lang w:val="es-ES_tradnl"/>
          </w:rPr>
          <w:t>(bacterianas, víricas y fúngicas)</w:t>
        </w:r>
      </w:ins>
      <w:r w:rsidRPr="00900098">
        <w:rPr>
          <w:lang w:val="es-ES_tradnl"/>
        </w:rPr>
        <w:t xml:space="preserve"> fue de 4,7</w:t>
      </w:r>
      <w:r w:rsidR="00D34894" w:rsidRPr="00F30AB8">
        <w:rPr>
          <w:szCs w:val="22"/>
          <w:lang w:val="es-ES" w:eastAsia="de-DE"/>
        </w:rPr>
        <w:t> </w:t>
      </w:r>
      <w:r w:rsidRPr="00900098">
        <w:rPr>
          <w:lang w:val="es-ES_tradnl"/>
        </w:rPr>
        <w:t>acontecimientos por 100</w:t>
      </w:r>
      <w:r w:rsidR="00D34894" w:rsidRPr="00F30AB8">
        <w:rPr>
          <w:szCs w:val="22"/>
          <w:lang w:val="es-ES" w:eastAsia="de-DE"/>
        </w:rPr>
        <w:t> </w:t>
      </w:r>
      <w:r w:rsidRPr="00900098">
        <w:rPr>
          <w:lang w:val="es-ES_tradnl"/>
        </w:rPr>
        <w:t>pacientes-años.</w:t>
      </w:r>
      <w:r w:rsidRPr="00900098">
        <w:rPr>
          <w:lang w:val="es-ES"/>
        </w:rPr>
        <w:t xml:space="preserve"> </w:t>
      </w:r>
      <w:r w:rsidRPr="00900098">
        <w:rPr>
          <w:lang w:val="es-ES_tradnl"/>
        </w:rPr>
        <w:t>Entre las infecciones graves notificadas</w:t>
      </w:r>
      <w:r w:rsidR="007306D5" w:rsidRPr="00900098">
        <w:rPr>
          <w:lang w:val="es-ES_tradnl"/>
        </w:rPr>
        <w:t>,</w:t>
      </w:r>
      <w:r w:rsidRPr="00900098">
        <w:rPr>
          <w:lang w:val="es-ES_tradnl"/>
        </w:rPr>
        <w:t xml:space="preserve"> algunas mortales</w:t>
      </w:r>
      <w:r w:rsidR="007306D5" w:rsidRPr="00900098">
        <w:rPr>
          <w:lang w:val="es-ES_tradnl"/>
        </w:rPr>
        <w:t>,</w:t>
      </w:r>
      <w:r w:rsidRPr="00900098">
        <w:rPr>
          <w:lang w:val="es-ES_tradnl"/>
        </w:rPr>
        <w:t xml:space="preserve"> se incluyeron </w:t>
      </w:r>
      <w:ins w:id="909" w:author="AUTHOR">
        <w:r w:rsidR="00431AD6" w:rsidRPr="00431AD6">
          <w:rPr>
            <w:lang w:val="es-ES_tradnl"/>
          </w:rPr>
          <w:t xml:space="preserve">tuberculosis activa, que </w:t>
        </w:r>
        <w:r w:rsidR="00431AD6">
          <w:rPr>
            <w:lang w:val="es-ES_tradnl"/>
          </w:rPr>
          <w:t xml:space="preserve">se </w:t>
        </w:r>
        <w:r w:rsidR="00431AD6" w:rsidRPr="00431AD6">
          <w:rPr>
            <w:lang w:val="es-ES_tradnl"/>
          </w:rPr>
          <w:t xml:space="preserve">puede presentar con enfermedad intrapulmonar o extrapulmonar, infecciones pulmonares invasivas, como candidiasis, aspergilosis, coccidioidomicosis y pneumocystis jirovecii, </w:t>
        </w:r>
      </w:ins>
      <w:r w:rsidRPr="00900098">
        <w:rPr>
          <w:lang w:val="es-ES_tradnl"/>
        </w:rPr>
        <w:t>neumonía, celulitis, herpes zoster, gastroenteritis, diverticulitis, sepsis y artritis bacteriana. Se han notificado casos de infecciones oportunistas.</w:t>
      </w:r>
    </w:p>
    <w:p w14:paraId="62940BE0" w14:textId="77777777" w:rsidR="00827BE7" w:rsidRPr="00F30AB8" w:rsidRDefault="00827BE7" w:rsidP="00834462">
      <w:pPr>
        <w:rPr>
          <w:u w:val="single"/>
          <w:lang w:val="es-ES"/>
        </w:rPr>
      </w:pPr>
    </w:p>
    <w:p w14:paraId="64988BC8" w14:textId="77777777" w:rsidR="00834462" w:rsidRPr="00F30AB8" w:rsidRDefault="00834462" w:rsidP="003569D6">
      <w:pPr>
        <w:keepNext/>
        <w:keepLines/>
        <w:rPr>
          <w:i/>
          <w:u w:val="single"/>
          <w:lang w:val="es-ES"/>
        </w:rPr>
      </w:pPr>
      <w:r w:rsidRPr="00F30AB8">
        <w:rPr>
          <w:i/>
          <w:u w:val="single"/>
          <w:lang w:val="es-ES"/>
        </w:rPr>
        <w:t xml:space="preserve">Enfermedad </w:t>
      </w:r>
      <w:r w:rsidR="005B7E73" w:rsidRPr="00F30AB8">
        <w:rPr>
          <w:i/>
          <w:u w:val="single"/>
          <w:lang w:val="es-ES"/>
        </w:rPr>
        <w:t>pulmonar i</w:t>
      </w:r>
      <w:r w:rsidRPr="00F30AB8">
        <w:rPr>
          <w:i/>
          <w:u w:val="single"/>
          <w:lang w:val="es-ES"/>
        </w:rPr>
        <w:t>ntersticial</w:t>
      </w:r>
    </w:p>
    <w:p w14:paraId="4B3757B7" w14:textId="3D6B57F6" w:rsidR="00834462" w:rsidRPr="008A106B" w:rsidRDefault="00834462" w:rsidP="003569D6">
      <w:pPr>
        <w:keepNext/>
        <w:keepLines/>
        <w:rPr>
          <w:lang w:val="es-ES"/>
        </w:rPr>
      </w:pPr>
      <w:r w:rsidRPr="008A106B">
        <w:rPr>
          <w:lang w:val="es-ES"/>
        </w:rPr>
        <w:t>El deterioro de la función pulmonar puede aumentar el riesgo de desarrollo de infecciones. Durante la comercialización se han notificado casos de enfermedad pulmonar intersticial (incluyendo neumon</w:t>
      </w:r>
      <w:ins w:id="910" w:author="AUTHOR">
        <w:r w:rsidR="005321CA">
          <w:rPr>
            <w:lang w:val="es-ES"/>
          </w:rPr>
          <w:t>itis</w:t>
        </w:r>
      </w:ins>
      <w:del w:id="911" w:author="AUTHOR">
        <w:r w:rsidRPr="008A106B" w:rsidDel="005321CA">
          <w:rPr>
            <w:lang w:val="es-ES"/>
          </w:rPr>
          <w:delText>ía</w:delText>
        </w:r>
      </w:del>
      <w:r w:rsidRPr="008A106B">
        <w:rPr>
          <w:lang w:val="es-ES"/>
        </w:rPr>
        <w:t>, y fibrosis pulmonar)</w:t>
      </w:r>
      <w:r w:rsidR="00895934">
        <w:rPr>
          <w:lang w:val="es-ES"/>
        </w:rPr>
        <w:t>,</w:t>
      </w:r>
      <w:r w:rsidRPr="008A106B">
        <w:rPr>
          <w:lang w:val="es-ES"/>
        </w:rPr>
        <w:t xml:space="preserve"> alguno de los cuales fue mortal.</w:t>
      </w:r>
    </w:p>
    <w:p w14:paraId="252CDC14" w14:textId="77777777" w:rsidR="00834462" w:rsidRPr="008A106B" w:rsidRDefault="00834462" w:rsidP="00834462">
      <w:pPr>
        <w:rPr>
          <w:lang w:val="es-ES"/>
        </w:rPr>
      </w:pPr>
    </w:p>
    <w:p w14:paraId="4503A184" w14:textId="77777777" w:rsidR="00834462" w:rsidRPr="00F30AB8" w:rsidRDefault="00834462" w:rsidP="00A50280">
      <w:pPr>
        <w:keepNext/>
        <w:keepLines/>
        <w:rPr>
          <w:i/>
          <w:u w:val="single"/>
          <w:lang w:val="es-ES"/>
        </w:rPr>
      </w:pPr>
      <w:r w:rsidRPr="00F30AB8">
        <w:rPr>
          <w:i/>
          <w:iCs/>
          <w:u w:val="single"/>
          <w:lang w:val="es-ES"/>
        </w:rPr>
        <w:t xml:space="preserve">Perforación </w:t>
      </w:r>
      <w:r w:rsidR="003D3A96" w:rsidRPr="00F30AB8">
        <w:rPr>
          <w:i/>
          <w:iCs/>
          <w:u w:val="single"/>
          <w:lang w:val="es-ES"/>
        </w:rPr>
        <w:t>gastrointestinal</w:t>
      </w:r>
    </w:p>
    <w:p w14:paraId="37580BE9" w14:textId="7F91E3E1" w:rsidR="00834462" w:rsidRPr="008A106B" w:rsidRDefault="00834462" w:rsidP="00A50280">
      <w:pPr>
        <w:keepNext/>
        <w:keepLines/>
        <w:rPr>
          <w:lang w:val="es-ES"/>
        </w:rPr>
      </w:pPr>
      <w:r w:rsidRPr="008A106B">
        <w:rPr>
          <w:lang w:val="es-ES_tradnl"/>
        </w:rPr>
        <w:t>Durante 6 meses de ensayos clínicos controlados, la tasa global de perforaciones gastrointestinales fue de 0,26 acontecimientos por 100 pacientes</w:t>
      </w:r>
      <w:r>
        <w:rPr>
          <w:lang w:val="es-ES_tradnl"/>
        </w:rPr>
        <w:t>-</w:t>
      </w:r>
      <w:r w:rsidRPr="008A106B">
        <w:rPr>
          <w:lang w:val="es-ES_tradnl"/>
        </w:rPr>
        <w:t>años en t</w:t>
      </w:r>
      <w:r w:rsidR="00D05464">
        <w:rPr>
          <w:lang w:val="es-ES_tradnl"/>
        </w:rPr>
        <w:t xml:space="preserve">ratamiento con </w:t>
      </w:r>
      <w:r w:rsidR="0017305E">
        <w:rPr>
          <w:szCs w:val="22"/>
          <w:lang w:val="es-ES"/>
        </w:rPr>
        <w:t>tocilizumab</w:t>
      </w:r>
      <w:r w:rsidRPr="008A106B">
        <w:rPr>
          <w:lang w:val="es-ES_tradnl"/>
        </w:rPr>
        <w:t>. En la población expuesta a largo plazo la tasa global de perforaciones gastrointestinales fue 0,28</w:t>
      </w:r>
      <w:r w:rsidR="00D34894" w:rsidRPr="00F30AB8">
        <w:rPr>
          <w:szCs w:val="22"/>
          <w:lang w:val="es-ES" w:eastAsia="de-DE"/>
        </w:rPr>
        <w:t> </w:t>
      </w:r>
      <w:r w:rsidRPr="008A106B">
        <w:rPr>
          <w:lang w:val="es-ES_tradnl"/>
        </w:rPr>
        <w:t>acontecimientos por 100</w:t>
      </w:r>
      <w:r w:rsidR="00D34894" w:rsidRPr="00F30AB8">
        <w:rPr>
          <w:szCs w:val="22"/>
          <w:lang w:val="es-ES" w:eastAsia="de-DE"/>
        </w:rPr>
        <w:t> </w:t>
      </w:r>
      <w:r w:rsidRPr="008A106B">
        <w:rPr>
          <w:lang w:val="es-ES_tradnl"/>
        </w:rPr>
        <w:t>pacientes</w:t>
      </w:r>
      <w:r>
        <w:rPr>
          <w:lang w:val="es-ES_tradnl"/>
        </w:rPr>
        <w:t>-</w:t>
      </w:r>
      <w:r w:rsidRPr="008A106B">
        <w:rPr>
          <w:lang w:val="es-ES_tradnl"/>
        </w:rPr>
        <w:t xml:space="preserve">años. Las notificaciones de perforación grastrointestinal con </w:t>
      </w:r>
      <w:r w:rsidR="0017305E">
        <w:rPr>
          <w:szCs w:val="22"/>
          <w:lang w:val="es-ES_tradnl"/>
        </w:rPr>
        <w:t>el tratamiento</w:t>
      </w:r>
      <w:r w:rsidR="00171EE7" w:rsidRPr="006868F5">
        <w:rPr>
          <w:szCs w:val="22"/>
          <w:lang w:val="es-ES"/>
        </w:rPr>
        <w:t xml:space="preserve"> </w:t>
      </w:r>
      <w:r w:rsidRPr="008A106B">
        <w:rPr>
          <w:lang w:val="es-ES_tradnl"/>
        </w:rPr>
        <w:t>fueron comunicadas inicialmente como complicaciones de la diverticulitis</w:t>
      </w:r>
      <w:r w:rsidR="00B35478">
        <w:rPr>
          <w:lang w:val="es-ES_tradnl"/>
        </w:rPr>
        <w:t>,</w:t>
      </w:r>
      <w:r w:rsidRPr="008A106B">
        <w:rPr>
          <w:lang w:val="es-ES_tradnl"/>
        </w:rPr>
        <w:t xml:space="preserve"> tales como peritonitis purulenta generalizada, perforación gastrointestinal inferior, fístulas y abscesos. </w:t>
      </w:r>
    </w:p>
    <w:p w14:paraId="47CDC402" w14:textId="77777777" w:rsidR="00834462" w:rsidRPr="008A106B" w:rsidRDefault="00834462" w:rsidP="00834462">
      <w:pPr>
        <w:rPr>
          <w:lang w:val="es-ES"/>
        </w:rPr>
      </w:pPr>
    </w:p>
    <w:p w14:paraId="3BE55CD0" w14:textId="2236EAC0" w:rsidR="00834462" w:rsidRPr="00F30AB8" w:rsidRDefault="00834462" w:rsidP="00834462">
      <w:pPr>
        <w:ind w:left="567" w:hanging="567"/>
        <w:outlineLvl w:val="0"/>
        <w:rPr>
          <w:u w:val="single"/>
          <w:lang w:val="es-ES"/>
        </w:rPr>
      </w:pPr>
      <w:r w:rsidRPr="00F30AB8">
        <w:rPr>
          <w:i/>
          <w:iCs/>
          <w:u w:val="single"/>
          <w:lang w:val="es-ES_tradnl"/>
        </w:rPr>
        <w:t xml:space="preserve">Reacciones </w:t>
      </w:r>
      <w:r w:rsidR="003532C2">
        <w:rPr>
          <w:i/>
          <w:iCs/>
          <w:u w:val="single"/>
          <w:lang w:val="es-ES_tradnl"/>
        </w:rPr>
        <w:t>R</w:t>
      </w:r>
      <w:r w:rsidR="003532C2" w:rsidRPr="00F30AB8">
        <w:rPr>
          <w:i/>
          <w:iCs/>
          <w:u w:val="single"/>
          <w:lang w:val="es-ES_tradnl"/>
        </w:rPr>
        <w:t xml:space="preserve">elacionadas </w:t>
      </w:r>
      <w:r w:rsidR="00F72025" w:rsidRPr="00F30AB8">
        <w:rPr>
          <w:i/>
          <w:iCs/>
          <w:u w:val="single"/>
          <w:lang w:val="es-ES_tradnl"/>
        </w:rPr>
        <w:t>con</w:t>
      </w:r>
      <w:r w:rsidRPr="00F30AB8">
        <w:rPr>
          <w:i/>
          <w:iCs/>
          <w:u w:val="single"/>
          <w:lang w:val="es-ES_tradnl"/>
        </w:rPr>
        <w:t xml:space="preserve"> la</w:t>
      </w:r>
      <w:r w:rsidR="003532C2">
        <w:rPr>
          <w:i/>
          <w:iCs/>
          <w:u w:val="single"/>
          <w:lang w:val="es-ES_tradnl"/>
        </w:rPr>
        <w:t>P</w:t>
      </w:r>
      <w:r w:rsidRPr="00F30AB8">
        <w:rPr>
          <w:i/>
          <w:iCs/>
          <w:u w:val="single"/>
          <w:lang w:val="es-ES_tradnl"/>
        </w:rPr>
        <w:t>erfusión</w:t>
      </w:r>
    </w:p>
    <w:p w14:paraId="69267A77" w14:textId="2143B77E" w:rsidR="00834462" w:rsidRPr="008A106B" w:rsidRDefault="00834462" w:rsidP="00834462">
      <w:pPr>
        <w:rPr>
          <w:lang w:val="es-ES"/>
        </w:rPr>
      </w:pPr>
      <w:r w:rsidRPr="008A106B">
        <w:rPr>
          <w:lang w:val="es-ES_tradnl"/>
        </w:rPr>
        <w:t xml:space="preserve">En los </w:t>
      </w:r>
      <w:r w:rsidR="00C434A4" w:rsidRPr="008A106B">
        <w:rPr>
          <w:lang w:val="es-ES_tradnl"/>
        </w:rPr>
        <w:t>e</w:t>
      </w:r>
      <w:r w:rsidR="00C434A4">
        <w:rPr>
          <w:lang w:val="es-ES_tradnl"/>
        </w:rPr>
        <w:t>nsay</w:t>
      </w:r>
      <w:r w:rsidR="00C434A4" w:rsidRPr="008A106B">
        <w:rPr>
          <w:lang w:val="es-ES_tradnl"/>
        </w:rPr>
        <w:t xml:space="preserve">os </w:t>
      </w:r>
      <w:r w:rsidRPr="008A106B">
        <w:rPr>
          <w:lang w:val="es-ES_tradnl"/>
        </w:rPr>
        <w:t>controlados de 6 meses se notificaron acontecimientos adversos asociados a perfusión (acontecimientos seleccionados que se producen durante o dentro de las 24</w:t>
      </w:r>
      <w:r w:rsidR="00D34894" w:rsidRPr="00F30AB8">
        <w:rPr>
          <w:szCs w:val="22"/>
          <w:lang w:val="es-ES" w:eastAsia="de-DE"/>
        </w:rPr>
        <w:t> </w:t>
      </w:r>
      <w:r w:rsidRPr="008A106B">
        <w:rPr>
          <w:lang w:val="es-ES_tradnl"/>
        </w:rPr>
        <w:t>horas después de la perfusión) el 6,9 % de los pacientes en el grupo de tocilizumab 8 mg/kg más FAMEs y el 5,1 % de los pacientes del grupo placebo más FAMEs.</w:t>
      </w:r>
      <w:r w:rsidRPr="008A106B">
        <w:rPr>
          <w:lang w:val="es-ES"/>
        </w:rPr>
        <w:t xml:space="preserve"> </w:t>
      </w:r>
      <w:r w:rsidRPr="008A106B">
        <w:rPr>
          <w:lang w:val="es-ES_tradnl"/>
        </w:rPr>
        <w:t>Los acontecimientos notificados durante la perfusión fueron fundamentalmente episodios de hipertensión; los acontecimientos notificados en el plazo de 24</w:t>
      </w:r>
      <w:r w:rsidR="00D34894" w:rsidRPr="00F30AB8">
        <w:rPr>
          <w:szCs w:val="22"/>
          <w:lang w:val="es-ES" w:eastAsia="de-DE"/>
        </w:rPr>
        <w:t> </w:t>
      </w:r>
      <w:r w:rsidRPr="008A106B">
        <w:rPr>
          <w:lang w:val="es-ES_tradnl"/>
        </w:rPr>
        <w:t>horas desde la terminación de una perfusión fueron cefalea y reacciones cutáneas (erupción, urticaria).</w:t>
      </w:r>
      <w:r w:rsidRPr="008A106B">
        <w:rPr>
          <w:lang w:val="es-ES"/>
        </w:rPr>
        <w:t xml:space="preserve"> </w:t>
      </w:r>
      <w:r w:rsidRPr="008A106B">
        <w:rPr>
          <w:lang w:val="es-ES_tradnl"/>
        </w:rPr>
        <w:t>Estos acontecimientos no fueron limitantes para el tratamiento.</w:t>
      </w:r>
    </w:p>
    <w:p w14:paraId="04351E72" w14:textId="77777777" w:rsidR="00834462" w:rsidRPr="008A106B" w:rsidRDefault="00834462" w:rsidP="00834462">
      <w:pPr>
        <w:rPr>
          <w:lang w:val="es-ES"/>
        </w:rPr>
      </w:pPr>
    </w:p>
    <w:p w14:paraId="04DDAE85" w14:textId="24BE3CA7" w:rsidR="00834462" w:rsidRPr="008A106B" w:rsidRDefault="00834462" w:rsidP="00834462">
      <w:pPr>
        <w:rPr>
          <w:lang w:val="es-ES"/>
        </w:rPr>
      </w:pPr>
      <w:r w:rsidRPr="0051183C">
        <w:rPr>
          <w:lang w:val="es-ES_tradnl"/>
        </w:rPr>
        <w:t xml:space="preserve">La tasa de reacciones anafilácticas (que se produjeron en un total de </w:t>
      </w:r>
      <w:ins w:id="912" w:author="AUTHOR">
        <w:r w:rsidR="00431AD6" w:rsidRPr="00431AD6">
          <w:rPr>
            <w:lang w:val="es-ES_tradnl"/>
          </w:rPr>
          <w:t>8/4</w:t>
        </w:r>
        <w:r w:rsidR="00431AD6">
          <w:rPr>
            <w:lang w:val="es-ES_tradnl"/>
          </w:rPr>
          <w:t>.</w:t>
        </w:r>
        <w:r w:rsidR="00431AD6" w:rsidRPr="00431AD6">
          <w:rPr>
            <w:lang w:val="es-ES_tradnl"/>
          </w:rPr>
          <w:t>009</w:t>
        </w:r>
      </w:ins>
      <w:del w:id="913" w:author="AUTHOR">
        <w:r w:rsidR="00A57FDD" w:rsidDel="00431AD6">
          <w:rPr>
            <w:lang w:val="es-ES_tradnl"/>
          </w:rPr>
          <w:delText>6</w:delText>
        </w:r>
        <w:r w:rsidRPr="0051183C" w:rsidDel="00431AD6">
          <w:rPr>
            <w:lang w:val="es-ES_tradnl"/>
          </w:rPr>
          <w:delText>/</w:delText>
        </w:r>
        <w:r w:rsidR="00A57FDD" w:rsidDel="00431AD6">
          <w:rPr>
            <w:lang w:val="es-ES_tradnl"/>
          </w:rPr>
          <w:delText>3</w:delText>
        </w:r>
        <w:r w:rsidR="0053307B" w:rsidRPr="0051183C" w:rsidDel="00431AD6">
          <w:rPr>
            <w:lang w:val="es-ES_tradnl"/>
          </w:rPr>
          <w:delText>.</w:delText>
        </w:r>
        <w:r w:rsidR="00A57FDD" w:rsidDel="00431AD6">
          <w:rPr>
            <w:lang w:val="es-ES_tradnl"/>
          </w:rPr>
          <w:delText>778</w:delText>
        </w:r>
      </w:del>
      <w:r w:rsidR="00D34894" w:rsidRPr="00F30AB8">
        <w:rPr>
          <w:szCs w:val="22"/>
          <w:lang w:val="es-ES" w:eastAsia="de-DE"/>
        </w:rPr>
        <w:t> </w:t>
      </w:r>
      <w:r w:rsidRPr="0051183C">
        <w:rPr>
          <w:lang w:val="es-ES_tradnl"/>
        </w:rPr>
        <w:t>pacientes, 0,2 %) fue varias veces más elevada con la dosis de 4 mg/kg que con la de 8 mg/kg.</w:t>
      </w:r>
      <w:r w:rsidRPr="0051183C">
        <w:rPr>
          <w:lang w:val="es-ES"/>
        </w:rPr>
        <w:t xml:space="preserve"> </w:t>
      </w:r>
      <w:r w:rsidRPr="0051183C">
        <w:rPr>
          <w:lang w:val="es-ES_tradnl"/>
        </w:rPr>
        <w:t xml:space="preserve">Se notificaron reacciones de hipersensibilidad clínicamente significativas asociadas a </w:t>
      </w:r>
      <w:r w:rsidR="0017305E">
        <w:rPr>
          <w:szCs w:val="22"/>
          <w:lang w:val="es-ES"/>
        </w:rPr>
        <w:t>tocilizumab</w:t>
      </w:r>
      <w:r w:rsidR="0017305E" w:rsidRPr="0051183C" w:rsidDel="0017305E">
        <w:rPr>
          <w:szCs w:val="22"/>
          <w:lang w:val="es-ES"/>
        </w:rPr>
        <w:t xml:space="preserve"> </w:t>
      </w:r>
      <w:r w:rsidRPr="0051183C">
        <w:rPr>
          <w:lang w:val="es-ES_tradnl"/>
        </w:rPr>
        <w:t xml:space="preserve">y que precisaron suspensión del tratamiento en un total de </w:t>
      </w:r>
      <w:del w:id="914" w:author="AUTHOR">
        <w:r w:rsidR="00A57FDD" w:rsidDel="00431AD6">
          <w:rPr>
            <w:lang w:val="es-ES_tradnl"/>
          </w:rPr>
          <w:delText>13</w:delText>
        </w:r>
        <w:r w:rsidR="00A57FDD" w:rsidRPr="0051183C" w:rsidDel="00431AD6">
          <w:rPr>
            <w:lang w:val="es-ES_tradnl"/>
          </w:rPr>
          <w:delText xml:space="preserve"> </w:delText>
        </w:r>
      </w:del>
      <w:ins w:id="915" w:author="AUTHOR">
        <w:r w:rsidR="00431AD6">
          <w:rPr>
            <w:lang w:val="es-ES_tradnl"/>
          </w:rPr>
          <w:t>56</w:t>
        </w:r>
        <w:r w:rsidR="00431AD6" w:rsidRPr="0051183C">
          <w:rPr>
            <w:lang w:val="es-ES_tradnl"/>
          </w:rPr>
          <w:t xml:space="preserve"> </w:t>
        </w:r>
      </w:ins>
      <w:r w:rsidRPr="0051183C">
        <w:rPr>
          <w:lang w:val="es-ES_tradnl"/>
        </w:rPr>
        <w:t xml:space="preserve">de </w:t>
      </w:r>
      <w:ins w:id="916" w:author="AUTHOR">
        <w:r w:rsidR="00431AD6">
          <w:rPr>
            <w:lang w:val="es-ES_tradnl"/>
          </w:rPr>
          <w:t>4.009</w:t>
        </w:r>
      </w:ins>
      <w:del w:id="917" w:author="AUTHOR">
        <w:r w:rsidR="00A57FDD" w:rsidDel="00431AD6">
          <w:rPr>
            <w:lang w:val="es-ES_tradnl"/>
          </w:rPr>
          <w:delText>3</w:delText>
        </w:r>
        <w:r w:rsidR="0053307B" w:rsidRPr="0051183C" w:rsidDel="00431AD6">
          <w:rPr>
            <w:lang w:val="es-ES_tradnl"/>
          </w:rPr>
          <w:delText>.</w:delText>
        </w:r>
        <w:r w:rsidR="00A57FDD" w:rsidDel="00431AD6">
          <w:rPr>
            <w:lang w:val="es-ES_tradnl"/>
          </w:rPr>
          <w:delText>778</w:delText>
        </w:r>
      </w:del>
      <w:r w:rsidR="00D34894" w:rsidRPr="00F30AB8">
        <w:rPr>
          <w:szCs w:val="22"/>
          <w:lang w:val="es-ES" w:eastAsia="de-DE"/>
        </w:rPr>
        <w:t> </w:t>
      </w:r>
      <w:r w:rsidRPr="0051183C">
        <w:rPr>
          <w:lang w:val="es-ES_tradnl"/>
        </w:rPr>
        <w:t>pacientes (</w:t>
      </w:r>
      <w:ins w:id="918" w:author="AUTHOR">
        <w:r w:rsidR="00431AD6" w:rsidRPr="00467FFD">
          <w:rPr>
            <w:szCs w:val="22"/>
            <w:lang w:val="es-ES"/>
            <w:rPrChange w:id="919" w:author="AUTHOR">
              <w:rPr>
                <w:szCs w:val="22"/>
              </w:rPr>
            </w:rPrChange>
          </w:rPr>
          <w:t>1,4</w:t>
        </w:r>
      </w:ins>
      <w:del w:id="920" w:author="AUTHOR">
        <w:r w:rsidR="00A57FDD" w:rsidDel="00431AD6">
          <w:rPr>
            <w:lang w:val="es-ES_tradnl"/>
          </w:rPr>
          <w:delText>0</w:delText>
        </w:r>
        <w:r w:rsidRPr="0051183C" w:rsidDel="00431AD6">
          <w:rPr>
            <w:lang w:val="es-ES_tradnl"/>
          </w:rPr>
          <w:delText>,</w:delText>
        </w:r>
        <w:r w:rsidR="00A57FDD" w:rsidDel="00431AD6">
          <w:rPr>
            <w:lang w:val="es-ES_tradnl"/>
          </w:rPr>
          <w:delText>3</w:delText>
        </w:r>
      </w:del>
      <w:r w:rsidR="00A57FDD" w:rsidRPr="0051183C">
        <w:rPr>
          <w:lang w:val="es-ES_tradnl"/>
        </w:rPr>
        <w:t> </w:t>
      </w:r>
      <w:r w:rsidRPr="0051183C">
        <w:rPr>
          <w:lang w:val="es-ES_tradnl"/>
        </w:rPr>
        <w:t xml:space="preserve">%) tratados </w:t>
      </w:r>
      <w:r w:rsidR="00171EE7" w:rsidRPr="0051183C">
        <w:rPr>
          <w:szCs w:val="22"/>
          <w:lang w:val="es-ES"/>
        </w:rPr>
        <w:t xml:space="preserve"> </w:t>
      </w:r>
      <w:r w:rsidRPr="0051183C">
        <w:rPr>
          <w:lang w:val="es-ES_tradnl"/>
        </w:rPr>
        <w:t xml:space="preserve">durante los </w:t>
      </w:r>
      <w:r w:rsidR="00C434A4" w:rsidRPr="0051183C">
        <w:rPr>
          <w:lang w:val="es-ES_tradnl"/>
        </w:rPr>
        <w:t xml:space="preserve">ensayos </w:t>
      </w:r>
      <w:r w:rsidRPr="0051183C">
        <w:rPr>
          <w:lang w:val="es-ES_tradnl"/>
        </w:rPr>
        <w:t>clínicos controlados y abiertos.</w:t>
      </w:r>
      <w:r w:rsidRPr="0051183C">
        <w:rPr>
          <w:lang w:val="es-ES"/>
        </w:rPr>
        <w:t xml:space="preserve"> </w:t>
      </w:r>
      <w:r w:rsidRPr="0051183C">
        <w:rPr>
          <w:lang w:val="es-ES_tradnl"/>
        </w:rPr>
        <w:t>Estas reacciones se observaron generalmente de la segunda a la quinta perfusión de tocilizumab (ver sección</w:t>
      </w:r>
      <w:r w:rsidR="00D34894" w:rsidRPr="00F30AB8">
        <w:rPr>
          <w:szCs w:val="22"/>
          <w:lang w:val="es-ES" w:eastAsia="de-DE"/>
        </w:rPr>
        <w:t> </w:t>
      </w:r>
      <w:r w:rsidRPr="0051183C">
        <w:rPr>
          <w:lang w:val="es-ES_tradnl"/>
        </w:rPr>
        <w:t xml:space="preserve">4.4). </w:t>
      </w:r>
      <w:r w:rsidRPr="0051183C">
        <w:rPr>
          <w:szCs w:val="22"/>
          <w:lang w:val="es-ES"/>
        </w:rPr>
        <w:t xml:space="preserve">Se ha notificado una reacción de anafilaxia mortal durante el tratamiento con </w:t>
      </w:r>
      <w:r w:rsidR="0017305E">
        <w:rPr>
          <w:szCs w:val="22"/>
          <w:lang w:val="es-ES"/>
        </w:rPr>
        <w:t>tocilizumab</w:t>
      </w:r>
      <w:r w:rsidR="0017305E" w:rsidRPr="0051183C" w:rsidDel="0017305E">
        <w:rPr>
          <w:szCs w:val="22"/>
          <w:lang w:val="es-ES"/>
        </w:rPr>
        <w:t xml:space="preserve"> </w:t>
      </w:r>
      <w:r w:rsidRPr="0051183C">
        <w:rPr>
          <w:szCs w:val="22"/>
          <w:lang w:val="es-ES"/>
        </w:rPr>
        <w:t xml:space="preserve">después de la autorización de comercialización </w:t>
      </w:r>
      <w:r w:rsidRPr="0051183C">
        <w:rPr>
          <w:lang w:val="es-ES_tradnl"/>
        </w:rPr>
        <w:t>(ver sección</w:t>
      </w:r>
      <w:r w:rsidR="00D34894" w:rsidRPr="00F30AB8">
        <w:rPr>
          <w:szCs w:val="22"/>
          <w:lang w:val="es-ES" w:eastAsia="de-DE"/>
        </w:rPr>
        <w:t> </w:t>
      </w:r>
      <w:r w:rsidRPr="0051183C">
        <w:rPr>
          <w:lang w:val="es-ES_tradnl"/>
        </w:rPr>
        <w:t>4.4).</w:t>
      </w:r>
    </w:p>
    <w:p w14:paraId="477CD325" w14:textId="77777777" w:rsidR="00834462" w:rsidRPr="008A106B" w:rsidRDefault="00834462" w:rsidP="00834462">
      <w:pPr>
        <w:rPr>
          <w:lang w:val="es-ES"/>
        </w:rPr>
      </w:pPr>
    </w:p>
    <w:p w14:paraId="1ABD2070" w14:textId="77777777" w:rsidR="00834462" w:rsidRPr="00F30AB8" w:rsidRDefault="00834462" w:rsidP="00834462">
      <w:pPr>
        <w:ind w:left="567" w:hanging="567"/>
        <w:outlineLvl w:val="0"/>
        <w:rPr>
          <w:u w:val="single"/>
          <w:lang w:val="es-ES"/>
        </w:rPr>
      </w:pPr>
      <w:r w:rsidRPr="00F30AB8">
        <w:rPr>
          <w:i/>
          <w:iCs/>
          <w:u w:val="single"/>
          <w:lang w:val="es-ES_tradnl"/>
        </w:rPr>
        <w:t>Inmunogen</w:t>
      </w:r>
      <w:r w:rsidR="00D54DB5" w:rsidRPr="00F30AB8">
        <w:rPr>
          <w:i/>
          <w:iCs/>
          <w:u w:val="single"/>
          <w:lang w:val="es-ES_tradnl"/>
        </w:rPr>
        <w:t>cidad</w:t>
      </w:r>
      <w:r w:rsidRPr="00F30AB8">
        <w:rPr>
          <w:i/>
          <w:iCs/>
          <w:u w:val="single"/>
          <w:lang w:val="es-ES"/>
        </w:rPr>
        <w:t xml:space="preserve"> </w:t>
      </w:r>
    </w:p>
    <w:p w14:paraId="6492350A" w14:textId="6C0861B9" w:rsidR="00834462" w:rsidRPr="008A106B" w:rsidRDefault="00834462" w:rsidP="00834462">
      <w:pPr>
        <w:outlineLvl w:val="0"/>
        <w:rPr>
          <w:lang w:val="es-ES"/>
        </w:rPr>
      </w:pPr>
      <w:r w:rsidRPr="008A106B">
        <w:rPr>
          <w:lang w:val="es-ES_tradnl"/>
        </w:rPr>
        <w:t>En ensayos clínicos controlados de 6 meses se ha estudiado un total de 2</w:t>
      </w:r>
      <w:r w:rsidR="002F62B6">
        <w:rPr>
          <w:lang w:val="es-ES_tradnl"/>
        </w:rPr>
        <w:t>.</w:t>
      </w:r>
      <w:r w:rsidRPr="008A106B">
        <w:rPr>
          <w:lang w:val="es-ES_tradnl"/>
        </w:rPr>
        <w:t>876</w:t>
      </w:r>
      <w:r w:rsidR="00D34894" w:rsidRPr="00F30AB8">
        <w:rPr>
          <w:szCs w:val="22"/>
          <w:lang w:val="es-ES" w:eastAsia="de-DE"/>
        </w:rPr>
        <w:t> </w:t>
      </w:r>
      <w:r w:rsidRPr="008A106B">
        <w:rPr>
          <w:lang w:val="es-ES_tradnl"/>
        </w:rPr>
        <w:t>pacientes en cuanto a anticuerpos anti-</w:t>
      </w:r>
      <w:r w:rsidR="00171EE7" w:rsidRPr="006868F5">
        <w:rPr>
          <w:szCs w:val="22"/>
          <w:lang w:val="es-ES"/>
        </w:rPr>
        <w:t xml:space="preserve"> </w:t>
      </w:r>
      <w:r w:rsidR="007F3BE9">
        <w:rPr>
          <w:szCs w:val="22"/>
          <w:lang w:val="es-ES"/>
        </w:rPr>
        <w:t>tocilizumab</w:t>
      </w:r>
      <w:r w:rsidRPr="008A106B">
        <w:rPr>
          <w:lang w:val="es-ES_tradnl"/>
        </w:rPr>
        <w:t>.</w:t>
      </w:r>
      <w:r w:rsidRPr="008A106B">
        <w:rPr>
          <w:lang w:val="es-ES"/>
        </w:rPr>
        <w:t xml:space="preserve"> </w:t>
      </w:r>
      <w:proofErr w:type="gramStart"/>
      <w:r w:rsidR="007F3BE9">
        <w:rPr>
          <w:lang w:val="es-ES_tradnl"/>
        </w:rPr>
        <w:t>46</w:t>
      </w:r>
      <w:r w:rsidR="00D34894" w:rsidRPr="00F30AB8">
        <w:rPr>
          <w:szCs w:val="22"/>
          <w:lang w:val="es-ES" w:eastAsia="de-DE"/>
        </w:rPr>
        <w:t> </w:t>
      </w:r>
      <w:r w:rsidR="00D34894" w:rsidRPr="008A106B" w:rsidDel="00D34894">
        <w:rPr>
          <w:lang w:val="es-ES_tradnl"/>
        </w:rPr>
        <w:t xml:space="preserve"> </w:t>
      </w:r>
      <w:r w:rsidRPr="008A106B">
        <w:rPr>
          <w:lang w:val="es-ES_tradnl"/>
        </w:rPr>
        <w:t>(</w:t>
      </w:r>
      <w:proofErr w:type="gramEnd"/>
      <w:r w:rsidRPr="008A106B">
        <w:rPr>
          <w:lang w:val="es-ES_tradnl"/>
        </w:rPr>
        <w:t>1,6 %) desarrollaron anticuerpos anti-</w:t>
      </w:r>
      <w:r w:rsidR="00171EE7" w:rsidRPr="006868F5">
        <w:rPr>
          <w:szCs w:val="22"/>
          <w:lang w:val="es-ES"/>
        </w:rPr>
        <w:t xml:space="preserve"> </w:t>
      </w:r>
      <w:r w:rsidR="007F3BE9">
        <w:rPr>
          <w:szCs w:val="22"/>
          <w:lang w:val="es-ES"/>
        </w:rPr>
        <w:t>tocilizumab</w:t>
      </w:r>
      <w:r w:rsidR="00895934">
        <w:rPr>
          <w:lang w:val="es-ES_tradnl"/>
        </w:rPr>
        <w:t>,</w:t>
      </w:r>
      <w:r w:rsidRPr="008A106B">
        <w:rPr>
          <w:lang w:val="es-ES_tradnl"/>
        </w:rPr>
        <w:t xml:space="preserve"> de los cuales 6 </w:t>
      </w:r>
      <w:r w:rsidRPr="008A106B">
        <w:rPr>
          <w:lang w:val="es-ES_tradnl"/>
        </w:rPr>
        <w:lastRenderedPageBreak/>
        <w:t xml:space="preserve">tuvieron una reacción de hipersensibilidad asociada y médicamente significativa, que en </w:t>
      </w:r>
      <w:r>
        <w:rPr>
          <w:lang w:val="es-ES_tradnl"/>
        </w:rPr>
        <w:t>5</w:t>
      </w:r>
      <w:r w:rsidRPr="008A106B">
        <w:rPr>
          <w:lang w:val="es-ES_tradnl"/>
        </w:rPr>
        <w:t xml:space="preserve"> de los casos condujo a la retirada.</w:t>
      </w:r>
      <w:r w:rsidRPr="008A106B">
        <w:rPr>
          <w:lang w:val="es-ES"/>
        </w:rPr>
        <w:t xml:space="preserve"> </w:t>
      </w:r>
      <w:r w:rsidRPr="008A106B">
        <w:rPr>
          <w:lang w:val="es-ES_tradnl"/>
        </w:rPr>
        <w:t xml:space="preserve">Treinta pacientes (1,1 %) desarrollaron anticuerpos </w:t>
      </w:r>
      <w:del w:id="921" w:author="AUTHOR">
        <w:r w:rsidRPr="008A106B" w:rsidDel="005321CA">
          <w:rPr>
            <w:lang w:val="es-ES_tradnl"/>
          </w:rPr>
          <w:delText>neutralizadores</w:delText>
        </w:r>
      </w:del>
      <w:ins w:id="922" w:author="AUTHOR">
        <w:r w:rsidR="005321CA" w:rsidRPr="008A106B">
          <w:rPr>
            <w:lang w:val="es-ES_tradnl"/>
          </w:rPr>
          <w:t>neutraliza</w:t>
        </w:r>
        <w:r w:rsidR="005321CA">
          <w:rPr>
            <w:lang w:val="es-ES_tradnl"/>
          </w:rPr>
          <w:t>ntes</w:t>
        </w:r>
      </w:ins>
      <w:r w:rsidRPr="008A106B">
        <w:rPr>
          <w:lang w:val="es-ES_tradnl"/>
        </w:rPr>
        <w:t xml:space="preserve">. </w:t>
      </w:r>
    </w:p>
    <w:p w14:paraId="58099DFE" w14:textId="77777777" w:rsidR="00834462" w:rsidRPr="008A106B" w:rsidRDefault="00834462" w:rsidP="00834462">
      <w:pPr>
        <w:rPr>
          <w:lang w:val="es-ES"/>
        </w:rPr>
      </w:pPr>
    </w:p>
    <w:p w14:paraId="689E9BBD" w14:textId="77777777" w:rsidR="00834462" w:rsidRPr="00F30AB8" w:rsidRDefault="00834462" w:rsidP="00834462">
      <w:pPr>
        <w:ind w:left="567" w:hanging="567"/>
        <w:outlineLvl w:val="0"/>
        <w:rPr>
          <w:i/>
          <w:iCs/>
          <w:u w:val="single"/>
          <w:lang w:val="es-ES"/>
        </w:rPr>
      </w:pPr>
      <w:r w:rsidRPr="00F30AB8">
        <w:rPr>
          <w:i/>
          <w:iCs/>
          <w:u w:val="single"/>
          <w:lang w:val="es-ES_tradnl"/>
        </w:rPr>
        <w:t>Neutrófilos</w:t>
      </w:r>
    </w:p>
    <w:p w14:paraId="27C9817F" w14:textId="1993CFCE" w:rsidR="00834462" w:rsidRPr="008A106B" w:rsidRDefault="00834462" w:rsidP="00834462">
      <w:pPr>
        <w:rPr>
          <w:lang w:val="es-ES"/>
        </w:rPr>
      </w:pPr>
      <w:r w:rsidRPr="008A106B">
        <w:rPr>
          <w:lang w:val="es-ES_tradnl"/>
        </w:rPr>
        <w:t>En los ensayos clínicos controlados de 6 meses se produjeron descensos de los recuentos de neutrófilos por debajo de 1</w:t>
      </w:r>
      <w:r w:rsidR="00D34894" w:rsidRPr="00F30AB8">
        <w:rPr>
          <w:szCs w:val="22"/>
          <w:lang w:val="es-ES"/>
        </w:rPr>
        <w:t xml:space="preserve"> × </w:t>
      </w:r>
      <w:r w:rsidRPr="008A106B">
        <w:rPr>
          <w:lang w:val="es-ES_tradnl"/>
        </w:rPr>
        <w:t>10</w:t>
      </w:r>
      <w:r w:rsidRPr="008A106B">
        <w:rPr>
          <w:vertAlign w:val="superscript"/>
          <w:lang w:val="es-ES_tradnl"/>
        </w:rPr>
        <w:t>9</w:t>
      </w:r>
      <w:r w:rsidRPr="008A106B">
        <w:rPr>
          <w:lang w:val="es-ES_tradnl"/>
        </w:rPr>
        <w:t xml:space="preserve">/l en el 3,4 % de los pacientes tratados con </w:t>
      </w:r>
      <w:r w:rsidR="007F3BE9">
        <w:rPr>
          <w:szCs w:val="22"/>
          <w:lang w:val="es-ES"/>
        </w:rPr>
        <w:t>tocilizumab</w:t>
      </w:r>
      <w:r w:rsidR="007F3BE9" w:rsidRPr="006868F5" w:rsidDel="007F3BE9">
        <w:rPr>
          <w:szCs w:val="22"/>
          <w:lang w:val="es-ES"/>
        </w:rPr>
        <w:t xml:space="preserve"> </w:t>
      </w:r>
      <w:r w:rsidRPr="008A106B">
        <w:rPr>
          <w:lang w:val="es-ES_tradnl"/>
        </w:rPr>
        <w:t>8 mg/kg más FAMEs</w:t>
      </w:r>
      <w:r w:rsidR="00895934">
        <w:rPr>
          <w:lang w:val="es-ES_tradnl"/>
        </w:rPr>
        <w:t>,</w:t>
      </w:r>
      <w:r w:rsidRPr="008A106B">
        <w:rPr>
          <w:lang w:val="es-ES_tradnl"/>
        </w:rPr>
        <w:t xml:space="preserve"> en comparación con &lt;</w:t>
      </w:r>
      <w:r w:rsidR="00D34894" w:rsidRPr="00F30AB8">
        <w:rPr>
          <w:szCs w:val="22"/>
          <w:lang w:val="es-ES" w:eastAsia="de-DE"/>
        </w:rPr>
        <w:t> </w:t>
      </w:r>
      <w:r w:rsidRPr="008A106B">
        <w:rPr>
          <w:lang w:val="es-ES_tradnl"/>
        </w:rPr>
        <w:t>0,1 % de los pacientes con placebo más FAMEs.</w:t>
      </w:r>
      <w:r w:rsidRPr="008A106B">
        <w:rPr>
          <w:lang w:val="es-ES"/>
        </w:rPr>
        <w:t xml:space="preserve"> </w:t>
      </w:r>
      <w:r w:rsidRPr="008A106B">
        <w:rPr>
          <w:lang w:val="es-ES_tradnl"/>
        </w:rPr>
        <w:t>Aproximadamente la mitad de los pacientes que desarrollaron RAN &lt;</w:t>
      </w:r>
      <w:r w:rsidR="00D34894" w:rsidRPr="00F30AB8">
        <w:rPr>
          <w:szCs w:val="22"/>
          <w:lang w:val="es-ES" w:eastAsia="de-DE"/>
        </w:rPr>
        <w:t> </w:t>
      </w:r>
      <w:r w:rsidRPr="008A106B">
        <w:rPr>
          <w:lang w:val="es-ES_tradnl"/>
        </w:rPr>
        <w:t>1</w:t>
      </w:r>
      <w:r w:rsidR="00D34894" w:rsidRPr="00F30AB8">
        <w:rPr>
          <w:szCs w:val="22"/>
          <w:lang w:val="es-ES"/>
        </w:rPr>
        <w:t xml:space="preserve"> × </w:t>
      </w:r>
      <w:r w:rsidRPr="008A106B">
        <w:rPr>
          <w:lang w:val="es-ES_tradnl"/>
        </w:rPr>
        <w:t>10</w:t>
      </w:r>
      <w:r w:rsidRPr="008A106B">
        <w:rPr>
          <w:vertAlign w:val="superscript"/>
          <w:lang w:val="es-ES_tradnl"/>
        </w:rPr>
        <w:t>9</w:t>
      </w:r>
      <w:r w:rsidRPr="008A106B">
        <w:rPr>
          <w:lang w:val="es-ES_tradnl"/>
        </w:rPr>
        <w:t>/</w:t>
      </w:r>
      <w:r w:rsidR="00D34894" w:rsidRPr="00F30AB8">
        <w:rPr>
          <w:szCs w:val="22"/>
          <w:lang w:val="es-ES" w:eastAsia="de-DE"/>
        </w:rPr>
        <w:t> </w:t>
      </w:r>
      <w:r w:rsidRPr="008A106B">
        <w:rPr>
          <w:lang w:val="es-ES_tradnl"/>
        </w:rPr>
        <w:t>l lo hicieron en el plazo de 8 semanas después de comenzar el tratamiento.</w:t>
      </w:r>
      <w:r w:rsidRPr="008A106B">
        <w:rPr>
          <w:lang w:val="es-ES"/>
        </w:rPr>
        <w:t xml:space="preserve"> </w:t>
      </w:r>
      <w:r w:rsidRPr="008A106B">
        <w:rPr>
          <w:lang w:val="es-ES_tradnl"/>
        </w:rPr>
        <w:t>Se notificaron descensos por debajo de 0,5</w:t>
      </w:r>
      <w:r w:rsidR="00D34894" w:rsidRPr="00F30AB8">
        <w:rPr>
          <w:szCs w:val="22"/>
          <w:lang w:val="es-ES"/>
        </w:rPr>
        <w:t xml:space="preserve"> × </w:t>
      </w:r>
      <w:r w:rsidRPr="008A106B">
        <w:rPr>
          <w:lang w:val="es-ES_tradnl"/>
        </w:rPr>
        <w:t>10</w:t>
      </w:r>
      <w:r w:rsidRPr="008A106B">
        <w:rPr>
          <w:vertAlign w:val="superscript"/>
          <w:lang w:val="es-ES_tradnl"/>
        </w:rPr>
        <w:t>9</w:t>
      </w:r>
      <w:r w:rsidRPr="008A106B">
        <w:rPr>
          <w:lang w:val="es-ES_tradnl"/>
        </w:rPr>
        <w:t xml:space="preserve">/l en el 0,3 % de los pacientes que recibieron </w:t>
      </w:r>
      <w:del w:id="923" w:author="AUTHOR">
        <w:r w:rsidR="00171EE7" w:rsidRPr="00F30AB8" w:rsidDel="005321CA">
          <w:rPr>
            <w:noProof/>
            <w:lang w:val="es-ES"/>
          </w:rPr>
          <w:delText>RoAct</w:delText>
        </w:r>
        <w:r w:rsidR="007F3BE9" w:rsidRPr="007F3BE9" w:rsidDel="005321CA">
          <w:rPr>
            <w:szCs w:val="22"/>
            <w:lang w:val="es-ES"/>
          </w:rPr>
          <w:delText xml:space="preserve"> </w:delText>
        </w:r>
      </w:del>
      <w:r w:rsidR="007F3BE9">
        <w:rPr>
          <w:szCs w:val="22"/>
          <w:lang w:val="es-ES"/>
        </w:rPr>
        <w:t>tocilizumab</w:t>
      </w:r>
      <w:del w:id="924" w:author="AUTHOR">
        <w:r w:rsidR="007F3BE9" w:rsidRPr="00F30AB8" w:rsidDel="005321CA">
          <w:rPr>
            <w:noProof/>
            <w:lang w:val="es-ES"/>
          </w:rPr>
          <w:delText xml:space="preserve"> </w:delText>
        </w:r>
        <w:r w:rsidR="00171EE7" w:rsidRPr="00F30AB8" w:rsidDel="005321CA">
          <w:rPr>
            <w:noProof/>
            <w:lang w:val="es-ES"/>
          </w:rPr>
          <w:delText>emra</w:delText>
        </w:r>
      </w:del>
      <w:r w:rsidR="00171EE7" w:rsidRPr="006868F5">
        <w:rPr>
          <w:szCs w:val="22"/>
          <w:lang w:val="es-ES"/>
        </w:rPr>
        <w:t xml:space="preserve"> </w:t>
      </w:r>
      <w:r w:rsidRPr="008A106B">
        <w:rPr>
          <w:lang w:val="es-ES_tradnl"/>
        </w:rPr>
        <w:t>8 mg/kg más FAMEs.</w:t>
      </w:r>
      <w:r w:rsidRPr="008A106B">
        <w:rPr>
          <w:lang w:val="es-ES"/>
        </w:rPr>
        <w:t xml:space="preserve"> </w:t>
      </w:r>
      <w:r w:rsidRPr="008A106B">
        <w:rPr>
          <w:lang w:val="es-ES_tradnl"/>
        </w:rPr>
        <w:t>Se han notificado casos de infecciones con neutropenia</w:t>
      </w:r>
      <w:r w:rsidRPr="008A106B">
        <w:rPr>
          <w:lang w:val="es-ES"/>
        </w:rPr>
        <w:t xml:space="preserve">. </w:t>
      </w:r>
    </w:p>
    <w:p w14:paraId="7879A4D3" w14:textId="77777777" w:rsidR="00834462" w:rsidRPr="008A106B" w:rsidRDefault="00834462" w:rsidP="00834462">
      <w:pPr>
        <w:rPr>
          <w:lang w:val="es-ES"/>
        </w:rPr>
      </w:pPr>
    </w:p>
    <w:p w14:paraId="6DB51BA0" w14:textId="77777777" w:rsidR="00834462" w:rsidRPr="008A106B" w:rsidRDefault="00834462" w:rsidP="00834462">
      <w:pPr>
        <w:autoSpaceDE w:val="0"/>
        <w:autoSpaceDN w:val="0"/>
        <w:adjustRightInd w:val="0"/>
        <w:rPr>
          <w:lang w:val="es-ES"/>
        </w:rPr>
      </w:pPr>
      <w:r w:rsidRPr="008A106B">
        <w:rPr>
          <w:lang w:val="es-ES"/>
        </w:rPr>
        <w:t>Durante el periodo controlado doble ciego y en el periodo de exposición a largo plazo, el patrón y la incidencia de descensos en los recuentos de neutrófilos continuaron en línea con lo observado en los 6 meses de ensayos clínicos controlados.</w:t>
      </w:r>
    </w:p>
    <w:p w14:paraId="57F1B565" w14:textId="77777777" w:rsidR="00834462" w:rsidRPr="00F30AB8" w:rsidRDefault="00834462" w:rsidP="00834462">
      <w:pPr>
        <w:autoSpaceDE w:val="0"/>
        <w:autoSpaceDN w:val="0"/>
        <w:adjustRightInd w:val="0"/>
        <w:rPr>
          <w:u w:val="single"/>
          <w:lang w:val="es-ES"/>
        </w:rPr>
      </w:pPr>
    </w:p>
    <w:p w14:paraId="6EC8CFA9" w14:textId="77777777" w:rsidR="00834462" w:rsidRPr="00F30AB8" w:rsidRDefault="00834462" w:rsidP="00834462">
      <w:pPr>
        <w:autoSpaceDE w:val="0"/>
        <w:autoSpaceDN w:val="0"/>
        <w:adjustRightInd w:val="0"/>
        <w:rPr>
          <w:i/>
          <w:u w:val="single"/>
          <w:lang w:val="es-ES"/>
        </w:rPr>
      </w:pPr>
      <w:r w:rsidRPr="00F30AB8">
        <w:rPr>
          <w:i/>
          <w:u w:val="single"/>
          <w:lang w:val="es-ES"/>
        </w:rPr>
        <w:t xml:space="preserve">Plaquetas </w:t>
      </w:r>
    </w:p>
    <w:p w14:paraId="28D37CC8" w14:textId="7947232C" w:rsidR="00834462" w:rsidRPr="008A106B" w:rsidRDefault="00834462" w:rsidP="00834462">
      <w:pPr>
        <w:autoSpaceDE w:val="0"/>
        <w:autoSpaceDN w:val="0"/>
        <w:adjustRightInd w:val="0"/>
        <w:rPr>
          <w:sz w:val="20"/>
          <w:lang w:val="es-ES"/>
        </w:rPr>
      </w:pPr>
      <w:r w:rsidRPr="008A106B">
        <w:rPr>
          <w:lang w:val="es-ES_tradnl"/>
        </w:rPr>
        <w:t>En los ensayos clínicos controlados de 6 meses</w:t>
      </w:r>
      <w:r w:rsidR="00B35478">
        <w:rPr>
          <w:lang w:val="es-ES_tradnl"/>
        </w:rPr>
        <w:t>,</w:t>
      </w:r>
      <w:r w:rsidRPr="008A106B">
        <w:rPr>
          <w:lang w:val="es-ES_tradnl"/>
        </w:rPr>
        <w:t xml:space="preserve"> se produjeron descensos de los recuentos de plaquetas por debajo de 100</w:t>
      </w:r>
      <w:r w:rsidR="00D34894" w:rsidRPr="00F30AB8">
        <w:rPr>
          <w:szCs w:val="22"/>
          <w:lang w:val="es-ES"/>
        </w:rPr>
        <w:t xml:space="preserve"> × </w:t>
      </w:r>
      <w:r w:rsidRPr="008A106B">
        <w:rPr>
          <w:lang w:val="es-ES_tradnl"/>
        </w:rPr>
        <w:t>10</w:t>
      </w:r>
      <w:r w:rsidRPr="008A106B">
        <w:rPr>
          <w:vertAlign w:val="superscript"/>
          <w:lang w:val="es-ES_tradnl"/>
        </w:rPr>
        <w:t>3</w:t>
      </w:r>
      <w:r w:rsidRPr="008A106B">
        <w:rPr>
          <w:lang w:val="es-ES_tradnl"/>
        </w:rPr>
        <w:t xml:space="preserve">/μl en el 1,7 % de los pacientes tratados con </w:t>
      </w:r>
      <w:r w:rsidR="007F3BE9">
        <w:rPr>
          <w:szCs w:val="22"/>
          <w:lang w:val="es-ES"/>
        </w:rPr>
        <w:t>tocilizumab</w:t>
      </w:r>
      <w:r w:rsidR="007F3BE9" w:rsidRPr="006868F5" w:rsidDel="007F3BE9">
        <w:rPr>
          <w:szCs w:val="22"/>
          <w:lang w:val="es-ES"/>
        </w:rPr>
        <w:t xml:space="preserve"> </w:t>
      </w:r>
      <w:r w:rsidRPr="008A106B">
        <w:rPr>
          <w:lang w:val="es-ES_tradnl"/>
        </w:rPr>
        <w:t>8 mg/kg más FAMEs</w:t>
      </w:r>
      <w:r w:rsidR="00B35478">
        <w:rPr>
          <w:lang w:val="es-ES_tradnl"/>
        </w:rPr>
        <w:t>,</w:t>
      </w:r>
      <w:r w:rsidRPr="008A106B">
        <w:rPr>
          <w:lang w:val="es-ES_tradnl"/>
        </w:rPr>
        <w:t xml:space="preserve"> en comparación con &lt;</w:t>
      </w:r>
      <w:r w:rsidR="00D34894" w:rsidRPr="00F30AB8">
        <w:rPr>
          <w:szCs w:val="22"/>
          <w:lang w:val="es-ES"/>
        </w:rPr>
        <w:t> </w:t>
      </w:r>
      <w:r w:rsidRPr="008A106B">
        <w:rPr>
          <w:lang w:val="es-ES_tradnl"/>
        </w:rPr>
        <w:t>1 % de los pacientes con placebo más FAMEs.</w:t>
      </w:r>
      <w:r w:rsidRPr="008A106B">
        <w:rPr>
          <w:lang w:val="es-ES"/>
        </w:rPr>
        <w:t xml:space="preserve"> </w:t>
      </w:r>
      <w:r w:rsidRPr="008A106B">
        <w:rPr>
          <w:lang w:val="es-ES_tradnl"/>
        </w:rPr>
        <w:t>Estos descensos se produjeron sin episodios hemorrágicos asociados.</w:t>
      </w:r>
    </w:p>
    <w:p w14:paraId="5466DE32" w14:textId="77777777" w:rsidR="00834462" w:rsidRPr="008A106B" w:rsidRDefault="00834462" w:rsidP="00834462">
      <w:pPr>
        <w:autoSpaceDE w:val="0"/>
        <w:autoSpaceDN w:val="0"/>
        <w:adjustRightInd w:val="0"/>
        <w:rPr>
          <w:lang w:val="es-ES"/>
        </w:rPr>
      </w:pPr>
    </w:p>
    <w:p w14:paraId="09670054" w14:textId="77777777" w:rsidR="00834462" w:rsidRPr="008A106B" w:rsidRDefault="00834462" w:rsidP="00834462">
      <w:pPr>
        <w:rPr>
          <w:lang w:val="es-ES"/>
        </w:rPr>
      </w:pPr>
      <w:r w:rsidRPr="008A106B">
        <w:rPr>
          <w:lang w:val="es-ES"/>
        </w:rPr>
        <w:t>Durante el periodo controlado doble ciego y en el periodo de exposición a largo plazo, el patrón y la incidencia de descensos en los recuentos de plaquetas continuaron en línea con lo observado en los 6 meses de ensayos clínicos controlados.</w:t>
      </w:r>
    </w:p>
    <w:p w14:paraId="4F845A07" w14:textId="77777777" w:rsidR="00834462" w:rsidRPr="008A106B" w:rsidRDefault="00834462" w:rsidP="00834462">
      <w:pPr>
        <w:rPr>
          <w:lang w:val="es-ES"/>
        </w:rPr>
      </w:pPr>
    </w:p>
    <w:p w14:paraId="237E8B46" w14:textId="77777777" w:rsidR="00834462" w:rsidRPr="008A106B" w:rsidRDefault="00834462" w:rsidP="00834462">
      <w:pPr>
        <w:rPr>
          <w:lang w:val="es-ES"/>
        </w:rPr>
      </w:pPr>
      <w:r w:rsidRPr="008A106B">
        <w:rPr>
          <w:lang w:val="es-ES"/>
        </w:rPr>
        <w:t>Se han notificado casos muy poco frecuentes de pancitopenia durante la comercialización</w:t>
      </w:r>
      <w:r w:rsidR="00B35478">
        <w:rPr>
          <w:lang w:val="es-ES"/>
        </w:rPr>
        <w:t>.</w:t>
      </w:r>
    </w:p>
    <w:p w14:paraId="48B1AFE8" w14:textId="77777777" w:rsidR="00834462" w:rsidRPr="008A106B" w:rsidRDefault="00834462" w:rsidP="00834462">
      <w:pPr>
        <w:rPr>
          <w:lang w:val="es-ES"/>
        </w:rPr>
      </w:pPr>
    </w:p>
    <w:p w14:paraId="63B628F4" w14:textId="77777777" w:rsidR="00834462" w:rsidRPr="00F30AB8" w:rsidRDefault="00834462" w:rsidP="00834462">
      <w:pPr>
        <w:ind w:left="567" w:hanging="567"/>
        <w:outlineLvl w:val="0"/>
        <w:rPr>
          <w:i/>
          <w:iCs/>
          <w:u w:val="single"/>
          <w:lang w:val="es-ES"/>
        </w:rPr>
      </w:pPr>
      <w:r w:rsidRPr="00F30AB8">
        <w:rPr>
          <w:i/>
          <w:iCs/>
          <w:u w:val="single"/>
          <w:lang w:val="es-ES_tradnl"/>
        </w:rPr>
        <w:t>Elevaciones de las transaminasas hepáticas</w:t>
      </w:r>
    </w:p>
    <w:p w14:paraId="5E4DF207" w14:textId="323C6878" w:rsidR="00834462" w:rsidRPr="008A106B" w:rsidRDefault="00834462" w:rsidP="00834462">
      <w:pPr>
        <w:rPr>
          <w:lang w:val="es-ES"/>
        </w:rPr>
      </w:pPr>
      <w:r w:rsidRPr="008A106B">
        <w:rPr>
          <w:lang w:val="es-ES_tradnl"/>
        </w:rPr>
        <w:t>Durante los ensayos clínicos controlados de 6 meses</w:t>
      </w:r>
      <w:r w:rsidR="00B35478">
        <w:rPr>
          <w:lang w:val="es-ES_tradnl"/>
        </w:rPr>
        <w:t>,</w:t>
      </w:r>
      <w:r w:rsidRPr="008A106B">
        <w:rPr>
          <w:lang w:val="es-ES_tradnl"/>
        </w:rPr>
        <w:t xml:space="preserve"> se observaron elevaciones transitorias de ALT / AST &gt;</w:t>
      </w:r>
      <w:r w:rsidR="00D34894" w:rsidRPr="00F30AB8">
        <w:rPr>
          <w:szCs w:val="22"/>
          <w:lang w:val="es-ES"/>
        </w:rPr>
        <w:t> </w:t>
      </w:r>
      <w:r w:rsidRPr="008A106B">
        <w:rPr>
          <w:lang w:val="es-ES_tradnl"/>
        </w:rPr>
        <w:t>3</w:t>
      </w:r>
      <w:r w:rsidR="00D34894" w:rsidRPr="00F30AB8">
        <w:rPr>
          <w:szCs w:val="22"/>
          <w:lang w:val="es-ES"/>
        </w:rPr>
        <w:t xml:space="preserve"> × </w:t>
      </w:r>
      <w:r w:rsidRPr="008A106B">
        <w:rPr>
          <w:lang w:val="es-ES_tradnl"/>
        </w:rPr>
        <w:t xml:space="preserve">LSN en el 2,1 % de los pacientes con </w:t>
      </w:r>
      <w:r w:rsidR="007F3BE9">
        <w:rPr>
          <w:szCs w:val="22"/>
          <w:lang w:val="es-ES"/>
        </w:rPr>
        <w:t>tocilizumab</w:t>
      </w:r>
      <w:r w:rsidR="007F3BE9" w:rsidRPr="006868F5" w:rsidDel="007F3BE9">
        <w:rPr>
          <w:szCs w:val="22"/>
          <w:lang w:val="es-ES"/>
        </w:rPr>
        <w:t xml:space="preserve"> </w:t>
      </w:r>
      <w:r w:rsidRPr="008A106B">
        <w:rPr>
          <w:lang w:val="es-ES_tradnl"/>
        </w:rPr>
        <w:t xml:space="preserve">8 mg/kg en comparación con el 4,9 % de los pacientes con MTX y en el 6,5 % de los pacientes que recibieron 8 mg/kg de </w:t>
      </w:r>
      <w:r w:rsidR="007F3BE9">
        <w:rPr>
          <w:szCs w:val="22"/>
          <w:lang w:val="es-ES"/>
        </w:rPr>
        <w:t>tocilizumab</w:t>
      </w:r>
      <w:r w:rsidR="007F3BE9" w:rsidRPr="006868F5" w:rsidDel="007F3BE9">
        <w:rPr>
          <w:szCs w:val="22"/>
          <w:lang w:val="es-ES"/>
        </w:rPr>
        <w:t xml:space="preserve"> </w:t>
      </w:r>
      <w:r w:rsidRPr="008A106B">
        <w:rPr>
          <w:lang w:val="es-ES_tradnl"/>
        </w:rPr>
        <w:t>más FAMEs en comparación con el 1,5 % de los pacientes con placebo más FAMEs.</w:t>
      </w:r>
    </w:p>
    <w:p w14:paraId="6F4AEB21" w14:textId="77777777" w:rsidR="00834462" w:rsidRPr="008A106B" w:rsidRDefault="00834462" w:rsidP="00834462">
      <w:pPr>
        <w:rPr>
          <w:lang w:val="es-ES"/>
        </w:rPr>
      </w:pPr>
    </w:p>
    <w:p w14:paraId="282B431B" w14:textId="545E10DE" w:rsidR="00834462" w:rsidRPr="008A106B" w:rsidRDefault="00834462" w:rsidP="00834462">
      <w:pPr>
        <w:rPr>
          <w:lang w:val="es-ES"/>
        </w:rPr>
      </w:pPr>
      <w:r w:rsidRPr="008A106B">
        <w:rPr>
          <w:lang w:val="es-ES_tradnl"/>
        </w:rPr>
        <w:t xml:space="preserve">La adición de </w:t>
      </w:r>
      <w:r w:rsidR="007F3BE9">
        <w:rPr>
          <w:lang w:val="es-ES_tradnl"/>
        </w:rPr>
        <w:t>medicamentos</w:t>
      </w:r>
      <w:r w:rsidR="007F3BE9" w:rsidRPr="008A106B">
        <w:rPr>
          <w:lang w:val="es-ES_tradnl"/>
        </w:rPr>
        <w:t xml:space="preserve"> </w:t>
      </w:r>
      <w:r w:rsidRPr="008A106B">
        <w:rPr>
          <w:lang w:val="es-ES_tradnl"/>
        </w:rPr>
        <w:t>potencialmente hepatotóxicos (p. ej., MTX) a la mon</w:t>
      </w:r>
      <w:r w:rsidR="0087782B">
        <w:rPr>
          <w:lang w:val="es-ES_tradnl"/>
        </w:rPr>
        <w:t xml:space="preserve">oterapia con </w:t>
      </w:r>
      <w:r w:rsidR="007F3BE9">
        <w:rPr>
          <w:szCs w:val="22"/>
          <w:lang w:val="es-ES"/>
        </w:rPr>
        <w:t>tocilizumab</w:t>
      </w:r>
      <w:r w:rsidR="007F3BE9" w:rsidDel="007F3BE9">
        <w:rPr>
          <w:lang w:val="es-ES_tradnl"/>
        </w:rPr>
        <w:t xml:space="preserve"> </w:t>
      </w:r>
      <w:r w:rsidRPr="008A106B">
        <w:rPr>
          <w:lang w:val="es-ES_tradnl"/>
        </w:rPr>
        <w:t>produjo aumento de la frecuencia de estas elevaciones.</w:t>
      </w:r>
      <w:r w:rsidRPr="008A106B">
        <w:rPr>
          <w:lang w:val="es-ES"/>
        </w:rPr>
        <w:t xml:space="preserve"> </w:t>
      </w:r>
      <w:r w:rsidRPr="008A106B">
        <w:rPr>
          <w:lang w:val="es-ES_tradnl"/>
        </w:rPr>
        <w:t>Se observaron elevaciones de ALT / AST &gt; 5</w:t>
      </w:r>
      <w:r w:rsidR="00D34894" w:rsidRPr="00F30AB8">
        <w:rPr>
          <w:szCs w:val="22"/>
          <w:lang w:val="es-ES"/>
        </w:rPr>
        <w:t xml:space="preserve"> × </w:t>
      </w:r>
      <w:r w:rsidRPr="008A106B">
        <w:rPr>
          <w:lang w:val="es-ES_tradnl"/>
        </w:rPr>
        <w:t xml:space="preserve">LSN en el 0,7 % de los pacientes en monoterapia con </w:t>
      </w:r>
      <w:r w:rsidR="007F3BE9">
        <w:rPr>
          <w:szCs w:val="22"/>
          <w:lang w:val="es-ES"/>
        </w:rPr>
        <w:t>tocilizumab</w:t>
      </w:r>
      <w:r w:rsidR="007F3BE9" w:rsidRPr="006868F5" w:rsidDel="007F3BE9">
        <w:rPr>
          <w:szCs w:val="22"/>
          <w:lang w:val="es-ES"/>
        </w:rPr>
        <w:t xml:space="preserve"> </w:t>
      </w:r>
      <w:r w:rsidRPr="008A106B">
        <w:rPr>
          <w:lang w:val="es-ES_tradnl"/>
        </w:rPr>
        <w:t xml:space="preserve">y en el 1,4 % </w:t>
      </w:r>
      <w:r w:rsidR="0087782B">
        <w:rPr>
          <w:lang w:val="es-ES_tradnl"/>
        </w:rPr>
        <w:t xml:space="preserve">de los pacientes con </w:t>
      </w:r>
      <w:r w:rsidR="007F3BE9">
        <w:rPr>
          <w:szCs w:val="22"/>
          <w:lang w:val="es-ES"/>
        </w:rPr>
        <w:t>tocilizumab</w:t>
      </w:r>
      <w:r w:rsidR="007F3BE9" w:rsidDel="007F3BE9">
        <w:rPr>
          <w:lang w:val="es-ES_tradnl"/>
        </w:rPr>
        <w:t xml:space="preserve"> </w:t>
      </w:r>
      <w:r w:rsidRPr="008A106B">
        <w:rPr>
          <w:lang w:val="es-ES_tradnl"/>
        </w:rPr>
        <w:t>más FAME</w:t>
      </w:r>
      <w:r w:rsidR="001659FB">
        <w:rPr>
          <w:lang w:val="es-ES_tradnl"/>
        </w:rPr>
        <w:t>s</w:t>
      </w:r>
      <w:r w:rsidRPr="008A106B">
        <w:rPr>
          <w:lang w:val="es-ES_tradnl"/>
        </w:rPr>
        <w:t>, la mayoría de los cuales abandonaron de forma permanente el tratamiento con tocilizumab. Durante un periodo controlado doble ciego la incidencia de niveles de bilirrubina indirecta por encima del límite superior normal, obtenidos como un parámetro de rutina de laboratorio, es de 6,2</w:t>
      </w:r>
      <w:r w:rsidR="002F62B6">
        <w:rPr>
          <w:lang w:val="es-ES_tradnl"/>
        </w:rPr>
        <w:t xml:space="preserve"> </w:t>
      </w:r>
      <w:r w:rsidRPr="008A106B">
        <w:rPr>
          <w:lang w:val="es-ES_tradnl"/>
        </w:rPr>
        <w:t xml:space="preserve">% en pacientes tratados con 8 mg/kg de </w:t>
      </w:r>
      <w:del w:id="925" w:author="AUTHOR">
        <w:r w:rsidR="00171EE7" w:rsidRPr="006868F5" w:rsidDel="005321CA">
          <w:rPr>
            <w:szCs w:val="22"/>
            <w:lang w:val="es-ES"/>
          </w:rPr>
          <w:delText xml:space="preserve">RoActemra </w:delText>
        </w:r>
      </w:del>
      <w:ins w:id="926" w:author="AUTHOR">
        <w:r w:rsidR="005321CA">
          <w:rPr>
            <w:szCs w:val="22"/>
            <w:lang w:val="es-ES"/>
          </w:rPr>
          <w:t>tocilizumab</w:t>
        </w:r>
        <w:r w:rsidR="005321CA" w:rsidRPr="006868F5">
          <w:rPr>
            <w:szCs w:val="22"/>
            <w:lang w:val="es-ES"/>
          </w:rPr>
          <w:t xml:space="preserve"> </w:t>
        </w:r>
      </w:ins>
      <w:r w:rsidRPr="008A106B">
        <w:rPr>
          <w:lang w:val="es-ES_tradnl"/>
        </w:rPr>
        <w:t>+ FAMEs. Un total de 5</w:t>
      </w:r>
      <w:r w:rsidR="002F62B6">
        <w:rPr>
          <w:lang w:val="es-ES_tradnl"/>
        </w:rPr>
        <w:t>,</w:t>
      </w:r>
      <w:r w:rsidRPr="008A106B">
        <w:rPr>
          <w:lang w:val="es-ES_tradnl"/>
        </w:rPr>
        <w:t>8</w:t>
      </w:r>
      <w:r w:rsidR="002F62B6">
        <w:rPr>
          <w:lang w:val="es-ES_tradnl"/>
        </w:rPr>
        <w:t xml:space="preserve"> </w:t>
      </w:r>
      <w:r w:rsidRPr="008A106B">
        <w:rPr>
          <w:lang w:val="es-ES_tradnl"/>
        </w:rPr>
        <w:t>% de pacientes sufrieron una elevación de los niveles de bilirrubina indirecta de &gt; 1 a 2</w:t>
      </w:r>
      <w:r w:rsidR="00D34894" w:rsidRPr="00F30AB8">
        <w:rPr>
          <w:szCs w:val="22"/>
          <w:lang w:val="es-ES"/>
        </w:rPr>
        <w:t xml:space="preserve"> × </w:t>
      </w:r>
      <w:r w:rsidRPr="008A106B">
        <w:rPr>
          <w:lang w:val="es-ES_tradnl"/>
        </w:rPr>
        <w:t>LSN y 0</w:t>
      </w:r>
      <w:r w:rsidR="002F62B6">
        <w:rPr>
          <w:lang w:val="es-ES_tradnl"/>
        </w:rPr>
        <w:t>,</w:t>
      </w:r>
      <w:r w:rsidRPr="008A106B">
        <w:rPr>
          <w:lang w:val="es-ES_tradnl"/>
        </w:rPr>
        <w:t>4</w:t>
      </w:r>
      <w:r w:rsidR="002F62B6">
        <w:rPr>
          <w:lang w:val="es-ES_tradnl"/>
        </w:rPr>
        <w:t xml:space="preserve"> </w:t>
      </w:r>
      <w:r w:rsidRPr="008A106B">
        <w:rPr>
          <w:lang w:val="es-ES_tradnl"/>
        </w:rPr>
        <w:t>% tuvieron una elevación de &gt; 2</w:t>
      </w:r>
      <w:r w:rsidR="00D34894" w:rsidRPr="00F30AB8">
        <w:rPr>
          <w:szCs w:val="22"/>
          <w:lang w:val="es-ES"/>
        </w:rPr>
        <w:t xml:space="preserve"> × </w:t>
      </w:r>
      <w:r w:rsidRPr="008A106B">
        <w:rPr>
          <w:lang w:val="es-ES_tradnl"/>
        </w:rPr>
        <w:t>LSN.</w:t>
      </w:r>
    </w:p>
    <w:p w14:paraId="1EBA2EDD" w14:textId="77777777" w:rsidR="00834462" w:rsidRPr="008A106B" w:rsidRDefault="00834462" w:rsidP="00834462">
      <w:pPr>
        <w:rPr>
          <w:lang w:val="es-ES"/>
        </w:rPr>
      </w:pPr>
    </w:p>
    <w:p w14:paraId="67A495C5" w14:textId="77777777" w:rsidR="00834462" w:rsidRPr="008A106B" w:rsidRDefault="00834462" w:rsidP="00834462">
      <w:pPr>
        <w:rPr>
          <w:lang w:val="es-ES"/>
        </w:rPr>
      </w:pPr>
      <w:r w:rsidRPr="008A106B">
        <w:rPr>
          <w:lang w:val="es-ES"/>
        </w:rPr>
        <w:t>Durante el periodo controlado doble ciego y en el periodo de exposición a largo plazo, el patrón y la incidencia de aumento en ALT/AST continuaron en línea con lo observado en los 6 meses de ensayos clínicos controlados.</w:t>
      </w:r>
    </w:p>
    <w:p w14:paraId="30129D54" w14:textId="77777777" w:rsidR="00834462" w:rsidRPr="008A106B" w:rsidRDefault="00834462" w:rsidP="00834462">
      <w:pPr>
        <w:rPr>
          <w:lang w:val="es-ES"/>
        </w:rPr>
      </w:pPr>
    </w:p>
    <w:p w14:paraId="552A7588" w14:textId="77777777" w:rsidR="00834462" w:rsidRPr="00F30AB8" w:rsidRDefault="00834462" w:rsidP="00834462">
      <w:pPr>
        <w:ind w:left="567" w:hanging="567"/>
        <w:outlineLvl w:val="0"/>
        <w:rPr>
          <w:i/>
          <w:iCs/>
          <w:u w:val="single"/>
          <w:lang w:val="es-ES"/>
        </w:rPr>
      </w:pPr>
      <w:r w:rsidRPr="00F30AB8">
        <w:rPr>
          <w:i/>
          <w:iCs/>
          <w:u w:val="single"/>
          <w:lang w:val="es-ES_tradnl"/>
        </w:rPr>
        <w:t>Parámetros lipídicos</w:t>
      </w:r>
    </w:p>
    <w:p w14:paraId="58EBD053" w14:textId="7B1A1FEA" w:rsidR="00834462" w:rsidRPr="008A106B" w:rsidRDefault="00834462" w:rsidP="00834462">
      <w:pPr>
        <w:rPr>
          <w:lang w:val="es-ES"/>
        </w:rPr>
      </w:pPr>
      <w:r w:rsidRPr="008A106B">
        <w:rPr>
          <w:lang w:val="es-ES_tradnl"/>
        </w:rPr>
        <w:t>Durante 6 meses de ensayos clínicos controlados se han notificado de forma frecuente incrementos en los parámetros lipídicos, tales como:</w:t>
      </w:r>
      <w:r w:rsidRPr="008A106B">
        <w:rPr>
          <w:lang w:val="es-ES"/>
        </w:rPr>
        <w:t xml:space="preserve"> </w:t>
      </w:r>
      <w:r w:rsidRPr="008A106B">
        <w:rPr>
          <w:lang w:val="es-ES_tradnl"/>
        </w:rPr>
        <w:t xml:space="preserve">colesterol total, triglicéridos, colesterol LDL, y/o colesterol HDL. Se observó, con monitorización de rutina, en el laboratorio, que aproximadamente el 24 % de los pacientes que recibieron </w:t>
      </w:r>
      <w:r w:rsidR="007F3BE9">
        <w:rPr>
          <w:szCs w:val="22"/>
          <w:lang w:val="es-ES"/>
        </w:rPr>
        <w:t>tocilizumab</w:t>
      </w:r>
      <w:r w:rsidR="007F3BE9" w:rsidDel="007F3BE9">
        <w:rPr>
          <w:lang w:val="es-ES_tradnl"/>
        </w:rPr>
        <w:t xml:space="preserve"> </w:t>
      </w:r>
      <w:r w:rsidRPr="008A106B">
        <w:rPr>
          <w:lang w:val="es-ES_tradnl"/>
        </w:rPr>
        <w:t xml:space="preserve">en los ensayos clínicos experimentaron una elevación sostenida del colesterol total </w:t>
      </w:r>
      <w:r w:rsidRPr="008A106B">
        <w:rPr>
          <w:lang w:val="es-ES_tradnl"/>
        </w:rPr>
        <w:sym w:font="Symbol" w:char="F0B3"/>
      </w:r>
      <w:r w:rsidRPr="008A106B">
        <w:rPr>
          <w:lang w:val="es-ES_tradnl"/>
        </w:rPr>
        <w:t xml:space="preserve"> 6,2 mmol/l y un 15 % experimentaron un aumento sostenido de los valores de LDL </w:t>
      </w:r>
      <w:r w:rsidRPr="008A106B">
        <w:rPr>
          <w:u w:val="single"/>
          <w:lang w:val="es-ES_tradnl"/>
        </w:rPr>
        <w:t>&gt;</w:t>
      </w:r>
      <w:r w:rsidRPr="008A106B">
        <w:rPr>
          <w:lang w:val="es-ES_tradnl"/>
        </w:rPr>
        <w:t xml:space="preserve"> 4,1 mmol/</w:t>
      </w:r>
      <w:r w:rsidR="003532C2" w:rsidRPr="00F30AB8">
        <w:rPr>
          <w:szCs w:val="22"/>
          <w:lang w:val="es-ES"/>
        </w:rPr>
        <w:t> </w:t>
      </w:r>
      <w:r w:rsidRPr="008A106B">
        <w:rPr>
          <w:lang w:val="es-ES_tradnl"/>
        </w:rPr>
        <w:t>l. Las elevaciones en los parámetros lipídicos respondieron al tratamiento con agentes hipolipidemiantes.</w:t>
      </w:r>
    </w:p>
    <w:p w14:paraId="69A3EBE6" w14:textId="77777777" w:rsidR="00834462" w:rsidRPr="008A106B" w:rsidRDefault="00834462">
      <w:pPr>
        <w:widowControl w:val="0"/>
        <w:autoSpaceDE w:val="0"/>
        <w:autoSpaceDN w:val="0"/>
        <w:adjustRightInd w:val="0"/>
        <w:rPr>
          <w:lang w:val="es-ES"/>
        </w:rPr>
        <w:pPrChange w:id="927" w:author="tcs" w:date="2026-02-26T10:51:00Z">
          <w:pPr>
            <w:autoSpaceDE w:val="0"/>
            <w:autoSpaceDN w:val="0"/>
            <w:adjustRightInd w:val="0"/>
          </w:pPr>
        </w:pPrChange>
      </w:pPr>
    </w:p>
    <w:p w14:paraId="509DB809" w14:textId="77777777" w:rsidR="00834462" w:rsidRPr="008A106B" w:rsidRDefault="00834462">
      <w:pPr>
        <w:widowControl w:val="0"/>
        <w:autoSpaceDE w:val="0"/>
        <w:autoSpaceDN w:val="0"/>
        <w:adjustRightInd w:val="0"/>
        <w:rPr>
          <w:lang w:val="es-ES"/>
        </w:rPr>
        <w:pPrChange w:id="928" w:author="tcs" w:date="2026-02-26T10:51:00Z">
          <w:pPr>
            <w:autoSpaceDE w:val="0"/>
            <w:autoSpaceDN w:val="0"/>
            <w:adjustRightInd w:val="0"/>
          </w:pPr>
        </w:pPrChange>
      </w:pPr>
      <w:r w:rsidRPr="008A106B">
        <w:rPr>
          <w:lang w:val="es-ES"/>
        </w:rPr>
        <w:t>Durante el periodo controlado doble ciego y en el periodo de exposición a largo plazo, el patrón y la incidencia de aumento en los parámetros lipídicos continuaron en línea con lo observado en los 6 meses de ensayos clínicos controlados.</w:t>
      </w:r>
    </w:p>
    <w:p w14:paraId="4DAA172C" w14:textId="77777777" w:rsidR="00834462" w:rsidRPr="008A106B" w:rsidRDefault="00834462" w:rsidP="00834462">
      <w:pPr>
        <w:autoSpaceDE w:val="0"/>
        <w:autoSpaceDN w:val="0"/>
        <w:adjustRightInd w:val="0"/>
        <w:rPr>
          <w:rFonts w:eastAsia="SimSun"/>
          <w:iCs/>
          <w:szCs w:val="22"/>
          <w:lang w:val="es-ES" w:eastAsia="zh-CN"/>
        </w:rPr>
      </w:pPr>
    </w:p>
    <w:p w14:paraId="2F4716F8" w14:textId="515C2BDF" w:rsidR="00DD7EAE" w:rsidRPr="00F30AB8" w:rsidRDefault="00DD7EAE" w:rsidP="00556927">
      <w:pPr>
        <w:keepNext/>
        <w:keepLines/>
        <w:autoSpaceDE w:val="0"/>
        <w:autoSpaceDN w:val="0"/>
        <w:adjustRightInd w:val="0"/>
        <w:rPr>
          <w:rFonts w:eastAsia="SimSun"/>
          <w:i/>
          <w:szCs w:val="22"/>
          <w:u w:val="single"/>
          <w:lang w:val="es-ES" w:eastAsia="zh-CN"/>
        </w:rPr>
      </w:pPr>
      <w:r w:rsidRPr="00F30AB8">
        <w:rPr>
          <w:rFonts w:eastAsia="SimSun"/>
          <w:i/>
          <w:szCs w:val="22"/>
          <w:u w:val="single"/>
          <w:lang w:val="es-ES" w:eastAsia="zh-CN"/>
        </w:rPr>
        <w:t xml:space="preserve">Reacciones </w:t>
      </w:r>
      <w:r w:rsidR="007F3BE9">
        <w:rPr>
          <w:rFonts w:eastAsia="SimSun"/>
          <w:i/>
          <w:szCs w:val="22"/>
          <w:u w:val="single"/>
          <w:lang w:val="es-ES" w:eastAsia="zh-CN"/>
        </w:rPr>
        <w:t>c</w:t>
      </w:r>
      <w:r w:rsidRPr="00F30AB8">
        <w:rPr>
          <w:rFonts w:eastAsia="SimSun"/>
          <w:i/>
          <w:szCs w:val="22"/>
          <w:u w:val="single"/>
          <w:lang w:val="es-ES" w:eastAsia="zh-CN"/>
        </w:rPr>
        <w:t>utáneas</w:t>
      </w:r>
    </w:p>
    <w:p w14:paraId="5548E1DD" w14:textId="77777777" w:rsidR="00DD7EAE" w:rsidRDefault="00DD7EAE" w:rsidP="00556927">
      <w:pPr>
        <w:keepNext/>
        <w:keepLines/>
        <w:autoSpaceDE w:val="0"/>
        <w:autoSpaceDN w:val="0"/>
        <w:adjustRightInd w:val="0"/>
        <w:rPr>
          <w:rFonts w:eastAsia="SimSun"/>
          <w:szCs w:val="22"/>
          <w:lang w:val="es-ES" w:eastAsia="zh-CN"/>
        </w:rPr>
      </w:pPr>
      <w:r w:rsidRPr="006A4361">
        <w:rPr>
          <w:rFonts w:eastAsia="SimSun"/>
          <w:szCs w:val="22"/>
          <w:lang w:val="es-ES" w:eastAsia="zh-CN"/>
        </w:rPr>
        <w:t>Se han notificado rarament</w:t>
      </w:r>
      <w:r w:rsidRPr="001B78FC">
        <w:rPr>
          <w:rFonts w:eastAsia="SimSun"/>
          <w:szCs w:val="22"/>
          <w:lang w:val="es-ES" w:eastAsia="zh-CN"/>
        </w:rPr>
        <w:t>e casos de Síndrome de Stevens-</w:t>
      </w:r>
      <w:r>
        <w:rPr>
          <w:rFonts w:eastAsia="SimSun"/>
          <w:szCs w:val="22"/>
          <w:lang w:val="es-ES" w:eastAsia="zh-CN"/>
        </w:rPr>
        <w:t>J</w:t>
      </w:r>
      <w:r w:rsidRPr="006A4361">
        <w:rPr>
          <w:rFonts w:eastAsia="SimSun"/>
          <w:szCs w:val="22"/>
          <w:lang w:val="es-ES" w:eastAsia="zh-CN"/>
        </w:rPr>
        <w:t>ohnson ocurridos tras la comercialización.</w:t>
      </w:r>
    </w:p>
    <w:p w14:paraId="680DB6D8" w14:textId="77777777" w:rsidR="00DD7EAE" w:rsidRDefault="00DD7EAE" w:rsidP="00556927">
      <w:pPr>
        <w:keepNext/>
        <w:keepLines/>
        <w:autoSpaceDE w:val="0"/>
        <w:autoSpaceDN w:val="0"/>
        <w:adjustRightInd w:val="0"/>
        <w:rPr>
          <w:rFonts w:eastAsia="SimSun"/>
          <w:szCs w:val="22"/>
          <w:lang w:val="es-ES" w:eastAsia="zh-CN"/>
        </w:rPr>
      </w:pPr>
    </w:p>
    <w:p w14:paraId="712C7B52" w14:textId="77777777" w:rsidR="00834462" w:rsidRDefault="00834462" w:rsidP="00556927">
      <w:pPr>
        <w:keepNext/>
        <w:keepLines/>
        <w:autoSpaceDE w:val="0"/>
        <w:autoSpaceDN w:val="0"/>
        <w:adjustRightInd w:val="0"/>
        <w:rPr>
          <w:szCs w:val="24"/>
          <w:u w:val="single"/>
          <w:lang w:val="es-ES_tradnl"/>
        </w:rPr>
      </w:pPr>
      <w:r>
        <w:rPr>
          <w:szCs w:val="24"/>
          <w:u w:val="single"/>
          <w:lang w:val="es-ES_tradnl"/>
        </w:rPr>
        <w:t>Notificación de sospechas de reacciones adversas</w:t>
      </w:r>
    </w:p>
    <w:p w14:paraId="5283E67C" w14:textId="77777777" w:rsidR="007F3BE9" w:rsidRPr="008421C9" w:rsidRDefault="007F3BE9" w:rsidP="00556927">
      <w:pPr>
        <w:keepNext/>
        <w:keepLines/>
        <w:autoSpaceDE w:val="0"/>
        <w:autoSpaceDN w:val="0"/>
        <w:adjustRightInd w:val="0"/>
        <w:rPr>
          <w:lang w:val="es-ES" w:eastAsia="de-DE"/>
        </w:rPr>
      </w:pPr>
    </w:p>
    <w:p w14:paraId="292DF9E4" w14:textId="5D86D8F7" w:rsidR="00834462" w:rsidRDefault="00834462" w:rsidP="00556927">
      <w:pPr>
        <w:keepNext/>
        <w:keepLines/>
        <w:autoSpaceDE w:val="0"/>
        <w:autoSpaceDN w:val="0"/>
        <w:adjustRightInd w:val="0"/>
        <w:rPr>
          <w:szCs w:val="24"/>
          <w:lang w:val="es-ES_tradnl"/>
        </w:rPr>
      </w:pPr>
      <w:r>
        <w:rPr>
          <w:szCs w:val="24"/>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C43447">
        <w:rPr>
          <w:szCs w:val="22"/>
          <w:highlight w:val="lightGray"/>
          <w:lang w:val="es-ES" w:eastAsia="en-US"/>
        </w:rPr>
        <w:t xml:space="preserve">sistema nacional de notificación  incluido en el </w:t>
      </w:r>
      <w:r>
        <w:fldChar w:fldCharType="begin"/>
      </w:r>
      <w:r w:rsidRPr="00467FFD">
        <w:rPr>
          <w:lang w:val="es-ES"/>
          <w:rPrChange w:id="929" w:author="AUTHOR">
            <w:rPr/>
          </w:rPrChange>
        </w:rPr>
        <w:instrText>HYPERLINK "https://www.ema.europa.eu/documents/template-form/qrd-appendix-v-adverse-drug-reaction-reporting-details_en.docx"</w:instrText>
      </w:r>
      <w:r>
        <w:fldChar w:fldCharType="separate"/>
      </w:r>
      <w:r w:rsidRPr="00C43447">
        <w:rPr>
          <w:rStyle w:val="Hyperlink"/>
          <w:szCs w:val="22"/>
          <w:highlight w:val="lightGray"/>
          <w:lang w:val="es-ES" w:eastAsia="en-US"/>
        </w:rPr>
        <w:t>A</w:t>
      </w:r>
      <w:r w:rsidR="00515999">
        <w:rPr>
          <w:rStyle w:val="Hyperlink"/>
          <w:szCs w:val="22"/>
          <w:highlight w:val="lightGray"/>
          <w:lang w:val="es-ES" w:eastAsia="en-US"/>
        </w:rPr>
        <w:t>péndice</w:t>
      </w:r>
      <w:r w:rsidRPr="00C43447">
        <w:rPr>
          <w:rStyle w:val="Hyperlink"/>
          <w:szCs w:val="22"/>
          <w:highlight w:val="lightGray"/>
          <w:lang w:val="es-ES" w:eastAsia="en-US"/>
        </w:rPr>
        <w:t xml:space="preserve"> V</w:t>
      </w:r>
      <w:r>
        <w:fldChar w:fldCharType="end"/>
      </w:r>
      <w:r>
        <w:rPr>
          <w:szCs w:val="24"/>
          <w:lang w:val="es-ES_tradnl"/>
        </w:rPr>
        <w:t>.</w:t>
      </w:r>
    </w:p>
    <w:p w14:paraId="63D8674F" w14:textId="77777777" w:rsidR="00834462" w:rsidRPr="008A106B" w:rsidRDefault="00834462" w:rsidP="00834462">
      <w:pPr>
        <w:autoSpaceDE w:val="0"/>
        <w:autoSpaceDN w:val="0"/>
        <w:adjustRightInd w:val="0"/>
        <w:rPr>
          <w:rFonts w:eastAsia="SimSun"/>
          <w:szCs w:val="22"/>
          <w:u w:val="single"/>
          <w:lang w:val="es-ES" w:eastAsia="zh-CN"/>
        </w:rPr>
      </w:pPr>
    </w:p>
    <w:p w14:paraId="0000267B" w14:textId="77777777" w:rsidR="00834462" w:rsidRPr="008A106B" w:rsidRDefault="00834462" w:rsidP="00834462">
      <w:pPr>
        <w:ind w:left="567" w:hanging="567"/>
        <w:outlineLvl w:val="0"/>
        <w:rPr>
          <w:lang w:val="es-ES"/>
        </w:rPr>
      </w:pPr>
      <w:r w:rsidRPr="008A106B">
        <w:rPr>
          <w:b/>
          <w:bCs/>
          <w:lang w:val="es-ES"/>
        </w:rPr>
        <w:t>4.9</w:t>
      </w:r>
      <w:r w:rsidRPr="008A106B">
        <w:rPr>
          <w:b/>
          <w:bCs/>
          <w:lang w:val="es-ES"/>
        </w:rPr>
        <w:tab/>
      </w:r>
      <w:r w:rsidRPr="008A106B">
        <w:rPr>
          <w:b/>
          <w:bCs/>
          <w:lang w:val="es-ES_tradnl"/>
        </w:rPr>
        <w:t>Sobredosis</w:t>
      </w:r>
    </w:p>
    <w:p w14:paraId="20D0FBED" w14:textId="77777777" w:rsidR="00834462" w:rsidRPr="008A106B" w:rsidRDefault="00834462" w:rsidP="00834462">
      <w:pPr>
        <w:rPr>
          <w:lang w:val="es-ES"/>
        </w:rPr>
      </w:pPr>
    </w:p>
    <w:p w14:paraId="0C5D7244" w14:textId="48EE7960" w:rsidR="00834462" w:rsidRPr="008A106B" w:rsidRDefault="00834462" w:rsidP="00834462">
      <w:pPr>
        <w:rPr>
          <w:lang w:val="es-ES"/>
        </w:rPr>
      </w:pPr>
      <w:r w:rsidRPr="008A106B">
        <w:rPr>
          <w:lang w:val="es-ES_tradnl"/>
        </w:rPr>
        <w:t xml:space="preserve">Hay pocos datos disponibles acerca de la sobredosis con </w:t>
      </w:r>
      <w:r w:rsidR="007F3BE9">
        <w:rPr>
          <w:szCs w:val="22"/>
          <w:lang w:val="es-ES"/>
        </w:rPr>
        <w:t>tocilizumab</w:t>
      </w:r>
      <w:r w:rsidRPr="008A106B">
        <w:rPr>
          <w:lang w:val="es-ES_tradnl"/>
        </w:rPr>
        <w:t>.</w:t>
      </w:r>
      <w:r w:rsidRPr="008A106B">
        <w:rPr>
          <w:lang w:val="es-ES"/>
        </w:rPr>
        <w:t xml:space="preserve"> </w:t>
      </w:r>
      <w:r w:rsidRPr="008A106B">
        <w:rPr>
          <w:lang w:val="es-ES_tradnl"/>
        </w:rPr>
        <w:t>Se notificó un caso de sobredosis accidental en el que un paciente con mieloma múltiple recibió una dosis única de 40 mg/kg</w:t>
      </w:r>
      <w:ins w:id="930" w:author="AUTHOR">
        <w:r w:rsidR="005321CA">
          <w:rPr>
            <w:lang w:val="es-ES_tradnl"/>
          </w:rPr>
          <w:t xml:space="preserve"> </w:t>
        </w:r>
        <w:r w:rsidR="005321CA" w:rsidRPr="005321CA">
          <w:rPr>
            <w:lang w:val="es-ES_tradnl"/>
          </w:rPr>
          <w:t>por vía intravenosa</w:t>
        </w:r>
      </w:ins>
      <w:r w:rsidRPr="008A106B">
        <w:rPr>
          <w:lang w:val="es-ES_tradnl"/>
        </w:rPr>
        <w:t>. No se observaron reacciones adversas.</w:t>
      </w:r>
      <w:r w:rsidRPr="008A106B">
        <w:rPr>
          <w:lang w:val="es-ES"/>
        </w:rPr>
        <w:t xml:space="preserve"> </w:t>
      </w:r>
    </w:p>
    <w:p w14:paraId="77F560AF" w14:textId="77777777" w:rsidR="00834462" w:rsidRPr="008A106B" w:rsidRDefault="00834462" w:rsidP="00834462">
      <w:pPr>
        <w:rPr>
          <w:lang w:val="es-ES"/>
        </w:rPr>
      </w:pPr>
    </w:p>
    <w:p w14:paraId="1B8B0C71" w14:textId="77777777" w:rsidR="00834462" w:rsidRPr="008A106B" w:rsidRDefault="00834462" w:rsidP="00834462">
      <w:pPr>
        <w:rPr>
          <w:lang w:val="es-ES"/>
        </w:rPr>
      </w:pPr>
      <w:r w:rsidRPr="008A106B">
        <w:rPr>
          <w:lang w:val="es-ES_tradnl"/>
        </w:rPr>
        <w:t>No se observaron reacciones adversas graves en voluntarios sanos que recibieron una dosis única de hasta 28 mg/kg, aunque se observó neutropenia limitante de la dosis.</w:t>
      </w:r>
    </w:p>
    <w:p w14:paraId="4069100F" w14:textId="77777777" w:rsidR="00834462" w:rsidRPr="008A106B" w:rsidRDefault="00834462" w:rsidP="00834462">
      <w:pPr>
        <w:rPr>
          <w:lang w:val="es-ES"/>
        </w:rPr>
      </w:pPr>
    </w:p>
    <w:p w14:paraId="1999F475" w14:textId="77777777" w:rsidR="00834462" w:rsidRPr="008A106B" w:rsidRDefault="00834462" w:rsidP="00834462">
      <w:pPr>
        <w:ind w:left="567" w:hanging="567"/>
        <w:rPr>
          <w:lang w:val="es-ES"/>
        </w:rPr>
      </w:pPr>
    </w:p>
    <w:p w14:paraId="4243DA49" w14:textId="77777777" w:rsidR="00834462" w:rsidRPr="008A106B" w:rsidRDefault="00834462" w:rsidP="00834462">
      <w:pPr>
        <w:ind w:left="567" w:hanging="567"/>
        <w:rPr>
          <w:lang w:val="es-ES"/>
        </w:rPr>
      </w:pPr>
      <w:r w:rsidRPr="008A106B">
        <w:rPr>
          <w:b/>
          <w:bCs/>
          <w:lang w:val="es-ES"/>
        </w:rPr>
        <w:t>5.</w:t>
      </w:r>
      <w:r w:rsidRPr="008A106B">
        <w:rPr>
          <w:b/>
          <w:bCs/>
          <w:lang w:val="es-ES"/>
        </w:rPr>
        <w:tab/>
      </w:r>
      <w:r w:rsidRPr="008A106B">
        <w:rPr>
          <w:b/>
          <w:bCs/>
          <w:lang w:val="es-ES_tradnl"/>
        </w:rPr>
        <w:t>PROPIEDADES FARMACOLÓGICAS</w:t>
      </w:r>
    </w:p>
    <w:p w14:paraId="4019FBAF" w14:textId="77777777" w:rsidR="00834462" w:rsidRPr="008A106B" w:rsidRDefault="00834462" w:rsidP="00834462">
      <w:pPr>
        <w:rPr>
          <w:lang w:val="es-ES"/>
        </w:rPr>
      </w:pPr>
    </w:p>
    <w:p w14:paraId="3FD94842" w14:textId="77777777" w:rsidR="00834462" w:rsidRPr="008A106B" w:rsidRDefault="00834462" w:rsidP="00834462">
      <w:pPr>
        <w:ind w:left="567" w:hanging="567"/>
        <w:outlineLvl w:val="0"/>
        <w:rPr>
          <w:lang w:val="es-ES"/>
        </w:rPr>
      </w:pPr>
      <w:r w:rsidRPr="008A106B">
        <w:rPr>
          <w:b/>
          <w:bCs/>
          <w:lang w:val="es-ES"/>
        </w:rPr>
        <w:t>5.1</w:t>
      </w:r>
      <w:r w:rsidRPr="008A106B">
        <w:rPr>
          <w:b/>
          <w:bCs/>
          <w:lang w:val="es-ES"/>
        </w:rPr>
        <w:tab/>
      </w:r>
      <w:r w:rsidRPr="008A106B">
        <w:rPr>
          <w:b/>
          <w:bCs/>
          <w:lang w:val="es-ES_tradnl"/>
        </w:rPr>
        <w:t>Propiedades farmacodinámicas</w:t>
      </w:r>
    </w:p>
    <w:p w14:paraId="0DB5E418" w14:textId="77777777" w:rsidR="00834462" w:rsidRPr="008A106B" w:rsidRDefault="00834462" w:rsidP="00834462">
      <w:pPr>
        <w:rPr>
          <w:lang w:val="es-ES"/>
        </w:rPr>
      </w:pPr>
    </w:p>
    <w:p w14:paraId="15FC3793" w14:textId="77777777" w:rsidR="00834462" w:rsidRPr="008A106B" w:rsidRDefault="00834462" w:rsidP="00834462">
      <w:pPr>
        <w:numPr>
          <w:ilvl w:val="12"/>
          <w:numId w:val="0"/>
        </w:numPr>
        <w:ind w:right="-2"/>
        <w:rPr>
          <w:lang w:val="es-ES"/>
        </w:rPr>
      </w:pPr>
      <w:r w:rsidRPr="008A106B">
        <w:rPr>
          <w:lang w:val="es-ES_tradnl"/>
        </w:rPr>
        <w:t>Grupo farmacoterapéutico:</w:t>
      </w:r>
      <w:r w:rsidRPr="008A106B">
        <w:rPr>
          <w:lang w:val="es-ES"/>
        </w:rPr>
        <w:t xml:space="preserve"> </w:t>
      </w:r>
      <w:r w:rsidRPr="008A106B">
        <w:rPr>
          <w:lang w:val="es-ES_tradnl"/>
        </w:rPr>
        <w:t>Agente inmunosupresor, inhibidores de la interleucina; Código ATC:</w:t>
      </w:r>
      <w:r w:rsidRPr="008A106B">
        <w:rPr>
          <w:lang w:val="es-ES"/>
        </w:rPr>
        <w:t xml:space="preserve"> </w:t>
      </w:r>
      <w:r w:rsidRPr="008A106B">
        <w:rPr>
          <w:lang w:val="es-ES_tradnl"/>
        </w:rPr>
        <w:t>L04AC07.</w:t>
      </w:r>
    </w:p>
    <w:p w14:paraId="07ECC77D" w14:textId="77777777" w:rsidR="00834462" w:rsidRPr="008A106B" w:rsidRDefault="00834462" w:rsidP="00834462">
      <w:pPr>
        <w:numPr>
          <w:ilvl w:val="12"/>
          <w:numId w:val="0"/>
        </w:numPr>
        <w:ind w:right="-2"/>
        <w:rPr>
          <w:lang w:val="es-ES"/>
        </w:rPr>
      </w:pPr>
    </w:p>
    <w:p w14:paraId="21ADCC05" w14:textId="77777777" w:rsidR="00D73C3D" w:rsidRDefault="00834462" w:rsidP="00D73C3D">
      <w:pPr>
        <w:keepNext/>
        <w:numPr>
          <w:ilvl w:val="12"/>
          <w:numId w:val="0"/>
        </w:numPr>
        <w:rPr>
          <w:iCs/>
          <w:u w:val="single"/>
          <w:lang w:val="es-ES_tradnl"/>
        </w:rPr>
      </w:pPr>
      <w:r w:rsidRPr="008A106B">
        <w:rPr>
          <w:iCs/>
          <w:u w:val="single"/>
          <w:lang w:val="es-ES_tradnl"/>
        </w:rPr>
        <w:t>Mecanismo de acción</w:t>
      </w:r>
    </w:p>
    <w:p w14:paraId="2378ABD8" w14:textId="77777777" w:rsidR="00992ED6" w:rsidRDefault="00992ED6" w:rsidP="00D73C3D">
      <w:pPr>
        <w:keepNext/>
        <w:numPr>
          <w:ilvl w:val="12"/>
          <w:numId w:val="0"/>
        </w:numPr>
        <w:rPr>
          <w:iCs/>
          <w:u w:val="single"/>
          <w:lang w:val="es-ES"/>
        </w:rPr>
      </w:pPr>
    </w:p>
    <w:p w14:paraId="676530A5" w14:textId="77777777" w:rsidR="00834462" w:rsidRPr="00D73C3D" w:rsidRDefault="00D73C3D" w:rsidP="00D73C3D">
      <w:pPr>
        <w:keepNext/>
        <w:numPr>
          <w:ilvl w:val="12"/>
          <w:numId w:val="0"/>
        </w:numPr>
        <w:rPr>
          <w:iCs/>
          <w:u w:val="single"/>
          <w:lang w:val="es-ES"/>
        </w:rPr>
      </w:pPr>
      <w:r>
        <w:rPr>
          <w:iCs/>
          <w:lang w:val="es-ES"/>
        </w:rPr>
        <w:t>Tocilizumab se</w:t>
      </w:r>
      <w:r w:rsidR="00834462" w:rsidRPr="008A106B">
        <w:rPr>
          <w:lang w:val="es-ES_tradnl"/>
        </w:rPr>
        <w:t xml:space="preserve"> une específicamente a los receptores de IL-6 tanto solubles como unidos a membranas (IL-6Rs e IL-6Rm).</w:t>
      </w:r>
      <w:r w:rsidR="00834462" w:rsidRPr="008A106B">
        <w:rPr>
          <w:lang w:val="es-ES"/>
        </w:rPr>
        <w:t xml:space="preserve"> </w:t>
      </w:r>
      <w:r w:rsidR="00834462" w:rsidRPr="008A106B">
        <w:rPr>
          <w:lang w:val="es-ES_tradnl"/>
        </w:rPr>
        <w:t>Se ha demostrado que tocilizumab inhibe la señalización mediada por IL-6Rs e IL-6Rm.</w:t>
      </w:r>
      <w:r w:rsidR="00834462" w:rsidRPr="008A106B">
        <w:rPr>
          <w:lang w:val="es-ES"/>
        </w:rPr>
        <w:t xml:space="preserve"> </w:t>
      </w:r>
      <w:r w:rsidR="00834462" w:rsidRPr="008A106B">
        <w:rPr>
          <w:lang w:val="es-ES_tradnl"/>
        </w:rPr>
        <w:t>La IL-6 es una citocina proinflamatoria pleiotrópica producida por diversos tipos celulares incluidas células T y B, los monocitos y los fibroblastos.</w:t>
      </w:r>
      <w:r w:rsidR="00834462" w:rsidRPr="008A106B">
        <w:rPr>
          <w:lang w:val="es-ES"/>
        </w:rPr>
        <w:t xml:space="preserve"> </w:t>
      </w:r>
      <w:r w:rsidR="00834462" w:rsidRPr="008A106B">
        <w:rPr>
          <w:lang w:val="es-ES_tradnl"/>
        </w:rPr>
        <w:t>La IL-6 participa en diversos procesos fisiológicos como la activación de los linfocitos T, la inducción de secreción de inmunoglobulina, la inducción de síntesis hepática de proteínas de la fase aguda y</w:t>
      </w:r>
      <w:r w:rsidR="00834462" w:rsidRPr="008A106B">
        <w:rPr>
          <w:lang w:val="es-ES"/>
        </w:rPr>
        <w:t xml:space="preserve"> </w:t>
      </w:r>
      <w:r w:rsidR="00834462" w:rsidRPr="008A106B">
        <w:rPr>
          <w:lang w:val="es-ES_tradnl"/>
        </w:rPr>
        <w:t>la estimulación de la hemopoyesis.</w:t>
      </w:r>
      <w:r w:rsidR="00834462" w:rsidRPr="008A106B">
        <w:rPr>
          <w:lang w:val="es-ES"/>
        </w:rPr>
        <w:t xml:space="preserve"> </w:t>
      </w:r>
      <w:r w:rsidR="00834462" w:rsidRPr="008A106B">
        <w:rPr>
          <w:lang w:val="es-ES_tradnl"/>
        </w:rPr>
        <w:t>Se ha implicado a la IL-6 en la patogenia de enfermedades como enfermedades inflamatorias, osteoporosis y neoplasias.</w:t>
      </w:r>
      <w:r w:rsidR="00834462" w:rsidRPr="008A106B">
        <w:rPr>
          <w:lang w:val="es-ES"/>
        </w:rPr>
        <w:t xml:space="preserve"> </w:t>
      </w:r>
    </w:p>
    <w:p w14:paraId="3008061B" w14:textId="77777777" w:rsidR="00834462" w:rsidRPr="008A106B" w:rsidRDefault="00834462" w:rsidP="00834462">
      <w:pPr>
        <w:numPr>
          <w:ilvl w:val="12"/>
          <w:numId w:val="0"/>
        </w:numPr>
        <w:ind w:right="-2"/>
        <w:rPr>
          <w:lang w:val="es-ES"/>
        </w:rPr>
      </w:pPr>
    </w:p>
    <w:p w14:paraId="3EDEFD52" w14:textId="77777777" w:rsidR="00834462" w:rsidRDefault="00834462" w:rsidP="00A50280">
      <w:pPr>
        <w:keepNext/>
        <w:keepLines/>
        <w:numPr>
          <w:ilvl w:val="12"/>
          <w:numId w:val="0"/>
        </w:numPr>
        <w:rPr>
          <w:u w:val="single"/>
          <w:lang w:val="es-ES"/>
        </w:rPr>
      </w:pPr>
      <w:r w:rsidRPr="008A106B">
        <w:rPr>
          <w:u w:val="single"/>
          <w:lang w:val="es-ES"/>
        </w:rPr>
        <w:t>Efectos farmacodinámicos</w:t>
      </w:r>
    </w:p>
    <w:p w14:paraId="0BA8FF85" w14:textId="77777777" w:rsidR="00992ED6" w:rsidRPr="008A106B" w:rsidRDefault="00992ED6" w:rsidP="00A50280">
      <w:pPr>
        <w:keepNext/>
        <w:keepLines/>
        <w:numPr>
          <w:ilvl w:val="12"/>
          <w:numId w:val="0"/>
        </w:numPr>
        <w:rPr>
          <w:u w:val="single"/>
          <w:lang w:val="es-ES"/>
        </w:rPr>
      </w:pPr>
    </w:p>
    <w:p w14:paraId="6D5F44CA" w14:textId="1BCE6466" w:rsidR="00834462" w:rsidRPr="008A106B" w:rsidRDefault="00834462" w:rsidP="00A50280">
      <w:pPr>
        <w:keepNext/>
        <w:keepLines/>
        <w:numPr>
          <w:ilvl w:val="12"/>
          <w:numId w:val="0"/>
        </w:numPr>
        <w:tabs>
          <w:tab w:val="left" w:pos="1985"/>
        </w:tabs>
        <w:rPr>
          <w:lang w:val="es-ES"/>
        </w:rPr>
      </w:pPr>
      <w:r w:rsidRPr="008A106B">
        <w:rPr>
          <w:lang w:val="es-ES_tradnl"/>
        </w:rPr>
        <w:t>En ensayos clínicos</w:t>
      </w:r>
      <w:r w:rsidR="007F1D87">
        <w:rPr>
          <w:lang w:val="es-ES_tradnl"/>
        </w:rPr>
        <w:t xml:space="preserve"> </w:t>
      </w:r>
      <w:r w:rsidRPr="008A106B">
        <w:rPr>
          <w:lang w:val="es-ES_tradnl"/>
        </w:rPr>
        <w:t xml:space="preserve">con </w:t>
      </w:r>
      <w:r w:rsidR="00992ED6">
        <w:rPr>
          <w:szCs w:val="22"/>
          <w:lang w:val="es-ES"/>
        </w:rPr>
        <w:t>tocilizumab</w:t>
      </w:r>
      <w:ins w:id="931" w:author="AUTHOR">
        <w:r w:rsidR="00431AD6">
          <w:rPr>
            <w:szCs w:val="22"/>
            <w:lang w:val="es-ES"/>
          </w:rPr>
          <w:t xml:space="preserve"> en AR</w:t>
        </w:r>
      </w:ins>
      <w:r w:rsidRPr="008A106B">
        <w:rPr>
          <w:lang w:val="es-ES_tradnl"/>
        </w:rPr>
        <w:t>, se observaron reducciones rápidas de la proteína C reactiva (PCR), la velocidad de sedimentación globular (VSG</w:t>
      </w:r>
      <w:proofErr w:type="gramStart"/>
      <w:r w:rsidRPr="008A106B">
        <w:rPr>
          <w:lang w:val="es-ES_tradnl"/>
        </w:rPr>
        <w:t>)</w:t>
      </w:r>
      <w:r w:rsidR="005D61B3">
        <w:rPr>
          <w:lang w:val="es-ES_tradnl"/>
        </w:rPr>
        <w:t xml:space="preserve">, </w:t>
      </w:r>
      <w:r w:rsidRPr="008A106B">
        <w:rPr>
          <w:lang w:val="es-ES_tradnl"/>
        </w:rPr>
        <w:t xml:space="preserve"> el</w:t>
      </w:r>
      <w:proofErr w:type="gramEnd"/>
      <w:r w:rsidRPr="008A106B">
        <w:rPr>
          <w:lang w:val="es-ES_tradnl"/>
        </w:rPr>
        <w:t xml:space="preserve"> amiloide A sérico (AAS)</w:t>
      </w:r>
      <w:r w:rsidR="005D61B3">
        <w:rPr>
          <w:lang w:val="es-ES_tradnl"/>
        </w:rPr>
        <w:t xml:space="preserve"> y el fibrinógeno</w:t>
      </w:r>
      <w:r w:rsidRPr="008A106B">
        <w:rPr>
          <w:lang w:val="es-ES_tradnl"/>
        </w:rPr>
        <w:t>.</w:t>
      </w:r>
      <w:r w:rsidRPr="008A106B">
        <w:rPr>
          <w:lang w:val="es-ES"/>
        </w:rPr>
        <w:t xml:space="preserve"> </w:t>
      </w:r>
      <w:r w:rsidRPr="008A106B">
        <w:rPr>
          <w:lang w:val="es-ES_tradnl"/>
        </w:rPr>
        <w:t xml:space="preserve">De forma coherente con el efecto sobre los reactantes de la fase aguda, el tratamiento </w:t>
      </w:r>
      <w:proofErr w:type="gramStart"/>
      <w:r w:rsidRPr="008A106B">
        <w:rPr>
          <w:lang w:val="es-ES_tradnl"/>
        </w:rPr>
        <w:t xml:space="preserve">con </w:t>
      </w:r>
      <w:r w:rsidR="00992ED6">
        <w:rPr>
          <w:szCs w:val="22"/>
          <w:lang w:val="es-ES"/>
        </w:rPr>
        <w:t xml:space="preserve"> tocilizumab</w:t>
      </w:r>
      <w:proofErr w:type="gramEnd"/>
      <w:r w:rsidR="00992ED6">
        <w:rPr>
          <w:szCs w:val="22"/>
          <w:lang w:val="es-ES"/>
        </w:rPr>
        <w:t xml:space="preserve"> </w:t>
      </w:r>
      <w:r w:rsidRPr="008A106B">
        <w:rPr>
          <w:lang w:val="es-ES_tradnl"/>
        </w:rPr>
        <w:t>se asoció a reducción del recuento de plaquetas dentro del rango normal.</w:t>
      </w:r>
      <w:r w:rsidRPr="008A106B">
        <w:rPr>
          <w:lang w:val="es-ES"/>
        </w:rPr>
        <w:t xml:space="preserve"> </w:t>
      </w:r>
      <w:r w:rsidRPr="008A106B">
        <w:rPr>
          <w:lang w:val="es-ES_tradnl"/>
        </w:rPr>
        <w:t xml:space="preserve">Se observaron aumentos de los niveles de hemoglobina, debidos a la reducción por </w:t>
      </w:r>
      <w:r w:rsidR="00992ED6">
        <w:rPr>
          <w:szCs w:val="22"/>
          <w:lang w:val="es-ES"/>
        </w:rPr>
        <w:t>tocilizumab</w:t>
      </w:r>
      <w:r w:rsidR="00992ED6" w:rsidDel="007F3BE9">
        <w:rPr>
          <w:lang w:val="es-ES_tradnl"/>
        </w:rPr>
        <w:t xml:space="preserve"> </w:t>
      </w:r>
      <w:r w:rsidRPr="008A106B">
        <w:rPr>
          <w:lang w:val="es-ES_tradnl"/>
        </w:rPr>
        <w:t>de los efectos impulsados por la IL-6 sobre la producción de hepcidina para aumentar la disponibilidad del hierro.</w:t>
      </w:r>
      <w:r w:rsidRPr="008A106B">
        <w:rPr>
          <w:lang w:val="es-ES"/>
        </w:rPr>
        <w:t xml:space="preserve"> </w:t>
      </w:r>
      <w:r w:rsidRPr="008A106B">
        <w:rPr>
          <w:lang w:val="es-ES_tradnl"/>
        </w:rPr>
        <w:t xml:space="preserve">En pacientes tratados, se observaron disminuciones de los niveles de PCR dentro de los valores normales </w:t>
      </w:r>
      <w:r>
        <w:rPr>
          <w:lang w:val="es-ES_tradnl"/>
        </w:rPr>
        <w:t>desde</w:t>
      </w:r>
      <w:r w:rsidRPr="008A106B">
        <w:rPr>
          <w:lang w:val="es-ES_tradnl"/>
        </w:rPr>
        <w:t xml:space="preserve"> la semana</w:t>
      </w:r>
      <w:r w:rsidR="00D34894" w:rsidRPr="00F30AB8">
        <w:rPr>
          <w:szCs w:val="22"/>
          <w:lang w:val="es-ES"/>
        </w:rPr>
        <w:t> 2</w:t>
      </w:r>
      <w:r w:rsidRPr="008A106B">
        <w:rPr>
          <w:lang w:val="es-ES_tradnl"/>
        </w:rPr>
        <w:t>y las reducciones se mantuvieron mientras se mantenía el tratamiento.</w:t>
      </w:r>
    </w:p>
    <w:p w14:paraId="7ADEF16A" w14:textId="77777777" w:rsidR="00834462" w:rsidRPr="008A106B" w:rsidRDefault="00834462" w:rsidP="00834462">
      <w:pPr>
        <w:numPr>
          <w:ilvl w:val="12"/>
          <w:numId w:val="0"/>
        </w:numPr>
        <w:ind w:right="-2"/>
        <w:rPr>
          <w:lang w:val="es-ES"/>
        </w:rPr>
      </w:pPr>
    </w:p>
    <w:p w14:paraId="55E06F69" w14:textId="1486B4E0" w:rsidR="005D42FD" w:rsidRDefault="0071356C" w:rsidP="00834462">
      <w:pPr>
        <w:numPr>
          <w:ilvl w:val="12"/>
          <w:numId w:val="0"/>
        </w:numPr>
        <w:ind w:right="-2"/>
        <w:rPr>
          <w:lang w:val="es-ES"/>
        </w:rPr>
      </w:pPr>
      <w:r w:rsidRPr="0071356C">
        <w:rPr>
          <w:lang w:val="es-ES"/>
        </w:rPr>
        <w:t xml:space="preserve">En el </w:t>
      </w:r>
      <w:r w:rsidR="004404F4">
        <w:rPr>
          <w:lang w:val="es-ES"/>
        </w:rPr>
        <w:t>ensayo</w:t>
      </w:r>
      <w:r w:rsidRPr="0071356C">
        <w:rPr>
          <w:lang w:val="es-ES"/>
        </w:rPr>
        <w:t xml:space="preserve"> clínico </w:t>
      </w:r>
      <w:r w:rsidR="003C2EEA">
        <w:rPr>
          <w:lang w:val="es-ES"/>
        </w:rPr>
        <w:t>de ACG</w:t>
      </w:r>
      <w:r w:rsidR="00B90168">
        <w:rPr>
          <w:lang w:val="es-ES"/>
        </w:rPr>
        <w:t xml:space="preserve"> </w:t>
      </w:r>
      <w:r w:rsidRPr="0071356C">
        <w:rPr>
          <w:lang w:val="es-ES"/>
        </w:rPr>
        <w:t>WA28119, se observaron dismi</w:t>
      </w:r>
      <w:r w:rsidR="004E18FC">
        <w:rPr>
          <w:lang w:val="es-ES"/>
        </w:rPr>
        <w:t xml:space="preserve">nuciones rápidas similares </w:t>
      </w:r>
      <w:r>
        <w:rPr>
          <w:lang w:val="es-ES"/>
        </w:rPr>
        <w:t xml:space="preserve">en </w:t>
      </w:r>
      <w:r w:rsidRPr="0071356C">
        <w:rPr>
          <w:lang w:val="es-ES"/>
        </w:rPr>
        <w:t>P</w:t>
      </w:r>
      <w:r>
        <w:rPr>
          <w:lang w:val="es-ES"/>
        </w:rPr>
        <w:t>CR y VSG</w:t>
      </w:r>
      <w:r w:rsidRPr="0071356C">
        <w:rPr>
          <w:lang w:val="es-ES"/>
        </w:rPr>
        <w:t xml:space="preserve"> junto con ligeros incrementos en la concentración media de hemoglobina corpuscular.</w:t>
      </w:r>
      <w:r>
        <w:rPr>
          <w:lang w:val="es-ES"/>
        </w:rPr>
        <w:t xml:space="preserve"> En </w:t>
      </w:r>
      <w:r w:rsidR="00834462" w:rsidRPr="008A106B">
        <w:rPr>
          <w:lang w:val="es-ES"/>
        </w:rPr>
        <w:t xml:space="preserve">voluntarios sanos a los que se administró </w:t>
      </w:r>
      <w:r w:rsidR="00992ED6">
        <w:rPr>
          <w:szCs w:val="22"/>
          <w:lang w:val="es-ES"/>
        </w:rPr>
        <w:t>tocilizumab</w:t>
      </w:r>
      <w:r w:rsidR="00992ED6" w:rsidDel="007F3BE9">
        <w:rPr>
          <w:lang w:val="es-ES_tradnl"/>
        </w:rPr>
        <w:t xml:space="preserve"> </w:t>
      </w:r>
      <w:r w:rsidR="00834462" w:rsidRPr="008A106B">
        <w:rPr>
          <w:lang w:val="es-ES"/>
        </w:rPr>
        <w:t>a dosis de 2 a 28 mg/kg</w:t>
      </w:r>
      <w:r w:rsidR="00834462">
        <w:rPr>
          <w:lang w:val="es-ES"/>
        </w:rPr>
        <w:t xml:space="preserve"> por vía intravenosa y 81 </w:t>
      </w:r>
      <w:r w:rsidR="00834462">
        <w:rPr>
          <w:lang w:val="es-ES"/>
        </w:rPr>
        <w:lastRenderedPageBreak/>
        <w:t xml:space="preserve">a </w:t>
      </w:r>
      <w:proofErr w:type="gramStart"/>
      <w:r w:rsidR="00834462">
        <w:rPr>
          <w:lang w:val="es-ES"/>
        </w:rPr>
        <w:t>162</w:t>
      </w:r>
      <w:r w:rsidR="00D34894">
        <w:rPr>
          <w:lang w:val="es-ES"/>
        </w:rPr>
        <w:t xml:space="preserve"> </w:t>
      </w:r>
      <w:r w:rsidR="00D34894" w:rsidRPr="008A106B">
        <w:rPr>
          <w:lang w:val="es-ES"/>
        </w:rPr>
        <w:t> </w:t>
      </w:r>
      <w:r w:rsidR="00834462">
        <w:rPr>
          <w:lang w:val="es-ES"/>
        </w:rPr>
        <w:t>mg</w:t>
      </w:r>
      <w:proofErr w:type="gramEnd"/>
      <w:r w:rsidR="00834462">
        <w:rPr>
          <w:lang w:val="es-ES"/>
        </w:rPr>
        <w:t xml:space="preserve"> vía subcutánea</w:t>
      </w:r>
      <w:r w:rsidR="00834462" w:rsidRPr="008A106B">
        <w:rPr>
          <w:lang w:val="es-ES"/>
        </w:rPr>
        <w:t xml:space="preserve">, el recuento absoluto de neutrófilos disminuyó a su nivel más bajo trascurridos de </w:t>
      </w:r>
      <w:r w:rsidR="00834462">
        <w:rPr>
          <w:lang w:val="es-ES"/>
        </w:rPr>
        <w:t>2</w:t>
      </w:r>
      <w:r w:rsidR="00834462" w:rsidRPr="008A106B">
        <w:rPr>
          <w:lang w:val="es-ES"/>
        </w:rPr>
        <w:t xml:space="preserve"> a 5</w:t>
      </w:r>
      <w:r w:rsidR="00D34894" w:rsidRPr="008A106B">
        <w:rPr>
          <w:lang w:val="es-ES"/>
        </w:rPr>
        <w:t> </w:t>
      </w:r>
      <w:r w:rsidR="00834462" w:rsidRPr="008A106B">
        <w:rPr>
          <w:lang w:val="es-ES"/>
        </w:rPr>
        <w:t xml:space="preserve">días tras la administración. Posteriormente los niveles de neutrófilos se recuperaron hasta el valor basal de una manera dosis dependiente. </w:t>
      </w:r>
    </w:p>
    <w:p w14:paraId="1E1EEB62" w14:textId="77777777" w:rsidR="005D42FD" w:rsidRDefault="005D42FD" w:rsidP="00834462">
      <w:pPr>
        <w:numPr>
          <w:ilvl w:val="12"/>
          <w:numId w:val="0"/>
        </w:numPr>
        <w:ind w:right="-2"/>
        <w:rPr>
          <w:lang w:val="es-ES"/>
        </w:rPr>
      </w:pPr>
    </w:p>
    <w:p w14:paraId="2338D915" w14:textId="2E9F7C97" w:rsidR="0071356C" w:rsidRDefault="00834462" w:rsidP="00834462">
      <w:pPr>
        <w:numPr>
          <w:ilvl w:val="12"/>
          <w:numId w:val="0"/>
        </w:numPr>
        <w:ind w:right="-2"/>
        <w:rPr>
          <w:lang w:val="es-ES"/>
        </w:rPr>
      </w:pPr>
      <w:r w:rsidRPr="008A106B">
        <w:rPr>
          <w:lang w:val="es-ES"/>
        </w:rPr>
        <w:t>Los pacientes</w:t>
      </w:r>
      <w:ins w:id="932" w:author="AUTHOR">
        <w:r w:rsidR="00431AD6">
          <w:rPr>
            <w:lang w:val="es-ES"/>
          </w:rPr>
          <w:t xml:space="preserve"> con AR y GCA</w:t>
        </w:r>
      </w:ins>
      <w:r w:rsidRPr="008A106B">
        <w:rPr>
          <w:lang w:val="es-ES"/>
        </w:rPr>
        <w:t xml:space="preserve"> han mostrado un </w:t>
      </w:r>
      <w:r>
        <w:rPr>
          <w:lang w:val="es-ES"/>
        </w:rPr>
        <w:t>descenso</w:t>
      </w:r>
      <w:r w:rsidRPr="008A106B">
        <w:rPr>
          <w:lang w:val="es-ES"/>
        </w:rPr>
        <w:t xml:space="preserve"> </w:t>
      </w:r>
      <w:r>
        <w:rPr>
          <w:lang w:val="es-ES"/>
        </w:rPr>
        <w:t xml:space="preserve">comparable a los voluntarios sanos, </w:t>
      </w:r>
      <w:r w:rsidRPr="008A106B">
        <w:rPr>
          <w:lang w:val="es-ES"/>
        </w:rPr>
        <w:t xml:space="preserve">en el recuento absoluto de neutrófilos tras la administración con </w:t>
      </w:r>
      <w:r w:rsidR="00992ED6">
        <w:rPr>
          <w:szCs w:val="22"/>
          <w:lang w:val="es-ES"/>
        </w:rPr>
        <w:t>tocilizumab</w:t>
      </w:r>
      <w:r w:rsidR="00992ED6" w:rsidDel="007F3BE9">
        <w:rPr>
          <w:lang w:val="es-ES_tradnl"/>
        </w:rPr>
        <w:t xml:space="preserve"> </w:t>
      </w:r>
      <w:r w:rsidRPr="008A106B">
        <w:rPr>
          <w:lang w:val="es-ES"/>
        </w:rPr>
        <w:t>(ver sección</w:t>
      </w:r>
      <w:r w:rsidR="00D34894" w:rsidRPr="008A106B">
        <w:rPr>
          <w:lang w:val="es-ES"/>
        </w:rPr>
        <w:t> </w:t>
      </w:r>
      <w:r w:rsidRPr="008A106B">
        <w:rPr>
          <w:lang w:val="es-ES"/>
        </w:rPr>
        <w:t>4.8).</w:t>
      </w:r>
    </w:p>
    <w:p w14:paraId="56ECC33C" w14:textId="77777777" w:rsidR="0071356C" w:rsidRDefault="0071356C" w:rsidP="00834462">
      <w:pPr>
        <w:numPr>
          <w:ilvl w:val="12"/>
          <w:numId w:val="0"/>
        </w:numPr>
        <w:ind w:right="-2"/>
        <w:rPr>
          <w:lang w:val="es-ES"/>
        </w:rPr>
      </w:pPr>
    </w:p>
    <w:p w14:paraId="38E8D43E" w14:textId="7B12F050" w:rsidR="0079644F" w:rsidRDefault="0079644F" w:rsidP="0079644F">
      <w:pPr>
        <w:keepNext/>
        <w:rPr>
          <w:u w:val="single"/>
          <w:lang w:val="es-ES_tradnl"/>
        </w:rPr>
      </w:pPr>
      <w:del w:id="933" w:author="AUTHOR">
        <w:r w:rsidRPr="00F30AB8" w:rsidDel="00431AD6">
          <w:rPr>
            <w:u w:val="single"/>
            <w:lang w:val="es-ES_tradnl"/>
          </w:rPr>
          <w:delText>AR</w:delText>
        </w:r>
        <w:r w:rsidR="00992ED6" w:rsidRPr="00F30AB8" w:rsidDel="00431AD6">
          <w:rPr>
            <w:u w:val="single"/>
            <w:lang w:val="es-ES_tradnl"/>
          </w:rPr>
          <w:delText xml:space="preserve"> (</w:delText>
        </w:r>
      </w:del>
      <w:r w:rsidR="00992ED6" w:rsidRPr="00F30AB8">
        <w:rPr>
          <w:u w:val="single"/>
          <w:lang w:val="es-ES_tradnl"/>
        </w:rPr>
        <w:t>Uso subcutáneo</w:t>
      </w:r>
      <w:del w:id="934" w:author="AUTHOR">
        <w:r w:rsidR="00992ED6" w:rsidRPr="00F30AB8" w:rsidDel="00431AD6">
          <w:rPr>
            <w:u w:val="single"/>
            <w:lang w:val="es-ES_tradnl"/>
          </w:rPr>
          <w:delText>)</w:delText>
        </w:r>
      </w:del>
    </w:p>
    <w:p w14:paraId="5723134E" w14:textId="481D6F08" w:rsidR="00992ED6" w:rsidRDefault="00431AD6" w:rsidP="0079644F">
      <w:pPr>
        <w:keepNext/>
        <w:rPr>
          <w:ins w:id="935" w:author="AUTHOR"/>
          <w:i/>
          <w:iCs/>
          <w:lang w:val="es-ES_tradnl"/>
        </w:rPr>
      </w:pPr>
      <w:ins w:id="936" w:author="AUTHOR">
        <w:r w:rsidRPr="00467FFD">
          <w:rPr>
            <w:i/>
            <w:iCs/>
            <w:lang w:val="es-ES_tradnl"/>
            <w:rPrChange w:id="937" w:author="AUTHOR">
              <w:rPr>
                <w:u w:val="single"/>
                <w:lang w:val="es-ES_tradnl"/>
              </w:rPr>
            </w:rPrChange>
          </w:rPr>
          <w:t>Pacientes con AR</w:t>
        </w:r>
      </w:ins>
    </w:p>
    <w:p w14:paraId="396BD28D" w14:textId="77777777" w:rsidR="00236BEA" w:rsidRPr="00467FFD" w:rsidRDefault="00236BEA" w:rsidP="0079644F">
      <w:pPr>
        <w:keepNext/>
        <w:rPr>
          <w:i/>
          <w:iCs/>
          <w:lang w:val="es-ES_tradnl"/>
          <w:rPrChange w:id="938" w:author="AUTHOR">
            <w:rPr>
              <w:u w:val="single"/>
              <w:lang w:val="es-ES_tradnl"/>
            </w:rPr>
          </w:rPrChange>
        </w:rPr>
      </w:pPr>
    </w:p>
    <w:p w14:paraId="77A88DCB" w14:textId="77777777" w:rsidR="0079644F" w:rsidRPr="00467FFD" w:rsidRDefault="0079644F" w:rsidP="0079644F">
      <w:pPr>
        <w:keepNext/>
        <w:rPr>
          <w:iCs/>
          <w:u w:val="single"/>
          <w:lang w:val="es-ES_tradnl"/>
          <w:rPrChange w:id="939" w:author="AUTHOR">
            <w:rPr>
              <w:i/>
              <w:lang w:val="es-ES_tradnl"/>
            </w:rPr>
          </w:rPrChange>
        </w:rPr>
      </w:pPr>
      <w:r w:rsidRPr="00467FFD">
        <w:rPr>
          <w:iCs/>
          <w:u w:val="single"/>
          <w:lang w:val="es-ES_tradnl"/>
          <w:rPrChange w:id="940" w:author="AUTHOR">
            <w:rPr>
              <w:i/>
              <w:lang w:val="es-ES_tradnl"/>
            </w:rPr>
          </w:rPrChange>
        </w:rPr>
        <w:t>Eficacia clínica</w:t>
      </w:r>
    </w:p>
    <w:p w14:paraId="1854AB9F" w14:textId="77777777" w:rsidR="00992ED6" w:rsidRPr="00F30AB8" w:rsidRDefault="00992ED6" w:rsidP="0079644F">
      <w:pPr>
        <w:keepNext/>
        <w:rPr>
          <w:iCs/>
          <w:lang w:val="es-ES_tradnl"/>
        </w:rPr>
      </w:pPr>
    </w:p>
    <w:p w14:paraId="0348A471" w14:textId="70BC17C1" w:rsidR="0079644F" w:rsidRDefault="0079644F" w:rsidP="0079644F">
      <w:pPr>
        <w:numPr>
          <w:ilvl w:val="12"/>
          <w:numId w:val="0"/>
        </w:numPr>
        <w:rPr>
          <w:lang w:val="es-ES_tradnl"/>
        </w:rPr>
      </w:pPr>
      <w:r w:rsidRPr="008A106B">
        <w:rPr>
          <w:lang w:val="es-ES_tradnl"/>
        </w:rPr>
        <w:t xml:space="preserve">Se ha evaluado la eficacia de </w:t>
      </w:r>
      <w:r w:rsidR="00992ED6">
        <w:rPr>
          <w:szCs w:val="22"/>
          <w:lang w:val="es-ES"/>
        </w:rPr>
        <w:t>tocilizumab</w:t>
      </w:r>
      <w:r w:rsidR="00992ED6" w:rsidDel="007F3BE9">
        <w:rPr>
          <w:lang w:val="es-ES_tradnl"/>
        </w:rPr>
        <w:t xml:space="preserve"> </w:t>
      </w:r>
      <w:r>
        <w:rPr>
          <w:lang w:val="es-ES_tradnl"/>
        </w:rPr>
        <w:t xml:space="preserve">administrado vía subcutánea </w:t>
      </w:r>
      <w:r w:rsidRPr="008A106B">
        <w:rPr>
          <w:lang w:val="es-ES_tradnl"/>
        </w:rPr>
        <w:t xml:space="preserve">para aliviar los signos y síntomas de </w:t>
      </w:r>
      <w:r>
        <w:rPr>
          <w:lang w:val="es-ES_tradnl"/>
        </w:rPr>
        <w:t xml:space="preserve">la </w:t>
      </w:r>
      <w:r w:rsidRPr="008A106B">
        <w:rPr>
          <w:lang w:val="es-ES_tradnl"/>
        </w:rPr>
        <w:t xml:space="preserve">artritis reumatoide </w:t>
      </w:r>
      <w:r>
        <w:rPr>
          <w:lang w:val="es-ES_tradnl"/>
        </w:rPr>
        <w:t xml:space="preserve">y la respuesta radiográfica, </w:t>
      </w:r>
      <w:r w:rsidRPr="008A106B">
        <w:rPr>
          <w:lang w:val="es-ES_tradnl"/>
        </w:rPr>
        <w:t xml:space="preserve">en </w:t>
      </w:r>
      <w:r>
        <w:rPr>
          <w:lang w:val="es-ES_tradnl"/>
        </w:rPr>
        <w:t>dos</w:t>
      </w:r>
      <w:r w:rsidRPr="008A106B">
        <w:rPr>
          <w:lang w:val="es-ES_tradnl"/>
        </w:rPr>
        <w:t xml:space="preserve"> ensayos aleatorizados, doble ciego,</w:t>
      </w:r>
      <w:r>
        <w:rPr>
          <w:lang w:val="es-ES_tradnl"/>
        </w:rPr>
        <w:t xml:space="preserve"> controlados, </w:t>
      </w:r>
      <w:r w:rsidRPr="008A106B">
        <w:rPr>
          <w:lang w:val="es-ES_tradnl"/>
        </w:rPr>
        <w:t>multicéntricos.</w:t>
      </w:r>
      <w:r>
        <w:rPr>
          <w:lang w:val="es-ES_tradnl"/>
        </w:rPr>
        <w:t xml:space="preserve"> Para el ensayo </w:t>
      </w:r>
      <w:r w:rsidRPr="00286CDE">
        <w:rPr>
          <w:lang w:val="es-ES_tradnl"/>
        </w:rPr>
        <w:t>I (SC-I), l</w:t>
      </w:r>
      <w:r>
        <w:rPr>
          <w:lang w:val="es-ES_tradnl"/>
        </w:rPr>
        <w:t xml:space="preserve">os pacientes tenían que ser </w:t>
      </w:r>
      <w:r w:rsidRPr="00286CDE">
        <w:rPr>
          <w:lang w:val="es-ES"/>
        </w:rPr>
        <w:t>&gt;</w:t>
      </w:r>
      <w:r w:rsidR="003532C2" w:rsidRPr="00F30AB8">
        <w:rPr>
          <w:szCs w:val="22"/>
          <w:lang w:val="es-ES"/>
        </w:rPr>
        <w:t> </w:t>
      </w:r>
      <w:r w:rsidRPr="008A106B">
        <w:rPr>
          <w:lang w:val="es-ES_tradnl"/>
        </w:rPr>
        <w:t xml:space="preserve">18 años de edad con artritis reumatoide activa </w:t>
      </w:r>
      <w:r>
        <w:rPr>
          <w:lang w:val="es-ES_tradnl"/>
        </w:rPr>
        <w:t xml:space="preserve">de moderada a grave, </w:t>
      </w:r>
      <w:r w:rsidRPr="008A106B">
        <w:rPr>
          <w:lang w:val="es-ES_tradnl"/>
        </w:rPr>
        <w:t>diagnosticada según los criterios del American</w:t>
      </w:r>
      <w:r>
        <w:rPr>
          <w:lang w:val="es-ES_tradnl"/>
        </w:rPr>
        <w:t xml:space="preserve"> College of Rheumatology (ACR), </w:t>
      </w:r>
      <w:r w:rsidRPr="008A106B">
        <w:rPr>
          <w:lang w:val="es-ES_tradnl"/>
        </w:rPr>
        <w:t xml:space="preserve">tenían al menos </w:t>
      </w:r>
      <w:r>
        <w:rPr>
          <w:lang w:val="es-ES_tradnl"/>
        </w:rPr>
        <w:t>4</w:t>
      </w:r>
      <w:r w:rsidRPr="008A106B">
        <w:rPr>
          <w:lang w:val="es-ES_tradnl"/>
        </w:rPr>
        <w:t xml:space="preserve"> articulaciones doloridas y </w:t>
      </w:r>
      <w:r>
        <w:rPr>
          <w:lang w:val="es-ES_tradnl"/>
        </w:rPr>
        <w:t>4</w:t>
      </w:r>
      <w:r w:rsidRPr="008A106B">
        <w:rPr>
          <w:lang w:val="es-ES_tradnl"/>
        </w:rPr>
        <w:t xml:space="preserve"> inflamadas al inicio</w:t>
      </w:r>
      <w:r>
        <w:rPr>
          <w:lang w:val="es-ES_tradnl"/>
        </w:rPr>
        <w:t xml:space="preserve"> del ensayo</w:t>
      </w:r>
      <w:r w:rsidRPr="008A106B">
        <w:rPr>
          <w:lang w:val="es-ES_tradnl"/>
        </w:rPr>
        <w:t>.</w:t>
      </w:r>
      <w:r w:rsidRPr="008A106B">
        <w:rPr>
          <w:lang w:val="es-ES"/>
        </w:rPr>
        <w:t xml:space="preserve"> </w:t>
      </w:r>
      <w:r>
        <w:rPr>
          <w:lang w:val="es-ES"/>
        </w:rPr>
        <w:t xml:space="preserve">Todos los pacientes recibieron anteriormente FAMEs no biológicos. Para el ensayo II </w:t>
      </w:r>
      <w:r w:rsidRPr="00286CDE">
        <w:rPr>
          <w:lang w:val="es-ES"/>
        </w:rPr>
        <w:t>(SC-II),</w:t>
      </w:r>
      <w:r>
        <w:rPr>
          <w:lang w:val="es-ES"/>
        </w:rPr>
        <w:t xml:space="preserve"> los pacientes tenían que ser</w:t>
      </w:r>
      <w:r w:rsidRPr="00286CDE">
        <w:rPr>
          <w:lang w:val="es-ES"/>
        </w:rPr>
        <w:t xml:space="preserve"> &gt;</w:t>
      </w:r>
      <w:r w:rsidR="003532C2" w:rsidRPr="00F30AB8">
        <w:rPr>
          <w:szCs w:val="22"/>
          <w:lang w:val="es-ES"/>
        </w:rPr>
        <w:t> </w:t>
      </w:r>
      <w:r w:rsidRPr="00286CDE">
        <w:rPr>
          <w:lang w:val="es-ES"/>
        </w:rPr>
        <w:t>18</w:t>
      </w:r>
      <w:r w:rsidR="003532C2" w:rsidRPr="00F30AB8">
        <w:rPr>
          <w:szCs w:val="22"/>
          <w:lang w:val="es-ES"/>
        </w:rPr>
        <w:t> </w:t>
      </w:r>
      <w:r>
        <w:rPr>
          <w:lang w:val="es-ES"/>
        </w:rPr>
        <w:t xml:space="preserve">años de edad </w:t>
      </w:r>
      <w:r w:rsidRPr="008A106B">
        <w:rPr>
          <w:lang w:val="es-ES_tradnl"/>
        </w:rPr>
        <w:t xml:space="preserve">con artritis reumatoide activa </w:t>
      </w:r>
      <w:r>
        <w:rPr>
          <w:lang w:val="es-ES_tradnl"/>
        </w:rPr>
        <w:t xml:space="preserve">de moderada a grave, </w:t>
      </w:r>
      <w:r w:rsidRPr="008A106B">
        <w:rPr>
          <w:lang w:val="es-ES_tradnl"/>
        </w:rPr>
        <w:t xml:space="preserve">diagnosticada según los criterios del American College </w:t>
      </w:r>
      <w:r>
        <w:rPr>
          <w:lang w:val="es-ES_tradnl"/>
        </w:rPr>
        <w:t xml:space="preserve">of Rheumatology (ACR), </w:t>
      </w:r>
      <w:r w:rsidRPr="008A106B">
        <w:rPr>
          <w:lang w:val="es-ES_tradnl"/>
        </w:rPr>
        <w:t xml:space="preserve">tenían al menos </w:t>
      </w:r>
      <w:r>
        <w:rPr>
          <w:lang w:val="es-ES_tradnl"/>
        </w:rPr>
        <w:t>8</w:t>
      </w:r>
      <w:r w:rsidRPr="008A106B">
        <w:rPr>
          <w:lang w:val="es-ES_tradnl"/>
        </w:rPr>
        <w:t xml:space="preserve"> articulaciones doloridas y </w:t>
      </w:r>
      <w:r>
        <w:rPr>
          <w:lang w:val="es-ES_tradnl"/>
        </w:rPr>
        <w:t>6</w:t>
      </w:r>
      <w:r w:rsidRPr="008A106B">
        <w:rPr>
          <w:lang w:val="es-ES_tradnl"/>
        </w:rPr>
        <w:t xml:space="preserve"> inflamadas al inicio</w:t>
      </w:r>
      <w:r>
        <w:rPr>
          <w:lang w:val="es-ES_tradnl"/>
        </w:rPr>
        <w:t xml:space="preserve"> del ensayo</w:t>
      </w:r>
      <w:r w:rsidRPr="008A106B">
        <w:rPr>
          <w:lang w:val="es-ES_tradnl"/>
        </w:rPr>
        <w:t>.</w:t>
      </w:r>
    </w:p>
    <w:p w14:paraId="14D946F0" w14:textId="77777777" w:rsidR="0079644F" w:rsidRDefault="0079644F" w:rsidP="00F30AB8">
      <w:pPr>
        <w:numPr>
          <w:ilvl w:val="12"/>
          <w:numId w:val="0"/>
        </w:numPr>
        <w:spacing w:line="220" w:lineRule="exact"/>
        <w:rPr>
          <w:lang w:val="es-ES_tradnl"/>
        </w:rPr>
      </w:pPr>
    </w:p>
    <w:p w14:paraId="6E832E64" w14:textId="35954678" w:rsidR="0079644F" w:rsidRDefault="0079644F" w:rsidP="0079644F">
      <w:pPr>
        <w:numPr>
          <w:ilvl w:val="12"/>
          <w:numId w:val="0"/>
        </w:numPr>
        <w:rPr>
          <w:lang w:val="es-ES_tradnl"/>
        </w:rPr>
      </w:pPr>
      <w:r w:rsidRPr="00CA1B1E">
        <w:rPr>
          <w:lang w:val="es-ES_tradnl"/>
        </w:rPr>
        <w:t>El cambio de 8</w:t>
      </w:r>
      <w:r w:rsidR="003532C2" w:rsidRPr="00F30AB8">
        <w:rPr>
          <w:szCs w:val="22"/>
          <w:lang w:val="es-ES"/>
        </w:rPr>
        <w:t> </w:t>
      </w:r>
      <w:r w:rsidRPr="00CA1B1E">
        <w:rPr>
          <w:lang w:val="es-ES_tradnl"/>
        </w:rPr>
        <w:t>mg/kg vía intravenosa una vez cada 4</w:t>
      </w:r>
      <w:r w:rsidR="003532C2" w:rsidRPr="00F30AB8">
        <w:rPr>
          <w:szCs w:val="22"/>
          <w:lang w:val="es-ES"/>
        </w:rPr>
        <w:t> </w:t>
      </w:r>
      <w:r w:rsidRPr="00CA1B1E">
        <w:rPr>
          <w:lang w:val="es-ES_tradnl"/>
        </w:rPr>
        <w:t>semanas a 162</w:t>
      </w:r>
      <w:r w:rsidR="003532C2" w:rsidRPr="00F30AB8">
        <w:rPr>
          <w:szCs w:val="22"/>
          <w:lang w:val="es-ES"/>
        </w:rPr>
        <w:t> </w:t>
      </w:r>
      <w:r w:rsidRPr="00CA1B1E">
        <w:rPr>
          <w:lang w:val="es-ES_tradnl"/>
        </w:rPr>
        <w:t xml:space="preserve">mg vía subcutánea una vez por semana alterará la exposición en el paciente. La medida </w:t>
      </w:r>
      <w:r>
        <w:rPr>
          <w:lang w:val="es-ES_tradnl"/>
        </w:rPr>
        <w:t>varí</w:t>
      </w:r>
      <w:r w:rsidRPr="00CA1B1E">
        <w:rPr>
          <w:lang w:val="es-ES_tradnl"/>
        </w:rPr>
        <w:t>a con el peso corporal del paciente (aumentado en los pacientes de bajo peso corporal y disminuyendo en pacientes con alto peso corporal) pero el resultado clínico es consistente con el observado en pacientes tratados con tocilizumab por vía intravenosa.</w:t>
      </w:r>
    </w:p>
    <w:p w14:paraId="3997B4EE" w14:textId="77777777" w:rsidR="0079644F" w:rsidRPr="00CA1B1E" w:rsidRDefault="0079644F" w:rsidP="00F30AB8">
      <w:pPr>
        <w:numPr>
          <w:ilvl w:val="12"/>
          <w:numId w:val="0"/>
        </w:numPr>
        <w:spacing w:line="220" w:lineRule="exact"/>
        <w:rPr>
          <w:u w:val="single"/>
          <w:lang w:val="es-ES_tradnl"/>
        </w:rPr>
      </w:pPr>
    </w:p>
    <w:p w14:paraId="0C04D905" w14:textId="77777777" w:rsidR="0079644F" w:rsidRPr="00F30AB8" w:rsidRDefault="0079644F" w:rsidP="0079644F">
      <w:pPr>
        <w:keepNext/>
        <w:keepLines/>
        <w:numPr>
          <w:ilvl w:val="12"/>
          <w:numId w:val="0"/>
        </w:numPr>
        <w:rPr>
          <w:i/>
          <w:u w:val="single"/>
          <w:lang w:val="es-ES_tradnl"/>
        </w:rPr>
      </w:pPr>
      <w:r w:rsidRPr="00F30AB8">
        <w:rPr>
          <w:i/>
          <w:u w:val="single"/>
          <w:lang w:val="es-ES_tradnl"/>
        </w:rPr>
        <w:t>Respuesta clínica</w:t>
      </w:r>
    </w:p>
    <w:p w14:paraId="31063E07" w14:textId="21D35B79" w:rsidR="0079644F" w:rsidRDefault="0079644F" w:rsidP="0079644F">
      <w:pPr>
        <w:keepNext/>
        <w:keepLines/>
        <w:numPr>
          <w:ilvl w:val="12"/>
          <w:numId w:val="0"/>
        </w:numPr>
        <w:rPr>
          <w:iCs/>
          <w:lang w:val="es-ES_tradnl"/>
        </w:rPr>
      </w:pPr>
      <w:r>
        <w:rPr>
          <w:iCs/>
          <w:lang w:val="es-ES_tradnl"/>
        </w:rPr>
        <w:t xml:space="preserve">El ensayo </w:t>
      </w:r>
      <w:r w:rsidRPr="00286CDE">
        <w:rPr>
          <w:iCs/>
          <w:lang w:val="es-ES_tradnl"/>
        </w:rPr>
        <w:t>SC-I ev</w:t>
      </w:r>
      <w:r>
        <w:rPr>
          <w:iCs/>
          <w:lang w:val="es-ES_tradnl"/>
        </w:rPr>
        <w:t>alúa a pacientes con artritis reumatoide activa de modera</w:t>
      </w:r>
      <w:ins w:id="941" w:author="AUTHOR">
        <w:r w:rsidR="00562CA7">
          <w:rPr>
            <w:iCs/>
            <w:lang w:val="es-ES_tradnl"/>
          </w:rPr>
          <w:t>da</w:t>
        </w:r>
      </w:ins>
      <w:r>
        <w:rPr>
          <w:iCs/>
          <w:lang w:val="es-ES_tradnl"/>
        </w:rPr>
        <w:t xml:space="preserve"> a grave que tuvieron una respuesta clínica inadecuada a las terapias reumatológicas existentes, incluyendo uno o más FAMEs donde aproximadamente el 20 % tuvieron una historia de respuesta inadecuada a al menos un inhibidor del TNF. E</w:t>
      </w:r>
      <w:r w:rsidRPr="00286CDE">
        <w:rPr>
          <w:iCs/>
          <w:lang w:val="es-ES_tradnl"/>
        </w:rPr>
        <w:t>n SC-I,</w:t>
      </w:r>
      <w:r>
        <w:rPr>
          <w:iCs/>
          <w:lang w:val="es-ES_tradnl"/>
        </w:rPr>
        <w:t xml:space="preserve"> 1.262 pacientes fueron aleatorizados 1:1 para recibir 162</w:t>
      </w:r>
      <w:r w:rsidR="00D34894" w:rsidRPr="008A106B">
        <w:rPr>
          <w:lang w:val="es-ES"/>
        </w:rPr>
        <w:t> </w:t>
      </w:r>
      <w:r>
        <w:rPr>
          <w:iCs/>
          <w:lang w:val="es-ES_tradnl"/>
        </w:rPr>
        <w:t xml:space="preserve">mg de </w:t>
      </w:r>
      <w:r w:rsidR="00992ED6">
        <w:rPr>
          <w:szCs w:val="22"/>
          <w:lang w:val="es-ES"/>
        </w:rPr>
        <w:t>tocilizumab</w:t>
      </w:r>
      <w:r w:rsidR="00992ED6" w:rsidDel="007F3BE9">
        <w:rPr>
          <w:lang w:val="es-ES_tradnl"/>
        </w:rPr>
        <w:t xml:space="preserve"> </w:t>
      </w:r>
      <w:r>
        <w:rPr>
          <w:iCs/>
          <w:lang w:val="es-ES_tradnl"/>
        </w:rPr>
        <w:t>subcutáneo una vez por semana u 8</w:t>
      </w:r>
      <w:r w:rsidR="00D34894" w:rsidRPr="008A106B">
        <w:rPr>
          <w:lang w:val="es-ES"/>
        </w:rPr>
        <w:t> </w:t>
      </w:r>
      <w:r>
        <w:rPr>
          <w:iCs/>
          <w:lang w:val="es-ES_tradnl"/>
        </w:rPr>
        <w:t xml:space="preserve">mg/kg de </w:t>
      </w:r>
      <w:r w:rsidR="00992ED6">
        <w:rPr>
          <w:szCs w:val="22"/>
          <w:lang w:val="es-ES"/>
        </w:rPr>
        <w:t>tocilizumab</w:t>
      </w:r>
      <w:r w:rsidR="00992ED6" w:rsidDel="007F3BE9">
        <w:rPr>
          <w:lang w:val="es-ES_tradnl"/>
        </w:rPr>
        <w:t xml:space="preserve"> </w:t>
      </w:r>
      <w:r>
        <w:rPr>
          <w:iCs/>
          <w:lang w:val="es-ES_tradnl"/>
        </w:rPr>
        <w:t>intravenoso cada cuatro semanas en combinación con FAMEs no biológicos. La variable principal en el ensayo fue la diferencia en la proporción de pacientes que consiguieron una respuesta ACR20 a la semana</w:t>
      </w:r>
      <w:r w:rsidR="00D34894" w:rsidRPr="008A106B">
        <w:rPr>
          <w:lang w:val="es-ES"/>
        </w:rPr>
        <w:t> </w:t>
      </w:r>
      <w:r>
        <w:rPr>
          <w:iCs/>
          <w:lang w:val="es-ES_tradnl"/>
        </w:rPr>
        <w:t xml:space="preserve">24. Los resultados del ensayo </w:t>
      </w:r>
      <w:r w:rsidRPr="00286CDE">
        <w:rPr>
          <w:iCs/>
          <w:lang w:val="es-ES_tradnl"/>
        </w:rPr>
        <w:t>SC-I se</w:t>
      </w:r>
      <w:r w:rsidR="00CF43ED">
        <w:rPr>
          <w:iCs/>
          <w:lang w:val="es-ES_tradnl"/>
        </w:rPr>
        <w:t xml:space="preserve"> muestran en la T</w:t>
      </w:r>
      <w:r w:rsidR="00513DDB">
        <w:rPr>
          <w:iCs/>
          <w:lang w:val="es-ES_tradnl"/>
        </w:rPr>
        <w:t>abla</w:t>
      </w:r>
      <w:r w:rsidR="00D34894" w:rsidRPr="008A106B">
        <w:rPr>
          <w:lang w:val="es-ES"/>
        </w:rPr>
        <w:t> </w:t>
      </w:r>
      <w:r w:rsidR="00513DDB">
        <w:rPr>
          <w:iCs/>
          <w:lang w:val="es-ES_tradnl"/>
        </w:rPr>
        <w:t>2</w:t>
      </w:r>
      <w:r>
        <w:rPr>
          <w:iCs/>
          <w:lang w:val="es-ES_tradnl"/>
        </w:rPr>
        <w:t>.</w:t>
      </w:r>
    </w:p>
    <w:p w14:paraId="578668A2" w14:textId="77777777" w:rsidR="0079644F" w:rsidRDefault="0079644F" w:rsidP="0079644F">
      <w:pPr>
        <w:numPr>
          <w:ilvl w:val="12"/>
          <w:numId w:val="0"/>
        </w:numPr>
        <w:rPr>
          <w:iCs/>
          <w:lang w:val="es-ES_tradnl"/>
        </w:rPr>
      </w:pPr>
    </w:p>
    <w:p w14:paraId="5A6903BD" w14:textId="56C49C52" w:rsidR="0079644F" w:rsidRDefault="0079644F" w:rsidP="0079644F">
      <w:pPr>
        <w:keepNext/>
        <w:keepLines/>
        <w:numPr>
          <w:ilvl w:val="12"/>
          <w:numId w:val="0"/>
        </w:numPr>
        <w:rPr>
          <w:bCs/>
          <w:i/>
          <w:lang w:val="es-ES"/>
        </w:rPr>
      </w:pPr>
      <w:r w:rsidRPr="00286CDE">
        <w:rPr>
          <w:bCs/>
          <w:i/>
          <w:lang w:val="es-ES"/>
        </w:rPr>
        <w:t>Tabl</w:t>
      </w:r>
      <w:r w:rsidR="00513DDB">
        <w:rPr>
          <w:bCs/>
          <w:i/>
          <w:lang w:val="es-ES"/>
        </w:rPr>
        <w:t>a 2</w:t>
      </w:r>
      <w:r w:rsidRPr="00286CDE">
        <w:rPr>
          <w:bCs/>
          <w:i/>
          <w:lang w:val="es-ES"/>
        </w:rPr>
        <w:t>. Respuestas ACR en el e</w:t>
      </w:r>
      <w:r>
        <w:rPr>
          <w:bCs/>
          <w:i/>
          <w:lang w:val="es-ES"/>
        </w:rPr>
        <w:t>nsay</w:t>
      </w:r>
      <w:r w:rsidRPr="00286CDE">
        <w:rPr>
          <w:bCs/>
          <w:i/>
          <w:lang w:val="es-ES"/>
        </w:rPr>
        <w:t>o SC-I (% pa</w:t>
      </w:r>
      <w:r>
        <w:rPr>
          <w:bCs/>
          <w:i/>
          <w:lang w:val="es-ES"/>
        </w:rPr>
        <w:t>cientes</w:t>
      </w:r>
      <w:r w:rsidRPr="00286CDE">
        <w:rPr>
          <w:bCs/>
          <w:i/>
          <w:lang w:val="es-ES"/>
        </w:rPr>
        <w:t xml:space="preserve">) </w:t>
      </w:r>
      <w:r>
        <w:rPr>
          <w:bCs/>
          <w:i/>
          <w:lang w:val="es-ES"/>
        </w:rPr>
        <w:t>a la semana</w:t>
      </w:r>
      <w:r w:rsidR="00D34894" w:rsidRPr="008A106B">
        <w:rPr>
          <w:lang w:val="es-ES"/>
        </w:rPr>
        <w:t> </w:t>
      </w:r>
      <w:r w:rsidRPr="00286CDE">
        <w:rPr>
          <w:bCs/>
          <w:i/>
          <w:lang w:val="es-ES"/>
        </w:rPr>
        <w:t>24</w:t>
      </w:r>
    </w:p>
    <w:p w14:paraId="09C1514A" w14:textId="77777777" w:rsidR="0079644F" w:rsidRPr="00286CDE" w:rsidRDefault="0079644F" w:rsidP="00F30AB8">
      <w:pPr>
        <w:keepNext/>
        <w:keepLines/>
        <w:numPr>
          <w:ilvl w:val="12"/>
          <w:numId w:val="0"/>
        </w:numPr>
        <w:spacing w:line="200" w:lineRule="exact"/>
        <w:rPr>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79644F" w:rsidRPr="005A5612" w14:paraId="0509326A" w14:textId="77777777" w:rsidTr="003449F0">
        <w:tc>
          <w:tcPr>
            <w:tcW w:w="2718" w:type="dxa"/>
          </w:tcPr>
          <w:p w14:paraId="58583F60" w14:textId="77777777" w:rsidR="0079644F" w:rsidRPr="005A5612" w:rsidRDefault="0079644F" w:rsidP="003449F0">
            <w:pPr>
              <w:keepNext/>
              <w:keepLines/>
              <w:spacing w:line="280" w:lineRule="atLeast"/>
              <w:rPr>
                <w:sz w:val="20"/>
                <w:lang w:val="es-ES" w:eastAsia="de-DE"/>
              </w:rPr>
            </w:pPr>
          </w:p>
        </w:tc>
        <w:tc>
          <w:tcPr>
            <w:tcW w:w="4903" w:type="dxa"/>
            <w:gridSpan w:val="2"/>
          </w:tcPr>
          <w:p w14:paraId="4C842841" w14:textId="77777777" w:rsidR="0079644F" w:rsidRPr="005A5612" w:rsidRDefault="0079644F" w:rsidP="003449F0">
            <w:pPr>
              <w:keepNext/>
              <w:keepLines/>
              <w:spacing w:line="280" w:lineRule="atLeast"/>
              <w:jc w:val="center"/>
              <w:rPr>
                <w:sz w:val="20"/>
                <w:lang w:eastAsia="de-DE"/>
              </w:rPr>
            </w:pPr>
            <w:r w:rsidRPr="005A5612">
              <w:rPr>
                <w:sz w:val="20"/>
                <w:lang w:eastAsia="de-DE"/>
              </w:rPr>
              <w:t>SC-I</w:t>
            </w:r>
            <w:r w:rsidRPr="005A5612">
              <w:rPr>
                <w:sz w:val="20"/>
                <w:vertAlign w:val="superscript"/>
                <w:lang w:eastAsia="de-DE"/>
              </w:rPr>
              <w:t>a</w:t>
            </w:r>
          </w:p>
        </w:tc>
      </w:tr>
      <w:tr w:rsidR="0079644F" w:rsidRPr="001335A4" w14:paraId="5008EF1E" w14:textId="77777777" w:rsidTr="003449F0">
        <w:tc>
          <w:tcPr>
            <w:tcW w:w="2718" w:type="dxa"/>
          </w:tcPr>
          <w:p w14:paraId="4CDFB618" w14:textId="77777777" w:rsidR="0079644F" w:rsidRPr="005A5612" w:rsidRDefault="0079644F" w:rsidP="003449F0">
            <w:pPr>
              <w:keepNext/>
              <w:keepLines/>
              <w:spacing w:line="280" w:lineRule="atLeast"/>
              <w:rPr>
                <w:sz w:val="20"/>
                <w:lang w:eastAsia="de-DE"/>
              </w:rPr>
            </w:pPr>
          </w:p>
        </w:tc>
        <w:tc>
          <w:tcPr>
            <w:tcW w:w="1926" w:type="dxa"/>
          </w:tcPr>
          <w:p w14:paraId="3D59894A" w14:textId="77777777" w:rsidR="0079644F" w:rsidRPr="005A5612" w:rsidRDefault="0079644F" w:rsidP="003449F0">
            <w:pPr>
              <w:keepNext/>
              <w:keepLines/>
              <w:spacing w:line="280" w:lineRule="atLeast"/>
              <w:jc w:val="center"/>
              <w:rPr>
                <w:sz w:val="20"/>
                <w:lang w:val="es-ES" w:eastAsia="de-DE"/>
              </w:rPr>
            </w:pPr>
            <w:r w:rsidRPr="005A5612">
              <w:rPr>
                <w:sz w:val="20"/>
                <w:lang w:val="es-ES" w:eastAsia="de-DE"/>
              </w:rPr>
              <w:t xml:space="preserve">TCZ SC 162 mg </w:t>
            </w:r>
          </w:p>
          <w:p w14:paraId="2EF4BC2B" w14:textId="77777777" w:rsidR="0079644F" w:rsidRPr="005A5612" w:rsidRDefault="0079644F" w:rsidP="003449F0">
            <w:pPr>
              <w:keepNext/>
              <w:keepLines/>
              <w:spacing w:line="280" w:lineRule="atLeast"/>
              <w:jc w:val="center"/>
              <w:rPr>
                <w:sz w:val="20"/>
                <w:lang w:val="es-ES" w:eastAsia="de-DE"/>
              </w:rPr>
            </w:pPr>
            <w:r w:rsidRPr="005A5612">
              <w:rPr>
                <w:sz w:val="20"/>
                <w:lang w:val="es-ES" w:eastAsia="de-DE"/>
              </w:rPr>
              <w:t>Una vez por semana</w:t>
            </w:r>
          </w:p>
          <w:p w14:paraId="7DE380C1" w14:textId="77777777" w:rsidR="0079644F" w:rsidRPr="00F30AB8" w:rsidRDefault="0079644F" w:rsidP="003449F0">
            <w:pPr>
              <w:keepNext/>
              <w:keepLines/>
              <w:spacing w:line="280" w:lineRule="atLeast"/>
              <w:jc w:val="center"/>
              <w:rPr>
                <w:sz w:val="20"/>
                <w:lang w:val="fr-FR" w:eastAsia="de-DE"/>
              </w:rPr>
            </w:pPr>
            <w:r w:rsidRPr="00F30AB8">
              <w:rPr>
                <w:sz w:val="20"/>
                <w:lang w:val="fr-FR" w:eastAsia="de-DE"/>
              </w:rPr>
              <w:t>+ FAMEs</w:t>
            </w:r>
          </w:p>
          <w:p w14:paraId="1BCF62BA" w14:textId="679BD6BE" w:rsidR="0079644F" w:rsidRPr="005A5612" w:rsidRDefault="0079644F" w:rsidP="003449F0">
            <w:pPr>
              <w:keepNext/>
              <w:keepLines/>
              <w:spacing w:line="280" w:lineRule="atLeast"/>
              <w:jc w:val="center"/>
              <w:rPr>
                <w:sz w:val="20"/>
                <w:lang w:eastAsia="de-DE"/>
              </w:rPr>
            </w:pPr>
            <w:del w:id="942" w:author="AUTHOR">
              <w:r w:rsidRPr="005A5612" w:rsidDel="000228E7">
                <w:rPr>
                  <w:sz w:val="20"/>
                  <w:lang w:eastAsia="de-DE"/>
                </w:rPr>
                <w:delText>N</w:delText>
              </w:r>
            </w:del>
            <w:ins w:id="943" w:author="AUTHOR">
              <w:r w:rsidR="000228E7">
                <w:rPr>
                  <w:sz w:val="20"/>
                  <w:lang w:eastAsia="de-DE"/>
                </w:rPr>
                <w:t>n</w:t>
              </w:r>
            </w:ins>
            <w:r w:rsidRPr="005A5612">
              <w:rPr>
                <w:sz w:val="20"/>
                <w:lang w:eastAsia="de-DE"/>
              </w:rPr>
              <w:t>=558</w:t>
            </w:r>
          </w:p>
        </w:tc>
        <w:tc>
          <w:tcPr>
            <w:tcW w:w="2977" w:type="dxa"/>
          </w:tcPr>
          <w:p w14:paraId="7E0B41B9" w14:textId="77777777" w:rsidR="0079644F" w:rsidRPr="00EF2448" w:rsidRDefault="0079644F" w:rsidP="003449F0">
            <w:pPr>
              <w:keepNext/>
              <w:keepLines/>
              <w:spacing w:line="280" w:lineRule="atLeast"/>
              <w:jc w:val="center"/>
              <w:rPr>
                <w:sz w:val="20"/>
                <w:lang w:val="pt-BR" w:eastAsia="de-DE"/>
              </w:rPr>
            </w:pPr>
            <w:r w:rsidRPr="00EF2448">
              <w:rPr>
                <w:sz w:val="20"/>
                <w:lang w:val="pt-BR" w:eastAsia="de-DE"/>
              </w:rPr>
              <w:t>TCZ IV 8 mg/kg</w:t>
            </w:r>
          </w:p>
          <w:p w14:paraId="10E55357" w14:textId="77777777" w:rsidR="0079644F" w:rsidRPr="00EF2448" w:rsidRDefault="0079644F" w:rsidP="003449F0">
            <w:pPr>
              <w:keepNext/>
              <w:keepLines/>
              <w:spacing w:line="280" w:lineRule="atLeast"/>
              <w:jc w:val="center"/>
              <w:rPr>
                <w:sz w:val="20"/>
                <w:lang w:val="pt-BR" w:eastAsia="de-DE"/>
              </w:rPr>
            </w:pPr>
            <w:r w:rsidRPr="00EF2448">
              <w:rPr>
                <w:sz w:val="20"/>
                <w:lang w:val="pt-BR" w:eastAsia="de-DE"/>
              </w:rPr>
              <w:t>+ FAMEs</w:t>
            </w:r>
          </w:p>
          <w:p w14:paraId="48BAF145" w14:textId="77777777" w:rsidR="0079644F" w:rsidRPr="00EF2448" w:rsidRDefault="0079644F" w:rsidP="003449F0">
            <w:pPr>
              <w:keepNext/>
              <w:keepLines/>
              <w:spacing w:line="280" w:lineRule="atLeast"/>
              <w:jc w:val="center"/>
              <w:rPr>
                <w:sz w:val="20"/>
                <w:lang w:val="pt-BR" w:eastAsia="de-DE"/>
              </w:rPr>
            </w:pPr>
          </w:p>
          <w:p w14:paraId="46C6B48A" w14:textId="4F3BC0EC" w:rsidR="0079644F" w:rsidRPr="00EF2448" w:rsidRDefault="0079644F" w:rsidP="003449F0">
            <w:pPr>
              <w:keepNext/>
              <w:keepLines/>
              <w:spacing w:line="280" w:lineRule="atLeast"/>
              <w:jc w:val="center"/>
              <w:rPr>
                <w:sz w:val="20"/>
                <w:lang w:val="pt-BR" w:eastAsia="de-DE"/>
              </w:rPr>
            </w:pPr>
            <w:del w:id="944" w:author="AUTHOR">
              <w:r w:rsidRPr="00EF2448" w:rsidDel="000228E7">
                <w:rPr>
                  <w:sz w:val="20"/>
                  <w:lang w:val="pt-BR" w:eastAsia="de-DE"/>
                </w:rPr>
                <w:delText>N</w:delText>
              </w:r>
            </w:del>
            <w:ins w:id="945" w:author="AUTHOR">
              <w:r w:rsidR="000228E7">
                <w:rPr>
                  <w:sz w:val="20"/>
                  <w:lang w:val="pt-BR" w:eastAsia="de-DE"/>
                </w:rPr>
                <w:t>n</w:t>
              </w:r>
            </w:ins>
            <w:r w:rsidRPr="00EF2448">
              <w:rPr>
                <w:sz w:val="20"/>
                <w:lang w:val="pt-BR" w:eastAsia="de-DE"/>
              </w:rPr>
              <w:t>=537</w:t>
            </w:r>
          </w:p>
        </w:tc>
      </w:tr>
      <w:tr w:rsidR="0079644F" w:rsidRPr="005A5612" w14:paraId="7891907B" w14:textId="77777777" w:rsidTr="003449F0">
        <w:tc>
          <w:tcPr>
            <w:tcW w:w="2718" w:type="dxa"/>
          </w:tcPr>
          <w:p w14:paraId="01CA3BB4" w14:textId="77777777" w:rsidR="0079644F" w:rsidRPr="005A5612" w:rsidRDefault="0079644F" w:rsidP="003449F0">
            <w:pPr>
              <w:keepNext/>
              <w:keepLines/>
              <w:spacing w:line="280" w:lineRule="atLeast"/>
              <w:jc w:val="right"/>
              <w:rPr>
                <w:sz w:val="20"/>
                <w:lang w:eastAsia="de-DE"/>
              </w:rPr>
            </w:pPr>
            <w:r w:rsidRPr="005A5612">
              <w:rPr>
                <w:sz w:val="20"/>
                <w:lang w:eastAsia="de-DE"/>
              </w:rPr>
              <w:t>ACR20 semana 24</w:t>
            </w:r>
          </w:p>
        </w:tc>
        <w:tc>
          <w:tcPr>
            <w:tcW w:w="1926" w:type="dxa"/>
          </w:tcPr>
          <w:p w14:paraId="466107C9" w14:textId="77777777" w:rsidR="0079644F" w:rsidRPr="005A5612" w:rsidRDefault="0079644F" w:rsidP="003449F0">
            <w:pPr>
              <w:keepNext/>
              <w:keepLines/>
              <w:spacing w:line="280" w:lineRule="atLeast"/>
              <w:jc w:val="center"/>
              <w:rPr>
                <w:sz w:val="20"/>
                <w:lang w:eastAsia="de-DE"/>
              </w:rPr>
            </w:pPr>
            <w:r w:rsidRPr="005A5612">
              <w:rPr>
                <w:sz w:val="20"/>
                <w:lang w:eastAsia="de-DE"/>
              </w:rPr>
              <w:t>69,4</w:t>
            </w:r>
            <w:r>
              <w:rPr>
                <w:sz w:val="20"/>
                <w:lang w:eastAsia="de-DE"/>
              </w:rPr>
              <w:t xml:space="preserve"> </w:t>
            </w:r>
            <w:r w:rsidRPr="005A5612">
              <w:rPr>
                <w:sz w:val="20"/>
                <w:lang w:eastAsia="de-DE"/>
              </w:rPr>
              <w:t>%</w:t>
            </w:r>
          </w:p>
        </w:tc>
        <w:tc>
          <w:tcPr>
            <w:tcW w:w="2977" w:type="dxa"/>
          </w:tcPr>
          <w:p w14:paraId="137487FC" w14:textId="77777777" w:rsidR="0079644F" w:rsidRPr="005A5612" w:rsidRDefault="0079644F" w:rsidP="003449F0">
            <w:pPr>
              <w:keepNext/>
              <w:keepLines/>
              <w:spacing w:line="280" w:lineRule="atLeast"/>
              <w:jc w:val="center"/>
              <w:rPr>
                <w:sz w:val="20"/>
                <w:lang w:eastAsia="de-DE"/>
              </w:rPr>
            </w:pPr>
            <w:r w:rsidRPr="005A5612">
              <w:rPr>
                <w:sz w:val="20"/>
                <w:lang w:eastAsia="de-DE"/>
              </w:rPr>
              <w:t>73,4</w:t>
            </w:r>
            <w:r>
              <w:rPr>
                <w:sz w:val="20"/>
                <w:lang w:eastAsia="de-DE"/>
              </w:rPr>
              <w:t xml:space="preserve"> </w:t>
            </w:r>
            <w:r w:rsidRPr="005A5612">
              <w:rPr>
                <w:sz w:val="20"/>
                <w:lang w:eastAsia="de-DE"/>
              </w:rPr>
              <w:t>%</w:t>
            </w:r>
          </w:p>
        </w:tc>
      </w:tr>
      <w:tr w:rsidR="0079644F" w:rsidRPr="005A5612" w14:paraId="5BB8A7B4" w14:textId="77777777" w:rsidTr="003449F0">
        <w:tc>
          <w:tcPr>
            <w:tcW w:w="2718" w:type="dxa"/>
          </w:tcPr>
          <w:p w14:paraId="0360B8E5" w14:textId="77777777" w:rsidR="0079644F" w:rsidRPr="005A5612" w:rsidRDefault="0079644F" w:rsidP="003449F0">
            <w:pPr>
              <w:keepNext/>
              <w:keepLines/>
              <w:spacing w:line="280" w:lineRule="atLeast"/>
              <w:jc w:val="right"/>
              <w:rPr>
                <w:sz w:val="20"/>
                <w:lang w:eastAsia="de-DE"/>
              </w:rPr>
            </w:pPr>
            <w:r w:rsidRPr="005A5612">
              <w:rPr>
                <w:sz w:val="20"/>
                <w:lang w:eastAsia="de-DE"/>
              </w:rPr>
              <w:t xml:space="preserve">Diferencia ponderada </w:t>
            </w:r>
          </w:p>
          <w:p w14:paraId="30A1E68F" w14:textId="108713CE" w:rsidR="0079644F" w:rsidRPr="005A5612" w:rsidRDefault="0079644F" w:rsidP="003449F0">
            <w:pPr>
              <w:keepNext/>
              <w:keepLines/>
              <w:spacing w:line="280" w:lineRule="atLeast"/>
              <w:jc w:val="right"/>
              <w:rPr>
                <w:sz w:val="20"/>
                <w:lang w:eastAsia="de-DE"/>
              </w:rPr>
            </w:pPr>
            <w:r w:rsidRPr="005A5612">
              <w:rPr>
                <w:sz w:val="20"/>
                <w:lang w:eastAsia="de-DE"/>
              </w:rPr>
              <w:t>(95</w:t>
            </w:r>
            <w:ins w:id="946" w:author="AUTHOR">
              <w:r w:rsidR="000228E7" w:rsidRPr="00E52815">
                <w:rPr>
                  <w:szCs w:val="22"/>
                  <w:lang w:val="en-GB"/>
                </w:rPr>
                <w:t> </w:t>
              </w:r>
            </w:ins>
            <w:r w:rsidRPr="005A5612">
              <w:rPr>
                <w:sz w:val="20"/>
                <w:lang w:eastAsia="de-DE"/>
              </w:rPr>
              <w:t>% IC)</w:t>
            </w:r>
          </w:p>
        </w:tc>
        <w:tc>
          <w:tcPr>
            <w:tcW w:w="4903" w:type="dxa"/>
            <w:gridSpan w:val="2"/>
          </w:tcPr>
          <w:p w14:paraId="4E16CCB9" w14:textId="77777777" w:rsidR="0079644F" w:rsidRPr="005A5612" w:rsidRDefault="0079644F" w:rsidP="003449F0">
            <w:pPr>
              <w:keepNext/>
              <w:keepLines/>
              <w:spacing w:line="280" w:lineRule="atLeast"/>
              <w:jc w:val="center"/>
              <w:rPr>
                <w:sz w:val="20"/>
                <w:lang w:eastAsia="de-DE"/>
              </w:rPr>
            </w:pPr>
            <w:r w:rsidRPr="005A5612">
              <w:rPr>
                <w:sz w:val="20"/>
                <w:lang w:eastAsia="de-DE"/>
              </w:rPr>
              <w:t>-4,0 (-9,2; 1,2)</w:t>
            </w:r>
          </w:p>
        </w:tc>
      </w:tr>
      <w:tr w:rsidR="0079644F" w:rsidRPr="005A5612" w14:paraId="4E769955" w14:textId="77777777" w:rsidTr="003449F0">
        <w:tc>
          <w:tcPr>
            <w:tcW w:w="2718" w:type="dxa"/>
          </w:tcPr>
          <w:p w14:paraId="56067DB4" w14:textId="77777777" w:rsidR="0079644F" w:rsidRPr="005A5612" w:rsidRDefault="0079644F" w:rsidP="003449F0">
            <w:pPr>
              <w:keepNext/>
              <w:keepLines/>
              <w:spacing w:line="280" w:lineRule="atLeast"/>
              <w:jc w:val="right"/>
              <w:rPr>
                <w:sz w:val="20"/>
                <w:lang w:eastAsia="de-DE"/>
              </w:rPr>
            </w:pPr>
            <w:r w:rsidRPr="005A5612">
              <w:rPr>
                <w:sz w:val="20"/>
                <w:lang w:eastAsia="de-DE"/>
              </w:rPr>
              <w:t>ACR50 semana 24</w:t>
            </w:r>
          </w:p>
        </w:tc>
        <w:tc>
          <w:tcPr>
            <w:tcW w:w="1926" w:type="dxa"/>
          </w:tcPr>
          <w:p w14:paraId="52115003" w14:textId="77777777" w:rsidR="0079644F" w:rsidRPr="005A5612" w:rsidRDefault="0079644F" w:rsidP="003449F0">
            <w:pPr>
              <w:keepNext/>
              <w:keepLines/>
              <w:spacing w:line="280" w:lineRule="atLeast"/>
              <w:jc w:val="center"/>
              <w:rPr>
                <w:sz w:val="20"/>
                <w:lang w:eastAsia="de-DE"/>
              </w:rPr>
            </w:pPr>
            <w:r w:rsidRPr="005A5612">
              <w:rPr>
                <w:sz w:val="20"/>
                <w:lang w:eastAsia="de-DE"/>
              </w:rPr>
              <w:t>47,0</w:t>
            </w:r>
            <w:r>
              <w:rPr>
                <w:sz w:val="20"/>
                <w:lang w:eastAsia="de-DE"/>
              </w:rPr>
              <w:t xml:space="preserve"> </w:t>
            </w:r>
            <w:r w:rsidRPr="005A5612">
              <w:rPr>
                <w:sz w:val="20"/>
                <w:lang w:eastAsia="de-DE"/>
              </w:rPr>
              <w:t>%</w:t>
            </w:r>
          </w:p>
        </w:tc>
        <w:tc>
          <w:tcPr>
            <w:tcW w:w="2977" w:type="dxa"/>
          </w:tcPr>
          <w:p w14:paraId="7D3752F6" w14:textId="77777777" w:rsidR="0079644F" w:rsidRPr="005A5612" w:rsidRDefault="0079644F" w:rsidP="003449F0">
            <w:pPr>
              <w:keepNext/>
              <w:keepLines/>
              <w:spacing w:line="280" w:lineRule="atLeast"/>
              <w:jc w:val="center"/>
              <w:rPr>
                <w:sz w:val="20"/>
                <w:lang w:eastAsia="de-DE"/>
              </w:rPr>
            </w:pPr>
            <w:r w:rsidRPr="005A5612">
              <w:rPr>
                <w:sz w:val="20"/>
                <w:lang w:eastAsia="de-DE"/>
              </w:rPr>
              <w:t>48,6</w:t>
            </w:r>
            <w:r>
              <w:rPr>
                <w:sz w:val="20"/>
                <w:lang w:eastAsia="de-DE"/>
              </w:rPr>
              <w:t xml:space="preserve"> </w:t>
            </w:r>
            <w:r w:rsidRPr="005A5612">
              <w:rPr>
                <w:sz w:val="20"/>
                <w:lang w:eastAsia="de-DE"/>
              </w:rPr>
              <w:t>%</w:t>
            </w:r>
          </w:p>
        </w:tc>
      </w:tr>
      <w:tr w:rsidR="0079644F" w:rsidRPr="005A5612" w14:paraId="6FCB52FC" w14:textId="77777777" w:rsidTr="003449F0">
        <w:tc>
          <w:tcPr>
            <w:tcW w:w="2718" w:type="dxa"/>
          </w:tcPr>
          <w:p w14:paraId="36E5365C" w14:textId="77777777" w:rsidR="0079644F" w:rsidRPr="005A5612" w:rsidRDefault="0079644F" w:rsidP="003449F0">
            <w:pPr>
              <w:keepNext/>
              <w:keepLines/>
              <w:spacing w:line="280" w:lineRule="atLeast"/>
              <w:jc w:val="right"/>
              <w:rPr>
                <w:sz w:val="20"/>
                <w:lang w:eastAsia="de-DE"/>
              </w:rPr>
            </w:pPr>
            <w:r w:rsidRPr="005A5612">
              <w:rPr>
                <w:sz w:val="20"/>
                <w:lang w:eastAsia="de-DE"/>
              </w:rPr>
              <w:t>Diferencia ponderada</w:t>
            </w:r>
          </w:p>
          <w:p w14:paraId="12633128" w14:textId="5B2B541D" w:rsidR="0079644F" w:rsidRPr="005A5612" w:rsidRDefault="0079644F" w:rsidP="003449F0">
            <w:pPr>
              <w:keepNext/>
              <w:keepLines/>
              <w:spacing w:line="280" w:lineRule="atLeast"/>
              <w:jc w:val="right"/>
              <w:rPr>
                <w:sz w:val="20"/>
                <w:lang w:eastAsia="de-DE"/>
              </w:rPr>
            </w:pPr>
            <w:r w:rsidRPr="005A5612">
              <w:rPr>
                <w:sz w:val="20"/>
                <w:lang w:eastAsia="de-DE"/>
              </w:rPr>
              <w:t>(95</w:t>
            </w:r>
            <w:ins w:id="947" w:author="AUTHOR">
              <w:r w:rsidR="000228E7" w:rsidRPr="00E52815">
                <w:rPr>
                  <w:szCs w:val="22"/>
                  <w:lang w:val="en-GB"/>
                </w:rPr>
                <w:t> </w:t>
              </w:r>
            </w:ins>
            <w:r w:rsidRPr="005A5612">
              <w:rPr>
                <w:sz w:val="20"/>
                <w:lang w:eastAsia="de-DE"/>
              </w:rPr>
              <w:t>% IC)</w:t>
            </w:r>
          </w:p>
        </w:tc>
        <w:tc>
          <w:tcPr>
            <w:tcW w:w="4903" w:type="dxa"/>
            <w:gridSpan w:val="2"/>
          </w:tcPr>
          <w:p w14:paraId="026174D2" w14:textId="77777777" w:rsidR="0079644F" w:rsidRPr="005A5612" w:rsidRDefault="0079644F" w:rsidP="003449F0">
            <w:pPr>
              <w:keepNext/>
              <w:keepLines/>
              <w:spacing w:line="280" w:lineRule="atLeast"/>
              <w:jc w:val="center"/>
              <w:rPr>
                <w:sz w:val="20"/>
                <w:lang w:eastAsia="de-DE"/>
              </w:rPr>
            </w:pPr>
            <w:r w:rsidRPr="005A5612">
              <w:rPr>
                <w:sz w:val="20"/>
                <w:lang w:eastAsia="de-DE"/>
              </w:rPr>
              <w:t>-1,8 (-7,5; 4,0)</w:t>
            </w:r>
          </w:p>
        </w:tc>
      </w:tr>
      <w:tr w:rsidR="0079644F" w:rsidRPr="005A5612" w14:paraId="485D7303" w14:textId="77777777" w:rsidTr="003449F0">
        <w:tc>
          <w:tcPr>
            <w:tcW w:w="2718" w:type="dxa"/>
          </w:tcPr>
          <w:p w14:paraId="663B7E50" w14:textId="77777777" w:rsidR="0079644F" w:rsidRPr="005A5612" w:rsidRDefault="0079644F" w:rsidP="003449F0">
            <w:pPr>
              <w:spacing w:line="280" w:lineRule="atLeast"/>
              <w:jc w:val="right"/>
              <w:rPr>
                <w:sz w:val="20"/>
                <w:lang w:eastAsia="de-DE"/>
              </w:rPr>
            </w:pPr>
            <w:r w:rsidRPr="005A5612">
              <w:rPr>
                <w:sz w:val="20"/>
                <w:lang w:eastAsia="de-DE"/>
              </w:rPr>
              <w:t>ACR70 semana 24</w:t>
            </w:r>
          </w:p>
        </w:tc>
        <w:tc>
          <w:tcPr>
            <w:tcW w:w="1926" w:type="dxa"/>
          </w:tcPr>
          <w:p w14:paraId="1369C212" w14:textId="77777777" w:rsidR="0079644F" w:rsidRPr="005A5612" w:rsidRDefault="0079644F" w:rsidP="003449F0">
            <w:pPr>
              <w:spacing w:line="280" w:lineRule="atLeast"/>
              <w:jc w:val="center"/>
              <w:rPr>
                <w:sz w:val="20"/>
                <w:lang w:eastAsia="de-DE"/>
              </w:rPr>
            </w:pPr>
            <w:r w:rsidRPr="005A5612">
              <w:rPr>
                <w:sz w:val="20"/>
                <w:lang w:eastAsia="de-DE"/>
              </w:rPr>
              <w:t>24,0</w:t>
            </w:r>
            <w:r>
              <w:rPr>
                <w:sz w:val="20"/>
                <w:lang w:eastAsia="de-DE"/>
              </w:rPr>
              <w:t xml:space="preserve"> </w:t>
            </w:r>
            <w:r w:rsidRPr="005A5612">
              <w:rPr>
                <w:sz w:val="20"/>
                <w:lang w:eastAsia="de-DE"/>
              </w:rPr>
              <w:t>%</w:t>
            </w:r>
          </w:p>
        </w:tc>
        <w:tc>
          <w:tcPr>
            <w:tcW w:w="2977" w:type="dxa"/>
          </w:tcPr>
          <w:p w14:paraId="5B46DB71" w14:textId="77777777" w:rsidR="0079644F" w:rsidRPr="005A5612" w:rsidRDefault="0079644F" w:rsidP="003449F0">
            <w:pPr>
              <w:spacing w:line="280" w:lineRule="atLeast"/>
              <w:jc w:val="center"/>
              <w:rPr>
                <w:sz w:val="20"/>
                <w:lang w:eastAsia="de-DE"/>
              </w:rPr>
            </w:pPr>
            <w:r w:rsidRPr="005A5612">
              <w:rPr>
                <w:sz w:val="20"/>
                <w:lang w:eastAsia="de-DE"/>
              </w:rPr>
              <w:t>27,9</w:t>
            </w:r>
            <w:r>
              <w:rPr>
                <w:sz w:val="20"/>
                <w:lang w:eastAsia="de-DE"/>
              </w:rPr>
              <w:t xml:space="preserve"> </w:t>
            </w:r>
            <w:r w:rsidRPr="005A5612">
              <w:rPr>
                <w:sz w:val="20"/>
                <w:lang w:eastAsia="de-DE"/>
              </w:rPr>
              <w:t>%</w:t>
            </w:r>
          </w:p>
        </w:tc>
      </w:tr>
      <w:tr w:rsidR="0079644F" w:rsidRPr="005A5612" w14:paraId="70D6576A" w14:textId="77777777" w:rsidTr="003449F0">
        <w:tc>
          <w:tcPr>
            <w:tcW w:w="2718" w:type="dxa"/>
          </w:tcPr>
          <w:p w14:paraId="441228AF" w14:textId="77777777" w:rsidR="0079644F" w:rsidRPr="005A5612" w:rsidRDefault="0079644F" w:rsidP="00F30AB8">
            <w:pPr>
              <w:widowControl w:val="0"/>
              <w:spacing w:line="280" w:lineRule="atLeast"/>
              <w:jc w:val="right"/>
              <w:rPr>
                <w:sz w:val="20"/>
                <w:lang w:eastAsia="de-DE"/>
              </w:rPr>
            </w:pPr>
            <w:r w:rsidRPr="005A5612">
              <w:rPr>
                <w:sz w:val="20"/>
                <w:lang w:eastAsia="de-DE"/>
              </w:rPr>
              <w:t>Diferencia ponderada</w:t>
            </w:r>
          </w:p>
          <w:p w14:paraId="07AF9F50" w14:textId="3B5BC1AB" w:rsidR="0079644F" w:rsidRPr="005A5612" w:rsidRDefault="0079644F" w:rsidP="00F30AB8">
            <w:pPr>
              <w:widowControl w:val="0"/>
              <w:spacing w:line="280" w:lineRule="atLeast"/>
              <w:jc w:val="right"/>
              <w:rPr>
                <w:sz w:val="20"/>
                <w:lang w:eastAsia="de-DE"/>
              </w:rPr>
            </w:pPr>
            <w:r w:rsidRPr="005A5612">
              <w:rPr>
                <w:sz w:val="20"/>
                <w:lang w:eastAsia="de-DE"/>
              </w:rPr>
              <w:t xml:space="preserve"> (95</w:t>
            </w:r>
            <w:ins w:id="948" w:author="AUTHOR">
              <w:r w:rsidR="000228E7" w:rsidRPr="00E52815">
                <w:rPr>
                  <w:szCs w:val="22"/>
                  <w:lang w:val="en-GB"/>
                </w:rPr>
                <w:t> </w:t>
              </w:r>
            </w:ins>
            <w:r w:rsidRPr="005A5612">
              <w:rPr>
                <w:sz w:val="20"/>
                <w:lang w:eastAsia="de-DE"/>
              </w:rPr>
              <w:t>% IC)</w:t>
            </w:r>
          </w:p>
        </w:tc>
        <w:tc>
          <w:tcPr>
            <w:tcW w:w="4903" w:type="dxa"/>
            <w:gridSpan w:val="2"/>
          </w:tcPr>
          <w:p w14:paraId="777F7C74" w14:textId="77777777" w:rsidR="0079644F" w:rsidRPr="005A5612" w:rsidRDefault="0079644F" w:rsidP="00F30AB8">
            <w:pPr>
              <w:widowControl w:val="0"/>
              <w:spacing w:line="280" w:lineRule="atLeast"/>
              <w:jc w:val="center"/>
              <w:rPr>
                <w:sz w:val="20"/>
                <w:lang w:eastAsia="de-DE"/>
              </w:rPr>
            </w:pPr>
            <w:r w:rsidRPr="005A5612">
              <w:rPr>
                <w:sz w:val="20"/>
                <w:lang w:eastAsia="de-DE"/>
              </w:rPr>
              <w:t>-3,8 (-9,0; 1,3)</w:t>
            </w:r>
          </w:p>
        </w:tc>
      </w:tr>
    </w:tbl>
    <w:p w14:paraId="69E45F49" w14:textId="77777777" w:rsidR="00992ED6" w:rsidRPr="00F30AB8" w:rsidRDefault="00992ED6" w:rsidP="00F30AB8">
      <w:pPr>
        <w:pStyle w:val="Standard1"/>
        <w:widowControl w:val="0"/>
        <w:autoSpaceDE/>
        <w:autoSpaceDN/>
        <w:adjustRightInd/>
        <w:rPr>
          <w:sz w:val="18"/>
          <w:szCs w:val="18"/>
          <w:lang w:val="es-ES" w:eastAsia="de-DE"/>
        </w:rPr>
      </w:pPr>
      <w:r w:rsidRPr="00F30AB8">
        <w:rPr>
          <w:rFonts w:ascii="Times New Roman" w:eastAsia="Times New Roman" w:hAnsi="Times New Roman"/>
          <w:sz w:val="18"/>
          <w:szCs w:val="18"/>
          <w:lang w:val="es-ES" w:eastAsia="de-DE"/>
        </w:rPr>
        <w:t>FAME: fármacos antirreumáticos modificadores de la enfermedad</w:t>
      </w:r>
    </w:p>
    <w:p w14:paraId="7928755E" w14:textId="77777777" w:rsidR="0079644F" w:rsidRPr="00365E7F" w:rsidRDefault="0079644F" w:rsidP="00F30AB8">
      <w:pPr>
        <w:pStyle w:val="Standard1"/>
        <w:widowControl w:val="0"/>
        <w:autoSpaceDE/>
        <w:autoSpaceDN/>
        <w:adjustRightInd/>
        <w:rPr>
          <w:sz w:val="18"/>
          <w:szCs w:val="18"/>
          <w:lang w:val="es-ES" w:eastAsia="de-DE"/>
        </w:rPr>
      </w:pPr>
      <w:r w:rsidRPr="00F30AB8">
        <w:rPr>
          <w:rFonts w:ascii="Times New Roman" w:eastAsia="Times New Roman" w:hAnsi="Times New Roman"/>
          <w:sz w:val="18"/>
          <w:szCs w:val="18"/>
          <w:lang w:val="es-ES" w:eastAsia="de-DE"/>
        </w:rPr>
        <w:t>TCZ = tocilizumab</w:t>
      </w:r>
    </w:p>
    <w:p w14:paraId="202B8F09" w14:textId="77777777" w:rsidR="00992ED6" w:rsidRPr="00365E7F" w:rsidRDefault="00992ED6" w:rsidP="00F30AB8">
      <w:pPr>
        <w:pStyle w:val="Standard1"/>
        <w:widowControl w:val="0"/>
        <w:autoSpaceDE/>
        <w:autoSpaceDN/>
        <w:adjustRightInd/>
        <w:rPr>
          <w:sz w:val="18"/>
          <w:szCs w:val="18"/>
          <w:lang w:val="es-ES" w:eastAsia="de-DE"/>
        </w:rPr>
      </w:pPr>
      <w:r w:rsidRPr="00365E7F">
        <w:rPr>
          <w:rFonts w:ascii="Times New Roman" w:eastAsia="Times New Roman" w:hAnsi="Times New Roman"/>
          <w:sz w:val="18"/>
          <w:szCs w:val="18"/>
          <w:lang w:val="es-ES" w:eastAsia="de-DE"/>
        </w:rPr>
        <w:lastRenderedPageBreak/>
        <w:t>IV: intravenoso</w:t>
      </w:r>
    </w:p>
    <w:p w14:paraId="421B17B9" w14:textId="4FADD5EC" w:rsidR="00992ED6" w:rsidRPr="00F30AB8" w:rsidRDefault="00992ED6" w:rsidP="00F30AB8">
      <w:pPr>
        <w:pStyle w:val="Standard1"/>
        <w:widowControl w:val="0"/>
        <w:autoSpaceDE/>
        <w:autoSpaceDN/>
        <w:adjustRightInd/>
        <w:rPr>
          <w:sz w:val="18"/>
          <w:szCs w:val="18"/>
          <w:lang w:val="es-ES" w:eastAsia="de-DE"/>
        </w:rPr>
      </w:pPr>
      <w:r w:rsidRPr="00365E7F">
        <w:rPr>
          <w:rFonts w:ascii="Times New Roman" w:eastAsia="Times New Roman" w:hAnsi="Times New Roman"/>
          <w:sz w:val="18"/>
          <w:szCs w:val="18"/>
          <w:lang w:val="es-ES" w:eastAsia="de-DE"/>
        </w:rPr>
        <w:t xml:space="preserve">SC: </w:t>
      </w:r>
      <w:r w:rsidR="00D34894" w:rsidRPr="00365E7F">
        <w:rPr>
          <w:rFonts w:ascii="Times New Roman" w:eastAsia="Times New Roman" w:hAnsi="Times New Roman"/>
          <w:sz w:val="18"/>
          <w:szCs w:val="18"/>
          <w:lang w:val="es-ES" w:eastAsia="de-DE"/>
        </w:rPr>
        <w:t>subcutáneo</w:t>
      </w:r>
    </w:p>
    <w:p w14:paraId="2469EAAD" w14:textId="77777777" w:rsidR="0079644F" w:rsidRPr="00F30AB8" w:rsidRDefault="0079644F" w:rsidP="00F30AB8">
      <w:pPr>
        <w:pStyle w:val="Standard1"/>
        <w:widowControl w:val="0"/>
        <w:autoSpaceDE/>
        <w:autoSpaceDN/>
        <w:adjustRightInd/>
        <w:rPr>
          <w:sz w:val="18"/>
          <w:szCs w:val="18"/>
          <w:lang w:val="es-ES" w:eastAsia="de-DE"/>
        </w:rPr>
      </w:pPr>
      <w:r w:rsidRPr="00F30AB8">
        <w:rPr>
          <w:rFonts w:ascii="Times New Roman" w:eastAsia="Times New Roman" w:hAnsi="Times New Roman"/>
          <w:sz w:val="18"/>
          <w:szCs w:val="18"/>
          <w:lang w:val="es-ES" w:eastAsia="de-DE"/>
        </w:rPr>
        <w:t>a = población por protocolo</w:t>
      </w:r>
    </w:p>
    <w:p w14:paraId="0E5CB9DB" w14:textId="77777777" w:rsidR="0079644F" w:rsidRPr="00F30AB8" w:rsidRDefault="0079644F" w:rsidP="0079644F">
      <w:pPr>
        <w:spacing w:line="280" w:lineRule="atLeast"/>
        <w:rPr>
          <w:sz w:val="18"/>
          <w:szCs w:val="18"/>
          <w:lang w:val="es-ES" w:eastAsia="de-DE"/>
        </w:rPr>
      </w:pPr>
    </w:p>
    <w:p w14:paraId="1652B338" w14:textId="14037152" w:rsidR="0079644F" w:rsidRPr="00286CDE" w:rsidRDefault="0079644F" w:rsidP="00556927">
      <w:pPr>
        <w:numPr>
          <w:ilvl w:val="12"/>
          <w:numId w:val="0"/>
        </w:numPr>
        <w:rPr>
          <w:iCs/>
          <w:lang w:val="es-ES"/>
        </w:rPr>
      </w:pPr>
      <w:r>
        <w:rPr>
          <w:iCs/>
          <w:lang w:val="es-ES_tradnl"/>
        </w:rPr>
        <w:t>Los pacientes en el ensay</w:t>
      </w:r>
      <w:r w:rsidRPr="00286CDE">
        <w:rPr>
          <w:iCs/>
          <w:lang w:val="es-ES_tradnl"/>
        </w:rPr>
        <w:t>o SC-I</w:t>
      </w:r>
      <w:r>
        <w:rPr>
          <w:iCs/>
          <w:lang w:val="es-ES_tradnl"/>
        </w:rPr>
        <w:t xml:space="preserve"> tenían un </w:t>
      </w:r>
      <w:r w:rsidRPr="008A106B">
        <w:rPr>
          <w:lang w:val="es-ES"/>
        </w:rPr>
        <w:t>nivel medio de actividad de la enfermedad</w:t>
      </w:r>
      <w:r>
        <w:rPr>
          <w:lang w:val="es-ES"/>
        </w:rPr>
        <w:t xml:space="preserve"> (DAS28) al inicio del ensayo de 6,6 y 6,7 en los </w:t>
      </w:r>
      <w:del w:id="949" w:author="AUTHOR">
        <w:r w:rsidDel="004E273B">
          <w:rPr>
            <w:lang w:val="es-ES"/>
          </w:rPr>
          <w:delText>brazo</w:delText>
        </w:r>
      </w:del>
      <w:ins w:id="950" w:author="AUTHOR">
        <w:r w:rsidR="004E273B">
          <w:rPr>
            <w:lang w:val="es-ES"/>
          </w:rPr>
          <w:t>grupo</w:t>
        </w:r>
      </w:ins>
      <w:r>
        <w:rPr>
          <w:lang w:val="es-ES"/>
        </w:rPr>
        <w:t>s subcutáneo e intravenoso, respectivamente. A la semana</w:t>
      </w:r>
      <w:r w:rsidR="00D34894" w:rsidRPr="00F30AB8">
        <w:rPr>
          <w:szCs w:val="22"/>
          <w:lang w:val="es-ES"/>
        </w:rPr>
        <w:t> </w:t>
      </w:r>
      <w:r w:rsidR="00D34894" w:rsidDel="00D34894">
        <w:rPr>
          <w:lang w:val="es-ES"/>
        </w:rPr>
        <w:t xml:space="preserve"> </w:t>
      </w:r>
      <w:r>
        <w:rPr>
          <w:lang w:val="es-ES"/>
        </w:rPr>
        <w:t xml:space="preserve">24, se observó una reducción significativa en el DAS28 desde el inicio (mejoría media) de 3,5 en ambos </w:t>
      </w:r>
      <w:del w:id="951" w:author="AUTHOR">
        <w:r w:rsidDel="004E273B">
          <w:rPr>
            <w:lang w:val="es-ES"/>
          </w:rPr>
          <w:delText>brazo</w:delText>
        </w:r>
      </w:del>
      <w:ins w:id="952" w:author="AUTHOR">
        <w:r w:rsidR="004E273B">
          <w:rPr>
            <w:lang w:val="es-ES"/>
          </w:rPr>
          <w:t>grupo</w:t>
        </w:r>
      </w:ins>
      <w:r>
        <w:rPr>
          <w:lang w:val="es-ES"/>
        </w:rPr>
        <w:t>s de tratamiento, y una proporción comparable de pacientes consiguieron remisión clínica del DAS28 (DAS28 &lt; 2,</w:t>
      </w:r>
      <w:r w:rsidRPr="00286CDE">
        <w:rPr>
          <w:lang w:val="es-ES"/>
        </w:rPr>
        <w:t xml:space="preserve">6) en el </w:t>
      </w:r>
      <w:del w:id="953" w:author="AUTHOR">
        <w:r w:rsidRPr="00286CDE" w:rsidDel="004E273B">
          <w:rPr>
            <w:lang w:val="es-ES"/>
          </w:rPr>
          <w:delText>brazo</w:delText>
        </w:r>
      </w:del>
      <w:ins w:id="954" w:author="AUTHOR">
        <w:r w:rsidR="004E273B">
          <w:rPr>
            <w:lang w:val="es-ES"/>
          </w:rPr>
          <w:t>grupo</w:t>
        </w:r>
      </w:ins>
      <w:r w:rsidRPr="00286CDE">
        <w:rPr>
          <w:lang w:val="es-ES"/>
        </w:rPr>
        <w:t xml:space="preserve"> subcutáneo (38</w:t>
      </w:r>
      <w:r>
        <w:rPr>
          <w:lang w:val="es-ES"/>
        </w:rPr>
        <w:t>,</w:t>
      </w:r>
      <w:r w:rsidRPr="00286CDE">
        <w:rPr>
          <w:lang w:val="es-ES"/>
        </w:rPr>
        <w:t>4</w:t>
      </w:r>
      <w:r>
        <w:rPr>
          <w:lang w:val="es-ES"/>
        </w:rPr>
        <w:t xml:space="preserve"> </w:t>
      </w:r>
      <w:r w:rsidRPr="00286CDE">
        <w:rPr>
          <w:lang w:val="es-ES"/>
        </w:rPr>
        <w:t>%)</w:t>
      </w:r>
      <w:r>
        <w:rPr>
          <w:lang w:val="es-ES"/>
        </w:rPr>
        <w:t xml:space="preserve"> e intravenoso </w:t>
      </w:r>
      <w:r w:rsidRPr="00286CDE">
        <w:rPr>
          <w:lang w:val="es-ES"/>
        </w:rPr>
        <w:t>(36</w:t>
      </w:r>
      <w:r>
        <w:rPr>
          <w:lang w:val="es-ES"/>
        </w:rPr>
        <w:t>,</w:t>
      </w:r>
      <w:r w:rsidRPr="00286CDE">
        <w:rPr>
          <w:lang w:val="es-ES"/>
        </w:rPr>
        <w:t>9</w:t>
      </w:r>
      <w:r>
        <w:rPr>
          <w:lang w:val="es-ES"/>
        </w:rPr>
        <w:t xml:space="preserve"> </w:t>
      </w:r>
      <w:r w:rsidRPr="00286CDE">
        <w:rPr>
          <w:lang w:val="es-ES"/>
        </w:rPr>
        <w:t>%)</w:t>
      </w:r>
      <w:r>
        <w:rPr>
          <w:lang w:val="es-ES"/>
        </w:rPr>
        <w:t>.</w:t>
      </w:r>
    </w:p>
    <w:p w14:paraId="7DB228B5" w14:textId="77777777" w:rsidR="0079644F" w:rsidRPr="00286CDE" w:rsidRDefault="0079644F" w:rsidP="00556927">
      <w:pPr>
        <w:numPr>
          <w:ilvl w:val="12"/>
          <w:numId w:val="0"/>
        </w:numPr>
        <w:rPr>
          <w:iCs/>
          <w:lang w:val="es-ES"/>
        </w:rPr>
      </w:pPr>
    </w:p>
    <w:p w14:paraId="36D09EE4" w14:textId="77777777" w:rsidR="0079644F" w:rsidRPr="00F30AB8" w:rsidRDefault="0079644F" w:rsidP="0079644F">
      <w:pPr>
        <w:keepNext/>
        <w:keepLines/>
        <w:numPr>
          <w:ilvl w:val="12"/>
          <w:numId w:val="0"/>
        </w:numPr>
        <w:rPr>
          <w:i/>
          <w:iCs/>
          <w:u w:val="single"/>
          <w:lang w:val="es-ES_tradnl"/>
        </w:rPr>
      </w:pPr>
      <w:r w:rsidRPr="00F30AB8">
        <w:rPr>
          <w:i/>
          <w:iCs/>
          <w:u w:val="single"/>
          <w:lang w:val="es-ES_tradnl"/>
        </w:rPr>
        <w:t>Respuesta radiográfica</w:t>
      </w:r>
    </w:p>
    <w:p w14:paraId="7C6C6378" w14:textId="2F300C0C" w:rsidR="0079644F" w:rsidRDefault="0079644F" w:rsidP="0079644F">
      <w:pPr>
        <w:numPr>
          <w:ilvl w:val="12"/>
          <w:numId w:val="0"/>
        </w:numPr>
        <w:rPr>
          <w:lang w:val="es-ES_tradnl"/>
        </w:rPr>
      </w:pPr>
      <w:r>
        <w:rPr>
          <w:iCs/>
          <w:lang w:val="es-ES_tradnl"/>
        </w:rPr>
        <w:t xml:space="preserve">La respuesta radiográfica de la administración subcutánea de </w:t>
      </w:r>
      <w:r w:rsidR="005105B0">
        <w:rPr>
          <w:szCs w:val="22"/>
          <w:lang w:val="es-ES"/>
        </w:rPr>
        <w:t>tocilizumab</w:t>
      </w:r>
      <w:r w:rsidR="005105B0" w:rsidRPr="006868F5">
        <w:rPr>
          <w:szCs w:val="22"/>
          <w:lang w:val="es-ES"/>
        </w:rPr>
        <w:t xml:space="preserve"> </w:t>
      </w:r>
      <w:r>
        <w:rPr>
          <w:iCs/>
          <w:lang w:val="es-ES_tradnl"/>
        </w:rPr>
        <w:t>fue evaluada en un ensayo doble ciego, controlado, multicéntrico en pacientes con AR activa (SC-II). El ensayo SC-II evalúa a los pacientes con AR de moderada a grave que tenían una respuesta clínica inadecuada a los tratamientos reumatológicos existentes, incluyendo uno o más FAMEs donde aproximadamente el 20 % tuvieron una respuesta inadecuada a al menos un inhibidor del TNF. L</w:t>
      </w:r>
      <w:r>
        <w:rPr>
          <w:lang w:val="es-ES"/>
        </w:rPr>
        <w:t>os pacientes tenían que ser</w:t>
      </w:r>
      <w:r w:rsidRPr="002D4EC8">
        <w:rPr>
          <w:lang w:val="es-ES"/>
        </w:rPr>
        <w:t xml:space="preserve"> </w:t>
      </w:r>
      <w:r w:rsidR="00D34894" w:rsidRPr="00F30AB8">
        <w:rPr>
          <w:szCs w:val="22"/>
          <w:lang w:val="es-ES"/>
        </w:rPr>
        <w:t> </w:t>
      </w:r>
      <w:r w:rsidR="00D34894" w:rsidRPr="002D4EC8">
        <w:rPr>
          <w:lang w:val="es-ES"/>
        </w:rPr>
        <w:t xml:space="preserve"> </w:t>
      </w:r>
      <w:proofErr w:type="gramStart"/>
      <w:r w:rsidRPr="002D4EC8">
        <w:rPr>
          <w:lang w:val="es-ES"/>
        </w:rPr>
        <w:t>&gt;</w:t>
      </w:r>
      <w:r w:rsidR="00D34894" w:rsidRPr="00F30AB8">
        <w:rPr>
          <w:szCs w:val="22"/>
          <w:lang w:val="es-ES"/>
        </w:rPr>
        <w:t> </w:t>
      </w:r>
      <w:r w:rsidR="00D34894" w:rsidRPr="002D4EC8">
        <w:rPr>
          <w:lang w:val="es-ES"/>
        </w:rPr>
        <w:t xml:space="preserve"> </w:t>
      </w:r>
      <w:r w:rsidRPr="002D4EC8">
        <w:rPr>
          <w:lang w:val="es-ES"/>
        </w:rPr>
        <w:t>18</w:t>
      </w:r>
      <w:proofErr w:type="gramEnd"/>
      <w:r w:rsidR="00D34894" w:rsidRPr="00F30AB8">
        <w:rPr>
          <w:szCs w:val="22"/>
          <w:lang w:val="es-ES"/>
        </w:rPr>
        <w:t> </w:t>
      </w:r>
      <w:r w:rsidR="00D34894" w:rsidDel="00D34894">
        <w:rPr>
          <w:lang w:val="es-ES"/>
        </w:rPr>
        <w:t xml:space="preserve"> </w:t>
      </w:r>
      <w:r>
        <w:rPr>
          <w:lang w:val="es-ES"/>
        </w:rPr>
        <w:t xml:space="preserve">años de edad </w:t>
      </w:r>
      <w:r w:rsidRPr="008A106B">
        <w:rPr>
          <w:lang w:val="es-ES_tradnl"/>
        </w:rPr>
        <w:t xml:space="preserve">con artritis reumatoide activa diagnosticada según los criterios del American College of Rheumatology (ACR) tenían al menos </w:t>
      </w:r>
      <w:r>
        <w:rPr>
          <w:lang w:val="es-ES_tradnl"/>
        </w:rPr>
        <w:t>8</w:t>
      </w:r>
      <w:r w:rsidRPr="008A106B">
        <w:rPr>
          <w:lang w:val="es-ES_tradnl"/>
        </w:rPr>
        <w:t xml:space="preserve"> articulaciones doloridas y </w:t>
      </w:r>
      <w:r>
        <w:rPr>
          <w:lang w:val="es-ES_tradnl"/>
        </w:rPr>
        <w:t>6</w:t>
      </w:r>
      <w:r w:rsidRPr="008A106B">
        <w:rPr>
          <w:lang w:val="es-ES_tradnl"/>
        </w:rPr>
        <w:t xml:space="preserve"> inflamadas al inicio</w:t>
      </w:r>
      <w:r>
        <w:rPr>
          <w:lang w:val="es-ES_tradnl"/>
        </w:rPr>
        <w:t xml:space="preserve"> del ensayo</w:t>
      </w:r>
      <w:r w:rsidRPr="008A106B">
        <w:rPr>
          <w:lang w:val="es-ES_tradnl"/>
        </w:rPr>
        <w:t>.</w:t>
      </w:r>
      <w:r>
        <w:rPr>
          <w:lang w:val="es-ES_tradnl"/>
        </w:rPr>
        <w:t xml:space="preserve"> En SC-II, </w:t>
      </w:r>
      <w:proofErr w:type="gramStart"/>
      <w:r>
        <w:rPr>
          <w:lang w:val="es-ES_tradnl"/>
        </w:rPr>
        <w:t>656</w:t>
      </w:r>
      <w:r w:rsidR="00D34894" w:rsidRPr="00F30AB8">
        <w:rPr>
          <w:szCs w:val="22"/>
          <w:lang w:val="es-ES"/>
        </w:rPr>
        <w:t> </w:t>
      </w:r>
      <w:r w:rsidR="00D34894" w:rsidDel="00D34894">
        <w:rPr>
          <w:lang w:val="es-ES_tradnl"/>
        </w:rPr>
        <w:t xml:space="preserve"> </w:t>
      </w:r>
      <w:r>
        <w:rPr>
          <w:lang w:val="es-ES_tradnl"/>
        </w:rPr>
        <w:t>pacientes</w:t>
      </w:r>
      <w:proofErr w:type="gramEnd"/>
      <w:r>
        <w:rPr>
          <w:lang w:val="es-ES_tradnl"/>
        </w:rPr>
        <w:t xml:space="preserve"> fueron aleatorizados 2:1 a 162</w:t>
      </w:r>
      <w:r w:rsidR="00D34894" w:rsidRPr="00F30AB8">
        <w:rPr>
          <w:szCs w:val="22"/>
          <w:lang w:val="es-ES"/>
        </w:rPr>
        <w:t> </w:t>
      </w:r>
      <w:r w:rsidR="00D34894" w:rsidDel="00D34894">
        <w:rPr>
          <w:lang w:val="es-ES_tradnl"/>
        </w:rPr>
        <w:t xml:space="preserve"> </w:t>
      </w:r>
      <w:r>
        <w:rPr>
          <w:lang w:val="es-ES_tradnl"/>
        </w:rPr>
        <w:t xml:space="preserve">mg de </w:t>
      </w:r>
      <w:r w:rsidR="005105B0">
        <w:rPr>
          <w:szCs w:val="22"/>
          <w:lang w:val="es-ES"/>
        </w:rPr>
        <w:t>tocilizumab</w:t>
      </w:r>
      <w:r w:rsidR="005105B0" w:rsidRPr="006868F5">
        <w:rPr>
          <w:szCs w:val="22"/>
          <w:lang w:val="es-ES"/>
        </w:rPr>
        <w:t xml:space="preserve"> </w:t>
      </w:r>
      <w:r w:rsidR="005105B0">
        <w:rPr>
          <w:szCs w:val="22"/>
          <w:lang w:val="es-ES"/>
        </w:rPr>
        <w:t>subcutáneo</w:t>
      </w:r>
      <w:r>
        <w:rPr>
          <w:lang w:val="es-ES_tradnl"/>
        </w:rPr>
        <w:t xml:space="preserve"> cada dos semanas o placebo, en combinación con FAMEs no biológicos.</w:t>
      </w:r>
    </w:p>
    <w:p w14:paraId="65310035" w14:textId="77777777" w:rsidR="0079644F" w:rsidRDefault="0079644F" w:rsidP="0079644F">
      <w:pPr>
        <w:numPr>
          <w:ilvl w:val="12"/>
          <w:numId w:val="0"/>
        </w:numPr>
        <w:rPr>
          <w:lang w:val="es-ES_tradnl"/>
        </w:rPr>
      </w:pPr>
    </w:p>
    <w:p w14:paraId="23E1D6C9" w14:textId="06C77274" w:rsidR="0079644F" w:rsidRDefault="0079644F" w:rsidP="0079644F">
      <w:pPr>
        <w:autoSpaceDE w:val="0"/>
        <w:autoSpaceDN w:val="0"/>
        <w:adjustRightInd w:val="0"/>
        <w:rPr>
          <w:lang w:val="es-ES"/>
        </w:rPr>
      </w:pPr>
      <w:r w:rsidRPr="00CA1B1E">
        <w:rPr>
          <w:lang w:val="es-ES_tradnl"/>
        </w:rPr>
        <w:t>En el e</w:t>
      </w:r>
      <w:r>
        <w:rPr>
          <w:lang w:val="es-ES_tradnl"/>
        </w:rPr>
        <w:t>nsay</w:t>
      </w:r>
      <w:r w:rsidRPr="00CA1B1E">
        <w:rPr>
          <w:lang w:val="es-ES_tradnl"/>
        </w:rPr>
        <w:t>o SC-II, se midió la inhibición del daño estructural radiográficamente en las articulaciones y fue expresado</w:t>
      </w:r>
      <w:r w:rsidRPr="00CA1B1E">
        <w:rPr>
          <w:lang w:val="es-ES"/>
        </w:rPr>
        <w:t xml:space="preserve"> como el ca</w:t>
      </w:r>
      <w:r w:rsidRPr="00CA1B1E">
        <w:rPr>
          <w:lang w:val="es-ES_tradnl"/>
        </w:rPr>
        <w:t xml:space="preserve">mbio respecto al estado basal en la escala TSS (escala Sharp total) modificada por van der Heijde. </w:t>
      </w:r>
      <w:r w:rsidRPr="00CA1B1E">
        <w:rPr>
          <w:lang w:val="es-ES"/>
        </w:rPr>
        <w:t xml:space="preserve">En la </w:t>
      </w:r>
      <w:proofErr w:type="gramStart"/>
      <w:r w:rsidRPr="00CA1B1E">
        <w:rPr>
          <w:lang w:val="es-ES"/>
        </w:rPr>
        <w:t>semana</w:t>
      </w:r>
      <w:r w:rsidR="00D34894" w:rsidRPr="00F30AB8">
        <w:rPr>
          <w:szCs w:val="22"/>
          <w:lang w:val="es-ES"/>
        </w:rPr>
        <w:t> </w:t>
      </w:r>
      <w:r w:rsidR="00D34894" w:rsidRPr="00CA1B1E" w:rsidDel="00D34894">
        <w:rPr>
          <w:lang w:val="es-ES"/>
        </w:rPr>
        <w:t xml:space="preserve"> </w:t>
      </w:r>
      <w:r w:rsidRPr="00CA1B1E">
        <w:rPr>
          <w:lang w:val="es-ES"/>
        </w:rPr>
        <w:t>24</w:t>
      </w:r>
      <w:proofErr w:type="gramEnd"/>
      <w:r w:rsidRPr="00CA1B1E">
        <w:rPr>
          <w:lang w:val="es-ES"/>
        </w:rPr>
        <w:t xml:space="preserve">, se mostró una inhibición del daño estructural, con una progresión radiográfica significativamente menor en pacientes que recibían </w:t>
      </w:r>
      <w:r w:rsidR="005105B0">
        <w:rPr>
          <w:szCs w:val="22"/>
          <w:lang w:val="es-ES"/>
        </w:rPr>
        <w:t>tocilizumab</w:t>
      </w:r>
      <w:r w:rsidR="005105B0" w:rsidRPr="006868F5">
        <w:rPr>
          <w:szCs w:val="22"/>
          <w:lang w:val="es-ES"/>
        </w:rPr>
        <w:t xml:space="preserve"> </w:t>
      </w:r>
      <w:r w:rsidRPr="00CA1B1E">
        <w:rPr>
          <w:lang w:val="es-ES"/>
        </w:rPr>
        <w:t>subcutáneo comparado con placebo (mTSS medio de 0,62 frente a1,23</w:t>
      </w:r>
      <w:r>
        <w:rPr>
          <w:lang w:val="es-ES"/>
        </w:rPr>
        <w:t>;</w:t>
      </w:r>
      <w:r w:rsidRPr="00CA1B1E">
        <w:rPr>
          <w:lang w:val="es-ES"/>
        </w:rPr>
        <w:t xml:space="preserve"> p=0,0149 (van Elteren). Estos resultados están en línea con los observados en pa</w:t>
      </w:r>
      <w:r>
        <w:rPr>
          <w:lang w:val="es-ES"/>
        </w:rPr>
        <w:t xml:space="preserve">cientes tratados con </w:t>
      </w:r>
      <w:r w:rsidR="005105B0">
        <w:rPr>
          <w:szCs w:val="22"/>
          <w:lang w:val="es-ES"/>
        </w:rPr>
        <w:t>tocilizumab</w:t>
      </w:r>
      <w:r w:rsidR="005105B0" w:rsidRPr="006868F5">
        <w:rPr>
          <w:szCs w:val="22"/>
          <w:lang w:val="es-ES"/>
        </w:rPr>
        <w:t xml:space="preserve"> </w:t>
      </w:r>
      <w:r w:rsidRPr="00CA1B1E">
        <w:rPr>
          <w:lang w:val="es-ES"/>
        </w:rPr>
        <w:t>intravenoso.</w:t>
      </w:r>
    </w:p>
    <w:p w14:paraId="29F99538" w14:textId="77777777" w:rsidR="0079644F" w:rsidRDefault="0079644F" w:rsidP="0079644F">
      <w:pPr>
        <w:numPr>
          <w:ilvl w:val="12"/>
          <w:numId w:val="0"/>
        </w:numPr>
        <w:rPr>
          <w:lang w:val="es-ES"/>
        </w:rPr>
      </w:pPr>
    </w:p>
    <w:p w14:paraId="66DE41A9" w14:textId="2DE10E78" w:rsidR="0079644F" w:rsidRPr="00286CDE" w:rsidRDefault="0079644F" w:rsidP="0079644F">
      <w:pPr>
        <w:numPr>
          <w:ilvl w:val="12"/>
          <w:numId w:val="0"/>
        </w:numPr>
        <w:rPr>
          <w:lang w:val="es-ES"/>
        </w:rPr>
      </w:pPr>
      <w:r>
        <w:rPr>
          <w:lang w:val="es-ES"/>
        </w:rPr>
        <w:t>En el ensayo SC-II en la semana</w:t>
      </w:r>
      <w:r w:rsidR="00D34894" w:rsidRPr="00F30AB8">
        <w:rPr>
          <w:szCs w:val="22"/>
          <w:lang w:val="es-ES"/>
        </w:rPr>
        <w:t> </w:t>
      </w:r>
      <w:r w:rsidR="00D34894" w:rsidDel="00D34894">
        <w:rPr>
          <w:lang w:val="es-ES"/>
        </w:rPr>
        <w:t xml:space="preserve"> </w:t>
      </w:r>
      <w:r>
        <w:rPr>
          <w:lang w:val="es-ES"/>
        </w:rPr>
        <w:t>24 en pacientes tratados con tocilizumab subcutáneo cada dos semanas frente a placebo, se obtuvieron unos resultados de ACR</w:t>
      </w:r>
      <w:r w:rsidR="00D34894" w:rsidRPr="002C5491">
        <w:rPr>
          <w:szCs w:val="22"/>
          <w:lang w:val="es-ES"/>
        </w:rPr>
        <w:t> </w:t>
      </w:r>
      <w:r w:rsidR="00D34894">
        <w:rPr>
          <w:lang w:val="es-ES"/>
        </w:rPr>
        <w:t xml:space="preserve"> </w:t>
      </w:r>
      <w:r>
        <w:rPr>
          <w:lang w:val="es-ES"/>
        </w:rPr>
        <w:t>20 60,9 %, ACR</w:t>
      </w:r>
      <w:r w:rsidR="00D34894" w:rsidRPr="002C5491">
        <w:rPr>
          <w:szCs w:val="22"/>
          <w:lang w:val="es-ES"/>
        </w:rPr>
        <w:t> </w:t>
      </w:r>
      <w:r w:rsidR="00D34894">
        <w:rPr>
          <w:lang w:val="es-ES"/>
        </w:rPr>
        <w:t xml:space="preserve"> </w:t>
      </w:r>
      <w:r>
        <w:rPr>
          <w:lang w:val="es-ES"/>
        </w:rPr>
        <w:t>50 39,8 %, ACR</w:t>
      </w:r>
      <w:r w:rsidR="00D34894" w:rsidRPr="002C5491">
        <w:rPr>
          <w:szCs w:val="22"/>
          <w:lang w:val="es-ES"/>
        </w:rPr>
        <w:t> </w:t>
      </w:r>
      <w:r w:rsidR="00D34894">
        <w:rPr>
          <w:lang w:val="es-ES"/>
        </w:rPr>
        <w:t xml:space="preserve"> </w:t>
      </w:r>
      <w:r>
        <w:rPr>
          <w:lang w:val="es-ES"/>
        </w:rPr>
        <w:t xml:space="preserve">70 19,7 % en el </w:t>
      </w:r>
      <w:del w:id="955" w:author="AUTHOR">
        <w:r w:rsidDel="004E273B">
          <w:rPr>
            <w:lang w:val="es-ES"/>
          </w:rPr>
          <w:delText>brazo</w:delText>
        </w:r>
      </w:del>
      <w:ins w:id="956" w:author="AUTHOR">
        <w:r w:rsidR="004E273B">
          <w:rPr>
            <w:lang w:val="es-ES"/>
          </w:rPr>
          <w:t>grupo</w:t>
        </w:r>
      </w:ins>
      <w:r>
        <w:rPr>
          <w:lang w:val="es-ES"/>
        </w:rPr>
        <w:t xml:space="preserve"> de </w:t>
      </w:r>
      <w:r w:rsidR="00D34894">
        <w:rPr>
          <w:szCs w:val="22"/>
          <w:lang w:val="es-ES"/>
        </w:rPr>
        <w:t>tocilizumab</w:t>
      </w:r>
      <w:r w:rsidR="00D34894" w:rsidRPr="006868F5">
        <w:rPr>
          <w:szCs w:val="22"/>
          <w:lang w:val="es-ES"/>
        </w:rPr>
        <w:t xml:space="preserve"> </w:t>
      </w:r>
      <w:r>
        <w:rPr>
          <w:lang w:val="es-ES"/>
        </w:rPr>
        <w:t>y ACR</w:t>
      </w:r>
      <w:r w:rsidR="00D34894" w:rsidRPr="002C5491">
        <w:rPr>
          <w:szCs w:val="22"/>
          <w:lang w:val="es-ES"/>
        </w:rPr>
        <w:t> </w:t>
      </w:r>
      <w:r w:rsidR="00D34894">
        <w:rPr>
          <w:lang w:val="es-ES"/>
        </w:rPr>
        <w:t xml:space="preserve"> </w:t>
      </w:r>
      <w:r>
        <w:rPr>
          <w:lang w:val="es-ES"/>
        </w:rPr>
        <w:t xml:space="preserve">20 </w:t>
      </w:r>
      <w:r w:rsidRPr="00286CDE">
        <w:rPr>
          <w:rFonts w:eastAsia="MS PGothic"/>
          <w:color w:val="000000"/>
          <w:szCs w:val="22"/>
          <w:lang w:val="es-ES"/>
        </w:rPr>
        <w:t>31</w:t>
      </w:r>
      <w:r>
        <w:rPr>
          <w:rFonts w:eastAsia="MS PGothic"/>
          <w:color w:val="000000"/>
          <w:szCs w:val="22"/>
          <w:lang w:val="es-ES"/>
        </w:rPr>
        <w:t>,</w:t>
      </w:r>
      <w:r w:rsidRPr="00286CDE">
        <w:rPr>
          <w:rFonts w:eastAsia="MS PGothic"/>
          <w:color w:val="000000"/>
          <w:szCs w:val="22"/>
          <w:lang w:val="es-ES"/>
        </w:rPr>
        <w:t>5</w:t>
      </w:r>
      <w:r>
        <w:rPr>
          <w:rFonts w:eastAsia="MS PGothic"/>
          <w:color w:val="000000"/>
          <w:szCs w:val="22"/>
          <w:lang w:val="es-ES"/>
        </w:rPr>
        <w:t xml:space="preserve"> </w:t>
      </w:r>
      <w:r w:rsidRPr="00286CDE">
        <w:rPr>
          <w:rFonts w:eastAsia="MS PGothic"/>
          <w:color w:val="000000"/>
          <w:szCs w:val="22"/>
          <w:lang w:val="es-ES"/>
        </w:rPr>
        <w:t>%, ACR</w:t>
      </w:r>
      <w:r w:rsidR="00D34894" w:rsidRPr="002C5491">
        <w:rPr>
          <w:szCs w:val="22"/>
          <w:lang w:val="es-ES"/>
        </w:rPr>
        <w:t> </w:t>
      </w:r>
      <w:r w:rsidR="00D34894" w:rsidRPr="00286CDE">
        <w:rPr>
          <w:rFonts w:eastAsia="MS PGothic"/>
          <w:color w:val="000000"/>
          <w:szCs w:val="22"/>
          <w:lang w:val="es-ES"/>
        </w:rPr>
        <w:t xml:space="preserve"> </w:t>
      </w:r>
      <w:r w:rsidRPr="00286CDE">
        <w:rPr>
          <w:rFonts w:eastAsia="MS PGothic"/>
          <w:color w:val="000000"/>
          <w:szCs w:val="22"/>
          <w:lang w:val="es-ES"/>
        </w:rPr>
        <w:t>50 12</w:t>
      </w:r>
      <w:r>
        <w:rPr>
          <w:rFonts w:eastAsia="MS PGothic"/>
          <w:color w:val="000000"/>
          <w:szCs w:val="22"/>
          <w:lang w:val="es-ES"/>
        </w:rPr>
        <w:t>,</w:t>
      </w:r>
      <w:r w:rsidRPr="00286CDE">
        <w:rPr>
          <w:rFonts w:eastAsia="MS PGothic"/>
          <w:color w:val="000000"/>
          <w:szCs w:val="22"/>
          <w:lang w:val="es-ES"/>
        </w:rPr>
        <w:t>3</w:t>
      </w:r>
      <w:r>
        <w:rPr>
          <w:rFonts w:eastAsia="MS PGothic"/>
          <w:color w:val="000000"/>
          <w:szCs w:val="22"/>
          <w:lang w:val="es-ES"/>
        </w:rPr>
        <w:t xml:space="preserve"> </w:t>
      </w:r>
      <w:r w:rsidRPr="00286CDE">
        <w:rPr>
          <w:rFonts w:eastAsia="MS PGothic"/>
          <w:color w:val="000000"/>
          <w:szCs w:val="22"/>
          <w:lang w:val="es-ES"/>
        </w:rPr>
        <w:t xml:space="preserve">% </w:t>
      </w:r>
      <w:r>
        <w:rPr>
          <w:rFonts w:eastAsia="MS PGothic"/>
          <w:color w:val="000000"/>
          <w:szCs w:val="22"/>
          <w:lang w:val="es-ES"/>
        </w:rPr>
        <w:t>y</w:t>
      </w:r>
      <w:r w:rsidRPr="00286CDE">
        <w:rPr>
          <w:rFonts w:eastAsia="MS PGothic"/>
          <w:color w:val="000000"/>
          <w:szCs w:val="22"/>
          <w:lang w:val="es-ES"/>
        </w:rPr>
        <w:t xml:space="preserve"> ACR</w:t>
      </w:r>
      <w:r w:rsidR="00D34894" w:rsidRPr="002C5491">
        <w:rPr>
          <w:szCs w:val="22"/>
          <w:lang w:val="es-ES"/>
        </w:rPr>
        <w:t> </w:t>
      </w:r>
      <w:r w:rsidR="00D34894" w:rsidRPr="00286CDE">
        <w:rPr>
          <w:rFonts w:eastAsia="MS PGothic"/>
          <w:color w:val="000000"/>
          <w:szCs w:val="22"/>
          <w:lang w:val="es-ES"/>
        </w:rPr>
        <w:t xml:space="preserve"> </w:t>
      </w:r>
      <w:r w:rsidRPr="00286CDE">
        <w:rPr>
          <w:rFonts w:eastAsia="MS PGothic"/>
          <w:color w:val="000000"/>
          <w:szCs w:val="22"/>
          <w:lang w:val="es-ES"/>
        </w:rPr>
        <w:t>70 5</w:t>
      </w:r>
      <w:r>
        <w:rPr>
          <w:rFonts w:eastAsia="MS PGothic"/>
          <w:color w:val="000000"/>
          <w:szCs w:val="22"/>
          <w:lang w:val="es-ES"/>
        </w:rPr>
        <w:t>,</w:t>
      </w:r>
      <w:r w:rsidRPr="00286CDE">
        <w:rPr>
          <w:rFonts w:eastAsia="MS PGothic"/>
          <w:color w:val="000000"/>
          <w:szCs w:val="22"/>
          <w:lang w:val="es-ES"/>
        </w:rPr>
        <w:t>0</w:t>
      </w:r>
      <w:r>
        <w:rPr>
          <w:rFonts w:eastAsia="MS PGothic"/>
          <w:color w:val="000000"/>
          <w:szCs w:val="22"/>
          <w:lang w:val="es-ES"/>
        </w:rPr>
        <w:t xml:space="preserve"> </w:t>
      </w:r>
      <w:r w:rsidRPr="00286CDE">
        <w:rPr>
          <w:rFonts w:eastAsia="MS PGothic"/>
          <w:color w:val="000000"/>
          <w:szCs w:val="22"/>
          <w:lang w:val="es-ES"/>
        </w:rPr>
        <w:t>%</w:t>
      </w:r>
      <w:r>
        <w:rPr>
          <w:rFonts w:eastAsia="MS PGothic"/>
          <w:color w:val="000000"/>
          <w:szCs w:val="22"/>
          <w:lang w:val="es-ES"/>
        </w:rPr>
        <w:t xml:space="preserve"> en el </w:t>
      </w:r>
      <w:del w:id="957" w:author="AUTHOR">
        <w:r w:rsidDel="004E273B">
          <w:rPr>
            <w:rFonts w:eastAsia="MS PGothic"/>
            <w:color w:val="000000"/>
            <w:szCs w:val="22"/>
            <w:lang w:val="es-ES"/>
          </w:rPr>
          <w:delText>brazo</w:delText>
        </w:r>
      </w:del>
      <w:ins w:id="958" w:author="AUTHOR">
        <w:r w:rsidR="004E273B">
          <w:rPr>
            <w:rFonts w:eastAsia="MS PGothic"/>
            <w:color w:val="000000"/>
            <w:szCs w:val="22"/>
            <w:lang w:val="es-ES"/>
          </w:rPr>
          <w:t>grupo</w:t>
        </w:r>
      </w:ins>
      <w:r>
        <w:rPr>
          <w:rFonts w:eastAsia="MS PGothic"/>
          <w:color w:val="000000"/>
          <w:szCs w:val="22"/>
          <w:lang w:val="es-ES"/>
        </w:rPr>
        <w:t xml:space="preserve"> de placebo. La media del DAS28 al inicio del ensayo era de 6,7 en tocilizumab subcutáneo y 6,6 en el placebo. En la semana</w:t>
      </w:r>
      <w:r w:rsidR="00D34894" w:rsidRPr="002C5491">
        <w:rPr>
          <w:szCs w:val="22"/>
          <w:lang w:val="es-ES"/>
        </w:rPr>
        <w:t> </w:t>
      </w:r>
      <w:r w:rsidR="00D34894" w:rsidDel="00D34894">
        <w:rPr>
          <w:rFonts w:eastAsia="MS PGothic"/>
          <w:color w:val="000000"/>
          <w:szCs w:val="22"/>
          <w:lang w:val="es-ES"/>
        </w:rPr>
        <w:t xml:space="preserve"> </w:t>
      </w:r>
      <w:r>
        <w:rPr>
          <w:rFonts w:eastAsia="MS PGothic"/>
          <w:color w:val="000000"/>
          <w:szCs w:val="22"/>
          <w:lang w:val="es-ES"/>
        </w:rPr>
        <w:t>24 hubo una reducción significativa del DAS28 de 3,1 en tocilizumab subcutáneo y de 1,7 en placebo, se observaron valores de DAS28</w:t>
      </w:r>
      <w:r w:rsidR="00D34894" w:rsidRPr="00F30AB8">
        <w:rPr>
          <w:rFonts w:eastAsia="MS PGothic"/>
          <w:color w:val="000000"/>
          <w:szCs w:val="22"/>
          <w:lang w:val="es-ES"/>
        </w:rPr>
        <w:t xml:space="preserve"> &lt; </w:t>
      </w:r>
      <w:r>
        <w:rPr>
          <w:rFonts w:eastAsia="MS PGothic"/>
          <w:color w:val="000000"/>
          <w:szCs w:val="22"/>
          <w:lang w:val="es-ES"/>
        </w:rPr>
        <w:t xml:space="preserve">2,6 en el 32 % de los pacientes con tocilizumab en el </w:t>
      </w:r>
      <w:del w:id="959" w:author="AUTHOR">
        <w:r w:rsidDel="004E273B">
          <w:rPr>
            <w:rFonts w:eastAsia="MS PGothic"/>
            <w:color w:val="000000"/>
            <w:szCs w:val="22"/>
            <w:lang w:val="es-ES"/>
          </w:rPr>
          <w:delText>brazo</w:delText>
        </w:r>
      </w:del>
      <w:ins w:id="960" w:author="AUTHOR">
        <w:r w:rsidR="004E273B">
          <w:rPr>
            <w:rFonts w:eastAsia="MS PGothic"/>
            <w:color w:val="000000"/>
            <w:szCs w:val="22"/>
            <w:lang w:val="es-ES"/>
          </w:rPr>
          <w:t>grupo</w:t>
        </w:r>
      </w:ins>
      <w:r>
        <w:rPr>
          <w:rFonts w:eastAsia="MS PGothic"/>
          <w:color w:val="000000"/>
          <w:szCs w:val="22"/>
          <w:lang w:val="es-ES"/>
        </w:rPr>
        <w:t xml:space="preserve"> subcutáneo y en el 4 % en el </w:t>
      </w:r>
      <w:del w:id="961" w:author="AUTHOR">
        <w:r w:rsidDel="004E273B">
          <w:rPr>
            <w:rFonts w:eastAsia="MS PGothic"/>
            <w:color w:val="000000"/>
            <w:szCs w:val="22"/>
            <w:lang w:val="es-ES"/>
          </w:rPr>
          <w:delText>brazo</w:delText>
        </w:r>
      </w:del>
      <w:ins w:id="962" w:author="AUTHOR">
        <w:r w:rsidR="004E273B">
          <w:rPr>
            <w:rFonts w:eastAsia="MS PGothic"/>
            <w:color w:val="000000"/>
            <w:szCs w:val="22"/>
            <w:lang w:val="es-ES"/>
          </w:rPr>
          <w:t>grupo</w:t>
        </w:r>
      </w:ins>
      <w:r>
        <w:rPr>
          <w:rFonts w:eastAsia="MS PGothic"/>
          <w:color w:val="000000"/>
          <w:szCs w:val="22"/>
          <w:lang w:val="es-ES"/>
        </w:rPr>
        <w:t xml:space="preserve"> placebo.</w:t>
      </w:r>
    </w:p>
    <w:p w14:paraId="7789D2B3" w14:textId="77777777" w:rsidR="0079644F" w:rsidRDefault="0079644F" w:rsidP="0079644F">
      <w:pPr>
        <w:keepNext/>
        <w:keepLines/>
        <w:numPr>
          <w:ilvl w:val="12"/>
          <w:numId w:val="0"/>
        </w:numPr>
        <w:rPr>
          <w:iCs/>
          <w:lang w:val="es-ES_tradnl"/>
        </w:rPr>
      </w:pPr>
    </w:p>
    <w:p w14:paraId="7D6502DA" w14:textId="77777777" w:rsidR="0079644F" w:rsidRPr="00F30AB8" w:rsidRDefault="0079644F" w:rsidP="0079644F">
      <w:pPr>
        <w:rPr>
          <w:i/>
          <w:iCs/>
          <w:u w:val="single"/>
          <w:lang w:val="es-ES_tradnl"/>
        </w:rPr>
      </w:pPr>
      <w:r w:rsidRPr="00F30AB8">
        <w:rPr>
          <w:i/>
          <w:iCs/>
          <w:u w:val="single"/>
          <w:lang w:val="es-ES_tradnl"/>
        </w:rPr>
        <w:t>Resultados relacionados con la salud y la calidad de vida</w:t>
      </w:r>
    </w:p>
    <w:p w14:paraId="272B5FB4" w14:textId="5F712CED" w:rsidR="0079644F" w:rsidRDefault="0079644F" w:rsidP="0079644F">
      <w:pPr>
        <w:rPr>
          <w:lang w:val="es-ES"/>
        </w:rPr>
      </w:pPr>
      <w:r>
        <w:rPr>
          <w:iCs/>
          <w:lang w:val="es-ES_tradnl"/>
        </w:rPr>
        <w:t>En el ensayo SC-I, la disminución media en HAQ-DI desde el inicio a la semana</w:t>
      </w:r>
      <w:r w:rsidR="00D34894" w:rsidRPr="002C5491">
        <w:rPr>
          <w:szCs w:val="22"/>
          <w:lang w:val="es-ES"/>
        </w:rPr>
        <w:t> </w:t>
      </w:r>
      <w:r w:rsidR="00D34894" w:rsidDel="00D34894">
        <w:rPr>
          <w:iCs/>
          <w:lang w:val="es-ES_tradnl"/>
        </w:rPr>
        <w:t xml:space="preserve"> </w:t>
      </w:r>
      <w:r>
        <w:rPr>
          <w:iCs/>
          <w:lang w:val="es-ES_tradnl"/>
        </w:rPr>
        <w:t xml:space="preserve">24 fue 0,6 tanto en el </w:t>
      </w:r>
      <w:del w:id="963" w:author="AUTHOR">
        <w:r w:rsidDel="004E273B">
          <w:rPr>
            <w:iCs/>
            <w:lang w:val="es-ES_tradnl"/>
          </w:rPr>
          <w:delText>brazo</w:delText>
        </w:r>
      </w:del>
      <w:ins w:id="964" w:author="AUTHOR">
        <w:r w:rsidR="004E273B">
          <w:rPr>
            <w:iCs/>
            <w:lang w:val="es-ES_tradnl"/>
          </w:rPr>
          <w:t>grupo</w:t>
        </w:r>
      </w:ins>
      <w:r>
        <w:rPr>
          <w:iCs/>
          <w:lang w:val="es-ES_tradnl"/>
        </w:rPr>
        <w:t xml:space="preserve"> de </w:t>
      </w:r>
      <w:r w:rsidRPr="00FC59A2">
        <w:rPr>
          <w:iCs/>
          <w:lang w:val="es-ES_tradnl"/>
        </w:rPr>
        <w:t xml:space="preserve">tocilizumab subcutáneo como en </w:t>
      </w:r>
      <w:del w:id="965" w:author="AUTHOR">
        <w:r w:rsidRPr="00FC59A2" w:rsidDel="004E273B">
          <w:rPr>
            <w:iCs/>
            <w:lang w:val="es-ES_tradnl"/>
          </w:rPr>
          <w:delText>brazo</w:delText>
        </w:r>
      </w:del>
      <w:ins w:id="966" w:author="AUTHOR">
        <w:r w:rsidR="004E273B">
          <w:rPr>
            <w:iCs/>
            <w:lang w:val="es-ES_tradnl"/>
          </w:rPr>
          <w:t>grupo</w:t>
        </w:r>
      </w:ins>
      <w:r w:rsidRPr="00FC59A2">
        <w:rPr>
          <w:iCs/>
          <w:lang w:val="es-ES_tradnl"/>
        </w:rPr>
        <w:t xml:space="preserve"> de tocilizumab intravenoso. La proporción de pacientes que consiguieron una mejoría clínicamente relevante en HAQ-DI a la semana</w:t>
      </w:r>
      <w:r w:rsidR="00D34894" w:rsidRPr="002C5491">
        <w:rPr>
          <w:szCs w:val="22"/>
          <w:lang w:val="es-ES"/>
        </w:rPr>
        <w:t> </w:t>
      </w:r>
      <w:r w:rsidR="00D34894" w:rsidRPr="00FC59A2" w:rsidDel="00D34894">
        <w:rPr>
          <w:iCs/>
          <w:lang w:val="es-ES_tradnl"/>
        </w:rPr>
        <w:t xml:space="preserve"> </w:t>
      </w:r>
      <w:r w:rsidRPr="00FC59A2">
        <w:rPr>
          <w:iCs/>
          <w:lang w:val="es-ES_tradnl"/>
        </w:rPr>
        <w:t xml:space="preserve">24 (cambio desde el inicio de </w:t>
      </w:r>
      <w:r w:rsidRPr="00FC59A2">
        <w:rPr>
          <w:lang w:val="es-ES"/>
        </w:rPr>
        <w:t xml:space="preserve">≥ 0,3 unidades) fue también comparable en ambos </w:t>
      </w:r>
      <w:del w:id="967" w:author="AUTHOR">
        <w:r w:rsidRPr="00FC59A2" w:rsidDel="004E273B">
          <w:rPr>
            <w:lang w:val="es-ES"/>
          </w:rPr>
          <w:delText>brazo</w:delText>
        </w:r>
      </w:del>
      <w:ins w:id="968" w:author="AUTHOR">
        <w:r w:rsidR="004E273B">
          <w:rPr>
            <w:lang w:val="es-ES"/>
          </w:rPr>
          <w:t>grupo</w:t>
        </w:r>
      </w:ins>
      <w:r w:rsidRPr="00FC59A2">
        <w:rPr>
          <w:lang w:val="es-ES"/>
        </w:rPr>
        <w:t>s, 65,2</w:t>
      </w:r>
      <w:r>
        <w:rPr>
          <w:lang w:val="es-ES"/>
        </w:rPr>
        <w:t xml:space="preserve"> </w:t>
      </w:r>
      <w:r w:rsidRPr="00FC59A2">
        <w:rPr>
          <w:lang w:val="es-ES"/>
        </w:rPr>
        <w:t>% en el subcutáneo frente a 67,4</w:t>
      </w:r>
      <w:r>
        <w:rPr>
          <w:lang w:val="es-ES"/>
        </w:rPr>
        <w:t xml:space="preserve"> </w:t>
      </w:r>
      <w:r w:rsidRPr="00FC59A2">
        <w:rPr>
          <w:lang w:val="es-ES"/>
        </w:rPr>
        <w:t>% en el intravenoso,</w:t>
      </w:r>
      <w:r>
        <w:rPr>
          <w:lang w:val="es-ES"/>
        </w:rPr>
        <w:t xml:space="preserve"> con una diferencia ponderada en proporciones de -2,3 % (95 % IC-8,1; 3,</w:t>
      </w:r>
      <w:r w:rsidRPr="00FF1EDA">
        <w:rPr>
          <w:lang w:val="es-ES"/>
        </w:rPr>
        <w:t>4)</w:t>
      </w:r>
      <w:r>
        <w:rPr>
          <w:lang w:val="es-ES"/>
        </w:rPr>
        <w:t xml:space="preserve">. Para </w:t>
      </w:r>
      <w:r w:rsidRPr="00FF1EDA">
        <w:rPr>
          <w:lang w:val="es-ES"/>
        </w:rPr>
        <w:t>SF</w:t>
      </w:r>
      <w:r>
        <w:rPr>
          <w:lang w:val="es-ES"/>
        </w:rPr>
        <w:t xml:space="preserve"> 36, el cambio medio desde el inicio hasta la semana 24 en el valor del componente mental fue de 6,22 para el </w:t>
      </w:r>
      <w:del w:id="969" w:author="AUTHOR">
        <w:r w:rsidDel="004E273B">
          <w:rPr>
            <w:lang w:val="es-ES"/>
          </w:rPr>
          <w:delText>brazo</w:delText>
        </w:r>
      </w:del>
      <w:ins w:id="970" w:author="AUTHOR">
        <w:r w:rsidR="004E273B">
          <w:rPr>
            <w:lang w:val="es-ES"/>
          </w:rPr>
          <w:t>grupo</w:t>
        </w:r>
      </w:ins>
      <w:r>
        <w:rPr>
          <w:lang w:val="es-ES"/>
        </w:rPr>
        <w:t xml:space="preserve"> subcutáneo y de 6,54 para el </w:t>
      </w:r>
      <w:del w:id="971" w:author="AUTHOR">
        <w:r w:rsidDel="004E273B">
          <w:rPr>
            <w:lang w:val="es-ES"/>
          </w:rPr>
          <w:delText>brazo</w:delText>
        </w:r>
      </w:del>
      <w:ins w:id="972" w:author="AUTHOR">
        <w:r w:rsidR="004E273B">
          <w:rPr>
            <w:lang w:val="es-ES"/>
          </w:rPr>
          <w:t>grupo</w:t>
        </w:r>
      </w:ins>
      <w:r>
        <w:rPr>
          <w:lang w:val="es-ES"/>
        </w:rPr>
        <w:t xml:space="preserve"> intravenoso, y para el valor del componente físico fue también similar en ambos </w:t>
      </w:r>
      <w:del w:id="973" w:author="AUTHOR">
        <w:r w:rsidDel="004E273B">
          <w:rPr>
            <w:lang w:val="es-ES"/>
          </w:rPr>
          <w:delText>brazo</w:delText>
        </w:r>
      </w:del>
      <w:ins w:id="974" w:author="AUTHOR">
        <w:r w:rsidR="004E273B">
          <w:rPr>
            <w:lang w:val="es-ES"/>
          </w:rPr>
          <w:t>grupo</w:t>
        </w:r>
      </w:ins>
      <w:r>
        <w:rPr>
          <w:lang w:val="es-ES"/>
        </w:rPr>
        <w:t xml:space="preserve">s 9,49 para el </w:t>
      </w:r>
      <w:del w:id="975" w:author="AUTHOR">
        <w:r w:rsidDel="004E273B">
          <w:rPr>
            <w:lang w:val="es-ES"/>
          </w:rPr>
          <w:delText>brazo</w:delText>
        </w:r>
      </w:del>
      <w:ins w:id="976" w:author="AUTHOR">
        <w:r w:rsidR="004E273B">
          <w:rPr>
            <w:lang w:val="es-ES"/>
          </w:rPr>
          <w:t>grupo</w:t>
        </w:r>
      </w:ins>
      <w:r>
        <w:rPr>
          <w:lang w:val="es-ES"/>
        </w:rPr>
        <w:t xml:space="preserve"> subcutáneo y 9,65 para el </w:t>
      </w:r>
      <w:del w:id="977" w:author="AUTHOR">
        <w:r w:rsidDel="004E273B">
          <w:rPr>
            <w:lang w:val="es-ES"/>
          </w:rPr>
          <w:delText>brazo</w:delText>
        </w:r>
      </w:del>
      <w:ins w:id="978" w:author="AUTHOR">
        <w:r w:rsidR="004E273B">
          <w:rPr>
            <w:lang w:val="es-ES"/>
          </w:rPr>
          <w:t>grupo</w:t>
        </w:r>
      </w:ins>
      <w:r>
        <w:rPr>
          <w:lang w:val="es-ES"/>
        </w:rPr>
        <w:t xml:space="preserve"> intravenoso.</w:t>
      </w:r>
    </w:p>
    <w:p w14:paraId="460355A1" w14:textId="77777777" w:rsidR="0079644F" w:rsidRDefault="0079644F" w:rsidP="0079644F">
      <w:pPr>
        <w:rPr>
          <w:lang w:val="es-ES"/>
        </w:rPr>
      </w:pPr>
    </w:p>
    <w:p w14:paraId="08F8E825" w14:textId="349FFB96" w:rsidR="0079644F" w:rsidRDefault="0079644F" w:rsidP="0079644F">
      <w:pPr>
        <w:rPr>
          <w:rFonts w:eastAsia="MS PGothic"/>
          <w:color w:val="000000"/>
          <w:szCs w:val="22"/>
          <w:lang w:val="es-ES"/>
        </w:rPr>
      </w:pPr>
      <w:r>
        <w:rPr>
          <w:lang w:val="es-ES"/>
        </w:rPr>
        <w:t xml:space="preserve">En el ensayo SC-II, el descenso medio en HAQ-DI desde el inicio hasta la </w:t>
      </w:r>
      <w:proofErr w:type="gramStart"/>
      <w:r>
        <w:rPr>
          <w:lang w:val="es-ES"/>
        </w:rPr>
        <w:t>semana</w:t>
      </w:r>
      <w:r w:rsidR="00D34894" w:rsidRPr="002C5491">
        <w:rPr>
          <w:szCs w:val="22"/>
          <w:lang w:val="es-ES"/>
        </w:rPr>
        <w:t> </w:t>
      </w:r>
      <w:r w:rsidR="00D34894" w:rsidDel="00D34894">
        <w:rPr>
          <w:lang w:val="es-ES"/>
        </w:rPr>
        <w:t xml:space="preserve"> </w:t>
      </w:r>
      <w:r>
        <w:rPr>
          <w:lang w:val="es-ES"/>
        </w:rPr>
        <w:t>24</w:t>
      </w:r>
      <w:proofErr w:type="gramEnd"/>
      <w:r>
        <w:rPr>
          <w:lang w:val="es-ES"/>
        </w:rPr>
        <w:t xml:space="preserve">, fue significativamente mayor en pacientes tratados con </w:t>
      </w:r>
      <w:r w:rsidR="005105B0">
        <w:rPr>
          <w:szCs w:val="22"/>
          <w:lang w:val="es-ES"/>
        </w:rPr>
        <w:t>tocilizumab</w:t>
      </w:r>
      <w:r w:rsidR="005105B0" w:rsidRPr="006868F5">
        <w:rPr>
          <w:szCs w:val="22"/>
          <w:lang w:val="es-ES"/>
        </w:rPr>
        <w:t xml:space="preserve"> </w:t>
      </w:r>
      <w:r>
        <w:rPr>
          <w:lang w:val="es-ES"/>
        </w:rPr>
        <w:t xml:space="preserve">subcutáneo cada dos </w:t>
      </w:r>
      <w:r w:rsidRPr="00286CDE">
        <w:rPr>
          <w:lang w:val="es-ES"/>
        </w:rPr>
        <w:t>semanas (</w:t>
      </w:r>
      <w:r>
        <w:rPr>
          <w:lang w:val="es-ES"/>
        </w:rPr>
        <w:t xml:space="preserve">0,4) frente a placebo (0,3). La proporción de pacientes que consiguieron mejorías en HAQ-DI clínicamente significativas en la </w:t>
      </w:r>
      <w:proofErr w:type="gramStart"/>
      <w:r>
        <w:rPr>
          <w:lang w:val="es-ES"/>
        </w:rPr>
        <w:t>semana</w:t>
      </w:r>
      <w:r w:rsidR="00D34894" w:rsidRPr="00F30AB8">
        <w:rPr>
          <w:rFonts w:eastAsia="MS PGothic"/>
          <w:color w:val="000000"/>
          <w:szCs w:val="22"/>
          <w:lang w:val="es-ES"/>
        </w:rPr>
        <w:t> </w:t>
      </w:r>
      <w:r w:rsidR="00D34894" w:rsidDel="00D34894">
        <w:rPr>
          <w:lang w:val="es-ES"/>
        </w:rPr>
        <w:t xml:space="preserve"> </w:t>
      </w:r>
      <w:r>
        <w:rPr>
          <w:lang w:val="es-ES"/>
        </w:rPr>
        <w:t>24</w:t>
      </w:r>
      <w:proofErr w:type="gramEnd"/>
      <w:r>
        <w:rPr>
          <w:lang w:val="es-ES"/>
        </w:rPr>
        <w:t xml:space="preserve"> (cambios desde el inicio</w:t>
      </w:r>
      <w:r w:rsidRPr="00286CDE">
        <w:rPr>
          <w:rFonts w:eastAsia="MS PGothic"/>
          <w:color w:val="000000"/>
          <w:szCs w:val="22"/>
          <w:lang w:val="es-ES"/>
        </w:rPr>
        <w:t xml:space="preserve"> ≥</w:t>
      </w:r>
      <w:r>
        <w:rPr>
          <w:rFonts w:eastAsia="MS PGothic"/>
          <w:color w:val="000000"/>
          <w:szCs w:val="22"/>
          <w:lang w:val="es-ES"/>
        </w:rPr>
        <w:t xml:space="preserve"> </w:t>
      </w:r>
      <w:ins w:id="979" w:author="AUTHOR">
        <w:r w:rsidR="00562CA7">
          <w:rPr>
            <w:rFonts w:eastAsia="MS PGothic"/>
            <w:color w:val="000000"/>
            <w:szCs w:val="22"/>
            <w:lang w:val="es-ES"/>
          </w:rPr>
          <w:t>0,</w:t>
        </w:r>
      </w:ins>
      <w:r>
        <w:rPr>
          <w:rFonts w:eastAsia="MS PGothic"/>
          <w:color w:val="000000"/>
          <w:szCs w:val="22"/>
          <w:lang w:val="es-ES"/>
        </w:rPr>
        <w:t xml:space="preserve">3 unidades) fue mayor en </w:t>
      </w:r>
      <w:r w:rsidR="00D34894">
        <w:rPr>
          <w:rFonts w:eastAsia="MS PGothic"/>
          <w:color w:val="000000"/>
          <w:szCs w:val="22"/>
          <w:lang w:val="es-ES"/>
        </w:rPr>
        <w:t xml:space="preserve">el tratamiento </w:t>
      </w:r>
      <w:r>
        <w:rPr>
          <w:rFonts w:eastAsia="MS PGothic"/>
          <w:color w:val="000000"/>
          <w:szCs w:val="22"/>
          <w:lang w:val="es-ES"/>
        </w:rPr>
        <w:t xml:space="preserve">subcutáneo cada dos semanas (58 %) frente a placebo (46,8 %). SF-36 (cambio medio en los valores del componente mental y físico) fue significativamente mayor en el grupo de </w:t>
      </w:r>
      <w:r w:rsidR="005105B0">
        <w:rPr>
          <w:szCs w:val="22"/>
          <w:lang w:val="es-ES"/>
        </w:rPr>
        <w:t>tocilizumab</w:t>
      </w:r>
      <w:r w:rsidR="005105B0" w:rsidRPr="006868F5">
        <w:rPr>
          <w:szCs w:val="22"/>
          <w:lang w:val="es-ES"/>
        </w:rPr>
        <w:t xml:space="preserve"> </w:t>
      </w:r>
      <w:r>
        <w:rPr>
          <w:rFonts w:eastAsia="MS PGothic"/>
          <w:color w:val="000000"/>
          <w:szCs w:val="22"/>
          <w:lang w:val="es-ES"/>
        </w:rPr>
        <w:t>subcutáneo (6,5 y 5,3) frente a placebo (3,8 y 2,9).</w:t>
      </w:r>
    </w:p>
    <w:p w14:paraId="4FEE8112" w14:textId="77777777" w:rsidR="0079644F" w:rsidRDefault="0079644F" w:rsidP="0079644F">
      <w:pPr>
        <w:rPr>
          <w:rFonts w:eastAsia="MS PGothic"/>
          <w:color w:val="000000"/>
          <w:szCs w:val="22"/>
          <w:lang w:val="es-ES"/>
        </w:rPr>
      </w:pPr>
    </w:p>
    <w:p w14:paraId="2B95FF3C" w14:textId="77777777" w:rsidR="00431AD6" w:rsidRDefault="00431AD6" w:rsidP="00F30AB8">
      <w:pPr>
        <w:keepNext/>
        <w:keepLines/>
        <w:rPr>
          <w:ins w:id="980" w:author="AUTHOR"/>
          <w:u w:val="single"/>
          <w:lang w:val="es-ES_tradnl"/>
        </w:rPr>
      </w:pPr>
      <w:ins w:id="981" w:author="AUTHOR">
        <w:r w:rsidRPr="00F30AB8">
          <w:rPr>
            <w:u w:val="single"/>
            <w:lang w:val="es-ES_tradnl"/>
          </w:rPr>
          <w:lastRenderedPageBreak/>
          <w:t>Uso subcutáneo</w:t>
        </w:r>
      </w:ins>
    </w:p>
    <w:p w14:paraId="0BDA8122" w14:textId="7425E374" w:rsidR="0079644F" w:rsidRDefault="00431AD6" w:rsidP="00F30AB8">
      <w:pPr>
        <w:keepNext/>
        <w:keepLines/>
        <w:rPr>
          <w:rFonts w:eastAsia="MS PGothic"/>
          <w:color w:val="000000"/>
          <w:szCs w:val="22"/>
          <w:u w:val="single"/>
          <w:lang w:val="es-ES"/>
        </w:rPr>
      </w:pPr>
      <w:ins w:id="982" w:author="AUTHOR">
        <w:r>
          <w:rPr>
            <w:rFonts w:eastAsia="MS PGothic"/>
            <w:color w:val="000000"/>
            <w:szCs w:val="22"/>
            <w:u w:val="single"/>
            <w:lang w:val="es-ES"/>
          </w:rPr>
          <w:t xml:space="preserve">Pacientes con </w:t>
        </w:r>
      </w:ins>
      <w:r w:rsidR="0079644F" w:rsidRPr="00F30AB8">
        <w:rPr>
          <w:rFonts w:eastAsia="MS PGothic"/>
          <w:color w:val="000000"/>
          <w:szCs w:val="22"/>
          <w:u w:val="single"/>
          <w:lang w:val="es-ES"/>
        </w:rPr>
        <w:t>AIJs</w:t>
      </w:r>
      <w:del w:id="983" w:author="AUTHOR">
        <w:r w:rsidR="00513DDB" w:rsidRPr="00F30AB8" w:rsidDel="00431AD6">
          <w:rPr>
            <w:rFonts w:eastAsia="MS PGothic"/>
            <w:color w:val="000000"/>
            <w:szCs w:val="22"/>
            <w:u w:val="single"/>
            <w:lang w:val="es-ES"/>
          </w:rPr>
          <w:delText xml:space="preserve"> (</w:delText>
        </w:r>
        <w:r w:rsidR="005105B0" w:rsidRPr="00F30AB8" w:rsidDel="00431AD6">
          <w:rPr>
            <w:rFonts w:eastAsia="MS PGothic"/>
            <w:color w:val="000000"/>
            <w:szCs w:val="22"/>
            <w:u w:val="single"/>
            <w:lang w:val="es-ES"/>
          </w:rPr>
          <w:delText>subcutáneo</w:delText>
        </w:r>
        <w:r w:rsidR="00513DDB" w:rsidRPr="00F30AB8" w:rsidDel="00431AD6">
          <w:rPr>
            <w:rFonts w:eastAsia="MS PGothic"/>
            <w:color w:val="000000"/>
            <w:szCs w:val="22"/>
            <w:u w:val="single"/>
            <w:lang w:val="es-ES"/>
          </w:rPr>
          <w:delText>)</w:delText>
        </w:r>
      </w:del>
    </w:p>
    <w:p w14:paraId="5898B6EA" w14:textId="77777777" w:rsidR="005105B0" w:rsidRPr="00F30AB8" w:rsidRDefault="005105B0" w:rsidP="00F30AB8">
      <w:pPr>
        <w:keepNext/>
        <w:keepLines/>
        <w:rPr>
          <w:rFonts w:eastAsia="MS PGothic"/>
          <w:color w:val="000000"/>
          <w:szCs w:val="22"/>
          <w:u w:val="single"/>
          <w:lang w:val="es-ES"/>
        </w:rPr>
      </w:pPr>
    </w:p>
    <w:p w14:paraId="75AE065F" w14:textId="77777777" w:rsidR="0079644F" w:rsidRPr="00467FFD" w:rsidRDefault="0079644F" w:rsidP="00F30AB8">
      <w:pPr>
        <w:keepNext/>
        <w:keepLines/>
        <w:rPr>
          <w:rFonts w:eastAsia="MS PGothic"/>
          <w:color w:val="000000"/>
          <w:szCs w:val="22"/>
          <w:u w:val="single"/>
          <w:lang w:val="es-ES"/>
          <w:rPrChange w:id="984" w:author="AUTHOR">
            <w:rPr>
              <w:rFonts w:eastAsia="MS PGothic"/>
              <w:i/>
              <w:iCs/>
              <w:color w:val="000000"/>
              <w:szCs w:val="22"/>
              <w:lang w:val="es-ES"/>
            </w:rPr>
          </w:rPrChange>
        </w:rPr>
      </w:pPr>
      <w:r w:rsidRPr="00467FFD">
        <w:rPr>
          <w:rFonts w:eastAsia="MS PGothic"/>
          <w:color w:val="000000"/>
          <w:szCs w:val="22"/>
          <w:u w:val="single"/>
          <w:lang w:val="es-ES"/>
          <w:rPrChange w:id="985" w:author="AUTHOR">
            <w:rPr>
              <w:rFonts w:eastAsia="MS PGothic"/>
              <w:i/>
              <w:iCs/>
              <w:color w:val="000000"/>
              <w:szCs w:val="22"/>
              <w:lang w:val="es-ES"/>
            </w:rPr>
          </w:rPrChange>
        </w:rPr>
        <w:t>Eficacia clínica</w:t>
      </w:r>
    </w:p>
    <w:p w14:paraId="303762C6" w14:textId="77777777" w:rsidR="005105B0" w:rsidRPr="00C57BA0" w:rsidRDefault="005105B0" w:rsidP="00F30AB8">
      <w:pPr>
        <w:keepNext/>
        <w:keepLines/>
        <w:rPr>
          <w:rFonts w:eastAsia="MS PGothic"/>
          <w:color w:val="000000"/>
          <w:szCs w:val="22"/>
          <w:lang w:val="es-ES"/>
        </w:rPr>
      </w:pPr>
    </w:p>
    <w:p w14:paraId="57D50DEF" w14:textId="290EFDE7" w:rsidR="0079644F" w:rsidRPr="00C57BA0" w:rsidRDefault="0079644F" w:rsidP="0079644F">
      <w:pPr>
        <w:rPr>
          <w:rFonts w:eastAsia="MS PGothic"/>
          <w:color w:val="000000"/>
          <w:szCs w:val="22"/>
          <w:lang w:val="es-ES"/>
        </w:rPr>
      </w:pPr>
      <w:r w:rsidRPr="00C57BA0">
        <w:rPr>
          <w:rFonts w:eastAsia="MS PGothic"/>
          <w:color w:val="000000"/>
          <w:szCs w:val="22"/>
          <w:lang w:val="es-ES"/>
        </w:rPr>
        <w:t xml:space="preserve">Se realizó un </w:t>
      </w:r>
      <w:del w:id="986" w:author="AUTHOR">
        <w:r w:rsidRPr="00C57BA0" w:rsidDel="00FF4632">
          <w:rPr>
            <w:rFonts w:eastAsia="MS PGothic"/>
            <w:color w:val="000000"/>
            <w:szCs w:val="22"/>
            <w:lang w:val="es-ES"/>
          </w:rPr>
          <w:delText xml:space="preserve">estudio </w:delText>
        </w:r>
      </w:del>
      <w:ins w:id="987" w:author="AUTHOR">
        <w:r w:rsidR="00FF4632">
          <w:rPr>
            <w:rFonts w:eastAsia="MS PGothic"/>
            <w:color w:val="000000"/>
            <w:szCs w:val="22"/>
            <w:lang w:val="es-ES"/>
          </w:rPr>
          <w:t>ensayo</w:t>
        </w:r>
        <w:r w:rsidR="00FF4632" w:rsidRPr="00C57BA0">
          <w:rPr>
            <w:rFonts w:eastAsia="MS PGothic"/>
            <w:color w:val="000000"/>
            <w:szCs w:val="22"/>
            <w:lang w:val="es-ES"/>
          </w:rPr>
          <w:t xml:space="preserve"> </w:t>
        </w:r>
      </w:ins>
      <w:r>
        <w:rPr>
          <w:rFonts w:eastAsia="MS PGothic"/>
          <w:color w:val="000000"/>
          <w:szCs w:val="22"/>
          <w:lang w:val="es-ES"/>
        </w:rPr>
        <w:t xml:space="preserve">(WA28118) </w:t>
      </w:r>
      <w:r w:rsidRPr="00C57BA0">
        <w:rPr>
          <w:rFonts w:eastAsia="MS PGothic"/>
          <w:color w:val="000000"/>
          <w:szCs w:val="22"/>
          <w:lang w:val="es-ES"/>
        </w:rPr>
        <w:t>PK/PD y de seguridad de 52 semanas, abierto, multicéntrico en pacientes pediátricos con AIJs, de 1 a 17</w:t>
      </w:r>
      <w:r w:rsidR="00D34894" w:rsidRPr="002C5491">
        <w:rPr>
          <w:szCs w:val="22"/>
          <w:lang w:val="es-ES"/>
        </w:rPr>
        <w:t> </w:t>
      </w:r>
      <w:r w:rsidR="00D34894" w:rsidRPr="00C57BA0" w:rsidDel="00D34894">
        <w:rPr>
          <w:rFonts w:eastAsia="MS PGothic"/>
          <w:color w:val="000000"/>
          <w:szCs w:val="22"/>
          <w:lang w:val="es-ES"/>
        </w:rPr>
        <w:t xml:space="preserve"> </w:t>
      </w:r>
      <w:r w:rsidRPr="00C57BA0">
        <w:rPr>
          <w:rFonts w:eastAsia="MS PGothic"/>
          <w:color w:val="000000"/>
          <w:szCs w:val="22"/>
          <w:lang w:val="es-ES"/>
        </w:rPr>
        <w:t xml:space="preserve">años de edad, para determinar la dosis de </w:t>
      </w:r>
      <w:r w:rsidR="005105B0">
        <w:rPr>
          <w:szCs w:val="22"/>
          <w:lang w:val="es-ES"/>
        </w:rPr>
        <w:t>tocilizumab</w:t>
      </w:r>
      <w:r w:rsidR="005105B0" w:rsidRPr="006868F5">
        <w:rPr>
          <w:szCs w:val="22"/>
          <w:lang w:val="es-ES"/>
        </w:rPr>
        <w:t xml:space="preserve"> </w:t>
      </w:r>
      <w:r w:rsidR="007153CA">
        <w:rPr>
          <w:szCs w:val="22"/>
          <w:lang w:val="es-ES"/>
        </w:rPr>
        <w:t>subcutáneo</w:t>
      </w:r>
      <w:r w:rsidRPr="00C57BA0">
        <w:rPr>
          <w:rFonts w:eastAsia="MS PGothic"/>
          <w:color w:val="000000"/>
          <w:szCs w:val="22"/>
          <w:lang w:val="es-ES"/>
        </w:rPr>
        <w:t>adecu</w:t>
      </w:r>
      <w:r>
        <w:rPr>
          <w:rFonts w:eastAsia="MS PGothic"/>
          <w:color w:val="000000"/>
          <w:szCs w:val="22"/>
          <w:lang w:val="es-ES"/>
        </w:rPr>
        <w:t>ada que lograra unos perfiles PK/</w:t>
      </w:r>
      <w:r w:rsidRPr="00C57BA0">
        <w:rPr>
          <w:rFonts w:eastAsia="MS PGothic"/>
          <w:color w:val="000000"/>
          <w:szCs w:val="22"/>
          <w:lang w:val="es-ES"/>
        </w:rPr>
        <w:t xml:space="preserve">PD y de seguridad comparables a la administración por vía </w:t>
      </w:r>
      <w:r w:rsidR="007153CA">
        <w:rPr>
          <w:rFonts w:eastAsia="MS PGothic"/>
          <w:color w:val="000000"/>
          <w:szCs w:val="22"/>
          <w:lang w:val="es-ES"/>
        </w:rPr>
        <w:t>intravenosa</w:t>
      </w:r>
      <w:r w:rsidRPr="00C57BA0">
        <w:rPr>
          <w:rFonts w:eastAsia="MS PGothic"/>
          <w:color w:val="000000"/>
          <w:szCs w:val="22"/>
          <w:lang w:val="es-ES"/>
        </w:rPr>
        <w:t>.</w:t>
      </w:r>
    </w:p>
    <w:p w14:paraId="23847905" w14:textId="77777777" w:rsidR="0079644F" w:rsidRPr="00C57BA0" w:rsidRDefault="0079644F" w:rsidP="0079644F">
      <w:pPr>
        <w:rPr>
          <w:rFonts w:eastAsia="MS PGothic"/>
          <w:color w:val="000000"/>
          <w:szCs w:val="22"/>
          <w:lang w:val="es-ES"/>
        </w:rPr>
      </w:pPr>
    </w:p>
    <w:p w14:paraId="2C237D93" w14:textId="77E06AF0" w:rsidR="0079644F" w:rsidRPr="00C57BA0" w:rsidRDefault="0079644F" w:rsidP="0079644F">
      <w:pPr>
        <w:rPr>
          <w:rFonts w:eastAsia="MS PGothic"/>
          <w:color w:val="000000"/>
          <w:szCs w:val="22"/>
          <w:lang w:val="es-ES"/>
        </w:rPr>
      </w:pPr>
      <w:r w:rsidRPr="00C57BA0">
        <w:rPr>
          <w:rFonts w:eastAsia="MS PGothic" w:hint="eastAsia"/>
          <w:color w:val="000000"/>
          <w:szCs w:val="22"/>
          <w:lang w:val="es-ES"/>
        </w:rPr>
        <w:t xml:space="preserve">Los pacientes elegibles recibieron </w:t>
      </w:r>
      <w:del w:id="988" w:author="AUTHOR">
        <w:r w:rsidR="00D34894" w:rsidDel="00431AD6">
          <w:rPr>
            <w:rFonts w:eastAsia="MS PGothic"/>
            <w:color w:val="000000"/>
            <w:szCs w:val="22"/>
            <w:lang w:val="es-ES"/>
          </w:rPr>
          <w:delText xml:space="preserve">tratamiento </w:delText>
        </w:r>
      </w:del>
      <w:ins w:id="989" w:author="AUTHOR">
        <w:r w:rsidR="00431AD6">
          <w:rPr>
            <w:rFonts w:eastAsia="MS PGothic"/>
            <w:color w:val="000000"/>
            <w:szCs w:val="22"/>
            <w:lang w:val="es-ES"/>
          </w:rPr>
          <w:t xml:space="preserve">tocilizumab </w:t>
        </w:r>
      </w:ins>
      <w:r w:rsidRPr="00C57BA0">
        <w:rPr>
          <w:rFonts w:eastAsia="MS PGothic" w:hint="eastAsia"/>
          <w:color w:val="000000"/>
          <w:szCs w:val="22"/>
          <w:lang w:val="es-ES"/>
        </w:rPr>
        <w:t>dosificado según el peso corpora</w:t>
      </w:r>
      <w:r w:rsidR="00CB3DF8">
        <w:rPr>
          <w:rFonts w:eastAsia="MS PGothic" w:hint="eastAsia"/>
          <w:color w:val="000000"/>
          <w:szCs w:val="22"/>
          <w:lang w:val="es-ES"/>
        </w:rPr>
        <w:t xml:space="preserve">l, en pacientes que pesan </w:t>
      </w:r>
      <w:r w:rsidR="00CB3DF8" w:rsidRPr="00C57BA0">
        <w:rPr>
          <w:rFonts w:eastAsia="MS PGothic"/>
          <w:color w:val="000000"/>
          <w:szCs w:val="22"/>
          <w:lang w:val="es-ES"/>
        </w:rPr>
        <w:t>≥</w:t>
      </w:r>
      <w:r w:rsidRPr="00C57BA0">
        <w:rPr>
          <w:rFonts w:eastAsia="MS PGothic" w:hint="eastAsia"/>
          <w:color w:val="000000"/>
          <w:szCs w:val="22"/>
          <w:lang w:val="es-ES"/>
        </w:rPr>
        <w:t>30</w:t>
      </w:r>
      <w:r w:rsidR="00D34894" w:rsidRPr="00F30AB8">
        <w:rPr>
          <w:rFonts w:eastAsia="MS PGothic"/>
          <w:color w:val="000000"/>
          <w:szCs w:val="22"/>
          <w:lang w:val="es-ES"/>
        </w:rPr>
        <w:t> </w:t>
      </w:r>
      <w:r w:rsidR="00D34894" w:rsidRPr="00C57BA0" w:rsidDel="00D34894">
        <w:rPr>
          <w:rFonts w:eastAsia="MS PGothic" w:hint="eastAsia"/>
          <w:color w:val="000000"/>
          <w:szCs w:val="22"/>
          <w:lang w:val="es-ES"/>
        </w:rPr>
        <w:t xml:space="preserve"> </w:t>
      </w:r>
      <w:r w:rsidRPr="00C57BA0">
        <w:rPr>
          <w:rFonts w:eastAsia="MS PGothic" w:hint="eastAsia"/>
          <w:color w:val="000000"/>
          <w:szCs w:val="22"/>
          <w:lang w:val="es-ES"/>
        </w:rPr>
        <w:t>kg (n= 26) se les administró una dosis de 162</w:t>
      </w:r>
      <w:r w:rsidR="00D34894" w:rsidRPr="00F30AB8">
        <w:rPr>
          <w:rFonts w:eastAsia="MS PGothic"/>
          <w:color w:val="000000"/>
          <w:szCs w:val="22"/>
          <w:lang w:val="es-ES"/>
        </w:rPr>
        <w:t> </w:t>
      </w:r>
      <w:r w:rsidR="00D34894" w:rsidRPr="00C57BA0" w:rsidDel="00D34894">
        <w:rPr>
          <w:rFonts w:eastAsia="MS PGothic" w:hint="eastAsia"/>
          <w:color w:val="000000"/>
          <w:szCs w:val="22"/>
          <w:lang w:val="es-ES"/>
        </w:rPr>
        <w:t xml:space="preserve"> </w:t>
      </w:r>
      <w:r w:rsidRPr="00C57BA0">
        <w:rPr>
          <w:rFonts w:eastAsia="MS PGothic" w:hint="eastAsia"/>
          <w:color w:val="000000"/>
          <w:szCs w:val="22"/>
          <w:lang w:val="es-ES"/>
        </w:rPr>
        <w:t xml:space="preserve">mg de </w:t>
      </w:r>
      <w:r w:rsidR="007153CA">
        <w:rPr>
          <w:szCs w:val="22"/>
          <w:lang w:val="es-ES"/>
        </w:rPr>
        <w:t>tocilizumab</w:t>
      </w:r>
      <w:r w:rsidR="007153CA" w:rsidRPr="006868F5">
        <w:rPr>
          <w:szCs w:val="22"/>
          <w:lang w:val="es-ES"/>
        </w:rPr>
        <w:t xml:space="preserve"> </w:t>
      </w:r>
      <w:r w:rsidRPr="00C57BA0">
        <w:rPr>
          <w:rFonts w:eastAsia="MS PGothic" w:hint="eastAsia"/>
          <w:color w:val="000000"/>
          <w:szCs w:val="22"/>
          <w:lang w:val="es-ES"/>
        </w:rPr>
        <w:t>cada semana (QW) y en pacientes que pesan menos de 30</w:t>
      </w:r>
      <w:r w:rsidR="00D34894" w:rsidRPr="00F30AB8">
        <w:rPr>
          <w:rFonts w:eastAsia="MS PGothic"/>
          <w:color w:val="000000"/>
          <w:szCs w:val="22"/>
          <w:lang w:val="es-ES"/>
        </w:rPr>
        <w:t> </w:t>
      </w:r>
      <w:r w:rsidR="00D34894" w:rsidRPr="00C57BA0" w:rsidDel="00D34894">
        <w:rPr>
          <w:rFonts w:eastAsia="MS PGothic" w:hint="eastAsia"/>
          <w:color w:val="000000"/>
          <w:szCs w:val="22"/>
          <w:lang w:val="es-ES"/>
        </w:rPr>
        <w:t xml:space="preserve"> </w:t>
      </w:r>
      <w:r w:rsidRPr="00C57BA0">
        <w:rPr>
          <w:rFonts w:eastAsia="MS PGothic" w:hint="eastAsia"/>
          <w:color w:val="000000"/>
          <w:szCs w:val="22"/>
          <w:lang w:val="es-ES"/>
        </w:rPr>
        <w:t>kg (n= 25) se les administr</w:t>
      </w:r>
      <w:r w:rsidRPr="00C57BA0">
        <w:rPr>
          <w:rFonts w:eastAsia="MS PGothic"/>
          <w:color w:val="000000"/>
          <w:szCs w:val="22"/>
          <w:lang w:val="es-ES"/>
        </w:rPr>
        <w:t>ó una dosis de 162</w:t>
      </w:r>
      <w:r w:rsidR="00D34894" w:rsidRPr="00F30AB8">
        <w:rPr>
          <w:rFonts w:eastAsia="MS PGothic"/>
          <w:color w:val="000000"/>
          <w:szCs w:val="22"/>
          <w:lang w:val="es-ES"/>
        </w:rPr>
        <w:t> </w:t>
      </w:r>
      <w:r w:rsidR="00D34894" w:rsidRPr="00C57BA0" w:rsidDel="00D34894">
        <w:rPr>
          <w:rFonts w:eastAsia="MS PGothic"/>
          <w:color w:val="000000"/>
          <w:szCs w:val="22"/>
          <w:lang w:val="es-ES"/>
        </w:rPr>
        <w:t xml:space="preserve"> </w:t>
      </w:r>
      <w:r w:rsidRPr="00C57BA0">
        <w:rPr>
          <w:rFonts w:eastAsia="MS PGothic"/>
          <w:color w:val="000000"/>
          <w:szCs w:val="22"/>
          <w:lang w:val="es-ES"/>
        </w:rPr>
        <w:t xml:space="preserve">mg de </w:t>
      </w:r>
      <w:r w:rsidR="007153CA">
        <w:rPr>
          <w:szCs w:val="22"/>
          <w:lang w:val="es-ES"/>
        </w:rPr>
        <w:t>tocilizumab</w:t>
      </w:r>
      <w:r w:rsidR="007153CA" w:rsidRPr="006868F5">
        <w:rPr>
          <w:szCs w:val="22"/>
          <w:lang w:val="es-ES"/>
        </w:rPr>
        <w:t xml:space="preserve"> </w:t>
      </w:r>
      <w:r w:rsidRPr="00C57BA0">
        <w:rPr>
          <w:rFonts w:eastAsia="MS PGothic"/>
          <w:color w:val="000000"/>
          <w:szCs w:val="22"/>
          <w:lang w:val="es-ES"/>
        </w:rPr>
        <w:t>cada 10</w:t>
      </w:r>
      <w:r w:rsidR="00D34894" w:rsidRPr="00F30AB8">
        <w:rPr>
          <w:rFonts w:eastAsia="MS PGothic"/>
          <w:color w:val="000000"/>
          <w:szCs w:val="22"/>
          <w:lang w:val="es-ES"/>
        </w:rPr>
        <w:t> </w:t>
      </w:r>
      <w:r w:rsidR="00D34894" w:rsidRPr="00C57BA0" w:rsidDel="00D34894">
        <w:rPr>
          <w:rFonts w:eastAsia="MS PGothic"/>
          <w:color w:val="000000"/>
          <w:szCs w:val="22"/>
          <w:lang w:val="es-ES"/>
        </w:rPr>
        <w:t xml:space="preserve"> </w:t>
      </w:r>
      <w:r w:rsidRPr="00C57BA0">
        <w:rPr>
          <w:rFonts w:eastAsia="MS PGothic"/>
          <w:color w:val="000000"/>
          <w:szCs w:val="22"/>
          <w:lang w:val="es-ES"/>
        </w:rPr>
        <w:t>días (Q10D;n=8) o cada 2</w:t>
      </w:r>
      <w:r w:rsidR="00D34894" w:rsidRPr="00F30AB8">
        <w:rPr>
          <w:rFonts w:eastAsia="MS PGothic"/>
          <w:color w:val="000000"/>
          <w:szCs w:val="22"/>
          <w:lang w:val="es-ES"/>
        </w:rPr>
        <w:t> </w:t>
      </w:r>
      <w:r w:rsidR="00D34894" w:rsidRPr="00C57BA0" w:rsidDel="00D34894">
        <w:rPr>
          <w:rFonts w:eastAsia="MS PGothic"/>
          <w:color w:val="000000"/>
          <w:szCs w:val="22"/>
          <w:lang w:val="es-ES"/>
        </w:rPr>
        <w:t xml:space="preserve"> </w:t>
      </w:r>
      <w:r w:rsidRPr="00C57BA0">
        <w:rPr>
          <w:rFonts w:eastAsia="MS PGothic"/>
          <w:color w:val="000000"/>
          <w:szCs w:val="22"/>
          <w:lang w:val="es-ES"/>
        </w:rPr>
        <w:t>semanas (Q2W) durante 52</w:t>
      </w:r>
      <w:r w:rsidR="00D34894" w:rsidRPr="00F30AB8">
        <w:rPr>
          <w:rFonts w:eastAsia="MS PGothic"/>
          <w:color w:val="000000"/>
          <w:szCs w:val="22"/>
          <w:lang w:val="es-ES"/>
        </w:rPr>
        <w:t> </w:t>
      </w:r>
      <w:r w:rsidR="00D34894" w:rsidRPr="00C57BA0" w:rsidDel="00D34894">
        <w:rPr>
          <w:rFonts w:eastAsia="MS PGothic"/>
          <w:color w:val="000000"/>
          <w:szCs w:val="22"/>
          <w:lang w:val="es-ES"/>
        </w:rPr>
        <w:t xml:space="preserve"> </w:t>
      </w:r>
      <w:r w:rsidRPr="00C57BA0">
        <w:rPr>
          <w:rFonts w:eastAsia="MS PGothic"/>
          <w:color w:val="000000"/>
          <w:szCs w:val="22"/>
          <w:lang w:val="es-ES"/>
        </w:rPr>
        <w:t xml:space="preserve">semanas. De estos </w:t>
      </w:r>
      <w:proofErr w:type="gramStart"/>
      <w:r w:rsidRPr="00C57BA0">
        <w:rPr>
          <w:rFonts w:eastAsia="MS PGothic"/>
          <w:color w:val="000000"/>
          <w:szCs w:val="22"/>
          <w:lang w:val="es-ES"/>
        </w:rPr>
        <w:t>51</w:t>
      </w:r>
      <w:r w:rsidR="00D34894" w:rsidRPr="00F30AB8">
        <w:rPr>
          <w:rFonts w:eastAsia="MS PGothic"/>
          <w:color w:val="000000"/>
          <w:szCs w:val="22"/>
          <w:lang w:val="es-ES"/>
        </w:rPr>
        <w:t> </w:t>
      </w:r>
      <w:r w:rsidR="00D34894" w:rsidRPr="00C57BA0" w:rsidDel="00D34894">
        <w:rPr>
          <w:rFonts w:eastAsia="MS PGothic"/>
          <w:color w:val="000000"/>
          <w:szCs w:val="22"/>
          <w:lang w:val="es-ES"/>
        </w:rPr>
        <w:t xml:space="preserve"> </w:t>
      </w:r>
      <w:r w:rsidRPr="00C57BA0">
        <w:rPr>
          <w:rFonts w:eastAsia="MS PGothic"/>
          <w:color w:val="000000"/>
          <w:szCs w:val="22"/>
          <w:lang w:val="es-ES"/>
        </w:rPr>
        <w:t>pacientes</w:t>
      </w:r>
      <w:proofErr w:type="gramEnd"/>
      <w:r w:rsidRPr="00C57BA0">
        <w:rPr>
          <w:rFonts w:eastAsia="MS PGothic"/>
          <w:color w:val="000000"/>
          <w:szCs w:val="22"/>
          <w:lang w:val="es-ES"/>
        </w:rPr>
        <w:t xml:space="preserve">, 26 (51%) no habían recibido tratamiento previo y 25 (49%) habían recibido </w:t>
      </w:r>
      <w:r w:rsidR="007153CA">
        <w:rPr>
          <w:szCs w:val="22"/>
          <w:lang w:val="es-ES"/>
        </w:rPr>
        <w:t>tocilizumab</w:t>
      </w:r>
      <w:r w:rsidR="007153CA" w:rsidRPr="006868F5">
        <w:rPr>
          <w:szCs w:val="22"/>
          <w:lang w:val="es-ES"/>
        </w:rPr>
        <w:t xml:space="preserve"> </w:t>
      </w:r>
      <w:r w:rsidR="007153CA">
        <w:rPr>
          <w:rFonts w:eastAsia="MS PGothic"/>
          <w:color w:val="000000"/>
          <w:szCs w:val="22"/>
          <w:lang w:val="es-ES"/>
        </w:rPr>
        <w:t>intravenos</w:t>
      </w:r>
      <w:r w:rsidR="00D34894">
        <w:rPr>
          <w:rFonts w:eastAsia="MS PGothic"/>
          <w:color w:val="000000"/>
          <w:szCs w:val="22"/>
          <w:lang w:val="es-ES"/>
        </w:rPr>
        <w:t>o</w:t>
      </w:r>
      <w:r w:rsidRPr="00C57BA0">
        <w:rPr>
          <w:rFonts w:eastAsia="MS PGothic"/>
          <w:color w:val="000000"/>
          <w:szCs w:val="22"/>
          <w:lang w:val="es-ES"/>
        </w:rPr>
        <w:t xml:space="preserve"> y se cambiaron a </w:t>
      </w:r>
      <w:r w:rsidR="007153CA">
        <w:rPr>
          <w:szCs w:val="22"/>
          <w:lang w:val="es-ES"/>
        </w:rPr>
        <w:t>tocilizumab</w:t>
      </w:r>
      <w:r w:rsidR="007153CA" w:rsidRPr="006868F5">
        <w:rPr>
          <w:szCs w:val="22"/>
          <w:lang w:val="es-ES"/>
        </w:rPr>
        <w:t xml:space="preserve"> </w:t>
      </w:r>
      <w:r w:rsidR="007153CA">
        <w:rPr>
          <w:szCs w:val="22"/>
          <w:lang w:val="es-ES"/>
        </w:rPr>
        <w:t>subcutáneo</w:t>
      </w:r>
      <w:r w:rsidRPr="00C57BA0">
        <w:rPr>
          <w:rFonts w:eastAsia="MS PGothic"/>
          <w:color w:val="000000"/>
          <w:szCs w:val="22"/>
          <w:lang w:val="es-ES"/>
        </w:rPr>
        <w:t>al inicio del estudio.</w:t>
      </w:r>
    </w:p>
    <w:p w14:paraId="68953230" w14:textId="77777777" w:rsidR="0079644F" w:rsidRPr="00C57BA0" w:rsidRDefault="0079644F" w:rsidP="0079644F">
      <w:pPr>
        <w:rPr>
          <w:rFonts w:eastAsia="MS PGothic"/>
          <w:color w:val="000000"/>
          <w:szCs w:val="22"/>
          <w:lang w:val="es-ES"/>
        </w:rPr>
      </w:pPr>
    </w:p>
    <w:p w14:paraId="3EB347B6" w14:textId="6507D7B2" w:rsidR="0079644F" w:rsidRDefault="0079644F" w:rsidP="0079644F">
      <w:pPr>
        <w:rPr>
          <w:rFonts w:eastAsia="MS PGothic"/>
          <w:color w:val="000000"/>
          <w:szCs w:val="22"/>
          <w:lang w:val="es-ES"/>
        </w:rPr>
      </w:pPr>
      <w:r w:rsidRPr="00C57BA0">
        <w:rPr>
          <w:rFonts w:eastAsia="MS PGothic"/>
          <w:color w:val="000000"/>
          <w:szCs w:val="22"/>
          <w:lang w:val="es-ES"/>
        </w:rPr>
        <w:t xml:space="preserve">Los resultados exploratorios de eficacia demostraron que </w:t>
      </w:r>
      <w:r w:rsidR="007153CA">
        <w:rPr>
          <w:szCs w:val="22"/>
          <w:lang w:val="es-ES"/>
        </w:rPr>
        <w:t>tocilizumab</w:t>
      </w:r>
      <w:r w:rsidR="007153CA" w:rsidRPr="006868F5">
        <w:rPr>
          <w:szCs w:val="22"/>
          <w:lang w:val="es-ES"/>
        </w:rPr>
        <w:t xml:space="preserve"> </w:t>
      </w:r>
      <w:r w:rsidR="007153CA">
        <w:rPr>
          <w:szCs w:val="22"/>
          <w:lang w:val="es-ES"/>
        </w:rPr>
        <w:t>subcutáneo</w:t>
      </w:r>
      <w:r w:rsidRPr="00C57BA0">
        <w:rPr>
          <w:rFonts w:eastAsia="MS PGothic"/>
          <w:color w:val="000000"/>
          <w:szCs w:val="22"/>
          <w:lang w:val="es-ES"/>
        </w:rPr>
        <w:t xml:space="preserve"> mejoró todos los parámetros exploratorios de eficacia, incluyendo la Puntuación de Actividad de la Enfermedad de Artritis Juvenil (JADAS) -71, para pacientes que no habían recibido tratamiento pre</w:t>
      </w:r>
      <w:r>
        <w:rPr>
          <w:rFonts w:eastAsia="MS PGothic"/>
          <w:color w:val="000000"/>
          <w:szCs w:val="22"/>
          <w:lang w:val="es-ES"/>
        </w:rPr>
        <w:t xml:space="preserve">vio con tocilizumab y </w:t>
      </w:r>
      <w:r w:rsidRPr="00C57BA0">
        <w:rPr>
          <w:rFonts w:eastAsia="MS PGothic"/>
          <w:color w:val="000000"/>
          <w:szCs w:val="22"/>
          <w:lang w:val="es-ES"/>
        </w:rPr>
        <w:t xml:space="preserve">se mantuvo todos los parámetros exploratorios de eficacia a lo largo de todo el </w:t>
      </w:r>
      <w:del w:id="990" w:author="AUTHOR">
        <w:r w:rsidRPr="00C57BA0" w:rsidDel="00FF4632">
          <w:rPr>
            <w:rFonts w:eastAsia="MS PGothic"/>
            <w:color w:val="000000"/>
            <w:szCs w:val="22"/>
            <w:lang w:val="es-ES"/>
          </w:rPr>
          <w:delText xml:space="preserve">estudio </w:delText>
        </w:r>
      </w:del>
      <w:ins w:id="991" w:author="AUTHOR">
        <w:r w:rsidR="00FF4632">
          <w:rPr>
            <w:rFonts w:eastAsia="MS PGothic"/>
            <w:color w:val="000000"/>
            <w:szCs w:val="22"/>
            <w:lang w:val="es-ES"/>
          </w:rPr>
          <w:t>ensayo</w:t>
        </w:r>
        <w:r w:rsidR="00FF4632" w:rsidRPr="00C57BA0">
          <w:rPr>
            <w:rFonts w:eastAsia="MS PGothic"/>
            <w:color w:val="000000"/>
            <w:szCs w:val="22"/>
            <w:lang w:val="es-ES"/>
          </w:rPr>
          <w:t xml:space="preserve"> </w:t>
        </w:r>
      </w:ins>
      <w:r w:rsidRPr="00C57BA0">
        <w:rPr>
          <w:rFonts w:eastAsia="MS PGothic"/>
          <w:color w:val="000000"/>
          <w:szCs w:val="22"/>
          <w:lang w:val="es-ES"/>
        </w:rPr>
        <w:t xml:space="preserve">para pacientes que cambiaron de </w:t>
      </w:r>
      <w:r w:rsidR="007153CA">
        <w:rPr>
          <w:rFonts w:eastAsia="MS PGothic"/>
          <w:color w:val="000000"/>
          <w:szCs w:val="22"/>
          <w:lang w:val="es-ES"/>
        </w:rPr>
        <w:t xml:space="preserve">intravenoso </w:t>
      </w:r>
      <w:r w:rsidRPr="00C57BA0">
        <w:rPr>
          <w:rFonts w:eastAsia="MS PGothic"/>
          <w:color w:val="000000"/>
          <w:szCs w:val="22"/>
          <w:lang w:val="es-ES"/>
        </w:rPr>
        <w:t xml:space="preserve"> al tratamiento </w:t>
      </w:r>
      <w:r w:rsidR="007153CA">
        <w:rPr>
          <w:rFonts w:eastAsia="MS PGothic"/>
          <w:color w:val="000000"/>
          <w:szCs w:val="22"/>
          <w:lang w:val="es-ES"/>
        </w:rPr>
        <w:t>subcutáneo</w:t>
      </w:r>
      <w:r w:rsidRPr="00C57BA0">
        <w:rPr>
          <w:rFonts w:eastAsia="MS PGothic"/>
          <w:color w:val="000000"/>
          <w:szCs w:val="22"/>
          <w:lang w:val="es-ES"/>
        </w:rPr>
        <w:t xml:space="preserve"> en ambos grupos de peso corporal (por debajo de 30</w:t>
      </w:r>
      <w:r w:rsidR="00D34894" w:rsidRPr="002C5491">
        <w:rPr>
          <w:rFonts w:eastAsia="MS PGothic"/>
          <w:color w:val="000000"/>
          <w:szCs w:val="22"/>
          <w:lang w:val="es-ES"/>
        </w:rPr>
        <w:t> </w:t>
      </w:r>
      <w:r w:rsidRPr="00C57BA0">
        <w:rPr>
          <w:rFonts w:eastAsia="MS PGothic"/>
          <w:color w:val="000000"/>
          <w:szCs w:val="22"/>
          <w:lang w:val="es-ES"/>
        </w:rPr>
        <w:t>kg y ≥30</w:t>
      </w:r>
      <w:r w:rsidR="00D34894" w:rsidRPr="002C5491">
        <w:rPr>
          <w:rFonts w:eastAsia="MS PGothic"/>
          <w:color w:val="000000"/>
          <w:szCs w:val="22"/>
          <w:lang w:val="es-ES"/>
        </w:rPr>
        <w:t> </w:t>
      </w:r>
      <w:r w:rsidRPr="00C57BA0">
        <w:rPr>
          <w:rFonts w:eastAsia="MS PGothic"/>
          <w:color w:val="000000"/>
          <w:szCs w:val="22"/>
          <w:lang w:val="es-ES"/>
        </w:rPr>
        <w:t>kg).</w:t>
      </w:r>
    </w:p>
    <w:p w14:paraId="7ED2D6A6" w14:textId="77777777" w:rsidR="0079644F" w:rsidRDefault="0079644F" w:rsidP="0079644F">
      <w:pPr>
        <w:rPr>
          <w:rFonts w:eastAsia="MS PGothic"/>
          <w:color w:val="000000"/>
          <w:szCs w:val="22"/>
          <w:lang w:val="es-ES"/>
        </w:rPr>
      </w:pPr>
    </w:p>
    <w:p w14:paraId="2A9471E9" w14:textId="77777777" w:rsidR="00431AD6" w:rsidRDefault="00431AD6" w:rsidP="0079644F">
      <w:pPr>
        <w:rPr>
          <w:ins w:id="992" w:author="AUTHOR"/>
          <w:rFonts w:eastAsia="MS PGothic"/>
          <w:color w:val="000000"/>
          <w:szCs w:val="22"/>
          <w:u w:val="single"/>
          <w:lang w:val="es-ES"/>
        </w:rPr>
      </w:pPr>
      <w:ins w:id="993" w:author="AUTHOR">
        <w:r w:rsidRPr="00F30AB8">
          <w:rPr>
            <w:u w:val="single"/>
            <w:lang w:val="es-ES_tradnl"/>
          </w:rPr>
          <w:t>Uso subcutáneo</w:t>
        </w:r>
        <w:r w:rsidRPr="00F30AB8">
          <w:rPr>
            <w:rFonts w:eastAsia="MS PGothic"/>
            <w:color w:val="000000"/>
            <w:szCs w:val="22"/>
            <w:u w:val="single"/>
            <w:lang w:val="es-ES"/>
          </w:rPr>
          <w:t xml:space="preserve"> </w:t>
        </w:r>
      </w:ins>
    </w:p>
    <w:p w14:paraId="79818DB8" w14:textId="48A52FEE" w:rsidR="0079644F" w:rsidRDefault="00431AD6" w:rsidP="0079644F">
      <w:pPr>
        <w:rPr>
          <w:rFonts w:eastAsia="MS PGothic"/>
          <w:color w:val="000000"/>
          <w:szCs w:val="22"/>
          <w:u w:val="single"/>
          <w:lang w:val="es-ES"/>
        </w:rPr>
      </w:pPr>
      <w:ins w:id="994" w:author="AUTHOR">
        <w:r>
          <w:rPr>
            <w:rFonts w:eastAsia="MS PGothic"/>
            <w:color w:val="000000"/>
            <w:szCs w:val="22"/>
            <w:u w:val="single"/>
            <w:lang w:val="es-ES"/>
          </w:rPr>
          <w:t>Pacientes con</w:t>
        </w:r>
        <w:r w:rsidRPr="00F30AB8">
          <w:rPr>
            <w:rFonts w:eastAsia="MS PGothic"/>
            <w:color w:val="000000"/>
            <w:szCs w:val="22"/>
            <w:u w:val="single"/>
            <w:lang w:val="es-ES"/>
          </w:rPr>
          <w:t xml:space="preserve"> </w:t>
        </w:r>
      </w:ins>
      <w:r w:rsidR="0079644F" w:rsidRPr="00F30AB8">
        <w:rPr>
          <w:rFonts w:eastAsia="MS PGothic"/>
          <w:color w:val="000000"/>
          <w:szCs w:val="22"/>
          <w:u w:val="single"/>
          <w:lang w:val="es-ES"/>
        </w:rPr>
        <w:t>AIJp</w:t>
      </w:r>
      <w:del w:id="995" w:author="AUTHOR">
        <w:r w:rsidR="00513DDB" w:rsidRPr="00F30AB8" w:rsidDel="00431AD6">
          <w:rPr>
            <w:rFonts w:eastAsia="MS PGothic"/>
            <w:color w:val="000000"/>
            <w:szCs w:val="22"/>
            <w:u w:val="single"/>
            <w:lang w:val="es-ES"/>
          </w:rPr>
          <w:delText xml:space="preserve"> (</w:delText>
        </w:r>
        <w:r w:rsidR="007153CA" w:rsidRPr="00F30AB8" w:rsidDel="00431AD6">
          <w:rPr>
            <w:rFonts w:eastAsia="MS PGothic"/>
            <w:color w:val="000000"/>
            <w:szCs w:val="22"/>
            <w:u w:val="single"/>
            <w:lang w:val="es-ES"/>
          </w:rPr>
          <w:delText>subcutáneo</w:delText>
        </w:r>
        <w:r w:rsidR="00513DDB" w:rsidRPr="00F30AB8" w:rsidDel="00431AD6">
          <w:rPr>
            <w:rFonts w:eastAsia="MS PGothic"/>
            <w:color w:val="000000"/>
            <w:szCs w:val="22"/>
            <w:u w:val="single"/>
            <w:lang w:val="es-ES"/>
          </w:rPr>
          <w:delText>)</w:delText>
        </w:r>
      </w:del>
    </w:p>
    <w:p w14:paraId="7A26CFF0" w14:textId="77777777" w:rsidR="007153CA" w:rsidRDefault="007153CA" w:rsidP="0079644F">
      <w:pPr>
        <w:rPr>
          <w:rFonts w:eastAsia="MS PGothic"/>
          <w:color w:val="000000"/>
          <w:szCs w:val="22"/>
          <w:u w:val="single"/>
          <w:lang w:val="es-ES"/>
        </w:rPr>
      </w:pPr>
    </w:p>
    <w:p w14:paraId="3E043362" w14:textId="77777777" w:rsidR="007153CA" w:rsidRPr="00467FFD" w:rsidRDefault="007153CA" w:rsidP="0079644F">
      <w:pPr>
        <w:rPr>
          <w:ins w:id="996" w:author="AUTHOR"/>
          <w:rFonts w:eastAsia="MS PGothic"/>
          <w:iCs/>
          <w:color w:val="000000"/>
          <w:szCs w:val="22"/>
          <w:u w:val="single"/>
          <w:lang w:val="es-ES"/>
          <w:rPrChange w:id="997" w:author="AUTHOR">
            <w:rPr>
              <w:ins w:id="998" w:author="AUTHOR"/>
              <w:rFonts w:eastAsia="MS PGothic"/>
              <w:i/>
              <w:color w:val="000000"/>
              <w:szCs w:val="22"/>
              <w:u w:val="single"/>
              <w:lang w:val="es-ES"/>
            </w:rPr>
          </w:rPrChange>
        </w:rPr>
      </w:pPr>
      <w:r w:rsidRPr="00467FFD">
        <w:rPr>
          <w:rFonts w:eastAsia="MS PGothic"/>
          <w:iCs/>
          <w:color w:val="000000"/>
          <w:szCs w:val="22"/>
          <w:u w:val="single"/>
          <w:lang w:val="es-ES"/>
          <w:rPrChange w:id="999" w:author="AUTHOR">
            <w:rPr>
              <w:rFonts w:eastAsia="MS PGothic"/>
              <w:i/>
              <w:color w:val="000000"/>
              <w:szCs w:val="22"/>
              <w:u w:val="single"/>
              <w:lang w:val="es-ES"/>
            </w:rPr>
          </w:rPrChange>
        </w:rPr>
        <w:t>Eficacia clínica</w:t>
      </w:r>
    </w:p>
    <w:p w14:paraId="10CBB374" w14:textId="77777777" w:rsidR="007653FD" w:rsidRPr="007653FD" w:rsidRDefault="007653FD" w:rsidP="0079644F">
      <w:pPr>
        <w:rPr>
          <w:rFonts w:eastAsia="MS PGothic"/>
          <w:i/>
          <w:color w:val="000000"/>
          <w:szCs w:val="22"/>
          <w:u w:val="single"/>
          <w:lang w:val="es-ES"/>
        </w:rPr>
      </w:pPr>
    </w:p>
    <w:p w14:paraId="4234008E" w14:textId="51D945CE" w:rsidR="0079644F" w:rsidRPr="002606FD" w:rsidRDefault="0079644F" w:rsidP="0079644F">
      <w:pPr>
        <w:rPr>
          <w:rFonts w:eastAsia="MS PGothic"/>
          <w:color w:val="000000"/>
          <w:szCs w:val="22"/>
          <w:lang w:val="es-ES"/>
        </w:rPr>
      </w:pPr>
      <w:r>
        <w:rPr>
          <w:rFonts w:eastAsia="MS PGothic"/>
          <w:color w:val="000000"/>
          <w:szCs w:val="22"/>
          <w:lang w:val="es-ES"/>
        </w:rPr>
        <w:t>Se realizó un estudio PK-</w:t>
      </w:r>
      <w:r w:rsidRPr="002606FD">
        <w:rPr>
          <w:rFonts w:eastAsia="MS PGothic"/>
          <w:color w:val="000000"/>
          <w:szCs w:val="22"/>
          <w:lang w:val="es-ES"/>
        </w:rPr>
        <w:t>PD y de seguridad de 52 semanas, abierto, multicéntrico en pacientes pediátricos con AIJp, de 1 a 17</w:t>
      </w:r>
      <w:r w:rsidR="00267243" w:rsidRPr="00F30AB8">
        <w:rPr>
          <w:szCs w:val="22"/>
          <w:lang w:val="es-ES"/>
        </w:rPr>
        <w:t> </w:t>
      </w:r>
      <w:r w:rsidRPr="002606FD">
        <w:rPr>
          <w:rFonts w:eastAsia="MS PGothic"/>
          <w:color w:val="000000"/>
          <w:szCs w:val="22"/>
          <w:lang w:val="es-ES"/>
        </w:rPr>
        <w:t xml:space="preserve">años de edad, para determinar la dosis subcutánea de </w:t>
      </w:r>
      <w:r w:rsidR="007153CA">
        <w:rPr>
          <w:szCs w:val="22"/>
          <w:lang w:val="es-ES"/>
        </w:rPr>
        <w:t>tocilizumab</w:t>
      </w:r>
      <w:r w:rsidR="007153CA" w:rsidRPr="006868F5">
        <w:rPr>
          <w:szCs w:val="22"/>
          <w:lang w:val="es-ES"/>
        </w:rPr>
        <w:t xml:space="preserve"> </w:t>
      </w:r>
      <w:r w:rsidRPr="002606FD">
        <w:rPr>
          <w:rFonts w:eastAsia="MS PGothic"/>
          <w:color w:val="000000"/>
          <w:szCs w:val="22"/>
          <w:lang w:val="es-ES"/>
        </w:rPr>
        <w:t>adecu</w:t>
      </w:r>
      <w:r>
        <w:rPr>
          <w:rFonts w:eastAsia="MS PGothic"/>
          <w:color w:val="000000"/>
          <w:szCs w:val="22"/>
          <w:lang w:val="es-ES"/>
        </w:rPr>
        <w:t>ada que lograra unos perfiles PK/</w:t>
      </w:r>
      <w:r w:rsidRPr="002606FD">
        <w:rPr>
          <w:rFonts w:eastAsia="MS PGothic"/>
          <w:color w:val="000000"/>
          <w:szCs w:val="22"/>
          <w:lang w:val="es-ES"/>
        </w:rPr>
        <w:t xml:space="preserve">PD y de seguridad comparables a la administración por vía </w:t>
      </w:r>
      <w:r w:rsidR="007153CA">
        <w:rPr>
          <w:rFonts w:eastAsia="MS PGothic"/>
          <w:color w:val="000000"/>
          <w:szCs w:val="22"/>
          <w:lang w:val="es-ES"/>
        </w:rPr>
        <w:t>intravenosa</w:t>
      </w:r>
      <w:r w:rsidRPr="002606FD">
        <w:rPr>
          <w:rFonts w:eastAsia="MS PGothic"/>
          <w:color w:val="000000"/>
          <w:szCs w:val="22"/>
          <w:lang w:val="es-ES"/>
        </w:rPr>
        <w:t>.</w:t>
      </w:r>
    </w:p>
    <w:p w14:paraId="60062C23" w14:textId="77777777" w:rsidR="0079644F" w:rsidRPr="002606FD" w:rsidRDefault="0079644F" w:rsidP="0079644F">
      <w:pPr>
        <w:rPr>
          <w:rFonts w:eastAsia="MS PGothic"/>
          <w:color w:val="000000"/>
          <w:szCs w:val="22"/>
          <w:lang w:val="es-ES"/>
        </w:rPr>
      </w:pPr>
    </w:p>
    <w:p w14:paraId="67D831C6" w14:textId="12828E2D" w:rsidR="0079644F" w:rsidRPr="002606FD" w:rsidRDefault="0079644F" w:rsidP="0079644F">
      <w:pPr>
        <w:rPr>
          <w:rFonts w:eastAsia="MS PGothic"/>
          <w:color w:val="000000"/>
          <w:szCs w:val="22"/>
          <w:lang w:val="es-ES"/>
        </w:rPr>
      </w:pPr>
      <w:r w:rsidRPr="002606FD">
        <w:rPr>
          <w:rFonts w:eastAsia="MS PGothic" w:hint="eastAsia"/>
          <w:color w:val="000000"/>
          <w:szCs w:val="22"/>
          <w:lang w:val="es-ES"/>
        </w:rPr>
        <w:t>Los pacientes elegibles recibieron tocilizumab dosificado según el peso corporal</w:t>
      </w:r>
      <w:r>
        <w:rPr>
          <w:rFonts w:eastAsia="MS PGothic" w:hint="eastAsia"/>
          <w:color w:val="000000"/>
          <w:szCs w:val="22"/>
          <w:lang w:val="es-ES"/>
        </w:rPr>
        <w:t>, en pacientes que pesaban</w:t>
      </w:r>
      <w:r w:rsidR="003532C2" w:rsidRPr="00F30AB8">
        <w:rPr>
          <w:szCs w:val="22"/>
          <w:lang w:val="es-ES"/>
        </w:rPr>
        <w:t> </w:t>
      </w:r>
      <w:r w:rsidRPr="00457985">
        <w:sym w:font="Symbol" w:char="F0B3"/>
      </w:r>
      <w:r w:rsidRPr="002606FD">
        <w:rPr>
          <w:rFonts w:eastAsia="MS PGothic" w:hint="eastAsia"/>
          <w:color w:val="000000"/>
          <w:szCs w:val="22"/>
          <w:lang w:val="es-ES"/>
        </w:rPr>
        <w:t>30</w:t>
      </w:r>
      <w:r w:rsidR="00267243" w:rsidRPr="00F30AB8">
        <w:rPr>
          <w:szCs w:val="22"/>
          <w:lang w:val="es-ES"/>
        </w:rPr>
        <w:t> </w:t>
      </w:r>
      <w:r w:rsidRPr="002606FD">
        <w:rPr>
          <w:rFonts w:eastAsia="MS PGothic" w:hint="eastAsia"/>
          <w:color w:val="000000"/>
          <w:szCs w:val="22"/>
          <w:lang w:val="es-ES"/>
        </w:rPr>
        <w:t>kg (n</w:t>
      </w:r>
      <w:r w:rsidR="00267243" w:rsidRPr="00F30AB8">
        <w:rPr>
          <w:szCs w:val="22"/>
          <w:lang w:val="es-ES"/>
        </w:rPr>
        <w:t> </w:t>
      </w:r>
      <w:r w:rsidRPr="002606FD">
        <w:rPr>
          <w:rFonts w:eastAsia="MS PGothic" w:hint="eastAsia"/>
          <w:color w:val="000000"/>
          <w:szCs w:val="22"/>
          <w:lang w:val="es-ES"/>
        </w:rPr>
        <w:t>=</w:t>
      </w:r>
      <w:r w:rsidR="00267243" w:rsidRPr="00F30AB8">
        <w:rPr>
          <w:szCs w:val="22"/>
          <w:lang w:val="es-ES"/>
        </w:rPr>
        <w:t> </w:t>
      </w:r>
      <w:r w:rsidRPr="002606FD">
        <w:rPr>
          <w:rFonts w:eastAsia="MS PGothic" w:hint="eastAsia"/>
          <w:color w:val="000000"/>
          <w:szCs w:val="22"/>
          <w:lang w:val="es-ES"/>
        </w:rPr>
        <w:t>25) se les administró una dosis de 162</w:t>
      </w:r>
      <w:r w:rsidR="00267243" w:rsidRPr="00F30AB8">
        <w:rPr>
          <w:szCs w:val="22"/>
          <w:lang w:val="es-ES"/>
        </w:rPr>
        <w:t> </w:t>
      </w:r>
      <w:r w:rsidRPr="002606FD">
        <w:rPr>
          <w:rFonts w:eastAsia="MS PGothic" w:hint="eastAsia"/>
          <w:color w:val="000000"/>
          <w:szCs w:val="22"/>
          <w:lang w:val="es-ES"/>
        </w:rPr>
        <w:t xml:space="preserve">mg de </w:t>
      </w:r>
      <w:r w:rsidR="007153CA">
        <w:rPr>
          <w:szCs w:val="22"/>
          <w:lang w:val="es-ES"/>
        </w:rPr>
        <w:t>tocilizumab</w:t>
      </w:r>
      <w:r w:rsidR="007153CA" w:rsidRPr="006868F5">
        <w:rPr>
          <w:szCs w:val="22"/>
          <w:lang w:val="es-ES"/>
        </w:rPr>
        <w:t xml:space="preserve"> </w:t>
      </w:r>
      <w:r w:rsidRPr="002606FD">
        <w:rPr>
          <w:rFonts w:eastAsia="MS PGothic" w:hint="eastAsia"/>
          <w:color w:val="000000"/>
          <w:szCs w:val="22"/>
          <w:lang w:val="es-ES"/>
        </w:rPr>
        <w:t>cada 2</w:t>
      </w:r>
      <w:r w:rsidR="00267243" w:rsidRPr="00F30AB8">
        <w:rPr>
          <w:szCs w:val="22"/>
          <w:lang w:val="es-ES"/>
        </w:rPr>
        <w:t> </w:t>
      </w:r>
      <w:r w:rsidRPr="002606FD">
        <w:rPr>
          <w:rFonts w:eastAsia="MS PGothic" w:hint="eastAsia"/>
          <w:color w:val="000000"/>
          <w:szCs w:val="22"/>
          <w:lang w:val="es-ES"/>
        </w:rPr>
        <w:t>semanas (Q2W) y en pacientes que pesaban menos de 30</w:t>
      </w:r>
      <w:r w:rsidR="00267243" w:rsidRPr="00F30AB8">
        <w:rPr>
          <w:szCs w:val="22"/>
          <w:lang w:val="es-ES"/>
        </w:rPr>
        <w:t> </w:t>
      </w:r>
      <w:r w:rsidRPr="002606FD">
        <w:rPr>
          <w:rFonts w:eastAsia="MS PGothic" w:hint="eastAsia"/>
          <w:color w:val="000000"/>
          <w:szCs w:val="22"/>
          <w:lang w:val="es-ES"/>
        </w:rPr>
        <w:t>kg (n</w:t>
      </w:r>
      <w:r w:rsidR="00267243" w:rsidRPr="00F30AB8">
        <w:rPr>
          <w:szCs w:val="22"/>
          <w:lang w:val="es-ES"/>
        </w:rPr>
        <w:t> </w:t>
      </w:r>
      <w:r w:rsidRPr="002606FD">
        <w:rPr>
          <w:rFonts w:eastAsia="MS PGothic" w:hint="eastAsia"/>
          <w:color w:val="000000"/>
          <w:szCs w:val="22"/>
          <w:lang w:val="es-ES"/>
        </w:rPr>
        <w:t>=</w:t>
      </w:r>
      <w:r w:rsidR="00267243" w:rsidRPr="00F30AB8">
        <w:rPr>
          <w:szCs w:val="22"/>
          <w:lang w:val="es-ES"/>
        </w:rPr>
        <w:t> </w:t>
      </w:r>
      <w:r w:rsidRPr="002606FD">
        <w:rPr>
          <w:rFonts w:eastAsia="MS PGothic" w:hint="eastAsia"/>
          <w:color w:val="000000"/>
          <w:szCs w:val="22"/>
          <w:lang w:val="es-ES"/>
        </w:rPr>
        <w:t>27) se les</w:t>
      </w:r>
      <w:r w:rsidRPr="002606FD">
        <w:rPr>
          <w:rFonts w:eastAsia="MS PGothic"/>
          <w:color w:val="000000"/>
          <w:szCs w:val="22"/>
          <w:lang w:val="es-ES"/>
        </w:rPr>
        <w:t xml:space="preserve"> administró una dosis de 162</w:t>
      </w:r>
      <w:r w:rsidR="00267243" w:rsidRPr="00F30AB8">
        <w:rPr>
          <w:szCs w:val="22"/>
          <w:lang w:val="es-ES"/>
        </w:rPr>
        <w:t> </w:t>
      </w:r>
      <w:r w:rsidRPr="002606FD">
        <w:rPr>
          <w:rFonts w:eastAsia="MS PGothic"/>
          <w:color w:val="000000"/>
          <w:szCs w:val="22"/>
          <w:lang w:val="es-ES"/>
        </w:rPr>
        <w:t xml:space="preserve">mg de </w:t>
      </w:r>
      <w:r w:rsidR="007153CA">
        <w:rPr>
          <w:szCs w:val="22"/>
          <w:lang w:val="es-ES"/>
        </w:rPr>
        <w:t>tocilizumab</w:t>
      </w:r>
      <w:r w:rsidR="007153CA" w:rsidRPr="006868F5">
        <w:rPr>
          <w:szCs w:val="22"/>
          <w:lang w:val="es-ES"/>
        </w:rPr>
        <w:t xml:space="preserve"> </w:t>
      </w:r>
      <w:r w:rsidRPr="002606FD">
        <w:rPr>
          <w:rFonts w:eastAsia="MS PGothic"/>
          <w:color w:val="000000"/>
          <w:szCs w:val="22"/>
          <w:lang w:val="es-ES"/>
        </w:rPr>
        <w:t>cada 3</w:t>
      </w:r>
      <w:r w:rsidR="00267243" w:rsidRPr="00F30AB8">
        <w:rPr>
          <w:szCs w:val="22"/>
          <w:lang w:val="es-ES"/>
        </w:rPr>
        <w:t> </w:t>
      </w:r>
      <w:r w:rsidRPr="002606FD">
        <w:rPr>
          <w:rFonts w:eastAsia="MS PGothic"/>
          <w:color w:val="000000"/>
          <w:szCs w:val="22"/>
          <w:lang w:val="es-ES"/>
        </w:rPr>
        <w:t>semanas (Q3W) durante 52</w:t>
      </w:r>
      <w:r w:rsidR="00267243" w:rsidRPr="00F30AB8">
        <w:rPr>
          <w:szCs w:val="22"/>
          <w:lang w:val="es-ES"/>
        </w:rPr>
        <w:t> </w:t>
      </w:r>
      <w:r w:rsidRPr="002606FD">
        <w:rPr>
          <w:rFonts w:eastAsia="MS PGothic"/>
          <w:color w:val="000000"/>
          <w:szCs w:val="22"/>
          <w:lang w:val="es-ES"/>
        </w:rPr>
        <w:t>semanas. De estos 52</w:t>
      </w:r>
      <w:r w:rsidR="00267243" w:rsidRPr="00F30AB8">
        <w:rPr>
          <w:szCs w:val="22"/>
          <w:lang w:val="es-ES"/>
        </w:rPr>
        <w:t> </w:t>
      </w:r>
      <w:r w:rsidRPr="002606FD">
        <w:rPr>
          <w:rFonts w:eastAsia="MS PGothic"/>
          <w:color w:val="000000"/>
          <w:szCs w:val="22"/>
          <w:lang w:val="es-ES"/>
        </w:rPr>
        <w:t xml:space="preserve">pacientes, 37 (71%) no habían recibido tratamiento previo y 15 (29%) habían recibido </w:t>
      </w:r>
      <w:r w:rsidR="007153CA">
        <w:rPr>
          <w:szCs w:val="22"/>
          <w:lang w:val="es-ES"/>
        </w:rPr>
        <w:t>tocilizumab</w:t>
      </w:r>
      <w:r w:rsidR="007153CA" w:rsidRPr="006868F5">
        <w:rPr>
          <w:szCs w:val="22"/>
          <w:lang w:val="es-ES"/>
        </w:rPr>
        <w:t xml:space="preserve"> </w:t>
      </w:r>
      <w:r w:rsidR="007153CA">
        <w:rPr>
          <w:szCs w:val="22"/>
          <w:lang w:val="es-ES"/>
        </w:rPr>
        <w:t>intravenoso</w:t>
      </w:r>
      <w:r w:rsidRPr="002606FD">
        <w:rPr>
          <w:rFonts w:eastAsia="MS PGothic"/>
          <w:color w:val="000000"/>
          <w:szCs w:val="22"/>
          <w:lang w:val="es-ES"/>
        </w:rPr>
        <w:t xml:space="preserve"> y se cambiaron a </w:t>
      </w:r>
      <w:del w:id="1000" w:author="AUTHOR">
        <w:r w:rsidR="007153CA" w:rsidDel="00431AD6">
          <w:rPr>
            <w:szCs w:val="22"/>
            <w:lang w:val="es-ES"/>
          </w:rPr>
          <w:delText>tocilizumab</w:delText>
        </w:r>
        <w:r w:rsidR="007153CA" w:rsidRPr="006868F5" w:rsidDel="00431AD6">
          <w:rPr>
            <w:szCs w:val="22"/>
            <w:lang w:val="es-ES"/>
          </w:rPr>
          <w:delText xml:space="preserve"> </w:delText>
        </w:r>
      </w:del>
      <w:ins w:id="1001" w:author="AUTHOR">
        <w:r w:rsidR="00431AD6">
          <w:rPr>
            <w:szCs w:val="22"/>
            <w:lang w:val="es-ES"/>
          </w:rPr>
          <w:t>tratamiento</w:t>
        </w:r>
        <w:r w:rsidR="00431AD6" w:rsidRPr="006868F5">
          <w:rPr>
            <w:szCs w:val="22"/>
            <w:lang w:val="es-ES"/>
          </w:rPr>
          <w:t xml:space="preserve"> </w:t>
        </w:r>
      </w:ins>
      <w:r w:rsidR="007153CA">
        <w:rPr>
          <w:szCs w:val="22"/>
          <w:lang w:val="es-ES"/>
        </w:rPr>
        <w:t>subcutáneo</w:t>
      </w:r>
      <w:r w:rsidRPr="002606FD">
        <w:rPr>
          <w:rFonts w:eastAsia="MS PGothic"/>
          <w:color w:val="000000"/>
          <w:szCs w:val="22"/>
          <w:lang w:val="es-ES"/>
        </w:rPr>
        <w:t xml:space="preserve"> al inicio del estudio.</w:t>
      </w:r>
    </w:p>
    <w:p w14:paraId="6BFA6AD1" w14:textId="77777777" w:rsidR="0079644F" w:rsidRPr="002606FD" w:rsidRDefault="0079644F" w:rsidP="0079644F">
      <w:pPr>
        <w:rPr>
          <w:rFonts w:eastAsia="MS PGothic"/>
          <w:color w:val="000000"/>
          <w:szCs w:val="22"/>
          <w:lang w:val="es-ES"/>
        </w:rPr>
      </w:pPr>
    </w:p>
    <w:p w14:paraId="00E0D7BB" w14:textId="69BDBB5C" w:rsidR="0079644F" w:rsidRPr="002606FD" w:rsidRDefault="0079644F" w:rsidP="0079644F">
      <w:pPr>
        <w:rPr>
          <w:rFonts w:eastAsia="MS PGothic"/>
          <w:color w:val="000000"/>
          <w:szCs w:val="22"/>
          <w:lang w:val="es-ES"/>
        </w:rPr>
      </w:pPr>
      <w:r w:rsidRPr="002606FD">
        <w:rPr>
          <w:rFonts w:eastAsia="MS PGothic"/>
          <w:color w:val="000000"/>
          <w:szCs w:val="22"/>
          <w:lang w:val="es-ES"/>
        </w:rPr>
        <w:t xml:space="preserve">Los regímenes de </w:t>
      </w:r>
      <w:r w:rsidR="007153CA">
        <w:rPr>
          <w:szCs w:val="22"/>
          <w:lang w:val="es-ES"/>
        </w:rPr>
        <w:t>tocilizumab</w:t>
      </w:r>
      <w:r w:rsidR="007153CA" w:rsidRPr="006868F5">
        <w:rPr>
          <w:szCs w:val="22"/>
          <w:lang w:val="es-ES"/>
        </w:rPr>
        <w:t xml:space="preserve"> </w:t>
      </w:r>
      <w:r w:rsidR="007153CA">
        <w:rPr>
          <w:szCs w:val="22"/>
          <w:lang w:val="es-ES"/>
        </w:rPr>
        <w:t>subcuténeo</w:t>
      </w:r>
      <w:r w:rsidRPr="002606FD">
        <w:rPr>
          <w:rFonts w:eastAsia="MS PGothic"/>
          <w:color w:val="000000"/>
          <w:szCs w:val="22"/>
          <w:lang w:val="es-ES"/>
        </w:rPr>
        <w:t xml:space="preserve"> de 162</w:t>
      </w:r>
      <w:r w:rsidR="00267243" w:rsidRPr="00F30AB8">
        <w:rPr>
          <w:szCs w:val="22"/>
          <w:lang w:val="es-ES"/>
        </w:rPr>
        <w:t> </w:t>
      </w:r>
      <w:r w:rsidRPr="002606FD">
        <w:rPr>
          <w:rFonts w:eastAsia="MS PGothic"/>
          <w:color w:val="000000"/>
          <w:szCs w:val="22"/>
          <w:lang w:val="es-ES"/>
        </w:rPr>
        <w:t>mg Q3W para pacientes que pesen menos de 30</w:t>
      </w:r>
      <w:r w:rsidR="00267243" w:rsidRPr="00F30AB8">
        <w:rPr>
          <w:szCs w:val="22"/>
          <w:lang w:val="es-ES"/>
        </w:rPr>
        <w:t> </w:t>
      </w:r>
      <w:r w:rsidRPr="002606FD">
        <w:rPr>
          <w:rFonts w:eastAsia="MS PGothic"/>
          <w:color w:val="000000"/>
          <w:szCs w:val="22"/>
          <w:lang w:val="es-ES"/>
        </w:rPr>
        <w:t>kg y 162</w:t>
      </w:r>
      <w:r w:rsidR="00267243" w:rsidRPr="00F30AB8">
        <w:rPr>
          <w:szCs w:val="22"/>
          <w:lang w:val="es-ES"/>
        </w:rPr>
        <w:t> </w:t>
      </w:r>
      <w:r w:rsidRPr="002606FD">
        <w:rPr>
          <w:rFonts w:eastAsia="MS PGothic"/>
          <w:color w:val="000000"/>
          <w:szCs w:val="22"/>
          <w:lang w:val="es-ES"/>
        </w:rPr>
        <w:t>mg Q2W para pacientes que pesen ≥ 30</w:t>
      </w:r>
      <w:r w:rsidR="00267243" w:rsidRPr="00F30AB8">
        <w:rPr>
          <w:szCs w:val="22"/>
          <w:lang w:val="es-ES"/>
        </w:rPr>
        <w:t> </w:t>
      </w:r>
      <w:r w:rsidRPr="002606FD">
        <w:rPr>
          <w:rFonts w:eastAsia="MS PGothic"/>
          <w:color w:val="000000"/>
          <w:szCs w:val="22"/>
          <w:lang w:val="es-ES"/>
        </w:rPr>
        <w:t>kg, respectivamente</w:t>
      </w:r>
      <w:r>
        <w:rPr>
          <w:rFonts w:eastAsia="MS PGothic"/>
          <w:color w:val="000000"/>
          <w:szCs w:val="22"/>
          <w:lang w:val="es-ES"/>
        </w:rPr>
        <w:t xml:space="preserve">, proporcionan una exposición PK y unas respuestas </w:t>
      </w:r>
      <w:r w:rsidRPr="002606FD">
        <w:rPr>
          <w:rFonts w:eastAsia="MS PGothic"/>
          <w:color w:val="000000"/>
          <w:szCs w:val="22"/>
          <w:lang w:val="es-ES"/>
        </w:rPr>
        <w:t xml:space="preserve">PD para respaldar los resultados de eficacia y seguridad similares a los obtenidos con los regímenes aprobados de </w:t>
      </w:r>
      <w:r w:rsidR="007153CA">
        <w:rPr>
          <w:rFonts w:eastAsia="MS PGothic"/>
          <w:color w:val="000000"/>
          <w:szCs w:val="22"/>
          <w:lang w:val="es-ES"/>
        </w:rPr>
        <w:t xml:space="preserve">tocilizumab intravenoso </w:t>
      </w:r>
      <w:r w:rsidRPr="002606FD">
        <w:rPr>
          <w:rFonts w:eastAsia="MS PGothic"/>
          <w:color w:val="000000"/>
          <w:szCs w:val="22"/>
          <w:lang w:val="es-ES"/>
        </w:rPr>
        <w:t>en pacientes con AIJp.</w:t>
      </w:r>
    </w:p>
    <w:p w14:paraId="4CC0C187" w14:textId="77777777" w:rsidR="0079644F" w:rsidRPr="002606FD" w:rsidRDefault="0079644F" w:rsidP="0079644F">
      <w:pPr>
        <w:rPr>
          <w:rFonts w:eastAsia="MS PGothic"/>
          <w:color w:val="000000"/>
          <w:szCs w:val="22"/>
          <w:lang w:val="es-ES"/>
        </w:rPr>
      </w:pPr>
    </w:p>
    <w:p w14:paraId="19CD3269" w14:textId="4786B3CD" w:rsidR="0079644F" w:rsidRDefault="0079644F" w:rsidP="0079644F">
      <w:pPr>
        <w:rPr>
          <w:rFonts w:eastAsia="MS PGothic"/>
          <w:color w:val="000000"/>
          <w:szCs w:val="22"/>
          <w:lang w:val="es-ES"/>
        </w:rPr>
      </w:pPr>
      <w:r w:rsidRPr="002606FD">
        <w:rPr>
          <w:rFonts w:eastAsia="MS PGothic"/>
          <w:color w:val="000000"/>
          <w:szCs w:val="22"/>
          <w:lang w:val="es-ES"/>
        </w:rPr>
        <w:t xml:space="preserve">Los resultados exploratorios de eficacia demostraron que </w:t>
      </w:r>
      <w:r w:rsidR="007153CA">
        <w:rPr>
          <w:szCs w:val="22"/>
          <w:lang w:val="es-ES"/>
        </w:rPr>
        <w:t>tocilizumab</w:t>
      </w:r>
      <w:r w:rsidR="007153CA" w:rsidRPr="006868F5">
        <w:rPr>
          <w:szCs w:val="22"/>
          <w:lang w:val="es-ES"/>
        </w:rPr>
        <w:t xml:space="preserve"> </w:t>
      </w:r>
      <w:r w:rsidR="007153CA">
        <w:rPr>
          <w:szCs w:val="22"/>
          <w:lang w:val="es-ES"/>
        </w:rPr>
        <w:t>subcutáneo</w:t>
      </w:r>
      <w:r w:rsidRPr="002606FD">
        <w:rPr>
          <w:rFonts w:eastAsia="MS PGothic"/>
          <w:color w:val="000000"/>
          <w:szCs w:val="22"/>
          <w:lang w:val="es-ES"/>
        </w:rPr>
        <w:t xml:space="preserve"> mejoró la mediana de la Puntuación de Actividad de la Enfermedad de Artritis Juvenil (JADAS) -71 para los pacientes que no habían recibido tratamiento previo  y la mediana JADAS-71 se mantuvo a lo largo de todo el </w:t>
      </w:r>
      <w:del w:id="1002" w:author="AUTHOR">
        <w:r w:rsidRPr="002606FD" w:rsidDel="00FF4632">
          <w:rPr>
            <w:rFonts w:eastAsia="MS PGothic"/>
            <w:color w:val="000000"/>
            <w:szCs w:val="22"/>
            <w:lang w:val="es-ES"/>
          </w:rPr>
          <w:delText xml:space="preserve">estudio </w:delText>
        </w:r>
      </w:del>
      <w:ins w:id="1003" w:author="AUTHOR">
        <w:r w:rsidR="00FF4632">
          <w:rPr>
            <w:rFonts w:eastAsia="MS PGothic"/>
            <w:color w:val="000000"/>
            <w:szCs w:val="22"/>
            <w:lang w:val="es-ES"/>
          </w:rPr>
          <w:t>ensayo</w:t>
        </w:r>
        <w:r w:rsidR="00FF4632" w:rsidRPr="002606FD">
          <w:rPr>
            <w:rFonts w:eastAsia="MS PGothic"/>
            <w:color w:val="000000"/>
            <w:szCs w:val="22"/>
            <w:lang w:val="es-ES"/>
          </w:rPr>
          <w:t xml:space="preserve"> </w:t>
        </w:r>
      </w:ins>
      <w:r w:rsidRPr="002606FD">
        <w:rPr>
          <w:rFonts w:eastAsia="MS PGothic"/>
          <w:color w:val="000000"/>
          <w:szCs w:val="22"/>
          <w:lang w:val="es-ES"/>
        </w:rPr>
        <w:t xml:space="preserve">en los pacientes que pasaron del tratamiento con </w:t>
      </w:r>
      <w:r w:rsidR="007153CA">
        <w:rPr>
          <w:rFonts w:eastAsia="MS PGothic"/>
          <w:color w:val="000000"/>
          <w:szCs w:val="22"/>
          <w:lang w:val="es-ES"/>
        </w:rPr>
        <w:t>intravenoso</w:t>
      </w:r>
      <w:r w:rsidRPr="002606FD">
        <w:rPr>
          <w:rFonts w:eastAsia="MS PGothic"/>
          <w:color w:val="000000"/>
          <w:szCs w:val="22"/>
          <w:lang w:val="es-ES"/>
        </w:rPr>
        <w:t xml:space="preserve"> al tratamiento con </w:t>
      </w:r>
      <w:r w:rsidR="007153CA">
        <w:rPr>
          <w:rFonts w:eastAsia="MS PGothic"/>
          <w:color w:val="000000"/>
          <w:szCs w:val="22"/>
          <w:lang w:val="es-ES"/>
        </w:rPr>
        <w:t>subcutáneo</w:t>
      </w:r>
      <w:r w:rsidRPr="002606FD">
        <w:rPr>
          <w:rFonts w:eastAsia="MS PGothic"/>
          <w:color w:val="000000"/>
          <w:szCs w:val="22"/>
          <w:lang w:val="es-ES"/>
        </w:rPr>
        <w:t xml:space="preserve"> en ambos grupos de peso corporal (por debajo de 30</w:t>
      </w:r>
      <w:r w:rsidR="00267243" w:rsidRPr="00F30AB8">
        <w:rPr>
          <w:szCs w:val="22"/>
          <w:lang w:val="es-ES"/>
        </w:rPr>
        <w:t> </w:t>
      </w:r>
      <w:r w:rsidRPr="002606FD">
        <w:rPr>
          <w:rFonts w:eastAsia="MS PGothic"/>
          <w:color w:val="000000"/>
          <w:szCs w:val="22"/>
          <w:lang w:val="es-ES"/>
        </w:rPr>
        <w:t>kg y</w:t>
      </w:r>
      <w:r w:rsidR="00267243" w:rsidRPr="00F30AB8">
        <w:rPr>
          <w:szCs w:val="22"/>
          <w:lang w:val="es-ES"/>
        </w:rPr>
        <w:t xml:space="preserve"> ≥</w:t>
      </w:r>
      <w:r w:rsidRPr="002606FD">
        <w:rPr>
          <w:rFonts w:eastAsia="MS PGothic"/>
          <w:color w:val="000000"/>
          <w:szCs w:val="22"/>
          <w:lang w:val="es-ES"/>
        </w:rPr>
        <w:t>30</w:t>
      </w:r>
      <w:r w:rsidR="00267243" w:rsidRPr="00F30AB8">
        <w:rPr>
          <w:szCs w:val="22"/>
          <w:lang w:val="es-ES"/>
        </w:rPr>
        <w:t> </w:t>
      </w:r>
      <w:r w:rsidRPr="002606FD">
        <w:rPr>
          <w:rFonts w:eastAsia="MS PGothic"/>
          <w:color w:val="000000"/>
          <w:szCs w:val="22"/>
          <w:lang w:val="es-ES"/>
        </w:rPr>
        <w:t>kg).</w:t>
      </w:r>
    </w:p>
    <w:p w14:paraId="7013A754" w14:textId="77777777" w:rsidR="0079644F" w:rsidRDefault="0079644F" w:rsidP="0079644F">
      <w:pPr>
        <w:rPr>
          <w:rFonts w:eastAsia="MS PGothic"/>
          <w:color w:val="000000"/>
          <w:szCs w:val="22"/>
          <w:lang w:val="es-ES"/>
        </w:rPr>
      </w:pPr>
    </w:p>
    <w:p w14:paraId="00E67BED" w14:textId="77777777" w:rsidR="00431AD6" w:rsidRDefault="00431AD6">
      <w:pPr>
        <w:keepNext/>
        <w:keepLines/>
        <w:rPr>
          <w:ins w:id="1004" w:author="AUTHOR"/>
          <w:rFonts w:eastAsia="MS PGothic"/>
          <w:color w:val="000000"/>
          <w:szCs w:val="22"/>
          <w:u w:val="single"/>
          <w:lang w:val="es-ES"/>
        </w:rPr>
        <w:pPrChange w:id="1005" w:author="AUTHOR">
          <w:pPr/>
        </w:pPrChange>
      </w:pPr>
      <w:ins w:id="1006" w:author="AUTHOR">
        <w:r w:rsidRPr="00F30AB8">
          <w:rPr>
            <w:u w:val="single"/>
            <w:lang w:val="es-ES_tradnl"/>
          </w:rPr>
          <w:lastRenderedPageBreak/>
          <w:t>Uso subcutáneo</w:t>
        </w:r>
        <w:r w:rsidRPr="00F30AB8">
          <w:rPr>
            <w:rFonts w:eastAsia="MS PGothic"/>
            <w:color w:val="000000"/>
            <w:szCs w:val="22"/>
            <w:u w:val="single"/>
            <w:lang w:val="es-ES"/>
          </w:rPr>
          <w:t xml:space="preserve"> </w:t>
        </w:r>
      </w:ins>
    </w:p>
    <w:p w14:paraId="5A993FC7" w14:textId="212560BC" w:rsidR="007153CA" w:rsidRDefault="00431AD6">
      <w:pPr>
        <w:keepNext/>
        <w:keepLines/>
        <w:rPr>
          <w:ins w:id="1007" w:author="AUTHOR"/>
          <w:rFonts w:eastAsia="MS PGothic"/>
          <w:color w:val="000000"/>
          <w:szCs w:val="22"/>
          <w:u w:val="single"/>
          <w:lang w:val="es-ES"/>
        </w:rPr>
        <w:pPrChange w:id="1008" w:author="AUTHOR">
          <w:pPr/>
        </w:pPrChange>
      </w:pPr>
      <w:ins w:id="1009" w:author="AUTHOR">
        <w:r>
          <w:rPr>
            <w:rFonts w:eastAsia="MS PGothic"/>
            <w:color w:val="000000"/>
            <w:szCs w:val="22"/>
            <w:u w:val="single"/>
            <w:lang w:val="es-ES"/>
          </w:rPr>
          <w:t xml:space="preserve">Pacientes con </w:t>
        </w:r>
      </w:ins>
      <w:r w:rsidR="0079644F" w:rsidRPr="00F30AB8">
        <w:rPr>
          <w:rFonts w:eastAsia="MS PGothic"/>
          <w:color w:val="000000"/>
          <w:szCs w:val="22"/>
          <w:u w:val="single"/>
          <w:lang w:val="es-ES"/>
        </w:rPr>
        <w:t>ACG</w:t>
      </w:r>
      <w:del w:id="1010" w:author="AUTHOR">
        <w:r w:rsidR="00513DDB" w:rsidRPr="00F30AB8" w:rsidDel="00431AD6">
          <w:rPr>
            <w:rFonts w:eastAsia="MS PGothic"/>
            <w:color w:val="000000"/>
            <w:szCs w:val="22"/>
            <w:u w:val="single"/>
            <w:lang w:val="es-ES"/>
          </w:rPr>
          <w:delText xml:space="preserve"> (</w:delText>
        </w:r>
        <w:r w:rsidR="007153CA" w:rsidRPr="00F30AB8" w:rsidDel="00431AD6">
          <w:rPr>
            <w:rFonts w:eastAsia="MS PGothic"/>
            <w:color w:val="000000"/>
            <w:szCs w:val="22"/>
            <w:u w:val="single"/>
            <w:lang w:val="es-ES"/>
          </w:rPr>
          <w:delText>subcutáneo</w:delText>
        </w:r>
        <w:r w:rsidR="00513DDB" w:rsidRPr="00F30AB8" w:rsidDel="00431AD6">
          <w:rPr>
            <w:rFonts w:eastAsia="MS PGothic"/>
            <w:color w:val="000000"/>
            <w:szCs w:val="22"/>
            <w:u w:val="single"/>
            <w:lang w:val="es-ES"/>
          </w:rPr>
          <w:delText>)</w:delText>
        </w:r>
      </w:del>
    </w:p>
    <w:p w14:paraId="38DE0A30" w14:textId="77777777" w:rsidR="007653FD" w:rsidRPr="00F30AB8" w:rsidRDefault="007653FD">
      <w:pPr>
        <w:keepNext/>
        <w:keepLines/>
        <w:rPr>
          <w:rFonts w:eastAsia="MS PGothic"/>
          <w:color w:val="000000"/>
          <w:szCs w:val="22"/>
          <w:u w:val="single"/>
          <w:lang w:val="es-ES"/>
        </w:rPr>
        <w:pPrChange w:id="1011" w:author="AUTHOR">
          <w:pPr/>
        </w:pPrChange>
      </w:pPr>
    </w:p>
    <w:p w14:paraId="4430A8AF" w14:textId="77777777" w:rsidR="0079644F" w:rsidRPr="00467FFD" w:rsidRDefault="0079644F">
      <w:pPr>
        <w:keepNext/>
        <w:keepLines/>
        <w:rPr>
          <w:rFonts w:eastAsia="MS PGothic"/>
          <w:iCs/>
          <w:color w:val="000000"/>
          <w:szCs w:val="22"/>
          <w:u w:val="single"/>
          <w:lang w:val="es-ES"/>
          <w:rPrChange w:id="1012" w:author="AUTHOR">
            <w:rPr>
              <w:rFonts w:eastAsia="MS PGothic"/>
              <w:i/>
              <w:color w:val="000000"/>
              <w:szCs w:val="22"/>
              <w:lang w:val="es-ES"/>
            </w:rPr>
          </w:rPrChange>
        </w:rPr>
        <w:pPrChange w:id="1013" w:author="AUTHOR">
          <w:pPr/>
        </w:pPrChange>
      </w:pPr>
      <w:r w:rsidRPr="00467FFD">
        <w:rPr>
          <w:rFonts w:eastAsia="MS PGothic"/>
          <w:iCs/>
          <w:color w:val="000000"/>
          <w:szCs w:val="22"/>
          <w:u w:val="single"/>
          <w:lang w:val="es-ES"/>
          <w:rPrChange w:id="1014" w:author="AUTHOR">
            <w:rPr>
              <w:rFonts w:eastAsia="MS PGothic"/>
              <w:i/>
              <w:color w:val="000000"/>
              <w:szCs w:val="22"/>
              <w:lang w:val="es-ES"/>
            </w:rPr>
          </w:rPrChange>
        </w:rPr>
        <w:t>Eficacia clínica</w:t>
      </w:r>
    </w:p>
    <w:p w14:paraId="19C410ED" w14:textId="77777777" w:rsidR="007153CA" w:rsidRPr="00F30AB8" w:rsidRDefault="007153CA">
      <w:pPr>
        <w:keepNext/>
        <w:keepLines/>
        <w:rPr>
          <w:rFonts w:eastAsia="MS PGothic"/>
          <w:color w:val="000000"/>
          <w:szCs w:val="22"/>
          <w:lang w:val="es-ES"/>
        </w:rPr>
        <w:pPrChange w:id="1015" w:author="AUTHOR">
          <w:pPr/>
        </w:pPrChange>
      </w:pPr>
    </w:p>
    <w:p w14:paraId="11CA154A" w14:textId="27EFAF74" w:rsidR="0079644F" w:rsidRPr="0093490F" w:rsidRDefault="0079644F">
      <w:pPr>
        <w:keepNext/>
        <w:keepLines/>
        <w:rPr>
          <w:lang w:val="es-ES"/>
        </w:rPr>
        <w:pPrChange w:id="1016" w:author="AUTHOR">
          <w:pPr/>
        </w:pPrChange>
      </w:pPr>
      <w:r w:rsidRPr="00C22F3F">
        <w:rPr>
          <w:lang w:val="es-ES"/>
        </w:rPr>
        <w:t>El e</w:t>
      </w:r>
      <w:r>
        <w:rPr>
          <w:lang w:val="es-ES"/>
        </w:rPr>
        <w:t>nsay</w:t>
      </w:r>
      <w:r w:rsidRPr="00C22F3F">
        <w:rPr>
          <w:lang w:val="es-ES"/>
        </w:rPr>
        <w:t>o de superioridad WA28119, fase III</w:t>
      </w:r>
      <w:r w:rsidRPr="006868F5">
        <w:rPr>
          <w:lang w:val="es-ES"/>
        </w:rPr>
        <w:t>,</w:t>
      </w:r>
      <w:r w:rsidRPr="007255F9">
        <w:rPr>
          <w:lang w:val="es-ES"/>
        </w:rPr>
        <w:t xml:space="preserve"> fue un e</w:t>
      </w:r>
      <w:r>
        <w:rPr>
          <w:lang w:val="es-ES"/>
        </w:rPr>
        <w:t>nsay</w:t>
      </w:r>
      <w:r w:rsidRPr="007255F9">
        <w:rPr>
          <w:lang w:val="es-ES"/>
        </w:rPr>
        <w:t xml:space="preserve">o aleatorizado, multicéntrico, doble ciego controlado con placebo para evaluar la eficacia y seguridad de </w:t>
      </w:r>
      <w:r w:rsidR="007153CA">
        <w:rPr>
          <w:szCs w:val="22"/>
          <w:lang w:val="es-ES"/>
        </w:rPr>
        <w:t>tocilizumab</w:t>
      </w:r>
      <w:r w:rsidR="007153CA" w:rsidRPr="006868F5">
        <w:rPr>
          <w:szCs w:val="22"/>
          <w:lang w:val="es-ES"/>
        </w:rPr>
        <w:t xml:space="preserve"> </w:t>
      </w:r>
      <w:r w:rsidRPr="007255F9">
        <w:rPr>
          <w:lang w:val="es-ES"/>
        </w:rPr>
        <w:t>en pacientes con ACG</w:t>
      </w:r>
      <w:r w:rsidRPr="0093490F">
        <w:rPr>
          <w:lang w:val="es-ES"/>
        </w:rPr>
        <w:t>.</w:t>
      </w:r>
    </w:p>
    <w:p w14:paraId="109F6C69" w14:textId="77777777" w:rsidR="0079644F" w:rsidRPr="006C05BA" w:rsidRDefault="0079644F" w:rsidP="0079644F">
      <w:pPr>
        <w:rPr>
          <w:lang w:val="es-ES"/>
        </w:rPr>
      </w:pPr>
    </w:p>
    <w:p w14:paraId="4F0EB848" w14:textId="703E394E" w:rsidR="0079644F" w:rsidRPr="007255F9" w:rsidRDefault="0079644F" w:rsidP="0079644F">
      <w:pPr>
        <w:rPr>
          <w:lang w:val="es-ES" w:eastAsia="de-DE"/>
        </w:rPr>
      </w:pPr>
      <w:r>
        <w:rPr>
          <w:lang w:val="es-ES"/>
        </w:rPr>
        <w:t xml:space="preserve">Se incluyeron en el </w:t>
      </w:r>
      <w:r w:rsidRPr="00091C58">
        <w:rPr>
          <w:lang w:val="es-ES"/>
        </w:rPr>
        <w:t>ensayo</w:t>
      </w:r>
      <w:r>
        <w:rPr>
          <w:lang w:val="es-ES"/>
        </w:rPr>
        <w:t xml:space="preserve"> d</w:t>
      </w:r>
      <w:r w:rsidRPr="00C22F3F">
        <w:rPr>
          <w:lang w:val="es-ES"/>
        </w:rPr>
        <w:t>oscientos cincuenta y uno (251)</w:t>
      </w:r>
      <w:r w:rsidR="00267243" w:rsidRPr="00F30AB8">
        <w:rPr>
          <w:szCs w:val="22"/>
          <w:lang w:val="es-ES" w:eastAsia="de-DE"/>
        </w:rPr>
        <w:t xml:space="preserve">  </w:t>
      </w:r>
      <w:r w:rsidRPr="00C22F3F">
        <w:rPr>
          <w:lang w:val="es-ES"/>
        </w:rPr>
        <w:t xml:space="preserve">pacientes con ACG de nueva aparición o recurrente y fueron asignados a uno de los cuatro </w:t>
      </w:r>
      <w:del w:id="1017" w:author="AUTHOR">
        <w:r w:rsidRPr="00C22F3F" w:rsidDel="004E273B">
          <w:rPr>
            <w:lang w:val="es-ES"/>
          </w:rPr>
          <w:delText>brazo</w:delText>
        </w:r>
      </w:del>
      <w:ins w:id="1018" w:author="AUTHOR">
        <w:r w:rsidR="004E273B">
          <w:rPr>
            <w:lang w:val="es-ES"/>
          </w:rPr>
          <w:t>grupo</w:t>
        </w:r>
      </w:ins>
      <w:r w:rsidRPr="00C22F3F">
        <w:rPr>
          <w:lang w:val="es-ES"/>
        </w:rPr>
        <w:t>s de tratamiento. El e</w:t>
      </w:r>
      <w:r>
        <w:rPr>
          <w:lang w:val="es-ES"/>
        </w:rPr>
        <w:t>nsay</w:t>
      </w:r>
      <w:r w:rsidRPr="00C22F3F">
        <w:rPr>
          <w:lang w:val="es-ES"/>
        </w:rPr>
        <w:t xml:space="preserve">o constó de un periodo </w:t>
      </w:r>
      <w:r>
        <w:rPr>
          <w:lang w:val="es-ES"/>
        </w:rPr>
        <w:t>de enmascaramiento</w:t>
      </w:r>
      <w:r w:rsidRPr="00C22F3F">
        <w:rPr>
          <w:lang w:val="es-ES"/>
        </w:rPr>
        <w:t xml:space="preserve"> de 52</w:t>
      </w:r>
      <w:r w:rsidR="00267243" w:rsidRPr="00F30AB8">
        <w:rPr>
          <w:szCs w:val="22"/>
          <w:lang w:val="es-ES" w:eastAsia="de-DE"/>
        </w:rPr>
        <w:t> </w:t>
      </w:r>
      <w:r w:rsidRPr="00C22F3F">
        <w:rPr>
          <w:lang w:val="es-ES"/>
        </w:rPr>
        <w:t xml:space="preserve">semanas (Parte 1), seguido de una extensión abierta de 104 semanas (Parte 2). </w:t>
      </w:r>
      <w:r w:rsidRPr="00C22F3F">
        <w:rPr>
          <w:iCs/>
          <w:lang w:val="es-ES"/>
        </w:rPr>
        <w:t>El objetivo de la Parte 2 fue describir la seguridad a largo plazo y el mantenimiento de la eficacia después de 52</w:t>
      </w:r>
      <w:r w:rsidR="00267243" w:rsidRPr="00F30AB8">
        <w:rPr>
          <w:szCs w:val="22"/>
          <w:lang w:val="es-ES" w:eastAsia="de-DE"/>
        </w:rPr>
        <w:t> </w:t>
      </w:r>
      <w:r w:rsidRPr="00C22F3F">
        <w:rPr>
          <w:iCs/>
          <w:lang w:val="es-ES"/>
        </w:rPr>
        <w:t xml:space="preserve">semanas de tratamiento con </w:t>
      </w:r>
      <w:r w:rsidR="007153CA">
        <w:rPr>
          <w:szCs w:val="22"/>
          <w:lang w:val="es-ES"/>
        </w:rPr>
        <w:t>tocilizumab</w:t>
      </w:r>
      <w:r w:rsidRPr="007255F9">
        <w:rPr>
          <w:lang w:val="es-ES" w:eastAsia="de-DE"/>
        </w:rPr>
        <w:t>, e</w:t>
      </w:r>
      <w:r w:rsidRPr="0093490F">
        <w:rPr>
          <w:lang w:val="es-ES" w:eastAsia="de-DE"/>
        </w:rPr>
        <w:t xml:space="preserve">studiar la </w:t>
      </w:r>
      <w:r w:rsidRPr="0041284B">
        <w:rPr>
          <w:lang w:val="es-ES" w:eastAsia="de-DE"/>
        </w:rPr>
        <w:t>tasa de recaída y l</w:t>
      </w:r>
      <w:r>
        <w:rPr>
          <w:lang w:val="es-ES" w:eastAsia="de-DE"/>
        </w:rPr>
        <w:t>os</w:t>
      </w:r>
      <w:r w:rsidRPr="0041284B">
        <w:rPr>
          <w:lang w:val="es-ES" w:eastAsia="de-DE"/>
        </w:rPr>
        <w:t xml:space="preserve"> requisito</w:t>
      </w:r>
      <w:r>
        <w:rPr>
          <w:lang w:val="es-ES" w:eastAsia="de-DE"/>
        </w:rPr>
        <w:t>s</w:t>
      </w:r>
      <w:r w:rsidRPr="0041284B">
        <w:rPr>
          <w:lang w:val="es-ES" w:eastAsia="de-DE"/>
        </w:rPr>
        <w:t xml:space="preserve"> para e</w:t>
      </w:r>
      <w:r w:rsidRPr="006C05BA">
        <w:rPr>
          <w:lang w:val="es-ES" w:eastAsia="de-DE"/>
        </w:rPr>
        <w:t xml:space="preserve">l tratamiento </w:t>
      </w:r>
      <w:del w:id="1019" w:author="AUTHOR">
        <w:r w:rsidRPr="006C05BA" w:rsidDel="00431AD6">
          <w:rPr>
            <w:lang w:val="es-ES" w:eastAsia="de-DE"/>
          </w:rPr>
          <w:delText xml:space="preserve">con </w:delText>
        </w:r>
        <w:r w:rsidR="007153CA" w:rsidDel="00431AD6">
          <w:rPr>
            <w:szCs w:val="22"/>
            <w:lang w:val="es-ES"/>
          </w:rPr>
          <w:delText>tocilizumab</w:delText>
        </w:r>
        <w:r w:rsidR="007153CA" w:rsidRPr="006868F5" w:rsidDel="00431AD6">
          <w:rPr>
            <w:szCs w:val="22"/>
            <w:lang w:val="es-ES"/>
          </w:rPr>
          <w:delText xml:space="preserve"> </w:delText>
        </w:r>
      </w:del>
      <w:r w:rsidRPr="006C05BA">
        <w:rPr>
          <w:lang w:val="es-ES" w:eastAsia="de-DE"/>
        </w:rPr>
        <w:t xml:space="preserve">más allá de </w:t>
      </w:r>
      <w:r w:rsidRPr="00C22F3F">
        <w:rPr>
          <w:lang w:val="es-ES" w:eastAsia="de-DE"/>
        </w:rPr>
        <w:t>las 52</w:t>
      </w:r>
      <w:r w:rsidR="00267243" w:rsidRPr="00F30AB8">
        <w:rPr>
          <w:szCs w:val="22"/>
          <w:lang w:val="es-ES" w:eastAsia="de-DE"/>
        </w:rPr>
        <w:t> </w:t>
      </w:r>
      <w:r w:rsidRPr="00C22F3F">
        <w:rPr>
          <w:lang w:val="es-ES" w:eastAsia="de-DE"/>
        </w:rPr>
        <w:t xml:space="preserve">semanas, así como conocer el posible efecto a largo plazo de la reducción gradual de </w:t>
      </w:r>
      <w:r w:rsidRPr="006868F5">
        <w:rPr>
          <w:lang w:val="es-ES" w:eastAsia="de-DE"/>
        </w:rPr>
        <w:t xml:space="preserve">esteroides </w:t>
      </w:r>
      <w:r w:rsidRPr="007255F9">
        <w:rPr>
          <w:lang w:val="es-ES" w:eastAsia="de-DE"/>
        </w:rPr>
        <w:t>e</w:t>
      </w:r>
      <w:r w:rsidRPr="006868F5">
        <w:rPr>
          <w:lang w:val="es-ES" w:eastAsia="de-DE"/>
        </w:rPr>
        <w:t>n</w:t>
      </w:r>
      <w:r w:rsidRPr="007255F9">
        <w:rPr>
          <w:lang w:val="es-ES" w:eastAsia="de-DE"/>
        </w:rPr>
        <w:t xml:space="preserve"> </w:t>
      </w:r>
      <w:r>
        <w:rPr>
          <w:lang w:val="es-ES" w:eastAsia="de-DE"/>
        </w:rPr>
        <w:t xml:space="preserve">el tratamiento </w:t>
      </w:r>
      <w:r w:rsidR="00317E68">
        <w:rPr>
          <w:lang w:val="es-ES" w:eastAsia="de-DE"/>
        </w:rPr>
        <w:t>con este medicamento</w:t>
      </w:r>
      <w:r w:rsidRPr="007255F9">
        <w:rPr>
          <w:lang w:val="es-ES" w:eastAsia="de-DE"/>
        </w:rPr>
        <w:t>.</w:t>
      </w:r>
    </w:p>
    <w:p w14:paraId="02C08E95" w14:textId="77777777" w:rsidR="0079644F" w:rsidRPr="006868F5" w:rsidRDefault="0079644F" w:rsidP="0079644F">
      <w:pPr>
        <w:rPr>
          <w:highlight w:val="yellow"/>
          <w:lang w:val="es-ES" w:eastAsia="de-DE"/>
        </w:rPr>
      </w:pPr>
    </w:p>
    <w:p w14:paraId="302A973D" w14:textId="647E1FD0" w:rsidR="0079644F" w:rsidRPr="00C22F3F" w:rsidRDefault="0079644F" w:rsidP="0079644F">
      <w:pPr>
        <w:rPr>
          <w:iCs/>
          <w:lang w:val="es-ES"/>
        </w:rPr>
      </w:pPr>
      <w:r w:rsidRPr="007255F9">
        <w:rPr>
          <w:iCs/>
          <w:lang w:val="es-ES"/>
        </w:rPr>
        <w:t>Se compararon dos dosis subcut</w:t>
      </w:r>
      <w:r w:rsidRPr="0093490F">
        <w:rPr>
          <w:iCs/>
          <w:lang w:val="es-ES"/>
        </w:rPr>
        <w:t xml:space="preserve">áneas de </w:t>
      </w:r>
      <w:r w:rsidR="00317E68">
        <w:rPr>
          <w:szCs w:val="22"/>
          <w:lang w:val="es-ES"/>
        </w:rPr>
        <w:t>tocilizumab</w:t>
      </w:r>
      <w:r w:rsidR="00317E68" w:rsidRPr="006868F5">
        <w:rPr>
          <w:szCs w:val="22"/>
          <w:lang w:val="es-ES"/>
        </w:rPr>
        <w:t xml:space="preserve"> </w:t>
      </w:r>
      <w:r w:rsidRPr="0093490F">
        <w:rPr>
          <w:iCs/>
          <w:lang w:val="es-ES"/>
        </w:rPr>
        <w:t xml:space="preserve">(dosis de </w:t>
      </w:r>
      <w:r w:rsidRPr="0041284B">
        <w:rPr>
          <w:iCs/>
          <w:lang w:val="es-ES"/>
        </w:rPr>
        <w:t>162</w:t>
      </w:r>
      <w:r w:rsidR="00267243" w:rsidRPr="00F30AB8">
        <w:rPr>
          <w:szCs w:val="22"/>
          <w:lang w:val="es-ES" w:eastAsia="de-DE"/>
        </w:rPr>
        <w:t> </w:t>
      </w:r>
      <w:r w:rsidRPr="0041284B">
        <w:rPr>
          <w:iCs/>
          <w:lang w:val="es-ES"/>
        </w:rPr>
        <w:t>mg semanal y dosis de 162</w:t>
      </w:r>
      <w:r w:rsidR="00267243" w:rsidRPr="00F30AB8">
        <w:rPr>
          <w:szCs w:val="22"/>
          <w:lang w:val="es-ES" w:eastAsia="de-DE"/>
        </w:rPr>
        <w:t> </w:t>
      </w:r>
      <w:r w:rsidRPr="0041284B">
        <w:rPr>
          <w:iCs/>
          <w:lang w:val="es-ES"/>
        </w:rPr>
        <w:t xml:space="preserve">mg cada dos semanas) con dos grupos </w:t>
      </w:r>
      <w:r w:rsidRPr="006C05BA">
        <w:rPr>
          <w:iCs/>
          <w:lang w:val="es-ES"/>
        </w:rPr>
        <w:t>aleatorizados control</w:t>
      </w:r>
      <w:r w:rsidRPr="00C22F3F">
        <w:rPr>
          <w:iCs/>
          <w:lang w:val="es-ES"/>
        </w:rPr>
        <w:t>ados con placebo 2: 1: 1: 1.</w:t>
      </w:r>
    </w:p>
    <w:p w14:paraId="6CF8BFF9" w14:textId="77777777" w:rsidR="0079644F" w:rsidRPr="00C22F3F" w:rsidRDefault="0079644F" w:rsidP="0079644F">
      <w:pPr>
        <w:rPr>
          <w:iCs/>
          <w:lang w:val="es-ES"/>
        </w:rPr>
      </w:pPr>
    </w:p>
    <w:p w14:paraId="1DE9A8DF" w14:textId="52C93B1B" w:rsidR="0079644F" w:rsidRPr="00C22F3F" w:rsidRDefault="0079644F" w:rsidP="0079644F">
      <w:pPr>
        <w:rPr>
          <w:lang w:val="es-ES" w:eastAsia="de-DE"/>
        </w:rPr>
      </w:pPr>
      <w:r w:rsidRPr="00C22F3F">
        <w:rPr>
          <w:iCs/>
          <w:lang w:val="es-ES"/>
        </w:rPr>
        <w:t xml:space="preserve">Todos los pacientes recibieron un tratamiento de base con glucocorticoides (prednisona). Cada uno de los grupos tratados con </w:t>
      </w:r>
      <w:r w:rsidR="00317E68">
        <w:rPr>
          <w:szCs w:val="22"/>
          <w:lang w:val="es-ES"/>
        </w:rPr>
        <w:t>tocilizumab</w:t>
      </w:r>
      <w:r w:rsidR="00317E68" w:rsidRPr="006868F5">
        <w:rPr>
          <w:szCs w:val="22"/>
          <w:lang w:val="es-ES"/>
        </w:rPr>
        <w:t xml:space="preserve"> </w:t>
      </w:r>
      <w:r w:rsidRPr="006868F5">
        <w:rPr>
          <w:lang w:val="es-ES" w:eastAsia="de-DE"/>
        </w:rPr>
        <w:t>y uno de los grupos tratados con placebo sigui</w:t>
      </w:r>
      <w:r>
        <w:rPr>
          <w:lang w:val="es-ES" w:eastAsia="de-DE"/>
        </w:rPr>
        <w:t>eron</w:t>
      </w:r>
      <w:r w:rsidRPr="007255F9">
        <w:rPr>
          <w:lang w:val="es-ES" w:eastAsia="de-DE"/>
        </w:rPr>
        <w:t xml:space="preserve"> un</w:t>
      </w:r>
      <w:r>
        <w:rPr>
          <w:lang w:val="es-ES" w:eastAsia="de-DE"/>
        </w:rPr>
        <w:t>a</w:t>
      </w:r>
      <w:r w:rsidRPr="007255F9">
        <w:rPr>
          <w:lang w:val="es-ES" w:eastAsia="de-DE"/>
        </w:rPr>
        <w:t xml:space="preserve"> </w:t>
      </w:r>
      <w:r>
        <w:rPr>
          <w:lang w:val="es-ES" w:eastAsia="de-DE"/>
        </w:rPr>
        <w:t>pauta posológica</w:t>
      </w:r>
      <w:r w:rsidRPr="0041284B">
        <w:rPr>
          <w:lang w:val="es-ES" w:eastAsia="de-DE"/>
        </w:rPr>
        <w:t xml:space="preserve"> </w:t>
      </w:r>
      <w:r w:rsidRPr="006C05BA">
        <w:rPr>
          <w:lang w:val="es-ES" w:eastAsia="de-DE"/>
        </w:rPr>
        <w:t>preespecificad</w:t>
      </w:r>
      <w:r>
        <w:rPr>
          <w:lang w:val="es-ES" w:eastAsia="de-DE"/>
        </w:rPr>
        <w:t>a</w:t>
      </w:r>
      <w:r w:rsidRPr="006C05BA">
        <w:rPr>
          <w:lang w:val="es-ES" w:eastAsia="de-DE"/>
        </w:rPr>
        <w:t xml:space="preserve"> de </w:t>
      </w:r>
      <w:r w:rsidRPr="00C22F3F">
        <w:rPr>
          <w:lang w:val="es-ES" w:eastAsia="de-DE"/>
        </w:rPr>
        <w:t>reducción gradual de prednisona durante 26</w:t>
      </w:r>
      <w:r w:rsidR="00267243" w:rsidRPr="00F30AB8">
        <w:rPr>
          <w:szCs w:val="22"/>
          <w:lang w:val="es-ES" w:eastAsia="de-DE"/>
        </w:rPr>
        <w:t> </w:t>
      </w:r>
      <w:r w:rsidRPr="00C22F3F">
        <w:rPr>
          <w:lang w:val="es-ES" w:eastAsia="de-DE"/>
        </w:rPr>
        <w:t>semanas, mientras que el segundo grupo de pacientes tratados con placebo siguió un</w:t>
      </w:r>
      <w:r>
        <w:rPr>
          <w:lang w:val="es-ES" w:eastAsia="de-DE"/>
        </w:rPr>
        <w:t>a pauta posológica</w:t>
      </w:r>
      <w:r w:rsidRPr="00C22F3F">
        <w:rPr>
          <w:lang w:val="es-ES" w:eastAsia="de-DE"/>
        </w:rPr>
        <w:t xml:space="preserve"> </w:t>
      </w:r>
      <w:r>
        <w:rPr>
          <w:lang w:val="es-ES" w:eastAsia="de-DE"/>
        </w:rPr>
        <w:t xml:space="preserve">preespecificada </w:t>
      </w:r>
      <w:r w:rsidRPr="00C22F3F">
        <w:rPr>
          <w:lang w:val="es-ES" w:eastAsia="de-DE"/>
        </w:rPr>
        <w:t>de reducción gradual de prednisona durante 52</w:t>
      </w:r>
      <w:r w:rsidR="00267243" w:rsidRPr="00F30AB8">
        <w:rPr>
          <w:szCs w:val="22"/>
          <w:lang w:val="es-ES" w:eastAsia="de-DE"/>
        </w:rPr>
        <w:t> </w:t>
      </w:r>
      <w:r w:rsidRPr="00C22F3F">
        <w:rPr>
          <w:lang w:val="es-ES" w:eastAsia="de-DE"/>
        </w:rPr>
        <w:t>semanas, diseñado para estar más de acuerdo con la práctica estándar.</w:t>
      </w:r>
    </w:p>
    <w:p w14:paraId="28003EC4" w14:textId="77777777" w:rsidR="0079644F" w:rsidRPr="00C22F3F" w:rsidRDefault="0079644F" w:rsidP="0079644F">
      <w:pPr>
        <w:rPr>
          <w:iCs/>
          <w:lang w:val="es-ES"/>
        </w:rPr>
      </w:pPr>
    </w:p>
    <w:p w14:paraId="2C74B12F" w14:textId="0895CD51" w:rsidR="0079644F" w:rsidRPr="00C22F3F" w:rsidRDefault="0079644F" w:rsidP="0079644F">
      <w:pPr>
        <w:rPr>
          <w:iCs/>
          <w:lang w:val="es-ES"/>
        </w:rPr>
      </w:pPr>
      <w:r w:rsidRPr="00C22F3F">
        <w:rPr>
          <w:iCs/>
          <w:lang w:val="es-ES"/>
        </w:rPr>
        <w:t xml:space="preserve">La duración del tratamiento con glucocorticoides durante </w:t>
      </w:r>
      <w:r>
        <w:rPr>
          <w:iCs/>
          <w:lang w:val="es-ES"/>
        </w:rPr>
        <w:t>el cribado</w:t>
      </w:r>
      <w:r w:rsidRPr="00C22F3F">
        <w:rPr>
          <w:iCs/>
          <w:lang w:val="es-ES"/>
        </w:rPr>
        <w:t xml:space="preserve"> y antes del inicio de la administración del tratamiento con </w:t>
      </w:r>
      <w:r w:rsidR="00317E68">
        <w:rPr>
          <w:szCs w:val="22"/>
          <w:lang w:val="es-ES"/>
        </w:rPr>
        <w:t>tocilizumab</w:t>
      </w:r>
      <w:r w:rsidR="00317E68" w:rsidRPr="006868F5">
        <w:rPr>
          <w:szCs w:val="22"/>
          <w:lang w:val="es-ES"/>
        </w:rPr>
        <w:t xml:space="preserve"> </w:t>
      </w:r>
      <w:r w:rsidRPr="00C22F3F">
        <w:rPr>
          <w:iCs/>
          <w:lang w:val="es-ES"/>
        </w:rPr>
        <w:t>(o placebo), fue similar en los 4 grupos de tratami</w:t>
      </w:r>
      <w:r w:rsidR="00513DDB">
        <w:rPr>
          <w:iCs/>
          <w:lang w:val="es-ES"/>
        </w:rPr>
        <w:t>ento (ver Tabla</w:t>
      </w:r>
      <w:r w:rsidR="00267243" w:rsidRPr="00F30AB8">
        <w:rPr>
          <w:szCs w:val="22"/>
          <w:lang w:val="es-ES" w:eastAsia="de-DE"/>
        </w:rPr>
        <w:t> </w:t>
      </w:r>
      <w:r w:rsidR="00513DDB">
        <w:rPr>
          <w:iCs/>
          <w:lang w:val="es-ES"/>
        </w:rPr>
        <w:t>3</w:t>
      </w:r>
      <w:r w:rsidRPr="00C22F3F">
        <w:rPr>
          <w:iCs/>
          <w:lang w:val="es-ES"/>
        </w:rPr>
        <w:t>).</w:t>
      </w:r>
    </w:p>
    <w:p w14:paraId="13BE1299" w14:textId="77777777" w:rsidR="0079644F" w:rsidRPr="00C22F3F" w:rsidRDefault="0079644F" w:rsidP="0079644F">
      <w:pPr>
        <w:rPr>
          <w:iCs/>
          <w:lang w:val="es-ES"/>
        </w:rPr>
      </w:pPr>
    </w:p>
    <w:p w14:paraId="7DDC25BC" w14:textId="5963C9EA" w:rsidR="0079644F" w:rsidRDefault="00513DDB" w:rsidP="0079644F">
      <w:pPr>
        <w:keepNext/>
        <w:keepLines/>
        <w:rPr>
          <w:rFonts w:eastAsia="SimSun"/>
          <w:bCs/>
          <w:i/>
          <w:szCs w:val="22"/>
          <w:lang w:val="es-ES" w:eastAsia="zh-CN"/>
        </w:rPr>
      </w:pPr>
      <w:r>
        <w:rPr>
          <w:i/>
          <w:iCs/>
          <w:lang w:val="es-ES"/>
        </w:rPr>
        <w:t>Tabla 3</w:t>
      </w:r>
      <w:r w:rsidR="0079644F" w:rsidRPr="006868F5">
        <w:rPr>
          <w:i/>
          <w:iCs/>
          <w:lang w:val="es-ES"/>
        </w:rPr>
        <w:t xml:space="preserve">. Duración del tratamiento </w:t>
      </w:r>
      <w:r w:rsidR="0079644F" w:rsidRPr="007255F9">
        <w:rPr>
          <w:i/>
          <w:iCs/>
          <w:lang w:val="es-ES"/>
        </w:rPr>
        <w:t>con corticosteroides durante la</w:t>
      </w:r>
      <w:r w:rsidR="0079644F" w:rsidRPr="006868F5">
        <w:rPr>
          <w:i/>
          <w:iCs/>
          <w:lang w:val="es-ES"/>
        </w:rPr>
        <w:t xml:space="preserve"> </w:t>
      </w:r>
      <w:del w:id="1020" w:author="AUTHOR">
        <w:r w:rsidR="0079644F" w:rsidRPr="007255F9" w:rsidDel="00562CA7">
          <w:rPr>
            <w:i/>
            <w:iCs/>
            <w:lang w:val="es-ES"/>
          </w:rPr>
          <w:delText xml:space="preserve">visita de </w:delText>
        </w:r>
      </w:del>
      <w:r w:rsidR="0079644F" w:rsidRPr="007255F9">
        <w:rPr>
          <w:i/>
          <w:iCs/>
          <w:lang w:val="es-ES"/>
        </w:rPr>
        <w:t>selección</w:t>
      </w:r>
      <w:r w:rsidR="0079644F" w:rsidRPr="006868F5">
        <w:rPr>
          <w:i/>
          <w:iCs/>
          <w:lang w:val="es-ES"/>
        </w:rPr>
        <w:t xml:space="preserve"> en el e</w:t>
      </w:r>
      <w:r w:rsidR="0079644F">
        <w:rPr>
          <w:i/>
          <w:iCs/>
          <w:lang w:val="es-ES"/>
        </w:rPr>
        <w:t>nsayo</w:t>
      </w:r>
      <w:r w:rsidR="0079644F" w:rsidRPr="006868F5">
        <w:rPr>
          <w:i/>
          <w:iCs/>
          <w:lang w:val="es-ES"/>
        </w:rPr>
        <w:t xml:space="preserve"> </w:t>
      </w:r>
      <w:r w:rsidR="0079644F" w:rsidRPr="006868F5">
        <w:rPr>
          <w:rFonts w:eastAsia="SimSun"/>
          <w:bCs/>
          <w:i/>
          <w:szCs w:val="22"/>
          <w:lang w:val="es-ES" w:eastAsia="zh-CN"/>
        </w:rPr>
        <w:t>WA28119</w:t>
      </w:r>
    </w:p>
    <w:p w14:paraId="01A0994F" w14:textId="77777777" w:rsidR="0079644F" w:rsidRDefault="0079644F" w:rsidP="0079644F">
      <w:pPr>
        <w:keepNext/>
        <w:keepLines/>
        <w:rPr>
          <w:rFonts w:eastAsia="SimSun"/>
          <w:bCs/>
          <w:i/>
          <w:szCs w:val="22"/>
          <w:lang w:val="es-ES" w:eastAsia="zh-CN"/>
        </w:rPr>
      </w:pPr>
    </w:p>
    <w:tbl>
      <w:tblPr>
        <w:tblW w:w="10346" w:type="dxa"/>
        <w:tblInd w:w="-628" w:type="dxa"/>
        <w:tblLayout w:type="fixed"/>
        <w:tblCellMar>
          <w:left w:w="0" w:type="dxa"/>
          <w:right w:w="0" w:type="dxa"/>
        </w:tblCellMar>
        <w:tblLook w:val="04A0" w:firstRow="1" w:lastRow="0" w:firstColumn="1" w:lastColumn="0" w:noHBand="0" w:noVBand="1"/>
      </w:tblPr>
      <w:tblGrid>
        <w:gridCol w:w="3685"/>
        <w:gridCol w:w="19"/>
        <w:gridCol w:w="1540"/>
        <w:gridCol w:w="1418"/>
        <w:gridCol w:w="1842"/>
        <w:gridCol w:w="1842"/>
      </w:tblGrid>
      <w:tr w:rsidR="0079644F" w:rsidRPr="008E61B1" w14:paraId="3B8C8E49" w14:textId="77777777" w:rsidTr="00FF2AFA">
        <w:trPr>
          <w:cantSplit/>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926107E" w14:textId="77777777" w:rsidR="0079644F" w:rsidRPr="006868F5" w:rsidRDefault="0079644F" w:rsidP="003449F0">
            <w:pPr>
              <w:keepNext/>
              <w:keepLines/>
              <w:spacing w:before="50" w:after="50" w:line="240" w:lineRule="exact"/>
              <w:rPr>
                <w:rFonts w:ascii="Arial" w:eastAsia="SimSun" w:hAnsi="Arial"/>
                <w:strike/>
                <w:sz w:val="18"/>
                <w:szCs w:val="18"/>
                <w:lang w:val="es-ES" w:eastAsia="zh-CN"/>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14536C5F" w14:textId="75F247E2" w:rsidR="0079644F" w:rsidRPr="0041284B" w:rsidRDefault="0079644F" w:rsidP="003449F0">
            <w:pPr>
              <w:keepNext/>
              <w:keepLines/>
              <w:spacing w:before="50" w:after="50" w:line="240" w:lineRule="exact"/>
              <w:jc w:val="center"/>
              <w:rPr>
                <w:rFonts w:eastAsia="SimSun"/>
                <w:b/>
                <w:sz w:val="18"/>
                <w:szCs w:val="18"/>
                <w:lang w:val="es-ES" w:eastAsia="zh-CN"/>
              </w:rPr>
            </w:pPr>
            <w:r w:rsidRPr="0041284B">
              <w:rPr>
                <w:rFonts w:eastAsia="SimSun"/>
                <w:b/>
                <w:sz w:val="18"/>
                <w:szCs w:val="18"/>
                <w:lang w:val="es-ES" w:eastAsia="zh-CN"/>
              </w:rPr>
              <w:t>Placebo + 26</w:t>
            </w:r>
            <w:r w:rsidR="003532C2" w:rsidRPr="00F30AB8">
              <w:rPr>
                <w:sz w:val="18"/>
                <w:szCs w:val="18"/>
                <w:lang w:val="es-ES"/>
              </w:rPr>
              <w:t> </w:t>
            </w:r>
            <w:r w:rsidRPr="0041284B">
              <w:rPr>
                <w:rFonts w:eastAsia="SimSun"/>
                <w:b/>
                <w:sz w:val="18"/>
                <w:szCs w:val="18"/>
                <w:lang w:val="es-ES" w:eastAsia="zh-CN"/>
              </w:rPr>
              <w:t>semanas de reducción gradual de prednisona</w:t>
            </w:r>
          </w:p>
          <w:p w14:paraId="5F713923" w14:textId="77777777" w:rsidR="0079644F" w:rsidRDefault="0079644F" w:rsidP="003449F0">
            <w:pPr>
              <w:keepNext/>
              <w:keepLines/>
              <w:spacing w:before="50" w:after="50" w:line="240" w:lineRule="exact"/>
              <w:jc w:val="center"/>
              <w:rPr>
                <w:rFonts w:eastAsia="SimSun"/>
                <w:b/>
                <w:sz w:val="18"/>
                <w:szCs w:val="18"/>
                <w:lang w:val="es-ES" w:eastAsia="zh-CN"/>
              </w:rPr>
            </w:pPr>
          </w:p>
          <w:p w14:paraId="15A9D3E3" w14:textId="751F38DE" w:rsidR="0079644F" w:rsidRPr="008E61B1" w:rsidRDefault="0079644F" w:rsidP="003449F0">
            <w:pPr>
              <w:keepNext/>
              <w:keepLines/>
              <w:spacing w:before="50" w:after="50" w:line="240" w:lineRule="exact"/>
              <w:jc w:val="center"/>
              <w:rPr>
                <w:rFonts w:ascii="Arial" w:eastAsia="SimSun" w:hAnsi="Arial"/>
                <w:b/>
                <w:sz w:val="18"/>
                <w:szCs w:val="18"/>
                <w:lang w:val="en-GB" w:eastAsia="zh-CN"/>
              </w:rPr>
            </w:pPr>
            <w:del w:id="1021" w:author="AUTHOR">
              <w:r w:rsidRPr="006868F5" w:rsidDel="000228E7">
                <w:rPr>
                  <w:rFonts w:eastAsia="SimSun"/>
                  <w:b/>
                  <w:sz w:val="18"/>
                  <w:szCs w:val="18"/>
                  <w:lang w:val="es-ES" w:eastAsia="zh-CN"/>
                </w:rPr>
                <w:delText>N</w:delText>
              </w:r>
            </w:del>
            <w:ins w:id="1022" w:author="AUTHOR">
              <w:r w:rsidR="000228E7">
                <w:rPr>
                  <w:rFonts w:eastAsia="SimSun"/>
                  <w:b/>
                  <w:sz w:val="18"/>
                  <w:szCs w:val="18"/>
                  <w:lang w:val="es-ES" w:eastAsia="zh-CN"/>
                </w:rPr>
                <w:t>n</w:t>
              </w:r>
            </w:ins>
            <w:r w:rsidRPr="006868F5">
              <w:rPr>
                <w:rFonts w:eastAsia="SimSun"/>
                <w:b/>
                <w:sz w:val="18"/>
                <w:szCs w:val="18"/>
                <w:lang w:val="es-ES" w:eastAsia="zh-CN"/>
              </w:rPr>
              <w:t>=50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2F32774B" w14:textId="6ABC906D" w:rsidR="0079644F" w:rsidRPr="0041284B" w:rsidRDefault="0079644F" w:rsidP="003449F0">
            <w:pPr>
              <w:keepNext/>
              <w:keepLines/>
              <w:spacing w:before="50" w:after="50" w:line="240" w:lineRule="exact"/>
              <w:jc w:val="center"/>
              <w:rPr>
                <w:rFonts w:eastAsia="SimSun"/>
                <w:b/>
                <w:sz w:val="18"/>
                <w:szCs w:val="18"/>
                <w:lang w:val="es-ES" w:eastAsia="zh-CN"/>
              </w:rPr>
            </w:pPr>
            <w:r w:rsidRPr="0041284B">
              <w:rPr>
                <w:rFonts w:eastAsia="SimSun"/>
                <w:b/>
                <w:sz w:val="18"/>
                <w:szCs w:val="18"/>
                <w:lang w:val="es-ES" w:eastAsia="zh-CN"/>
              </w:rPr>
              <w:t>Placebo + 52</w:t>
            </w:r>
            <w:r w:rsidR="003532C2" w:rsidRPr="00F30AB8">
              <w:rPr>
                <w:sz w:val="18"/>
                <w:szCs w:val="18"/>
                <w:lang w:val="es-ES"/>
              </w:rPr>
              <w:t> </w:t>
            </w:r>
          </w:p>
          <w:p w14:paraId="3E174B31" w14:textId="77777777" w:rsidR="0079644F" w:rsidRPr="006C05BA" w:rsidRDefault="0079644F" w:rsidP="003449F0">
            <w:pPr>
              <w:keepNext/>
              <w:keepLines/>
              <w:spacing w:before="50" w:after="50" w:line="240" w:lineRule="exact"/>
              <w:jc w:val="center"/>
              <w:rPr>
                <w:rFonts w:eastAsia="SimSun"/>
                <w:b/>
                <w:sz w:val="18"/>
                <w:szCs w:val="18"/>
                <w:lang w:val="es-ES" w:eastAsia="zh-CN"/>
              </w:rPr>
            </w:pPr>
            <w:r w:rsidRPr="006C05BA">
              <w:rPr>
                <w:rFonts w:eastAsia="SimSun"/>
                <w:b/>
                <w:sz w:val="18"/>
                <w:szCs w:val="18"/>
                <w:lang w:val="es-ES" w:eastAsia="zh-CN"/>
              </w:rPr>
              <w:t>semanas de reducción gradual de prednisona</w:t>
            </w:r>
          </w:p>
          <w:p w14:paraId="1EAC7390" w14:textId="49A424E4" w:rsidR="0079644F" w:rsidRPr="008E61B1" w:rsidRDefault="0079644F" w:rsidP="003449F0">
            <w:pPr>
              <w:keepNext/>
              <w:keepLines/>
              <w:spacing w:before="50" w:after="50" w:line="240" w:lineRule="exact"/>
              <w:jc w:val="center"/>
              <w:rPr>
                <w:rFonts w:ascii="Arial" w:eastAsia="SimSun" w:hAnsi="Arial"/>
                <w:b/>
                <w:sz w:val="18"/>
                <w:szCs w:val="18"/>
                <w:lang w:val="en-GB" w:eastAsia="zh-CN"/>
              </w:rPr>
            </w:pPr>
            <w:del w:id="1023" w:author="AUTHOR">
              <w:r w:rsidRPr="006868F5" w:rsidDel="000228E7">
                <w:rPr>
                  <w:rFonts w:eastAsia="SimSun"/>
                  <w:b/>
                  <w:sz w:val="18"/>
                  <w:szCs w:val="18"/>
                  <w:lang w:val="es-ES" w:eastAsia="zh-CN"/>
                </w:rPr>
                <w:delText>N</w:delText>
              </w:r>
            </w:del>
            <w:ins w:id="1024" w:author="AUTHOR">
              <w:r w:rsidR="000228E7">
                <w:rPr>
                  <w:rFonts w:eastAsia="SimSun"/>
                  <w:b/>
                  <w:sz w:val="18"/>
                  <w:szCs w:val="18"/>
                  <w:lang w:val="es-ES" w:eastAsia="zh-CN"/>
                </w:rPr>
                <w:t>n</w:t>
              </w:r>
            </w:ins>
            <w:r w:rsidRPr="006868F5">
              <w:rPr>
                <w:rFonts w:eastAsia="SimSun"/>
                <w:b/>
                <w:sz w:val="18"/>
                <w:szCs w:val="18"/>
                <w:lang w:val="es-ES" w:eastAsia="zh-CN"/>
              </w:rPr>
              <w:t>=51</w:t>
            </w:r>
          </w:p>
        </w:tc>
        <w:tc>
          <w:tcPr>
            <w:tcW w:w="1842" w:type="dxa"/>
            <w:tcBorders>
              <w:top w:val="single" w:sz="8" w:space="0" w:color="auto"/>
              <w:left w:val="nil"/>
              <w:bottom w:val="single" w:sz="8" w:space="0" w:color="auto"/>
              <w:right w:val="nil"/>
            </w:tcBorders>
          </w:tcPr>
          <w:p w14:paraId="58DA3034" w14:textId="5EFD9204" w:rsidR="0079644F" w:rsidRPr="0041284B" w:rsidRDefault="00317E68" w:rsidP="003449F0">
            <w:pPr>
              <w:keepNext/>
              <w:keepLines/>
              <w:spacing w:before="50" w:after="50" w:line="240" w:lineRule="exact"/>
              <w:jc w:val="center"/>
              <w:rPr>
                <w:rFonts w:eastAsia="SimSun"/>
                <w:b/>
                <w:sz w:val="18"/>
                <w:szCs w:val="18"/>
                <w:lang w:val="es-ES" w:eastAsia="zh-CN"/>
              </w:rPr>
            </w:pPr>
            <w:r w:rsidRPr="00F30AB8">
              <w:rPr>
                <w:rFonts w:eastAsia="SimSun"/>
                <w:b/>
                <w:sz w:val="18"/>
                <w:szCs w:val="18"/>
                <w:lang w:val="es-ES" w:eastAsia="zh-CN"/>
              </w:rPr>
              <w:t>T</w:t>
            </w:r>
            <w:r>
              <w:rPr>
                <w:rFonts w:eastAsia="SimSun"/>
                <w:b/>
                <w:sz w:val="18"/>
                <w:szCs w:val="18"/>
                <w:lang w:val="es-ES" w:eastAsia="zh-CN"/>
              </w:rPr>
              <w:t>ocilizumab</w:t>
            </w:r>
            <w:r w:rsidR="0079644F" w:rsidRPr="0041284B">
              <w:rPr>
                <w:rFonts w:eastAsia="SimSun"/>
                <w:b/>
                <w:sz w:val="18"/>
                <w:szCs w:val="18"/>
                <w:lang w:val="es-ES" w:eastAsia="zh-CN"/>
              </w:rPr>
              <w:t xml:space="preserve"> 162</w:t>
            </w:r>
            <w:r w:rsidR="003532C2" w:rsidRPr="00F30AB8">
              <w:rPr>
                <w:sz w:val="18"/>
                <w:szCs w:val="18"/>
                <w:lang w:val="es-ES"/>
              </w:rPr>
              <w:t> </w:t>
            </w:r>
            <w:r w:rsidR="0079644F" w:rsidRPr="0041284B">
              <w:rPr>
                <w:rFonts w:eastAsia="SimSun"/>
                <w:b/>
                <w:sz w:val="18"/>
                <w:szCs w:val="18"/>
                <w:lang w:val="es-ES" w:eastAsia="zh-CN"/>
              </w:rPr>
              <w:t>mg SC semanal + 26 semanas de reducción gradual de prednisona</w:t>
            </w:r>
          </w:p>
          <w:p w14:paraId="45783360" w14:textId="77777777" w:rsidR="0079644F" w:rsidRDefault="0079644F" w:rsidP="003449F0">
            <w:pPr>
              <w:keepNext/>
              <w:keepLines/>
              <w:spacing w:before="50" w:after="50" w:line="240" w:lineRule="exact"/>
              <w:jc w:val="center"/>
              <w:rPr>
                <w:rFonts w:eastAsia="SimSun"/>
                <w:b/>
                <w:sz w:val="18"/>
                <w:szCs w:val="18"/>
                <w:lang w:val="es-ES" w:eastAsia="zh-CN"/>
              </w:rPr>
            </w:pPr>
          </w:p>
          <w:p w14:paraId="2F57C6B6" w14:textId="2867F5D2" w:rsidR="0079644F" w:rsidRPr="008E61B1" w:rsidRDefault="0079644F" w:rsidP="003449F0">
            <w:pPr>
              <w:keepNext/>
              <w:keepLines/>
              <w:spacing w:before="50" w:after="50" w:line="240" w:lineRule="exact"/>
              <w:jc w:val="center"/>
              <w:rPr>
                <w:rFonts w:ascii="Arial" w:eastAsia="SimSun" w:hAnsi="Arial"/>
                <w:b/>
                <w:sz w:val="18"/>
                <w:szCs w:val="18"/>
                <w:lang w:val="en-GB" w:eastAsia="zh-CN"/>
              </w:rPr>
            </w:pPr>
            <w:del w:id="1025" w:author="AUTHOR">
              <w:r w:rsidRPr="006868F5" w:rsidDel="000228E7">
                <w:rPr>
                  <w:rFonts w:eastAsia="SimSun"/>
                  <w:b/>
                  <w:sz w:val="18"/>
                  <w:szCs w:val="18"/>
                  <w:lang w:val="es-ES" w:eastAsia="zh-CN"/>
                </w:rPr>
                <w:delText>N</w:delText>
              </w:r>
            </w:del>
            <w:ins w:id="1026" w:author="AUTHOR">
              <w:r w:rsidR="000228E7">
                <w:rPr>
                  <w:rFonts w:eastAsia="SimSun"/>
                  <w:b/>
                  <w:sz w:val="18"/>
                  <w:szCs w:val="18"/>
                  <w:lang w:val="es-ES" w:eastAsia="zh-CN"/>
                </w:rPr>
                <w:t>n</w:t>
              </w:r>
            </w:ins>
            <w:r w:rsidRPr="006868F5">
              <w:rPr>
                <w:rFonts w:eastAsia="SimSun"/>
                <w:b/>
                <w:sz w:val="18"/>
                <w:szCs w:val="18"/>
                <w:lang w:val="es-ES"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556F0FFA" w14:textId="3FC1323E" w:rsidR="0079644F" w:rsidRPr="0041284B" w:rsidRDefault="00317E68" w:rsidP="003449F0">
            <w:pPr>
              <w:keepNext/>
              <w:keepLines/>
              <w:spacing w:before="50" w:after="50" w:line="240" w:lineRule="exact"/>
              <w:jc w:val="center"/>
              <w:rPr>
                <w:rFonts w:eastAsia="SimSun"/>
                <w:b/>
                <w:sz w:val="18"/>
                <w:szCs w:val="18"/>
                <w:lang w:val="es-ES" w:eastAsia="zh-CN"/>
              </w:rPr>
            </w:pPr>
            <w:r>
              <w:rPr>
                <w:rFonts w:eastAsia="SimSun"/>
                <w:b/>
                <w:sz w:val="18"/>
                <w:szCs w:val="18"/>
                <w:lang w:val="es-ES" w:eastAsia="zh-CN"/>
              </w:rPr>
              <w:t>Tocilizumab</w:t>
            </w:r>
            <w:r w:rsidR="0079644F" w:rsidRPr="0041284B">
              <w:rPr>
                <w:rFonts w:eastAsia="SimSun"/>
                <w:b/>
                <w:sz w:val="18"/>
                <w:szCs w:val="18"/>
                <w:lang w:val="es-ES" w:eastAsia="zh-CN"/>
              </w:rPr>
              <w:t xml:space="preserve"> 162</w:t>
            </w:r>
            <w:r w:rsidR="003532C2" w:rsidRPr="00F30AB8">
              <w:rPr>
                <w:sz w:val="18"/>
                <w:szCs w:val="18"/>
                <w:lang w:val="es-ES"/>
              </w:rPr>
              <w:t> </w:t>
            </w:r>
            <w:r w:rsidR="0079644F" w:rsidRPr="0041284B">
              <w:rPr>
                <w:rFonts w:eastAsia="SimSun"/>
                <w:b/>
                <w:sz w:val="18"/>
                <w:szCs w:val="18"/>
                <w:lang w:val="es-ES" w:eastAsia="zh-CN"/>
              </w:rPr>
              <w:t xml:space="preserve">mg SC </w:t>
            </w:r>
            <w:ins w:id="1027" w:author="AUTHOR">
              <w:r w:rsidR="00562CA7" w:rsidRPr="00562CA7">
                <w:rPr>
                  <w:rFonts w:eastAsia="SimSun"/>
                  <w:b/>
                  <w:sz w:val="18"/>
                  <w:szCs w:val="18"/>
                  <w:lang w:val="es-ES" w:eastAsia="zh-CN"/>
                </w:rPr>
                <w:t>cada dos semanas</w:t>
              </w:r>
            </w:ins>
            <w:del w:id="1028" w:author="AUTHOR">
              <w:r w:rsidR="0079644F" w:rsidRPr="0041284B" w:rsidDel="00562CA7">
                <w:rPr>
                  <w:rFonts w:eastAsia="SimSun"/>
                  <w:b/>
                  <w:sz w:val="18"/>
                  <w:szCs w:val="18"/>
                  <w:lang w:val="es-ES" w:eastAsia="zh-CN"/>
                </w:rPr>
                <w:delText>bisemanal</w:delText>
              </w:r>
            </w:del>
            <w:r w:rsidR="0079644F" w:rsidRPr="0041284B">
              <w:rPr>
                <w:rFonts w:eastAsia="SimSun"/>
                <w:b/>
                <w:sz w:val="18"/>
                <w:szCs w:val="18"/>
                <w:lang w:val="es-ES" w:eastAsia="zh-CN"/>
              </w:rPr>
              <w:t xml:space="preserve"> + 26 semanas de reducción gradual de prednisona </w:t>
            </w:r>
          </w:p>
          <w:p w14:paraId="20C4DE30" w14:textId="1C326591" w:rsidR="0079644F" w:rsidRPr="008E61B1" w:rsidRDefault="0079644F" w:rsidP="003449F0">
            <w:pPr>
              <w:keepNext/>
              <w:keepLines/>
              <w:spacing w:before="50" w:after="50" w:line="240" w:lineRule="exact"/>
              <w:jc w:val="center"/>
              <w:rPr>
                <w:rFonts w:ascii="Arial" w:eastAsia="SimSun" w:hAnsi="Arial"/>
                <w:b/>
                <w:sz w:val="18"/>
                <w:szCs w:val="18"/>
                <w:lang w:val="en-GB" w:eastAsia="zh-CN"/>
              </w:rPr>
            </w:pPr>
            <w:del w:id="1029" w:author="AUTHOR">
              <w:r w:rsidRPr="006C05BA" w:rsidDel="000228E7">
                <w:rPr>
                  <w:rFonts w:eastAsia="SimSun"/>
                  <w:b/>
                  <w:sz w:val="18"/>
                  <w:szCs w:val="18"/>
                  <w:lang w:val="es-ES" w:eastAsia="zh-CN"/>
                </w:rPr>
                <w:delText>N</w:delText>
              </w:r>
            </w:del>
            <w:ins w:id="1030" w:author="AUTHOR">
              <w:r w:rsidR="000228E7">
                <w:rPr>
                  <w:rFonts w:eastAsia="SimSun"/>
                  <w:b/>
                  <w:sz w:val="18"/>
                  <w:szCs w:val="18"/>
                  <w:lang w:val="es-ES" w:eastAsia="zh-CN"/>
                </w:rPr>
                <w:t>n</w:t>
              </w:r>
            </w:ins>
            <w:r w:rsidRPr="006C05BA">
              <w:rPr>
                <w:rFonts w:eastAsia="SimSun"/>
                <w:b/>
                <w:sz w:val="18"/>
                <w:szCs w:val="18"/>
                <w:lang w:val="es-ES" w:eastAsia="zh-CN"/>
              </w:rPr>
              <w:t>=49</w:t>
            </w:r>
          </w:p>
        </w:tc>
      </w:tr>
      <w:tr w:rsidR="0079644F" w:rsidRPr="008E61B1" w14:paraId="367BB96B" w14:textId="77777777" w:rsidTr="00FF2AFA">
        <w:trPr>
          <w:cantSplit/>
        </w:trPr>
        <w:tc>
          <w:tcPr>
            <w:tcW w:w="6662" w:type="dxa"/>
            <w:gridSpan w:val="4"/>
            <w:tcBorders>
              <w:top w:val="single" w:sz="4" w:space="0" w:color="auto"/>
              <w:left w:val="single" w:sz="4" w:space="0" w:color="auto"/>
            </w:tcBorders>
            <w:tcMar>
              <w:top w:w="0" w:type="dxa"/>
              <w:left w:w="57" w:type="dxa"/>
              <w:bottom w:w="0" w:type="dxa"/>
              <w:right w:w="57" w:type="dxa"/>
            </w:tcMar>
          </w:tcPr>
          <w:p w14:paraId="1A3B5EDD" w14:textId="77777777" w:rsidR="0079644F" w:rsidRPr="006868F5" w:rsidRDefault="0079644F" w:rsidP="003449F0">
            <w:pPr>
              <w:keepNext/>
              <w:keepLines/>
              <w:spacing w:before="50" w:after="50" w:line="240" w:lineRule="exact"/>
              <w:rPr>
                <w:rFonts w:eastAsia="SimSun"/>
                <w:sz w:val="18"/>
                <w:szCs w:val="18"/>
                <w:lang w:val="en-GB" w:eastAsia="zh-CN"/>
              </w:rPr>
            </w:pPr>
            <w:r w:rsidRPr="006868F5">
              <w:rPr>
                <w:rFonts w:eastAsia="SimSun"/>
                <w:sz w:val="18"/>
                <w:szCs w:val="18"/>
                <w:lang w:val="en-GB" w:eastAsia="zh-CN"/>
              </w:rPr>
              <w:t xml:space="preserve">Duración (días)                       </w:t>
            </w:r>
          </w:p>
        </w:tc>
        <w:tc>
          <w:tcPr>
            <w:tcW w:w="1842" w:type="dxa"/>
            <w:tcBorders>
              <w:top w:val="single" w:sz="4" w:space="0" w:color="auto"/>
              <w:left w:val="nil"/>
              <w:right w:val="nil"/>
            </w:tcBorders>
          </w:tcPr>
          <w:p w14:paraId="72B2FDAD" w14:textId="77777777" w:rsidR="0079644F" w:rsidRPr="006868F5" w:rsidRDefault="0079644F" w:rsidP="003449F0">
            <w:pPr>
              <w:keepNext/>
              <w:keepLines/>
              <w:spacing w:before="50" w:after="50" w:line="240" w:lineRule="exact"/>
              <w:jc w:val="center"/>
              <w:rPr>
                <w:rFonts w:eastAsia="SimSun"/>
                <w:sz w:val="18"/>
                <w:szCs w:val="18"/>
                <w:lang w:val="en-GB"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57BADB4B" w14:textId="77777777" w:rsidR="0079644F" w:rsidRPr="006868F5" w:rsidRDefault="0079644F" w:rsidP="003449F0">
            <w:pPr>
              <w:keepNext/>
              <w:keepLines/>
              <w:spacing w:before="50" w:after="50" w:line="240" w:lineRule="exact"/>
              <w:jc w:val="center"/>
              <w:rPr>
                <w:rFonts w:eastAsia="SimSun"/>
                <w:sz w:val="18"/>
                <w:szCs w:val="18"/>
                <w:lang w:val="en-GB" w:eastAsia="zh-CN"/>
              </w:rPr>
            </w:pPr>
          </w:p>
        </w:tc>
      </w:tr>
      <w:tr w:rsidR="0079644F" w:rsidRPr="008E61B1" w14:paraId="512FC83E" w14:textId="77777777" w:rsidTr="00FF2AFA">
        <w:trPr>
          <w:cantSplit/>
        </w:trPr>
        <w:tc>
          <w:tcPr>
            <w:tcW w:w="3704" w:type="dxa"/>
            <w:gridSpan w:val="2"/>
            <w:tcBorders>
              <w:left w:val="single" w:sz="4" w:space="0" w:color="auto"/>
            </w:tcBorders>
            <w:tcMar>
              <w:top w:w="0" w:type="dxa"/>
              <w:left w:w="57" w:type="dxa"/>
              <w:bottom w:w="0" w:type="dxa"/>
              <w:right w:w="57" w:type="dxa"/>
            </w:tcMar>
          </w:tcPr>
          <w:p w14:paraId="43850A4C" w14:textId="77777777" w:rsidR="0079644F" w:rsidRPr="006868F5" w:rsidRDefault="0079644F" w:rsidP="003449F0">
            <w:pPr>
              <w:keepNext/>
              <w:keepLines/>
              <w:spacing w:before="50" w:after="50" w:line="240" w:lineRule="exact"/>
              <w:ind w:left="720"/>
              <w:rPr>
                <w:rFonts w:eastAsia="SimSun"/>
                <w:sz w:val="18"/>
                <w:szCs w:val="18"/>
                <w:lang w:val="en-GB" w:eastAsia="zh-CN"/>
              </w:rPr>
            </w:pPr>
            <w:r w:rsidRPr="006868F5">
              <w:rPr>
                <w:rFonts w:eastAsia="SimSun"/>
                <w:sz w:val="18"/>
                <w:szCs w:val="18"/>
                <w:lang w:val="en-GB" w:eastAsia="zh-CN"/>
              </w:rPr>
              <w:t>Media (DE)</w:t>
            </w:r>
          </w:p>
        </w:tc>
        <w:tc>
          <w:tcPr>
            <w:tcW w:w="1540" w:type="dxa"/>
            <w:tcMar>
              <w:top w:w="0" w:type="dxa"/>
              <w:left w:w="57" w:type="dxa"/>
              <w:bottom w:w="0" w:type="dxa"/>
              <w:right w:w="57" w:type="dxa"/>
            </w:tcMar>
          </w:tcPr>
          <w:p w14:paraId="61E8E9F0" w14:textId="77777777" w:rsidR="0079644F" w:rsidRPr="008E61B1" w:rsidRDefault="0079644F" w:rsidP="003449F0">
            <w:pPr>
              <w:keepNext/>
              <w:keepLines/>
              <w:spacing w:before="50" w:after="50" w:line="240" w:lineRule="exact"/>
              <w:jc w:val="center"/>
              <w:rPr>
                <w:rFonts w:ascii="Arial" w:eastAsia="SimSun" w:hAnsi="Arial"/>
                <w:sz w:val="18"/>
                <w:szCs w:val="18"/>
                <w:lang w:val="en-GB" w:eastAsia="zh-CN"/>
              </w:rPr>
            </w:pPr>
            <w:r>
              <w:rPr>
                <w:rFonts w:ascii="Arial" w:eastAsia="SimSun" w:hAnsi="Arial"/>
                <w:sz w:val="18"/>
                <w:szCs w:val="18"/>
                <w:lang w:val="en-GB" w:eastAsia="zh-CN"/>
              </w:rPr>
              <w:t>35,7 (11,</w:t>
            </w:r>
            <w:r w:rsidRPr="008E61B1">
              <w:rPr>
                <w:rFonts w:ascii="Arial" w:eastAsia="SimSun" w:hAnsi="Arial"/>
                <w:sz w:val="18"/>
                <w:szCs w:val="18"/>
                <w:lang w:val="en-GB" w:eastAsia="zh-CN"/>
              </w:rPr>
              <w:t>5)</w:t>
            </w:r>
          </w:p>
        </w:tc>
        <w:tc>
          <w:tcPr>
            <w:tcW w:w="1418" w:type="dxa"/>
            <w:tcMar>
              <w:top w:w="0" w:type="dxa"/>
              <w:left w:w="57" w:type="dxa"/>
              <w:bottom w:w="0" w:type="dxa"/>
              <w:right w:w="57" w:type="dxa"/>
            </w:tcMar>
          </w:tcPr>
          <w:p w14:paraId="3F637E58"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36,3 (12,5)</w:t>
            </w:r>
          </w:p>
        </w:tc>
        <w:tc>
          <w:tcPr>
            <w:tcW w:w="1842" w:type="dxa"/>
            <w:tcBorders>
              <w:right w:val="nil"/>
            </w:tcBorders>
          </w:tcPr>
          <w:p w14:paraId="66F2CDDC"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35,6 (13,2)</w:t>
            </w:r>
          </w:p>
        </w:tc>
        <w:tc>
          <w:tcPr>
            <w:tcW w:w="1842" w:type="dxa"/>
            <w:tcBorders>
              <w:left w:val="nil"/>
              <w:right w:val="single" w:sz="8" w:space="0" w:color="auto"/>
            </w:tcBorders>
            <w:tcMar>
              <w:top w:w="0" w:type="dxa"/>
              <w:left w:w="57" w:type="dxa"/>
              <w:bottom w:w="0" w:type="dxa"/>
              <w:right w:w="57" w:type="dxa"/>
            </w:tcMar>
          </w:tcPr>
          <w:p w14:paraId="0BD04D3D"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37,4 (14,4)</w:t>
            </w:r>
          </w:p>
        </w:tc>
      </w:tr>
      <w:tr w:rsidR="0079644F" w:rsidRPr="008E61B1" w14:paraId="62A0A6CF" w14:textId="77777777" w:rsidTr="00FF2AFA">
        <w:trPr>
          <w:cantSplit/>
        </w:trPr>
        <w:tc>
          <w:tcPr>
            <w:tcW w:w="3704" w:type="dxa"/>
            <w:gridSpan w:val="2"/>
            <w:tcBorders>
              <w:left w:val="single" w:sz="4" w:space="0" w:color="auto"/>
            </w:tcBorders>
            <w:tcMar>
              <w:top w:w="0" w:type="dxa"/>
              <w:left w:w="57" w:type="dxa"/>
              <w:bottom w:w="0" w:type="dxa"/>
              <w:right w:w="57" w:type="dxa"/>
            </w:tcMar>
          </w:tcPr>
          <w:p w14:paraId="3121DD5F" w14:textId="77777777" w:rsidR="0079644F" w:rsidRPr="006868F5" w:rsidRDefault="0079644F" w:rsidP="003449F0">
            <w:pPr>
              <w:keepNext/>
              <w:keepLines/>
              <w:spacing w:before="50" w:after="50" w:line="240" w:lineRule="exact"/>
              <w:ind w:left="720"/>
              <w:rPr>
                <w:rFonts w:eastAsia="SimSun"/>
                <w:sz w:val="18"/>
                <w:szCs w:val="18"/>
                <w:lang w:val="en-GB" w:eastAsia="zh-CN"/>
              </w:rPr>
            </w:pPr>
            <w:r w:rsidRPr="006868F5">
              <w:rPr>
                <w:rFonts w:eastAsia="SimSun"/>
                <w:sz w:val="18"/>
                <w:szCs w:val="18"/>
                <w:lang w:val="en-GB" w:eastAsia="zh-CN"/>
              </w:rPr>
              <w:t>Mediana</w:t>
            </w:r>
          </w:p>
        </w:tc>
        <w:tc>
          <w:tcPr>
            <w:tcW w:w="1540" w:type="dxa"/>
            <w:tcMar>
              <w:top w:w="0" w:type="dxa"/>
              <w:left w:w="57" w:type="dxa"/>
              <w:bottom w:w="0" w:type="dxa"/>
              <w:right w:w="57" w:type="dxa"/>
            </w:tcMar>
          </w:tcPr>
          <w:p w14:paraId="7B366019" w14:textId="77777777" w:rsidR="0079644F" w:rsidRPr="008E61B1" w:rsidRDefault="0079644F" w:rsidP="003449F0">
            <w:pPr>
              <w:keepNext/>
              <w:keepLines/>
              <w:spacing w:before="50" w:after="50" w:line="240" w:lineRule="exact"/>
              <w:jc w:val="center"/>
              <w:rPr>
                <w:rFonts w:ascii="Arial" w:eastAsia="SimSun" w:hAnsi="Arial"/>
                <w:sz w:val="18"/>
                <w:szCs w:val="18"/>
                <w:lang w:val="en-GB" w:eastAsia="zh-CN"/>
              </w:rPr>
            </w:pPr>
            <w:r>
              <w:rPr>
                <w:rFonts w:ascii="Arial" w:eastAsia="SimSun" w:hAnsi="Arial"/>
                <w:sz w:val="18"/>
                <w:szCs w:val="18"/>
                <w:lang w:val="en-GB" w:eastAsia="zh-CN"/>
              </w:rPr>
              <w:t>42,</w:t>
            </w:r>
            <w:r w:rsidRPr="008E61B1">
              <w:rPr>
                <w:rFonts w:ascii="Arial" w:eastAsia="SimSun" w:hAnsi="Arial"/>
                <w:sz w:val="18"/>
                <w:szCs w:val="18"/>
                <w:lang w:val="en-GB" w:eastAsia="zh-CN"/>
              </w:rPr>
              <w:t>0</w:t>
            </w:r>
          </w:p>
        </w:tc>
        <w:tc>
          <w:tcPr>
            <w:tcW w:w="1418" w:type="dxa"/>
            <w:tcMar>
              <w:top w:w="0" w:type="dxa"/>
              <w:left w:w="57" w:type="dxa"/>
              <w:bottom w:w="0" w:type="dxa"/>
              <w:right w:w="57" w:type="dxa"/>
            </w:tcMar>
          </w:tcPr>
          <w:p w14:paraId="70119012"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41,0</w:t>
            </w:r>
          </w:p>
        </w:tc>
        <w:tc>
          <w:tcPr>
            <w:tcW w:w="1842" w:type="dxa"/>
            <w:tcBorders>
              <w:right w:val="nil"/>
            </w:tcBorders>
          </w:tcPr>
          <w:p w14:paraId="6CD0FF71"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41,0</w:t>
            </w:r>
          </w:p>
        </w:tc>
        <w:tc>
          <w:tcPr>
            <w:tcW w:w="1842" w:type="dxa"/>
            <w:tcBorders>
              <w:left w:val="nil"/>
              <w:right w:val="single" w:sz="8" w:space="0" w:color="auto"/>
            </w:tcBorders>
            <w:tcMar>
              <w:top w:w="0" w:type="dxa"/>
              <w:left w:w="57" w:type="dxa"/>
              <w:bottom w:w="0" w:type="dxa"/>
              <w:right w:w="57" w:type="dxa"/>
            </w:tcMar>
          </w:tcPr>
          <w:p w14:paraId="28E48A76"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42,0</w:t>
            </w:r>
          </w:p>
        </w:tc>
      </w:tr>
      <w:tr w:rsidR="0079644F" w:rsidRPr="008E61B1" w14:paraId="4408BBE4" w14:textId="77777777" w:rsidTr="00FF2AFA">
        <w:trPr>
          <w:cantSplit/>
        </w:trPr>
        <w:tc>
          <w:tcPr>
            <w:tcW w:w="3704" w:type="dxa"/>
            <w:gridSpan w:val="2"/>
            <w:tcBorders>
              <w:left w:val="single" w:sz="4" w:space="0" w:color="auto"/>
              <w:bottom w:val="single" w:sz="4" w:space="0" w:color="auto"/>
            </w:tcBorders>
            <w:tcMar>
              <w:top w:w="0" w:type="dxa"/>
              <w:left w:w="57" w:type="dxa"/>
              <w:bottom w:w="0" w:type="dxa"/>
              <w:right w:w="57" w:type="dxa"/>
            </w:tcMar>
          </w:tcPr>
          <w:p w14:paraId="482C3A27" w14:textId="77777777" w:rsidR="0079644F" w:rsidRPr="006868F5" w:rsidRDefault="0079644F" w:rsidP="003449F0">
            <w:pPr>
              <w:keepNext/>
              <w:keepLines/>
              <w:spacing w:before="50" w:after="50" w:line="240" w:lineRule="exact"/>
              <w:ind w:left="720"/>
              <w:rPr>
                <w:rFonts w:eastAsia="SimSun"/>
                <w:sz w:val="18"/>
                <w:szCs w:val="18"/>
                <w:lang w:val="en-GB" w:eastAsia="zh-CN"/>
              </w:rPr>
            </w:pPr>
            <w:r w:rsidRPr="006868F5">
              <w:rPr>
                <w:rFonts w:eastAsia="SimSun"/>
                <w:sz w:val="18"/>
                <w:szCs w:val="18"/>
                <w:lang w:val="en-GB" w:eastAsia="zh-CN"/>
              </w:rPr>
              <w:t>Mín - Max</w:t>
            </w:r>
          </w:p>
        </w:tc>
        <w:tc>
          <w:tcPr>
            <w:tcW w:w="1540" w:type="dxa"/>
            <w:tcBorders>
              <w:bottom w:val="single" w:sz="4" w:space="0" w:color="auto"/>
            </w:tcBorders>
            <w:tcMar>
              <w:top w:w="0" w:type="dxa"/>
              <w:left w:w="57" w:type="dxa"/>
              <w:bottom w:w="0" w:type="dxa"/>
              <w:right w:w="57" w:type="dxa"/>
            </w:tcMar>
          </w:tcPr>
          <w:p w14:paraId="63BFB3AC" w14:textId="77777777" w:rsidR="0079644F" w:rsidRPr="008E61B1" w:rsidRDefault="0079644F" w:rsidP="003449F0">
            <w:pPr>
              <w:keepNext/>
              <w:keepLines/>
              <w:spacing w:before="50" w:after="50" w:line="240" w:lineRule="exact"/>
              <w:jc w:val="center"/>
              <w:rPr>
                <w:rFonts w:ascii="Arial" w:eastAsia="SimSun" w:hAnsi="Arial"/>
                <w:sz w:val="18"/>
                <w:szCs w:val="18"/>
                <w:lang w:val="en-GB" w:eastAsia="zh-CN"/>
              </w:rPr>
            </w:pPr>
            <w:r w:rsidRPr="008E61B1">
              <w:rPr>
                <w:rFonts w:ascii="Arial" w:eastAsia="SimSun" w:hAnsi="Arial"/>
                <w:sz w:val="18"/>
                <w:szCs w:val="18"/>
                <w:lang w:val="en-GB" w:eastAsia="zh-CN"/>
              </w:rPr>
              <w:t>6 - 63</w:t>
            </w:r>
          </w:p>
        </w:tc>
        <w:tc>
          <w:tcPr>
            <w:tcW w:w="1418" w:type="dxa"/>
            <w:tcBorders>
              <w:bottom w:val="single" w:sz="4" w:space="0" w:color="auto"/>
            </w:tcBorders>
            <w:tcMar>
              <w:top w:w="0" w:type="dxa"/>
              <w:left w:w="57" w:type="dxa"/>
              <w:bottom w:w="0" w:type="dxa"/>
              <w:right w:w="57" w:type="dxa"/>
            </w:tcMar>
          </w:tcPr>
          <w:p w14:paraId="4C5CAE97"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12 – 82</w:t>
            </w:r>
          </w:p>
        </w:tc>
        <w:tc>
          <w:tcPr>
            <w:tcW w:w="1842" w:type="dxa"/>
            <w:tcBorders>
              <w:bottom w:val="single" w:sz="4" w:space="0" w:color="auto"/>
              <w:right w:val="nil"/>
            </w:tcBorders>
          </w:tcPr>
          <w:p w14:paraId="1AA2C048"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1 - 87</w:t>
            </w:r>
          </w:p>
        </w:tc>
        <w:tc>
          <w:tcPr>
            <w:tcW w:w="1842" w:type="dxa"/>
            <w:tcBorders>
              <w:left w:val="nil"/>
              <w:bottom w:val="single" w:sz="4" w:space="0" w:color="auto"/>
              <w:right w:val="single" w:sz="8" w:space="0" w:color="auto"/>
            </w:tcBorders>
            <w:tcMar>
              <w:top w:w="0" w:type="dxa"/>
              <w:left w:w="57" w:type="dxa"/>
              <w:bottom w:w="0" w:type="dxa"/>
              <w:right w:w="57" w:type="dxa"/>
            </w:tcMar>
          </w:tcPr>
          <w:p w14:paraId="70B7536F" w14:textId="77777777" w:rsidR="0079644F" w:rsidRPr="006868F5" w:rsidRDefault="0079644F" w:rsidP="003449F0">
            <w:pPr>
              <w:keepNext/>
              <w:keepLines/>
              <w:spacing w:before="50" w:after="50" w:line="240" w:lineRule="exact"/>
              <w:jc w:val="center"/>
              <w:rPr>
                <w:rFonts w:eastAsia="SimSun"/>
                <w:sz w:val="18"/>
                <w:szCs w:val="18"/>
                <w:lang w:val="en-GB" w:eastAsia="zh-CN"/>
              </w:rPr>
            </w:pPr>
            <w:r w:rsidRPr="006868F5">
              <w:rPr>
                <w:rFonts w:eastAsia="SimSun"/>
                <w:sz w:val="18"/>
                <w:szCs w:val="18"/>
                <w:lang w:val="en-GB" w:eastAsia="zh-CN"/>
              </w:rPr>
              <w:t>9 - 87</w:t>
            </w:r>
          </w:p>
        </w:tc>
      </w:tr>
    </w:tbl>
    <w:p w14:paraId="1E1CE954" w14:textId="7B6863F8" w:rsidR="0079644F" w:rsidRPr="00F30AB8" w:rsidRDefault="00317E68" w:rsidP="0079644F">
      <w:pPr>
        <w:rPr>
          <w:iCs/>
          <w:sz w:val="18"/>
          <w:szCs w:val="18"/>
          <w:lang w:val="es-ES"/>
        </w:rPr>
      </w:pPr>
      <w:proofErr w:type="gramStart"/>
      <w:r w:rsidRPr="00F30AB8">
        <w:rPr>
          <w:iCs/>
          <w:sz w:val="18"/>
          <w:szCs w:val="18"/>
          <w:lang w:val="es-ES"/>
        </w:rPr>
        <w:t>SC</w:t>
      </w:r>
      <w:ins w:id="1031" w:author="AUTHOR">
        <w:r w:rsidR="000228E7" w:rsidRPr="00E52815">
          <w:rPr>
            <w:sz w:val="18"/>
            <w:szCs w:val="18"/>
          </w:rPr>
          <w:t> </w:t>
        </w:r>
        <w:r w:rsidR="000228E7" w:rsidRPr="00F30AB8">
          <w:rPr>
            <w:iCs/>
            <w:sz w:val="18"/>
            <w:szCs w:val="18"/>
            <w:lang w:val="es-ES"/>
          </w:rPr>
          <w:t xml:space="preserve"> </w:t>
        </w:r>
      </w:ins>
      <w:r w:rsidRPr="00F30AB8">
        <w:rPr>
          <w:iCs/>
          <w:sz w:val="18"/>
          <w:szCs w:val="18"/>
          <w:lang w:val="es-ES"/>
        </w:rPr>
        <w:t>=</w:t>
      </w:r>
      <w:proofErr w:type="gramEnd"/>
      <w:r w:rsidRPr="00F30AB8">
        <w:rPr>
          <w:iCs/>
          <w:sz w:val="18"/>
          <w:szCs w:val="18"/>
          <w:lang w:val="es-ES"/>
        </w:rPr>
        <w:t xml:space="preserve"> subcutáneo</w:t>
      </w:r>
    </w:p>
    <w:p w14:paraId="56300AA4" w14:textId="77777777" w:rsidR="00317E68" w:rsidRPr="00DA3E44" w:rsidRDefault="00317E68" w:rsidP="0079644F">
      <w:pPr>
        <w:rPr>
          <w:iCs/>
          <w:lang w:val="es-ES"/>
        </w:rPr>
      </w:pPr>
    </w:p>
    <w:p w14:paraId="0C15083A" w14:textId="3E3EB686" w:rsidR="0079644F" w:rsidRPr="00C22F3F" w:rsidRDefault="0079644F" w:rsidP="0079644F">
      <w:pPr>
        <w:rPr>
          <w:iCs/>
          <w:lang w:val="es-ES"/>
        </w:rPr>
      </w:pPr>
      <w:r w:rsidRPr="0093490F">
        <w:rPr>
          <w:iCs/>
          <w:lang w:val="es-ES"/>
        </w:rPr>
        <w:t>Se alcanzó el objetivo de eficacia primario</w:t>
      </w:r>
      <w:r w:rsidRPr="0041284B">
        <w:rPr>
          <w:iCs/>
          <w:lang w:val="es-ES"/>
        </w:rPr>
        <w:t xml:space="preserve"> del e</w:t>
      </w:r>
      <w:r>
        <w:rPr>
          <w:iCs/>
          <w:lang w:val="es-ES"/>
        </w:rPr>
        <w:t>nsay</w:t>
      </w:r>
      <w:r w:rsidRPr="0041284B">
        <w:rPr>
          <w:iCs/>
          <w:lang w:val="es-ES"/>
        </w:rPr>
        <w:t>o</w:t>
      </w:r>
      <w:r>
        <w:rPr>
          <w:iCs/>
          <w:lang w:val="es-ES"/>
        </w:rPr>
        <w:t>,</w:t>
      </w:r>
      <w:r w:rsidRPr="0093490F">
        <w:rPr>
          <w:iCs/>
          <w:lang w:val="es-ES"/>
        </w:rPr>
        <w:t xml:space="preserve"> evaluado</w:t>
      </w:r>
      <w:r w:rsidRPr="0041284B">
        <w:rPr>
          <w:iCs/>
          <w:lang w:val="es-ES"/>
        </w:rPr>
        <w:t xml:space="preserve"> por </w:t>
      </w:r>
      <w:r w:rsidRPr="006C05BA">
        <w:rPr>
          <w:iCs/>
          <w:lang w:val="es-ES"/>
        </w:rPr>
        <w:t xml:space="preserve">la proporción de pacientes </w:t>
      </w:r>
      <w:r w:rsidRPr="00C22F3F">
        <w:rPr>
          <w:iCs/>
          <w:lang w:val="es-ES"/>
        </w:rPr>
        <w:t>que lograron la remisión sostenida libre de esteroides en la semana</w:t>
      </w:r>
      <w:r w:rsidR="00267243" w:rsidRPr="00F30AB8">
        <w:rPr>
          <w:szCs w:val="22"/>
          <w:lang w:val="es-ES" w:eastAsia="de-DE"/>
        </w:rPr>
        <w:t> </w:t>
      </w:r>
      <w:r w:rsidRPr="00C22F3F">
        <w:rPr>
          <w:iCs/>
          <w:lang w:val="es-ES"/>
        </w:rPr>
        <w:t xml:space="preserve">52, comparando el grupo de pacientes </w:t>
      </w:r>
      <w:r w:rsidRPr="006868F5">
        <w:rPr>
          <w:iCs/>
          <w:lang w:val="es-ES"/>
        </w:rPr>
        <w:t xml:space="preserve">tratados con </w:t>
      </w:r>
      <w:r w:rsidR="00317E68">
        <w:rPr>
          <w:szCs w:val="22"/>
          <w:lang w:val="es-ES"/>
        </w:rPr>
        <w:t>tocilizumab</w:t>
      </w:r>
      <w:r w:rsidR="00317E68" w:rsidRPr="006868F5">
        <w:rPr>
          <w:szCs w:val="22"/>
          <w:lang w:val="es-ES"/>
        </w:rPr>
        <w:t xml:space="preserve"> </w:t>
      </w:r>
      <w:r w:rsidRPr="0093490F">
        <w:rPr>
          <w:iCs/>
          <w:lang w:val="es-ES"/>
        </w:rPr>
        <w:t>más 26</w:t>
      </w:r>
      <w:r w:rsidR="00267243" w:rsidRPr="00F30AB8">
        <w:rPr>
          <w:szCs w:val="22"/>
          <w:lang w:val="es-ES" w:eastAsia="de-DE"/>
        </w:rPr>
        <w:t> </w:t>
      </w:r>
      <w:r w:rsidRPr="0093490F">
        <w:rPr>
          <w:iCs/>
          <w:lang w:val="es-ES"/>
        </w:rPr>
        <w:t xml:space="preserve">semanas de reducción </w:t>
      </w:r>
      <w:r w:rsidRPr="006868F5">
        <w:rPr>
          <w:iCs/>
          <w:lang w:val="es-ES"/>
        </w:rPr>
        <w:t xml:space="preserve">gradual </w:t>
      </w:r>
      <w:r w:rsidRPr="0093490F">
        <w:rPr>
          <w:iCs/>
          <w:lang w:val="es-ES"/>
        </w:rPr>
        <w:t>de prednisona con el grupo de</w:t>
      </w:r>
      <w:r w:rsidRPr="006868F5">
        <w:rPr>
          <w:iCs/>
          <w:lang w:val="es-ES"/>
        </w:rPr>
        <w:t xml:space="preserve"> pacientes </w:t>
      </w:r>
      <w:r w:rsidRPr="0093490F">
        <w:rPr>
          <w:iCs/>
          <w:lang w:val="es-ES"/>
        </w:rPr>
        <w:t>tratados con</w:t>
      </w:r>
      <w:r w:rsidRPr="006868F5">
        <w:rPr>
          <w:iCs/>
          <w:lang w:val="es-ES"/>
        </w:rPr>
        <w:t xml:space="preserve"> </w:t>
      </w:r>
      <w:r w:rsidRPr="0093490F">
        <w:rPr>
          <w:iCs/>
          <w:lang w:val="es-ES"/>
        </w:rPr>
        <w:t>placebo más 26</w:t>
      </w:r>
      <w:r w:rsidR="00267243" w:rsidRPr="00F30AB8">
        <w:rPr>
          <w:szCs w:val="22"/>
          <w:lang w:val="es-ES" w:eastAsia="de-DE"/>
        </w:rPr>
        <w:t> </w:t>
      </w:r>
      <w:r w:rsidRPr="0093490F">
        <w:rPr>
          <w:iCs/>
          <w:lang w:val="es-ES"/>
        </w:rPr>
        <w:t xml:space="preserve">semanas </w:t>
      </w:r>
      <w:r w:rsidRPr="0041284B">
        <w:rPr>
          <w:iCs/>
          <w:lang w:val="es-ES"/>
        </w:rPr>
        <w:t xml:space="preserve">de reducción </w:t>
      </w:r>
      <w:r w:rsidRPr="006C05BA">
        <w:rPr>
          <w:iCs/>
          <w:lang w:val="es-ES"/>
        </w:rPr>
        <w:t xml:space="preserve">gradual de </w:t>
      </w:r>
      <w:r w:rsidRPr="006868F5">
        <w:rPr>
          <w:iCs/>
          <w:lang w:val="es-ES"/>
        </w:rPr>
        <w:t xml:space="preserve">prednisona </w:t>
      </w:r>
      <w:r w:rsidRPr="0093490F">
        <w:rPr>
          <w:iCs/>
          <w:lang w:val="es-ES"/>
        </w:rPr>
        <w:t>(ver</w:t>
      </w:r>
      <w:r w:rsidRPr="0041284B">
        <w:rPr>
          <w:iCs/>
          <w:lang w:val="es-ES"/>
        </w:rPr>
        <w:t xml:space="preserve"> Tabla</w:t>
      </w:r>
      <w:r w:rsidR="00267243" w:rsidRPr="00F30AB8">
        <w:rPr>
          <w:szCs w:val="22"/>
          <w:lang w:val="es-ES" w:eastAsia="de-DE"/>
        </w:rPr>
        <w:t> </w:t>
      </w:r>
      <w:r w:rsidR="00513DDB">
        <w:rPr>
          <w:iCs/>
          <w:lang w:val="es-ES"/>
        </w:rPr>
        <w:t>4)</w:t>
      </w:r>
      <w:r w:rsidRPr="006C05BA">
        <w:rPr>
          <w:iCs/>
          <w:lang w:val="es-ES"/>
        </w:rPr>
        <w:t>.</w:t>
      </w:r>
    </w:p>
    <w:p w14:paraId="1DE959F6" w14:textId="77777777" w:rsidR="0079644F" w:rsidRPr="00C22F3F" w:rsidRDefault="0079644F" w:rsidP="0079644F">
      <w:pPr>
        <w:rPr>
          <w:iCs/>
          <w:lang w:val="es-ES"/>
        </w:rPr>
      </w:pPr>
    </w:p>
    <w:p w14:paraId="1C2CF162" w14:textId="65215538" w:rsidR="0079644F" w:rsidRPr="00C22F3F" w:rsidRDefault="0079644F" w:rsidP="0079644F">
      <w:pPr>
        <w:rPr>
          <w:iCs/>
          <w:lang w:val="es-ES"/>
        </w:rPr>
      </w:pPr>
      <w:r w:rsidRPr="00C22F3F">
        <w:rPr>
          <w:iCs/>
          <w:lang w:val="es-ES"/>
        </w:rPr>
        <w:t>Se alcanzó el objetivo de eficacia secundario del e</w:t>
      </w:r>
      <w:r>
        <w:rPr>
          <w:iCs/>
          <w:lang w:val="es-ES"/>
        </w:rPr>
        <w:t>nsayo,</w:t>
      </w:r>
      <w:r w:rsidRPr="0093490F">
        <w:rPr>
          <w:iCs/>
          <w:lang w:val="es-ES"/>
        </w:rPr>
        <w:t xml:space="preserve"> </w:t>
      </w:r>
      <w:r w:rsidRPr="0041284B">
        <w:rPr>
          <w:iCs/>
          <w:lang w:val="es-ES"/>
        </w:rPr>
        <w:t xml:space="preserve">también </w:t>
      </w:r>
      <w:r w:rsidRPr="006C05BA">
        <w:rPr>
          <w:iCs/>
          <w:lang w:val="es-ES"/>
        </w:rPr>
        <w:t xml:space="preserve">basado en la proporción de pacientes que lograron la remisión sostenida </w:t>
      </w:r>
      <w:r w:rsidRPr="00C22F3F">
        <w:rPr>
          <w:iCs/>
          <w:lang w:val="es-ES"/>
        </w:rPr>
        <w:t>libre de esteroides en la semana</w:t>
      </w:r>
      <w:r w:rsidR="00267243" w:rsidRPr="00F30AB8">
        <w:rPr>
          <w:szCs w:val="22"/>
          <w:lang w:val="es-ES" w:eastAsia="de-DE"/>
        </w:rPr>
        <w:t> </w:t>
      </w:r>
      <w:r w:rsidRPr="00C22F3F">
        <w:rPr>
          <w:iCs/>
          <w:lang w:val="es-ES"/>
        </w:rPr>
        <w:t>52, comparando tocilizumab más 26</w:t>
      </w:r>
      <w:r w:rsidR="00267243" w:rsidRPr="00F30AB8">
        <w:rPr>
          <w:szCs w:val="22"/>
          <w:lang w:val="es-ES" w:eastAsia="de-DE"/>
        </w:rPr>
        <w:t> </w:t>
      </w:r>
      <w:r w:rsidRPr="00C22F3F">
        <w:rPr>
          <w:iCs/>
          <w:lang w:val="es-ES"/>
        </w:rPr>
        <w:t>semanas de reducción gradual de prednisona con placebo más 52</w:t>
      </w:r>
      <w:r w:rsidR="00267243" w:rsidRPr="00F30AB8">
        <w:rPr>
          <w:szCs w:val="22"/>
          <w:lang w:val="es-ES" w:eastAsia="de-DE"/>
        </w:rPr>
        <w:t> </w:t>
      </w:r>
      <w:r w:rsidRPr="00C22F3F">
        <w:rPr>
          <w:iCs/>
          <w:lang w:val="es-ES"/>
        </w:rPr>
        <w:t>semanas de reducción gradual de p</w:t>
      </w:r>
      <w:r w:rsidR="00513DDB">
        <w:rPr>
          <w:iCs/>
          <w:lang w:val="es-ES"/>
        </w:rPr>
        <w:t>rednisona, (ver Tabla</w:t>
      </w:r>
      <w:r w:rsidR="00267243" w:rsidRPr="00F30AB8">
        <w:rPr>
          <w:szCs w:val="22"/>
          <w:lang w:val="es-ES" w:eastAsia="de-DE"/>
        </w:rPr>
        <w:t> </w:t>
      </w:r>
      <w:r w:rsidR="00513DDB">
        <w:rPr>
          <w:iCs/>
          <w:lang w:val="es-ES"/>
        </w:rPr>
        <w:t>4</w:t>
      </w:r>
      <w:r w:rsidRPr="00C22F3F">
        <w:rPr>
          <w:iCs/>
          <w:lang w:val="es-ES"/>
        </w:rPr>
        <w:t>).</w:t>
      </w:r>
    </w:p>
    <w:p w14:paraId="03350D3A" w14:textId="77777777" w:rsidR="0079644F" w:rsidRPr="00C22F3F" w:rsidRDefault="0079644F" w:rsidP="0079644F">
      <w:pPr>
        <w:rPr>
          <w:iCs/>
          <w:lang w:val="es-ES"/>
        </w:rPr>
      </w:pPr>
    </w:p>
    <w:p w14:paraId="25492EA2" w14:textId="09D77E20" w:rsidR="0079644F" w:rsidRPr="00C22F3F" w:rsidRDefault="0079644F" w:rsidP="0079644F">
      <w:pPr>
        <w:rPr>
          <w:iCs/>
          <w:lang w:val="es-ES"/>
        </w:rPr>
      </w:pPr>
      <w:r w:rsidRPr="00C22F3F">
        <w:rPr>
          <w:iCs/>
          <w:lang w:val="es-ES"/>
        </w:rPr>
        <w:t xml:space="preserve">Se observó un efecto estadísticamente significativo superior a favor de </w:t>
      </w:r>
      <w:r w:rsidR="00317E68">
        <w:rPr>
          <w:szCs w:val="22"/>
          <w:lang w:val="es-ES"/>
        </w:rPr>
        <w:t>tocilizumab</w:t>
      </w:r>
      <w:r w:rsidR="00317E68" w:rsidRPr="006868F5">
        <w:rPr>
          <w:szCs w:val="22"/>
          <w:lang w:val="es-ES"/>
        </w:rPr>
        <w:t xml:space="preserve"> </w:t>
      </w:r>
      <w:r w:rsidRPr="00C22F3F">
        <w:rPr>
          <w:iCs/>
          <w:lang w:val="es-ES"/>
        </w:rPr>
        <w:t xml:space="preserve">sobre placebo en el logro de la remisión sostenida libre de esteroides en la semana 52 en el grupo de </w:t>
      </w:r>
      <w:r w:rsidR="00317E68">
        <w:rPr>
          <w:szCs w:val="22"/>
          <w:lang w:val="es-ES"/>
        </w:rPr>
        <w:t>tocilizumab</w:t>
      </w:r>
      <w:r w:rsidR="00317E68" w:rsidRPr="006868F5">
        <w:rPr>
          <w:szCs w:val="22"/>
          <w:lang w:val="es-ES"/>
        </w:rPr>
        <w:t xml:space="preserve"> </w:t>
      </w:r>
      <w:r w:rsidRPr="00C22F3F">
        <w:rPr>
          <w:iCs/>
          <w:lang w:val="es-ES"/>
        </w:rPr>
        <w:t>más 26 semanas de reducción gradual de prednisona comparado con los grupos de placebo más 26 semanas de reducción gradual de prednisona</w:t>
      </w:r>
      <w:r>
        <w:rPr>
          <w:iCs/>
          <w:lang w:val="es-ES"/>
        </w:rPr>
        <w:t>,</w:t>
      </w:r>
      <w:r w:rsidRPr="00C22F3F">
        <w:rPr>
          <w:iCs/>
          <w:lang w:val="es-ES"/>
        </w:rPr>
        <w:t xml:space="preserve"> y con placebo más 52 semanas de reducción gradual de prednisona.</w:t>
      </w:r>
    </w:p>
    <w:p w14:paraId="038EB80D" w14:textId="77777777" w:rsidR="0079644F" w:rsidRPr="00C22F3F" w:rsidRDefault="0079644F" w:rsidP="0079644F">
      <w:pPr>
        <w:rPr>
          <w:iCs/>
          <w:lang w:val="es-ES"/>
        </w:rPr>
      </w:pPr>
    </w:p>
    <w:p w14:paraId="153781DF" w14:textId="5DD4043C" w:rsidR="0079644F" w:rsidRPr="00C22F3F" w:rsidRDefault="0079644F" w:rsidP="0079644F">
      <w:pPr>
        <w:rPr>
          <w:iCs/>
          <w:lang w:val="es-ES"/>
        </w:rPr>
      </w:pPr>
      <w:r w:rsidRPr="00C22F3F">
        <w:rPr>
          <w:iCs/>
          <w:lang w:val="es-ES"/>
        </w:rPr>
        <w:t>El porcentaje de pacientes que alcanzan la remisión sostenida en la semana</w:t>
      </w:r>
      <w:r w:rsidR="00267243" w:rsidRPr="00F30AB8">
        <w:rPr>
          <w:szCs w:val="22"/>
          <w:lang w:val="es-ES" w:eastAsia="de-DE"/>
        </w:rPr>
        <w:t> </w:t>
      </w:r>
      <w:r w:rsidRPr="00C22F3F">
        <w:rPr>
          <w:iCs/>
          <w:lang w:val="es-ES"/>
        </w:rPr>
        <w:t>52, se muestr</w:t>
      </w:r>
      <w:r w:rsidR="00513DDB">
        <w:rPr>
          <w:iCs/>
          <w:lang w:val="es-ES"/>
        </w:rPr>
        <w:t>an en la Tabla</w:t>
      </w:r>
      <w:r w:rsidR="00267243" w:rsidRPr="00F30AB8">
        <w:rPr>
          <w:szCs w:val="22"/>
          <w:lang w:val="es-ES" w:eastAsia="de-DE"/>
        </w:rPr>
        <w:t> </w:t>
      </w:r>
      <w:r w:rsidR="00513DDB">
        <w:rPr>
          <w:iCs/>
          <w:lang w:val="es-ES"/>
        </w:rPr>
        <w:t>4</w:t>
      </w:r>
      <w:r w:rsidRPr="00C22F3F">
        <w:rPr>
          <w:iCs/>
          <w:lang w:val="es-ES"/>
        </w:rPr>
        <w:t>.</w:t>
      </w:r>
    </w:p>
    <w:p w14:paraId="0D7E15DE" w14:textId="77777777" w:rsidR="0079644F" w:rsidRPr="00C22F3F" w:rsidRDefault="0079644F" w:rsidP="0079644F">
      <w:pPr>
        <w:rPr>
          <w:iCs/>
          <w:lang w:val="es-ES"/>
        </w:rPr>
      </w:pPr>
    </w:p>
    <w:p w14:paraId="39198E8F" w14:textId="77777777" w:rsidR="0079644F" w:rsidRPr="00F30AB8" w:rsidRDefault="0079644F" w:rsidP="00F30AB8">
      <w:pPr>
        <w:keepNext/>
        <w:keepLines/>
        <w:rPr>
          <w:i/>
          <w:szCs w:val="24"/>
          <w:u w:val="single"/>
          <w:lang w:val="es-ES" w:eastAsia="de-DE"/>
        </w:rPr>
      </w:pPr>
      <w:r w:rsidRPr="00F30AB8">
        <w:rPr>
          <w:i/>
          <w:szCs w:val="24"/>
          <w:u w:val="single"/>
          <w:lang w:val="es-ES" w:eastAsia="de-DE"/>
        </w:rPr>
        <w:t>Variables secundarias</w:t>
      </w:r>
    </w:p>
    <w:p w14:paraId="247EE489" w14:textId="55B77460" w:rsidR="0079644F" w:rsidRPr="00C22F3F" w:rsidRDefault="0079644F" w:rsidP="00F30AB8">
      <w:pPr>
        <w:keepNext/>
        <w:keepLines/>
        <w:rPr>
          <w:iCs/>
          <w:lang w:val="es-ES"/>
        </w:rPr>
      </w:pPr>
      <w:r w:rsidRPr="0093490F">
        <w:rPr>
          <w:iCs/>
          <w:lang w:val="es-ES"/>
        </w:rPr>
        <w:t>La evaluación del tiempo hasta el primer brote de A</w:t>
      </w:r>
      <w:r w:rsidRPr="0041284B">
        <w:rPr>
          <w:iCs/>
          <w:lang w:val="es-ES"/>
        </w:rPr>
        <w:t>CG mostró un riesgo signi</w:t>
      </w:r>
      <w:r w:rsidRPr="006C05BA">
        <w:rPr>
          <w:iCs/>
          <w:lang w:val="es-ES"/>
        </w:rPr>
        <w:t xml:space="preserve">ficativamente menor de </w:t>
      </w:r>
      <w:r w:rsidRPr="00C22F3F">
        <w:rPr>
          <w:iCs/>
          <w:lang w:val="es-ES"/>
        </w:rPr>
        <w:t xml:space="preserve">brote para el grupo semanal de </w:t>
      </w:r>
      <w:r w:rsidR="00317E68">
        <w:rPr>
          <w:szCs w:val="22"/>
          <w:lang w:val="es-ES"/>
        </w:rPr>
        <w:t>tocilizumab</w:t>
      </w:r>
      <w:r w:rsidR="00317E68" w:rsidRPr="006868F5">
        <w:rPr>
          <w:szCs w:val="22"/>
          <w:lang w:val="es-ES"/>
        </w:rPr>
        <w:t xml:space="preserve"> </w:t>
      </w:r>
      <w:r w:rsidRPr="00C22F3F">
        <w:rPr>
          <w:iCs/>
          <w:lang w:val="es-ES"/>
        </w:rPr>
        <w:t>subcutáneo en comparación con los grupos de placebo más 26</w:t>
      </w:r>
      <w:r w:rsidR="00267243" w:rsidRPr="00F30AB8">
        <w:rPr>
          <w:szCs w:val="22"/>
          <w:lang w:val="es-ES" w:eastAsia="de-DE"/>
        </w:rPr>
        <w:t> </w:t>
      </w:r>
      <w:r w:rsidRPr="00C22F3F">
        <w:rPr>
          <w:iCs/>
          <w:lang w:val="es-ES"/>
        </w:rPr>
        <w:t>semanas y placebo más 52</w:t>
      </w:r>
      <w:r w:rsidR="00267243" w:rsidRPr="00F30AB8">
        <w:rPr>
          <w:szCs w:val="22"/>
          <w:lang w:val="es-ES" w:eastAsia="de-DE"/>
        </w:rPr>
        <w:t> </w:t>
      </w:r>
      <w:r w:rsidRPr="00C22F3F">
        <w:rPr>
          <w:iCs/>
          <w:lang w:val="es-ES"/>
        </w:rPr>
        <w:t>semanas de reducción gradual de prednisona</w:t>
      </w:r>
      <w:r>
        <w:rPr>
          <w:iCs/>
          <w:lang w:val="es-ES"/>
        </w:rPr>
        <w:t>;</w:t>
      </w:r>
      <w:r w:rsidRPr="00C22F3F">
        <w:rPr>
          <w:iCs/>
          <w:lang w:val="es-ES"/>
        </w:rPr>
        <w:t xml:space="preserve"> y para el grupo de </w:t>
      </w:r>
      <w:r w:rsidR="00317E68">
        <w:rPr>
          <w:szCs w:val="22"/>
          <w:lang w:val="es-ES"/>
        </w:rPr>
        <w:t>tocilizumab</w:t>
      </w:r>
      <w:r w:rsidR="00317E68" w:rsidRPr="006868F5">
        <w:rPr>
          <w:szCs w:val="22"/>
          <w:lang w:val="es-ES"/>
        </w:rPr>
        <w:t xml:space="preserve"> </w:t>
      </w:r>
      <w:r w:rsidRPr="00C22F3F">
        <w:rPr>
          <w:iCs/>
          <w:lang w:val="es-ES"/>
        </w:rPr>
        <w:t xml:space="preserve">subcutáneo </w:t>
      </w:r>
      <w:del w:id="1032" w:author="AUTHOR">
        <w:r w:rsidRPr="00C22F3F" w:rsidDel="009F26E0">
          <w:rPr>
            <w:iCs/>
            <w:lang w:val="es-ES"/>
          </w:rPr>
          <w:delText>bisemanal</w:delText>
        </w:r>
      </w:del>
      <w:ins w:id="1033" w:author="AUTHOR">
        <w:r w:rsidR="009F26E0">
          <w:rPr>
            <w:iCs/>
            <w:lang w:val="es-ES"/>
          </w:rPr>
          <w:t>cada dos semanas</w:t>
        </w:r>
      </w:ins>
      <w:r w:rsidRPr="00C22F3F">
        <w:rPr>
          <w:iCs/>
          <w:lang w:val="es-ES"/>
        </w:rPr>
        <w:t xml:space="preserve"> comparado con placebo más 26</w:t>
      </w:r>
      <w:r w:rsidR="00267243" w:rsidRPr="00F30AB8">
        <w:rPr>
          <w:szCs w:val="22"/>
          <w:lang w:val="es-ES" w:eastAsia="de-DE"/>
        </w:rPr>
        <w:t> </w:t>
      </w:r>
      <w:r w:rsidRPr="00C22F3F">
        <w:rPr>
          <w:iCs/>
          <w:lang w:val="es-ES"/>
        </w:rPr>
        <w:t xml:space="preserve">semanas de reducción gradual de prednisona (cuando se comparó con un nivel de significación de 0,01). La dosis </w:t>
      </w:r>
      <w:proofErr w:type="gramStart"/>
      <w:r w:rsidRPr="00C22F3F">
        <w:rPr>
          <w:iCs/>
          <w:lang w:val="es-ES"/>
        </w:rPr>
        <w:t xml:space="preserve">semanal  </w:t>
      </w:r>
      <w:r w:rsidR="00317E68">
        <w:rPr>
          <w:szCs w:val="22"/>
          <w:lang w:val="es-ES"/>
        </w:rPr>
        <w:t>tocilizumab</w:t>
      </w:r>
      <w:proofErr w:type="gramEnd"/>
      <w:r w:rsidR="00317E68">
        <w:rPr>
          <w:szCs w:val="22"/>
          <w:lang w:val="es-ES"/>
        </w:rPr>
        <w:t xml:space="preserve"> subcutáneo</w:t>
      </w:r>
      <w:r w:rsidR="00317E68" w:rsidRPr="006868F5">
        <w:rPr>
          <w:szCs w:val="22"/>
          <w:lang w:val="es-ES"/>
        </w:rPr>
        <w:t xml:space="preserve"> </w:t>
      </w:r>
      <w:r w:rsidRPr="00C22F3F">
        <w:rPr>
          <w:iCs/>
          <w:lang w:val="es-ES"/>
        </w:rPr>
        <w:t>también mostró una disminución clínicamente significativa en el riesgo de brote comparado con placebo más 26</w:t>
      </w:r>
      <w:r w:rsidR="00267243" w:rsidRPr="00F30AB8">
        <w:rPr>
          <w:szCs w:val="22"/>
          <w:lang w:val="es-ES" w:eastAsia="de-DE"/>
        </w:rPr>
        <w:t> </w:t>
      </w:r>
      <w:r w:rsidRPr="00C22F3F">
        <w:rPr>
          <w:iCs/>
          <w:lang w:val="es-ES"/>
        </w:rPr>
        <w:t>semanas de reducción gradual de prednisona en pacientes que entraron en el ensayo con ACG recurrente, así como aquellos con enfermedad</w:t>
      </w:r>
      <w:r w:rsidR="00513DDB">
        <w:rPr>
          <w:iCs/>
          <w:lang w:val="es-ES"/>
        </w:rPr>
        <w:t xml:space="preserve"> de inicio reciente (ver Tabla</w:t>
      </w:r>
      <w:r w:rsidR="00267243" w:rsidRPr="00F30AB8">
        <w:rPr>
          <w:szCs w:val="22"/>
          <w:lang w:val="es-ES" w:eastAsia="de-DE"/>
        </w:rPr>
        <w:t> </w:t>
      </w:r>
      <w:r w:rsidR="00513DDB">
        <w:rPr>
          <w:iCs/>
          <w:lang w:val="es-ES"/>
        </w:rPr>
        <w:t>4</w:t>
      </w:r>
      <w:r w:rsidRPr="00C22F3F">
        <w:rPr>
          <w:iCs/>
          <w:lang w:val="es-ES"/>
        </w:rPr>
        <w:t xml:space="preserve">). </w:t>
      </w:r>
    </w:p>
    <w:p w14:paraId="3312146B" w14:textId="77777777" w:rsidR="0079644F" w:rsidRPr="00C22F3F" w:rsidRDefault="0079644F" w:rsidP="0079644F">
      <w:pPr>
        <w:rPr>
          <w:iCs/>
          <w:lang w:val="es-ES"/>
        </w:rPr>
      </w:pPr>
    </w:p>
    <w:p w14:paraId="57A60CA2" w14:textId="77777777" w:rsidR="0079644F" w:rsidRPr="00F30AB8" w:rsidRDefault="0079644F" w:rsidP="00E576A0">
      <w:pPr>
        <w:keepNext/>
        <w:keepLines/>
        <w:rPr>
          <w:i/>
          <w:szCs w:val="24"/>
          <w:u w:val="single"/>
          <w:lang w:val="es-ES" w:eastAsia="de-DE"/>
        </w:rPr>
      </w:pPr>
      <w:r w:rsidRPr="00F30AB8">
        <w:rPr>
          <w:i/>
          <w:szCs w:val="24"/>
          <w:u w:val="single"/>
          <w:lang w:val="es-ES" w:eastAsia="de-DE"/>
        </w:rPr>
        <w:t>Dosis acumulada de glucocorticoides</w:t>
      </w:r>
    </w:p>
    <w:p w14:paraId="183F92CC" w14:textId="2BDEC6C1" w:rsidR="006C555D" w:rsidRDefault="0079644F" w:rsidP="00E576A0">
      <w:pPr>
        <w:keepLines/>
        <w:rPr>
          <w:iCs/>
          <w:lang w:val="es-ES"/>
        </w:rPr>
      </w:pPr>
      <w:r w:rsidRPr="006C05BA">
        <w:rPr>
          <w:iCs/>
          <w:lang w:val="es-ES"/>
        </w:rPr>
        <w:t xml:space="preserve">La dosis acumulada de prednisona </w:t>
      </w:r>
      <w:r w:rsidRPr="00C22F3F">
        <w:rPr>
          <w:iCs/>
          <w:lang w:val="es-ES"/>
        </w:rPr>
        <w:t>en la semana</w:t>
      </w:r>
      <w:r w:rsidR="00267243" w:rsidRPr="00F30AB8">
        <w:rPr>
          <w:szCs w:val="22"/>
          <w:lang w:val="es-ES" w:eastAsia="de-DE"/>
        </w:rPr>
        <w:t> </w:t>
      </w:r>
      <w:r w:rsidRPr="00C22F3F">
        <w:rPr>
          <w:iCs/>
          <w:lang w:val="es-ES"/>
        </w:rPr>
        <w:t xml:space="preserve">52 fue significativamente menor en los dos grupos de dosis de </w:t>
      </w:r>
      <w:r w:rsidR="00317E68">
        <w:rPr>
          <w:szCs w:val="22"/>
          <w:lang w:val="es-ES"/>
        </w:rPr>
        <w:t>tocilizumab</w:t>
      </w:r>
      <w:r w:rsidR="00317E68" w:rsidRPr="006868F5">
        <w:rPr>
          <w:szCs w:val="22"/>
          <w:lang w:val="es-ES"/>
        </w:rPr>
        <w:t xml:space="preserve"> </w:t>
      </w:r>
      <w:r w:rsidRPr="00C22F3F">
        <w:rPr>
          <w:iCs/>
          <w:lang w:val="es-ES"/>
        </w:rPr>
        <w:t>en comparación con los do</w:t>
      </w:r>
      <w:r w:rsidR="00513DDB">
        <w:rPr>
          <w:iCs/>
          <w:lang w:val="es-ES"/>
        </w:rPr>
        <w:t>s grupos de placebo (ver Tabla</w:t>
      </w:r>
      <w:r w:rsidR="00267243" w:rsidRPr="00F30AB8">
        <w:rPr>
          <w:szCs w:val="22"/>
          <w:lang w:val="es-ES" w:eastAsia="de-DE"/>
        </w:rPr>
        <w:t> </w:t>
      </w:r>
      <w:r w:rsidR="009250E6">
        <w:rPr>
          <w:iCs/>
          <w:lang w:val="es-ES"/>
        </w:rPr>
        <w:t>4</w:t>
      </w:r>
      <w:r w:rsidRPr="00C22F3F">
        <w:rPr>
          <w:iCs/>
          <w:lang w:val="es-ES"/>
        </w:rPr>
        <w:t>). En un análisis separado de los pacientes que recibieron tratamiento de rescate con prednisona para tratar el brote de ACG durante las primeras 52</w:t>
      </w:r>
      <w:r w:rsidR="00267243" w:rsidRPr="00F30AB8">
        <w:rPr>
          <w:szCs w:val="22"/>
          <w:lang w:val="es-ES" w:eastAsia="de-DE"/>
        </w:rPr>
        <w:t> </w:t>
      </w:r>
      <w:r w:rsidRPr="00C22F3F">
        <w:rPr>
          <w:iCs/>
          <w:lang w:val="es-ES"/>
        </w:rPr>
        <w:t>semanas, la dosis acumulativa de prednisona varió mucho. La</w:t>
      </w:r>
      <w:r>
        <w:rPr>
          <w:iCs/>
          <w:lang w:val="es-ES"/>
        </w:rPr>
        <w:t>s</w:t>
      </w:r>
      <w:r w:rsidRPr="00C22F3F">
        <w:rPr>
          <w:iCs/>
          <w:lang w:val="es-ES"/>
        </w:rPr>
        <w:t xml:space="preserve"> dosis media</w:t>
      </w:r>
      <w:r>
        <w:rPr>
          <w:iCs/>
          <w:lang w:val="es-ES"/>
        </w:rPr>
        <w:t>s</w:t>
      </w:r>
      <w:r w:rsidRPr="00C22F3F">
        <w:rPr>
          <w:iCs/>
          <w:lang w:val="es-ES"/>
        </w:rPr>
        <w:t xml:space="preserve"> de rescate para los pacientes de los grupos de administración de </w:t>
      </w:r>
      <w:r w:rsidR="00317E68">
        <w:rPr>
          <w:szCs w:val="22"/>
          <w:lang w:val="es-ES"/>
        </w:rPr>
        <w:t>tocilizumab</w:t>
      </w:r>
      <w:r w:rsidR="00317E68" w:rsidRPr="006868F5">
        <w:rPr>
          <w:szCs w:val="22"/>
          <w:lang w:val="es-ES"/>
        </w:rPr>
        <w:t xml:space="preserve"> </w:t>
      </w:r>
      <w:r w:rsidRPr="00C22F3F">
        <w:rPr>
          <w:iCs/>
          <w:lang w:val="es-ES"/>
        </w:rPr>
        <w:t xml:space="preserve">semanal y </w:t>
      </w:r>
      <w:del w:id="1034" w:author="AUTHOR">
        <w:r w:rsidRPr="00C22F3F" w:rsidDel="009F26E0">
          <w:rPr>
            <w:iCs/>
            <w:lang w:val="es-ES"/>
          </w:rPr>
          <w:delText>bisemanal</w:delText>
        </w:r>
      </w:del>
      <w:ins w:id="1035" w:author="AUTHOR">
        <w:r w:rsidR="009F26E0">
          <w:rPr>
            <w:iCs/>
            <w:lang w:val="es-ES"/>
          </w:rPr>
          <w:t>cada dos semanas</w:t>
        </w:r>
      </w:ins>
      <w:r w:rsidRPr="00C22F3F">
        <w:rPr>
          <w:iCs/>
          <w:lang w:val="es-ES"/>
        </w:rPr>
        <w:t xml:space="preserve"> fueron 3.129,75</w:t>
      </w:r>
      <w:r w:rsidR="00267243" w:rsidRPr="00F30AB8">
        <w:rPr>
          <w:szCs w:val="22"/>
          <w:lang w:val="es-ES" w:eastAsia="de-DE"/>
        </w:rPr>
        <w:t> </w:t>
      </w:r>
      <w:r w:rsidRPr="00C22F3F">
        <w:rPr>
          <w:iCs/>
          <w:lang w:val="es-ES"/>
        </w:rPr>
        <w:t>mg y 3.847</w:t>
      </w:r>
      <w:r w:rsidR="00267243" w:rsidRPr="00F30AB8">
        <w:rPr>
          <w:szCs w:val="22"/>
          <w:lang w:val="es-ES" w:eastAsia="de-DE"/>
        </w:rPr>
        <w:t> </w:t>
      </w:r>
      <w:r w:rsidRPr="00C22F3F">
        <w:rPr>
          <w:iCs/>
          <w:lang w:val="es-ES"/>
        </w:rPr>
        <w:t>mg, respectivamente. Amb</w:t>
      </w:r>
      <w:r>
        <w:rPr>
          <w:iCs/>
          <w:lang w:val="es-ES"/>
        </w:rPr>
        <w:t>a</w:t>
      </w:r>
      <w:r w:rsidRPr="00C22F3F">
        <w:rPr>
          <w:iCs/>
          <w:lang w:val="es-ES"/>
        </w:rPr>
        <w:t>s considerablemente más baj</w:t>
      </w:r>
      <w:r>
        <w:rPr>
          <w:iCs/>
          <w:lang w:val="es-ES"/>
        </w:rPr>
        <w:t>a</w:t>
      </w:r>
      <w:r w:rsidRPr="00C22F3F">
        <w:rPr>
          <w:iCs/>
          <w:lang w:val="es-ES"/>
        </w:rPr>
        <w:t xml:space="preserve">s que en el grupo de placebo más </w:t>
      </w:r>
      <w:r w:rsidR="00267243" w:rsidRPr="00C22F3F">
        <w:rPr>
          <w:iCs/>
          <w:lang w:val="es-ES"/>
        </w:rPr>
        <w:t>26</w:t>
      </w:r>
      <w:r w:rsidR="003532C2" w:rsidRPr="00BB710F">
        <w:rPr>
          <w:szCs w:val="22"/>
          <w:lang w:val="es-ES" w:eastAsia="de-DE"/>
        </w:rPr>
        <w:t> </w:t>
      </w:r>
      <w:r w:rsidRPr="00C22F3F">
        <w:rPr>
          <w:iCs/>
          <w:lang w:val="es-ES"/>
        </w:rPr>
        <w:t>semanas de reducción gradual de prednisona y el grupo de placebo más 52</w:t>
      </w:r>
      <w:r w:rsidR="00267243" w:rsidRPr="00F30AB8">
        <w:rPr>
          <w:szCs w:val="22"/>
          <w:lang w:val="es-ES" w:eastAsia="de-DE"/>
        </w:rPr>
        <w:t> </w:t>
      </w:r>
      <w:r w:rsidRPr="00C22F3F">
        <w:rPr>
          <w:iCs/>
          <w:lang w:val="es-ES"/>
        </w:rPr>
        <w:t>semanas de reducción gradual de prednisona, 4.023,5</w:t>
      </w:r>
      <w:r w:rsidR="00267243" w:rsidRPr="00F30AB8">
        <w:rPr>
          <w:szCs w:val="22"/>
          <w:lang w:val="es-ES" w:eastAsia="de-DE"/>
        </w:rPr>
        <w:t> </w:t>
      </w:r>
      <w:r w:rsidRPr="00C22F3F">
        <w:rPr>
          <w:iCs/>
          <w:lang w:val="es-ES"/>
        </w:rPr>
        <w:t>mg y 5.389,5</w:t>
      </w:r>
      <w:r w:rsidR="00267243" w:rsidRPr="00F30AB8">
        <w:rPr>
          <w:szCs w:val="22"/>
          <w:lang w:val="es-ES" w:eastAsia="de-DE"/>
        </w:rPr>
        <w:t> </w:t>
      </w:r>
      <w:r w:rsidRPr="00C22F3F">
        <w:rPr>
          <w:iCs/>
          <w:lang w:val="es-ES"/>
        </w:rPr>
        <w:t>mg, respectivamente.</w:t>
      </w:r>
    </w:p>
    <w:p w14:paraId="59EF5DD2" w14:textId="77777777" w:rsidR="0079644F" w:rsidRDefault="0079644F" w:rsidP="00556927">
      <w:pPr>
        <w:keepLines/>
        <w:rPr>
          <w:iCs/>
          <w:lang w:val="es-ES"/>
        </w:rPr>
      </w:pPr>
    </w:p>
    <w:p w14:paraId="4EEF2697" w14:textId="77777777" w:rsidR="0079644F" w:rsidRDefault="0079644F" w:rsidP="00556927">
      <w:pPr>
        <w:numPr>
          <w:ilvl w:val="12"/>
          <w:numId w:val="0"/>
        </w:numPr>
        <w:ind w:right="-2"/>
        <w:rPr>
          <w:bCs/>
          <w:i/>
          <w:szCs w:val="22"/>
          <w:lang w:val="es-ES"/>
        </w:rPr>
      </w:pPr>
      <w:r w:rsidRPr="00464CAF">
        <w:rPr>
          <w:i/>
          <w:iCs/>
          <w:lang w:val="es-ES"/>
        </w:rPr>
        <w:t xml:space="preserve">Tabla </w:t>
      </w:r>
      <w:r w:rsidR="00513DDB">
        <w:rPr>
          <w:i/>
          <w:iCs/>
          <w:lang w:val="es-ES"/>
        </w:rPr>
        <w:t>4</w:t>
      </w:r>
      <w:r w:rsidRPr="006868F5">
        <w:rPr>
          <w:i/>
          <w:iCs/>
          <w:lang w:val="es-ES"/>
        </w:rPr>
        <w:t>. Resultados de eficacia del e</w:t>
      </w:r>
      <w:r>
        <w:rPr>
          <w:i/>
          <w:iCs/>
          <w:lang w:val="es-ES"/>
        </w:rPr>
        <w:t>nsay</w:t>
      </w:r>
      <w:r w:rsidRPr="006868F5">
        <w:rPr>
          <w:i/>
          <w:iCs/>
          <w:lang w:val="es-ES"/>
        </w:rPr>
        <w:t>o</w:t>
      </w:r>
      <w:r>
        <w:rPr>
          <w:iCs/>
          <w:lang w:val="es-ES"/>
        </w:rPr>
        <w:t xml:space="preserve"> </w:t>
      </w:r>
      <w:r w:rsidRPr="006868F5">
        <w:rPr>
          <w:bCs/>
          <w:i/>
          <w:szCs w:val="22"/>
          <w:lang w:val="es-ES"/>
        </w:rPr>
        <w:t>WA28119</w:t>
      </w:r>
    </w:p>
    <w:p w14:paraId="47A85EE0" w14:textId="77777777" w:rsidR="0079644F" w:rsidRDefault="0079644F" w:rsidP="00556927">
      <w:pPr>
        <w:numPr>
          <w:ilvl w:val="12"/>
          <w:numId w:val="0"/>
        </w:numPr>
        <w:ind w:right="-2"/>
        <w:rPr>
          <w:bCs/>
          <w:i/>
          <w:szCs w:val="22"/>
          <w:lang w:val="es-ES"/>
        </w:rPr>
      </w:pPr>
      <w:r w:rsidRPr="006868F5">
        <w:rPr>
          <w:bCs/>
          <w:i/>
          <w:szCs w:val="22"/>
          <w:lang w:val="es-ES"/>
        </w:rPr>
        <w:t xml:space="preserve"> </w:t>
      </w:r>
    </w:p>
    <w:tbl>
      <w:tblPr>
        <w:tblW w:w="10346" w:type="dxa"/>
        <w:tblInd w:w="-577" w:type="dxa"/>
        <w:tblLayout w:type="fixed"/>
        <w:tblCellMar>
          <w:left w:w="0" w:type="dxa"/>
          <w:right w:w="0" w:type="dxa"/>
        </w:tblCellMar>
        <w:tblLook w:val="04A0" w:firstRow="1" w:lastRow="0" w:firstColumn="1" w:lastColumn="0" w:noHBand="0" w:noVBand="1"/>
      </w:tblPr>
      <w:tblGrid>
        <w:gridCol w:w="3685"/>
        <w:gridCol w:w="142"/>
        <w:gridCol w:w="425"/>
        <w:gridCol w:w="283"/>
        <w:gridCol w:w="709"/>
        <w:gridCol w:w="210"/>
        <w:gridCol w:w="1208"/>
        <w:gridCol w:w="1842"/>
        <w:gridCol w:w="1842"/>
      </w:tblGrid>
      <w:tr w:rsidR="0079644F" w:rsidRPr="006868F5" w14:paraId="1B75781B" w14:textId="77777777" w:rsidTr="00FF2AFA">
        <w:trPr>
          <w:cantSplit/>
          <w:tblHeader/>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214C800F" w14:textId="77777777" w:rsidR="0079644F" w:rsidRPr="006868F5" w:rsidRDefault="0079644F" w:rsidP="00556927">
            <w:pPr>
              <w:spacing w:before="50" w:after="50" w:line="240" w:lineRule="exact"/>
              <w:rPr>
                <w:rFonts w:eastAsia="SimSun"/>
                <w:strike/>
                <w:sz w:val="18"/>
                <w:szCs w:val="18"/>
                <w:lang w:val="es-ES" w:eastAsia="zh-CN"/>
              </w:rPr>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0ED97A45" w14:textId="39E27002" w:rsidR="0079644F" w:rsidRPr="006868F5" w:rsidRDefault="0079644F" w:rsidP="00556927">
            <w:pPr>
              <w:spacing w:before="50" w:after="50" w:line="240" w:lineRule="exact"/>
              <w:jc w:val="center"/>
              <w:rPr>
                <w:rFonts w:eastAsia="SimSun"/>
                <w:b/>
                <w:sz w:val="18"/>
                <w:szCs w:val="18"/>
                <w:lang w:val="es-ES" w:eastAsia="zh-CN"/>
              </w:rPr>
            </w:pPr>
            <w:r w:rsidRPr="006868F5">
              <w:rPr>
                <w:rFonts w:eastAsia="SimSun"/>
                <w:b/>
                <w:sz w:val="18"/>
                <w:szCs w:val="18"/>
                <w:lang w:val="es-ES" w:eastAsia="zh-CN"/>
              </w:rPr>
              <w:t>Placebo + 26</w:t>
            </w:r>
            <w:r w:rsidR="003532C2" w:rsidRPr="00F30AB8">
              <w:rPr>
                <w:rFonts w:eastAsia="SimSun"/>
                <w:b/>
                <w:sz w:val="18"/>
                <w:szCs w:val="18"/>
                <w:lang w:val="es-ES" w:eastAsia="zh-CN"/>
              </w:rPr>
              <w:t> </w:t>
            </w:r>
            <w:r w:rsidRPr="006868F5">
              <w:rPr>
                <w:rFonts w:eastAsia="SimSun"/>
                <w:b/>
                <w:sz w:val="18"/>
                <w:szCs w:val="18"/>
                <w:lang w:val="es-ES" w:eastAsia="zh-CN"/>
              </w:rPr>
              <w:t xml:space="preserve">semanas de reducción </w:t>
            </w:r>
            <w:r>
              <w:rPr>
                <w:rFonts w:eastAsia="SimSun"/>
                <w:b/>
                <w:sz w:val="18"/>
                <w:szCs w:val="18"/>
                <w:lang w:val="es-ES" w:eastAsia="zh-CN"/>
              </w:rPr>
              <w:t xml:space="preserve">gradual </w:t>
            </w:r>
            <w:r w:rsidRPr="006868F5">
              <w:rPr>
                <w:rFonts w:eastAsia="SimSun"/>
                <w:b/>
                <w:sz w:val="18"/>
                <w:szCs w:val="18"/>
                <w:lang w:val="es-ES" w:eastAsia="zh-CN"/>
              </w:rPr>
              <w:t xml:space="preserve">de </w:t>
            </w:r>
            <w:r w:rsidRPr="005A4606">
              <w:rPr>
                <w:rFonts w:eastAsia="SimSun"/>
                <w:b/>
                <w:sz w:val="18"/>
                <w:szCs w:val="18"/>
                <w:lang w:val="es-ES" w:eastAsia="zh-CN"/>
              </w:rPr>
              <w:t>prednison</w:t>
            </w:r>
            <w:r>
              <w:rPr>
                <w:rFonts w:eastAsia="SimSun"/>
                <w:b/>
                <w:sz w:val="18"/>
                <w:szCs w:val="18"/>
                <w:lang w:val="es-ES" w:eastAsia="zh-CN"/>
              </w:rPr>
              <w:t>a</w:t>
            </w:r>
          </w:p>
          <w:p w14:paraId="48347318" w14:textId="77777777" w:rsidR="0079644F" w:rsidRPr="006616E4" w:rsidRDefault="0079644F" w:rsidP="00556927">
            <w:pPr>
              <w:spacing w:before="50" w:after="50" w:line="240" w:lineRule="exact"/>
              <w:jc w:val="center"/>
              <w:rPr>
                <w:rFonts w:eastAsia="SimSun"/>
                <w:b/>
                <w:sz w:val="18"/>
                <w:szCs w:val="18"/>
                <w:lang w:val="es-ES" w:eastAsia="zh-CN"/>
              </w:rPr>
            </w:pPr>
          </w:p>
          <w:p w14:paraId="1F304B3E" w14:textId="0165E4B5" w:rsidR="0079644F" w:rsidRPr="009030C1" w:rsidRDefault="0079644F" w:rsidP="00556927">
            <w:pPr>
              <w:spacing w:before="50" w:after="50" w:line="240" w:lineRule="exact"/>
              <w:jc w:val="center"/>
              <w:rPr>
                <w:rFonts w:eastAsia="SimSun"/>
                <w:b/>
                <w:sz w:val="18"/>
                <w:szCs w:val="18"/>
                <w:lang w:val="en-GB" w:eastAsia="zh-CN"/>
              </w:rPr>
            </w:pPr>
            <w:del w:id="1036" w:author="AUTHOR">
              <w:r w:rsidRPr="009030C1" w:rsidDel="000228E7">
                <w:rPr>
                  <w:rFonts w:eastAsia="SimSun"/>
                  <w:b/>
                  <w:sz w:val="18"/>
                  <w:szCs w:val="18"/>
                  <w:lang w:val="en-GB" w:eastAsia="zh-CN"/>
                </w:rPr>
                <w:delText>N</w:delText>
              </w:r>
            </w:del>
            <w:ins w:id="1037" w:author="AUTHOR">
              <w:r w:rsidR="000228E7">
                <w:rPr>
                  <w:rFonts w:eastAsia="SimSun"/>
                  <w:b/>
                  <w:sz w:val="18"/>
                  <w:szCs w:val="18"/>
                  <w:lang w:val="en-GB" w:eastAsia="zh-CN"/>
                </w:rPr>
                <w:t>n</w:t>
              </w:r>
            </w:ins>
            <w:r w:rsidRPr="009030C1">
              <w:rPr>
                <w:rFonts w:eastAsia="SimSun"/>
                <w:b/>
                <w:sz w:val="18"/>
                <w:szCs w:val="18"/>
                <w:lang w:val="en-GB" w:eastAsia="zh-CN"/>
              </w:rPr>
              <w:t>=50</w:t>
            </w: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tcPr>
          <w:p w14:paraId="52CAEF59" w14:textId="122F888A" w:rsidR="0079644F" w:rsidRPr="006868F5" w:rsidRDefault="0079644F" w:rsidP="00556927">
            <w:pPr>
              <w:spacing w:before="50" w:after="50" w:line="240" w:lineRule="exact"/>
              <w:jc w:val="center"/>
              <w:rPr>
                <w:rFonts w:eastAsia="SimSun"/>
                <w:b/>
                <w:sz w:val="18"/>
                <w:szCs w:val="18"/>
                <w:lang w:val="es-ES" w:eastAsia="zh-CN"/>
              </w:rPr>
            </w:pPr>
            <w:r w:rsidRPr="006868F5">
              <w:rPr>
                <w:rFonts w:eastAsia="SimSun"/>
                <w:b/>
                <w:sz w:val="18"/>
                <w:szCs w:val="18"/>
                <w:lang w:val="es-ES" w:eastAsia="zh-CN"/>
              </w:rPr>
              <w:t>Placebo + 52</w:t>
            </w:r>
            <w:r w:rsidR="003532C2" w:rsidRPr="00F30AB8">
              <w:rPr>
                <w:rFonts w:eastAsia="SimSun"/>
                <w:b/>
                <w:sz w:val="18"/>
                <w:szCs w:val="18"/>
                <w:lang w:val="es-ES" w:eastAsia="zh-CN"/>
              </w:rPr>
              <w:t> </w:t>
            </w:r>
            <w:r>
              <w:rPr>
                <w:rFonts w:eastAsia="SimSun"/>
                <w:b/>
                <w:sz w:val="18"/>
                <w:szCs w:val="18"/>
                <w:lang w:val="es-ES" w:eastAsia="zh-CN"/>
              </w:rPr>
              <w:t>s</w:t>
            </w:r>
            <w:r w:rsidRPr="006868F5">
              <w:rPr>
                <w:rFonts w:eastAsia="SimSun"/>
                <w:b/>
                <w:sz w:val="18"/>
                <w:szCs w:val="18"/>
                <w:lang w:val="es-ES" w:eastAsia="zh-CN"/>
              </w:rPr>
              <w:t>emanas de reducción gradual de prednisona</w:t>
            </w:r>
          </w:p>
          <w:p w14:paraId="4E4D033F" w14:textId="626E049C" w:rsidR="0079644F" w:rsidRPr="009030C1" w:rsidRDefault="0079644F" w:rsidP="00556927">
            <w:pPr>
              <w:spacing w:before="50" w:after="50" w:line="240" w:lineRule="exact"/>
              <w:jc w:val="center"/>
              <w:rPr>
                <w:rFonts w:eastAsia="SimSun"/>
                <w:b/>
                <w:sz w:val="18"/>
                <w:szCs w:val="18"/>
                <w:lang w:val="en-GB" w:eastAsia="zh-CN"/>
              </w:rPr>
            </w:pPr>
            <w:del w:id="1038" w:author="AUTHOR">
              <w:r w:rsidRPr="009030C1" w:rsidDel="000228E7">
                <w:rPr>
                  <w:rFonts w:eastAsia="SimSun"/>
                  <w:b/>
                  <w:sz w:val="18"/>
                  <w:szCs w:val="18"/>
                  <w:lang w:val="en-GB" w:eastAsia="zh-CN"/>
                </w:rPr>
                <w:delText>N</w:delText>
              </w:r>
            </w:del>
            <w:ins w:id="1039" w:author="AUTHOR">
              <w:r w:rsidR="000228E7">
                <w:rPr>
                  <w:rFonts w:eastAsia="SimSun"/>
                  <w:b/>
                  <w:sz w:val="18"/>
                  <w:szCs w:val="18"/>
                  <w:lang w:val="en-GB" w:eastAsia="zh-CN"/>
                </w:rPr>
                <w:t>n</w:t>
              </w:r>
            </w:ins>
            <w:r w:rsidRPr="009030C1">
              <w:rPr>
                <w:rFonts w:eastAsia="SimSun"/>
                <w:b/>
                <w:sz w:val="18"/>
                <w:szCs w:val="18"/>
                <w:lang w:val="en-GB" w:eastAsia="zh-CN"/>
              </w:rPr>
              <w:t>=51</w:t>
            </w:r>
          </w:p>
        </w:tc>
        <w:tc>
          <w:tcPr>
            <w:tcW w:w="1842" w:type="dxa"/>
            <w:tcBorders>
              <w:top w:val="single" w:sz="8" w:space="0" w:color="auto"/>
              <w:left w:val="nil"/>
              <w:bottom w:val="single" w:sz="8" w:space="0" w:color="auto"/>
              <w:right w:val="nil"/>
            </w:tcBorders>
          </w:tcPr>
          <w:p w14:paraId="7B826086" w14:textId="442D1745" w:rsidR="0079644F" w:rsidRPr="006868F5" w:rsidRDefault="00317E68" w:rsidP="00556927">
            <w:pPr>
              <w:spacing w:before="50" w:after="50" w:line="240" w:lineRule="exact"/>
              <w:jc w:val="center"/>
              <w:rPr>
                <w:rFonts w:eastAsia="SimSun"/>
                <w:b/>
                <w:sz w:val="18"/>
                <w:szCs w:val="18"/>
                <w:lang w:val="es-ES" w:eastAsia="zh-CN"/>
              </w:rPr>
            </w:pPr>
            <w:r>
              <w:rPr>
                <w:rFonts w:eastAsia="SimSun"/>
                <w:b/>
                <w:sz w:val="18"/>
                <w:szCs w:val="18"/>
                <w:lang w:val="es-ES" w:eastAsia="zh-CN"/>
              </w:rPr>
              <w:t>Tocilizumab</w:t>
            </w:r>
            <w:r w:rsidR="0079644F" w:rsidRPr="006868F5">
              <w:rPr>
                <w:rFonts w:eastAsia="SimSun"/>
                <w:b/>
                <w:sz w:val="18"/>
                <w:szCs w:val="18"/>
                <w:lang w:val="es-ES" w:eastAsia="zh-CN"/>
              </w:rPr>
              <w:t xml:space="preserve"> 162</w:t>
            </w:r>
            <w:r w:rsidR="003532C2" w:rsidRPr="00F30AB8">
              <w:rPr>
                <w:rFonts w:eastAsia="SimSun"/>
                <w:b/>
                <w:sz w:val="18"/>
                <w:szCs w:val="18"/>
                <w:lang w:val="es-ES" w:eastAsia="zh-CN"/>
              </w:rPr>
              <w:t> </w:t>
            </w:r>
            <w:r w:rsidR="0079644F" w:rsidRPr="006868F5">
              <w:rPr>
                <w:rFonts w:eastAsia="SimSun"/>
                <w:b/>
                <w:sz w:val="18"/>
                <w:szCs w:val="18"/>
                <w:lang w:val="es-ES" w:eastAsia="zh-CN"/>
              </w:rPr>
              <w:t>mg SC semanal + 26</w:t>
            </w:r>
            <w:r w:rsidR="003532C2" w:rsidRPr="00F30AB8">
              <w:rPr>
                <w:rFonts w:eastAsia="SimSun"/>
                <w:b/>
                <w:sz w:val="18"/>
                <w:szCs w:val="18"/>
                <w:lang w:val="es-ES" w:eastAsia="zh-CN"/>
              </w:rPr>
              <w:t> </w:t>
            </w:r>
            <w:r w:rsidR="0079644F" w:rsidRPr="006868F5">
              <w:rPr>
                <w:rFonts w:eastAsia="SimSun"/>
                <w:b/>
                <w:sz w:val="18"/>
                <w:szCs w:val="18"/>
                <w:lang w:val="es-ES" w:eastAsia="zh-CN"/>
              </w:rPr>
              <w:t>semanas de reducci</w:t>
            </w:r>
            <w:r w:rsidR="0079644F">
              <w:rPr>
                <w:rFonts w:eastAsia="SimSun"/>
                <w:b/>
                <w:sz w:val="18"/>
                <w:szCs w:val="18"/>
                <w:lang w:val="es-ES" w:eastAsia="zh-CN"/>
              </w:rPr>
              <w:t>ón gradual de</w:t>
            </w:r>
            <w:r w:rsidR="0079644F" w:rsidRPr="005A4606">
              <w:rPr>
                <w:rFonts w:eastAsia="SimSun"/>
                <w:b/>
                <w:sz w:val="18"/>
                <w:szCs w:val="18"/>
                <w:lang w:val="es-ES" w:eastAsia="zh-CN"/>
              </w:rPr>
              <w:t xml:space="preserve"> prednison</w:t>
            </w:r>
            <w:r w:rsidR="0079644F">
              <w:rPr>
                <w:rFonts w:eastAsia="SimSun"/>
                <w:b/>
                <w:sz w:val="18"/>
                <w:szCs w:val="18"/>
                <w:lang w:val="es-ES" w:eastAsia="zh-CN"/>
              </w:rPr>
              <w:t>a</w:t>
            </w:r>
          </w:p>
          <w:p w14:paraId="53BDF04F" w14:textId="77777777" w:rsidR="0079644F" w:rsidRPr="006616E4" w:rsidRDefault="0079644F" w:rsidP="00556927">
            <w:pPr>
              <w:spacing w:before="50" w:after="50" w:line="240" w:lineRule="exact"/>
              <w:jc w:val="center"/>
              <w:rPr>
                <w:rFonts w:eastAsia="SimSun"/>
                <w:b/>
                <w:sz w:val="18"/>
                <w:szCs w:val="18"/>
                <w:lang w:val="es-ES" w:eastAsia="zh-CN"/>
              </w:rPr>
            </w:pPr>
          </w:p>
          <w:p w14:paraId="38B8FBD0" w14:textId="065427D9" w:rsidR="0079644F" w:rsidRPr="00F30AB8" w:rsidRDefault="0079644F" w:rsidP="00556927">
            <w:pPr>
              <w:spacing w:before="50" w:after="50" w:line="240" w:lineRule="exact"/>
              <w:jc w:val="center"/>
              <w:rPr>
                <w:rFonts w:eastAsia="SimSun"/>
                <w:b/>
                <w:sz w:val="18"/>
                <w:szCs w:val="18"/>
                <w:lang w:val="es-ES" w:eastAsia="zh-CN"/>
              </w:rPr>
            </w:pPr>
            <w:del w:id="1040" w:author="AUTHOR">
              <w:r w:rsidRPr="00F30AB8" w:rsidDel="000228E7">
                <w:rPr>
                  <w:rFonts w:eastAsia="SimSun"/>
                  <w:b/>
                  <w:sz w:val="18"/>
                  <w:szCs w:val="18"/>
                  <w:lang w:val="es-ES" w:eastAsia="zh-CN"/>
                </w:rPr>
                <w:delText>N</w:delText>
              </w:r>
            </w:del>
            <w:ins w:id="1041" w:author="AUTHOR">
              <w:r w:rsidR="000228E7">
                <w:rPr>
                  <w:rFonts w:eastAsia="SimSun"/>
                  <w:b/>
                  <w:sz w:val="18"/>
                  <w:szCs w:val="18"/>
                  <w:lang w:val="es-ES" w:eastAsia="zh-CN"/>
                </w:rPr>
                <w:t>n</w:t>
              </w:r>
            </w:ins>
            <w:r w:rsidRPr="00F30AB8">
              <w:rPr>
                <w:rFonts w:eastAsia="SimSun"/>
                <w:b/>
                <w:sz w:val="18"/>
                <w:szCs w:val="18"/>
                <w:lang w:val="es-ES" w:eastAsia="zh-CN"/>
              </w:rPr>
              <w:t>=100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2BA130BB" w14:textId="712E8311" w:rsidR="0079644F" w:rsidRPr="006868F5" w:rsidRDefault="00317E68" w:rsidP="00556927">
            <w:pPr>
              <w:spacing w:before="50" w:after="50" w:line="240" w:lineRule="exact"/>
              <w:jc w:val="center"/>
              <w:rPr>
                <w:rFonts w:eastAsia="SimSun"/>
                <w:b/>
                <w:sz w:val="18"/>
                <w:szCs w:val="18"/>
                <w:lang w:val="es-ES" w:eastAsia="zh-CN"/>
              </w:rPr>
            </w:pPr>
            <w:r>
              <w:rPr>
                <w:rFonts w:eastAsia="SimSun"/>
                <w:b/>
                <w:sz w:val="18"/>
                <w:szCs w:val="18"/>
                <w:lang w:val="es-ES" w:eastAsia="zh-CN"/>
              </w:rPr>
              <w:t>Tocilizumab</w:t>
            </w:r>
            <w:r w:rsidR="0079644F" w:rsidRPr="006868F5">
              <w:rPr>
                <w:rFonts w:eastAsia="SimSun"/>
                <w:b/>
                <w:sz w:val="18"/>
                <w:szCs w:val="18"/>
                <w:lang w:val="es-ES" w:eastAsia="zh-CN"/>
              </w:rPr>
              <w:t xml:space="preserve"> 162</w:t>
            </w:r>
            <w:r w:rsidR="003532C2" w:rsidRPr="00F30AB8">
              <w:rPr>
                <w:rFonts w:eastAsia="SimSun"/>
                <w:b/>
                <w:sz w:val="18"/>
                <w:szCs w:val="18"/>
                <w:lang w:val="es-ES" w:eastAsia="zh-CN"/>
              </w:rPr>
              <w:t> </w:t>
            </w:r>
            <w:r w:rsidR="0079644F" w:rsidRPr="006868F5">
              <w:rPr>
                <w:rFonts w:eastAsia="SimSun"/>
                <w:b/>
                <w:sz w:val="18"/>
                <w:szCs w:val="18"/>
                <w:lang w:val="es-ES" w:eastAsia="zh-CN"/>
              </w:rPr>
              <w:t xml:space="preserve">mg SC </w:t>
            </w:r>
            <w:del w:id="1042" w:author="AUTHOR">
              <w:r w:rsidR="0079644F" w:rsidDel="009F26E0">
                <w:rPr>
                  <w:rFonts w:eastAsia="SimSun"/>
                  <w:b/>
                  <w:sz w:val="18"/>
                  <w:szCs w:val="18"/>
                  <w:lang w:val="es-ES" w:eastAsia="zh-CN"/>
                </w:rPr>
                <w:delText>bi</w:delText>
              </w:r>
              <w:r w:rsidR="0079644F" w:rsidRPr="00BE3FC1" w:rsidDel="009F26E0">
                <w:rPr>
                  <w:rFonts w:eastAsia="SimSun"/>
                  <w:b/>
                  <w:sz w:val="18"/>
                  <w:szCs w:val="18"/>
                  <w:lang w:val="es-ES" w:eastAsia="zh-CN"/>
                </w:rPr>
                <w:delText>semana</w:delText>
              </w:r>
              <w:r w:rsidR="0079644F" w:rsidDel="009F26E0">
                <w:rPr>
                  <w:rFonts w:eastAsia="SimSun"/>
                  <w:b/>
                  <w:sz w:val="18"/>
                  <w:szCs w:val="18"/>
                  <w:lang w:val="es-ES" w:eastAsia="zh-CN"/>
                </w:rPr>
                <w:delText>l</w:delText>
              </w:r>
            </w:del>
            <w:ins w:id="1043" w:author="AUTHOR">
              <w:r w:rsidR="009F26E0">
                <w:rPr>
                  <w:rFonts w:eastAsia="SimSun"/>
                  <w:b/>
                  <w:sz w:val="18"/>
                  <w:szCs w:val="18"/>
                  <w:lang w:val="es-ES" w:eastAsia="zh-CN"/>
                </w:rPr>
                <w:t>cada dos semanas</w:t>
              </w:r>
            </w:ins>
            <w:r w:rsidR="0079644F" w:rsidRPr="006868F5">
              <w:rPr>
                <w:rFonts w:eastAsia="SimSun"/>
                <w:b/>
                <w:sz w:val="18"/>
                <w:szCs w:val="18"/>
                <w:lang w:val="es-ES" w:eastAsia="zh-CN"/>
              </w:rPr>
              <w:t xml:space="preserve"> + 26</w:t>
            </w:r>
            <w:r w:rsidR="003532C2" w:rsidRPr="00F30AB8">
              <w:rPr>
                <w:rFonts w:eastAsia="SimSun"/>
                <w:b/>
                <w:sz w:val="18"/>
                <w:szCs w:val="18"/>
                <w:lang w:val="es-ES" w:eastAsia="zh-CN"/>
              </w:rPr>
              <w:t> </w:t>
            </w:r>
            <w:r w:rsidR="0079644F" w:rsidRPr="006868F5">
              <w:rPr>
                <w:rFonts w:eastAsia="SimSun"/>
                <w:b/>
                <w:sz w:val="18"/>
                <w:szCs w:val="18"/>
                <w:lang w:val="es-ES" w:eastAsia="zh-CN"/>
              </w:rPr>
              <w:t>semanas de reducci</w:t>
            </w:r>
            <w:r w:rsidR="0079644F">
              <w:rPr>
                <w:rFonts w:eastAsia="SimSun"/>
                <w:b/>
                <w:sz w:val="18"/>
                <w:szCs w:val="18"/>
                <w:lang w:val="es-ES" w:eastAsia="zh-CN"/>
              </w:rPr>
              <w:t xml:space="preserve">ón gradual de </w:t>
            </w:r>
            <w:r w:rsidR="0079644F" w:rsidRPr="005A4606">
              <w:rPr>
                <w:rFonts w:eastAsia="SimSun"/>
                <w:b/>
                <w:sz w:val="18"/>
                <w:szCs w:val="18"/>
                <w:lang w:val="es-ES" w:eastAsia="zh-CN"/>
              </w:rPr>
              <w:t>prednison</w:t>
            </w:r>
            <w:r w:rsidR="0079644F">
              <w:rPr>
                <w:rFonts w:eastAsia="SimSun"/>
                <w:b/>
                <w:sz w:val="18"/>
                <w:szCs w:val="18"/>
                <w:lang w:val="es-ES" w:eastAsia="zh-CN"/>
              </w:rPr>
              <w:t>a</w:t>
            </w:r>
            <w:r w:rsidR="0079644F" w:rsidRPr="006868F5">
              <w:rPr>
                <w:rFonts w:eastAsia="SimSun"/>
                <w:b/>
                <w:sz w:val="18"/>
                <w:szCs w:val="18"/>
                <w:lang w:val="es-ES" w:eastAsia="zh-CN"/>
              </w:rPr>
              <w:t xml:space="preserve"> </w:t>
            </w:r>
          </w:p>
          <w:p w14:paraId="61D74B6D" w14:textId="3F599AD9" w:rsidR="0079644F" w:rsidRPr="006868F5" w:rsidRDefault="0079644F" w:rsidP="00556927">
            <w:pPr>
              <w:spacing w:before="50" w:after="50" w:line="240" w:lineRule="exact"/>
              <w:jc w:val="center"/>
              <w:rPr>
                <w:rFonts w:eastAsia="SimSun"/>
                <w:b/>
                <w:sz w:val="18"/>
                <w:szCs w:val="18"/>
                <w:lang w:val="es-ES" w:eastAsia="zh-CN"/>
              </w:rPr>
            </w:pPr>
            <w:del w:id="1044" w:author="AUTHOR">
              <w:r w:rsidRPr="006868F5" w:rsidDel="000228E7">
                <w:rPr>
                  <w:rFonts w:eastAsia="SimSun"/>
                  <w:b/>
                  <w:sz w:val="18"/>
                  <w:szCs w:val="18"/>
                  <w:lang w:val="es-ES" w:eastAsia="zh-CN"/>
                </w:rPr>
                <w:delText>N</w:delText>
              </w:r>
            </w:del>
            <w:ins w:id="1045" w:author="AUTHOR">
              <w:r w:rsidR="000228E7">
                <w:rPr>
                  <w:rFonts w:eastAsia="SimSun"/>
                  <w:b/>
                  <w:sz w:val="18"/>
                  <w:szCs w:val="18"/>
                  <w:lang w:val="es-ES" w:eastAsia="zh-CN"/>
                </w:rPr>
                <w:t>n</w:t>
              </w:r>
            </w:ins>
            <w:r w:rsidRPr="006868F5">
              <w:rPr>
                <w:rFonts w:eastAsia="SimSun"/>
                <w:b/>
                <w:sz w:val="18"/>
                <w:szCs w:val="18"/>
                <w:lang w:val="es-ES" w:eastAsia="zh-CN"/>
              </w:rPr>
              <w:t>=49</w:t>
            </w:r>
          </w:p>
        </w:tc>
      </w:tr>
      <w:tr w:rsidR="0079644F" w:rsidRPr="009030C1" w14:paraId="3E9C4EB5" w14:textId="77777777" w:rsidTr="00FF2AFA">
        <w:trPr>
          <w:cantSplit/>
        </w:trPr>
        <w:tc>
          <w:tcPr>
            <w:tcW w:w="10346" w:type="dxa"/>
            <w:gridSpan w:val="9"/>
            <w:tcBorders>
              <w:left w:val="single" w:sz="4" w:space="0" w:color="auto"/>
              <w:right w:val="single" w:sz="8" w:space="0" w:color="auto"/>
            </w:tcBorders>
          </w:tcPr>
          <w:p w14:paraId="048D5FAE" w14:textId="1A732CF0" w:rsidR="0079644F" w:rsidRPr="009030C1" w:rsidRDefault="0079644F" w:rsidP="00556927">
            <w:pPr>
              <w:spacing w:before="50" w:after="50" w:line="240" w:lineRule="exact"/>
              <w:rPr>
                <w:rFonts w:eastAsia="SimSun"/>
                <w:b/>
                <w:sz w:val="18"/>
                <w:szCs w:val="18"/>
                <w:lang w:val="en-GB" w:eastAsia="zh-CN"/>
              </w:rPr>
            </w:pPr>
            <w:r w:rsidRPr="006868F5">
              <w:rPr>
                <w:rFonts w:eastAsia="SimSun"/>
                <w:b/>
                <w:sz w:val="18"/>
                <w:szCs w:val="18"/>
                <w:lang w:val="es-ES" w:eastAsia="zh-CN"/>
              </w:rPr>
              <w:t xml:space="preserve"> </w:t>
            </w:r>
            <w:del w:id="1046" w:author="AUTHOR">
              <w:r w:rsidDel="00562CA7">
                <w:rPr>
                  <w:rFonts w:eastAsia="SimSun"/>
                  <w:b/>
                  <w:sz w:val="18"/>
                  <w:szCs w:val="18"/>
                  <w:lang w:val="es-ES" w:eastAsia="zh-CN"/>
                </w:rPr>
                <w:delText xml:space="preserve">Objetivo </w:delText>
              </w:r>
            </w:del>
            <w:ins w:id="1047" w:author="AUTHOR">
              <w:r w:rsidR="00562CA7">
                <w:rPr>
                  <w:rFonts w:eastAsia="SimSun"/>
                  <w:b/>
                  <w:sz w:val="18"/>
                  <w:szCs w:val="18"/>
                  <w:lang w:val="es-ES" w:eastAsia="zh-CN"/>
                </w:rPr>
                <w:t>Variable principal</w:t>
              </w:r>
            </w:ins>
            <w:del w:id="1048" w:author="AUTHOR">
              <w:r w:rsidDel="00562CA7">
                <w:rPr>
                  <w:rFonts w:eastAsia="SimSun"/>
                  <w:b/>
                  <w:sz w:val="18"/>
                  <w:szCs w:val="18"/>
                  <w:lang w:val="es-ES" w:eastAsia="zh-CN"/>
                </w:rPr>
                <w:delText>primario</w:delText>
              </w:r>
            </w:del>
          </w:p>
        </w:tc>
      </w:tr>
      <w:tr w:rsidR="0079644F" w:rsidRPr="00541248" w14:paraId="69AAA51B" w14:textId="77777777" w:rsidTr="00FF2AFA">
        <w:trPr>
          <w:cantSplit/>
        </w:trPr>
        <w:tc>
          <w:tcPr>
            <w:tcW w:w="6662" w:type="dxa"/>
            <w:gridSpan w:val="7"/>
            <w:tcBorders>
              <w:top w:val="single" w:sz="4" w:space="0" w:color="auto"/>
              <w:left w:val="single" w:sz="4" w:space="0" w:color="auto"/>
            </w:tcBorders>
            <w:tcMar>
              <w:top w:w="0" w:type="dxa"/>
              <w:left w:w="57" w:type="dxa"/>
              <w:bottom w:w="0" w:type="dxa"/>
              <w:right w:w="57" w:type="dxa"/>
            </w:tcMar>
          </w:tcPr>
          <w:p w14:paraId="0D844DF3" w14:textId="77777777" w:rsidR="0079644F" w:rsidRPr="006868F5" w:rsidRDefault="0079644F" w:rsidP="00556927">
            <w:pPr>
              <w:spacing w:before="50" w:after="50" w:line="240" w:lineRule="exact"/>
              <w:rPr>
                <w:rFonts w:eastAsia="SimSun"/>
                <w:sz w:val="18"/>
                <w:szCs w:val="18"/>
                <w:lang w:val="es-ES" w:eastAsia="zh-CN"/>
              </w:rPr>
            </w:pPr>
            <w:r>
              <w:rPr>
                <w:rFonts w:eastAsia="SimSun"/>
                <w:sz w:val="18"/>
                <w:szCs w:val="18"/>
                <w:lang w:val="es-ES" w:eastAsia="zh-CN"/>
              </w:rPr>
              <w:t>****</w:t>
            </w:r>
            <w:r w:rsidRPr="006868F5">
              <w:rPr>
                <w:rFonts w:eastAsia="SimSun"/>
                <w:sz w:val="18"/>
                <w:szCs w:val="18"/>
                <w:lang w:val="es-ES" w:eastAsia="zh-CN"/>
              </w:rPr>
              <w:t xml:space="preserve">Remisión </w:t>
            </w:r>
            <w:r>
              <w:rPr>
                <w:rFonts w:eastAsia="SimSun"/>
                <w:sz w:val="18"/>
                <w:szCs w:val="18"/>
                <w:lang w:val="es-ES" w:eastAsia="zh-CN"/>
              </w:rPr>
              <w:t xml:space="preserve">mantenida </w:t>
            </w:r>
            <w:r w:rsidRPr="006868F5">
              <w:rPr>
                <w:rFonts w:eastAsia="SimSun"/>
                <w:sz w:val="18"/>
                <w:szCs w:val="18"/>
                <w:lang w:val="es-ES" w:eastAsia="zh-CN"/>
              </w:rPr>
              <w:t>(</w:t>
            </w:r>
            <w:r>
              <w:rPr>
                <w:rFonts w:eastAsia="SimSun"/>
                <w:sz w:val="18"/>
                <w:szCs w:val="18"/>
                <w:lang w:val="es-ES" w:eastAsia="zh-CN"/>
              </w:rPr>
              <w:t xml:space="preserve">grupos </w:t>
            </w:r>
            <w:r w:rsidRPr="006868F5">
              <w:rPr>
                <w:rFonts w:eastAsia="SimSun"/>
                <w:sz w:val="18"/>
                <w:szCs w:val="18"/>
                <w:lang w:val="es-ES" w:eastAsia="zh-CN"/>
              </w:rPr>
              <w:t xml:space="preserve">Tocilizumab vs Placebo+26)                       </w:t>
            </w:r>
          </w:p>
        </w:tc>
        <w:tc>
          <w:tcPr>
            <w:tcW w:w="1842" w:type="dxa"/>
            <w:tcBorders>
              <w:top w:val="single" w:sz="4" w:space="0" w:color="auto"/>
              <w:left w:val="nil"/>
              <w:right w:val="nil"/>
            </w:tcBorders>
          </w:tcPr>
          <w:p w14:paraId="27AF0EBD" w14:textId="77777777" w:rsidR="0079644F" w:rsidRPr="006868F5" w:rsidRDefault="0079644F" w:rsidP="00556927">
            <w:pPr>
              <w:spacing w:before="50" w:after="50" w:line="240" w:lineRule="exact"/>
              <w:jc w:val="center"/>
              <w:rPr>
                <w:rFonts w:eastAsia="SimSun"/>
                <w:strike/>
                <w:sz w:val="18"/>
                <w:szCs w:val="18"/>
                <w:lang w:val="es-E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01D529A1" w14:textId="77777777" w:rsidR="0079644F" w:rsidRPr="006868F5" w:rsidRDefault="0079644F" w:rsidP="00556927">
            <w:pPr>
              <w:spacing w:before="50" w:after="50" w:line="240" w:lineRule="exact"/>
              <w:jc w:val="center"/>
              <w:rPr>
                <w:rFonts w:eastAsia="SimSun"/>
                <w:strike/>
                <w:sz w:val="18"/>
                <w:szCs w:val="18"/>
                <w:lang w:val="es-ES" w:eastAsia="zh-CN"/>
              </w:rPr>
            </w:pPr>
          </w:p>
        </w:tc>
      </w:tr>
      <w:tr w:rsidR="0079644F" w:rsidRPr="009030C1" w14:paraId="2A8225B8" w14:textId="77777777" w:rsidTr="00FF2AFA">
        <w:trPr>
          <w:cantSplit/>
        </w:trPr>
        <w:tc>
          <w:tcPr>
            <w:tcW w:w="4252" w:type="dxa"/>
            <w:gridSpan w:val="3"/>
            <w:tcBorders>
              <w:left w:val="single" w:sz="4" w:space="0" w:color="auto"/>
            </w:tcBorders>
            <w:tcMar>
              <w:top w:w="0" w:type="dxa"/>
              <w:left w:w="57" w:type="dxa"/>
              <w:bottom w:w="0" w:type="dxa"/>
              <w:right w:w="57" w:type="dxa"/>
            </w:tcMar>
          </w:tcPr>
          <w:p w14:paraId="528CEFAD" w14:textId="232EFB3A" w:rsidR="0079644F" w:rsidRPr="006868F5" w:rsidRDefault="0079644F" w:rsidP="00556927">
            <w:pPr>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Respondedores en la </w:t>
            </w:r>
            <w:r w:rsidR="003532C2">
              <w:rPr>
                <w:rFonts w:eastAsia="SimSun"/>
                <w:sz w:val="18"/>
                <w:szCs w:val="18"/>
                <w:lang w:val="es-ES" w:eastAsia="zh-CN"/>
              </w:rPr>
              <w:t>s</w:t>
            </w:r>
            <w:r w:rsidR="003532C2" w:rsidRPr="006868F5">
              <w:rPr>
                <w:rFonts w:eastAsia="SimSun"/>
                <w:sz w:val="18"/>
                <w:szCs w:val="18"/>
                <w:lang w:val="es-ES" w:eastAsia="zh-CN"/>
              </w:rPr>
              <w:t>emana</w:t>
            </w:r>
            <w:r w:rsidR="003532C2" w:rsidRPr="00F30AB8">
              <w:rPr>
                <w:rFonts w:eastAsia="SimSun"/>
                <w:b/>
                <w:sz w:val="18"/>
                <w:szCs w:val="18"/>
                <w:lang w:val="es-ES" w:eastAsia="zh-CN"/>
              </w:rPr>
              <w:t> </w:t>
            </w:r>
            <w:r w:rsidRPr="006868F5">
              <w:rPr>
                <w:rFonts w:eastAsia="SimSun"/>
                <w:sz w:val="18"/>
                <w:szCs w:val="18"/>
                <w:lang w:val="es-ES" w:eastAsia="zh-CN"/>
              </w:rPr>
              <w:t>52, n (%)</w:t>
            </w:r>
          </w:p>
        </w:tc>
        <w:tc>
          <w:tcPr>
            <w:tcW w:w="992" w:type="dxa"/>
            <w:gridSpan w:val="2"/>
            <w:tcMar>
              <w:top w:w="0" w:type="dxa"/>
              <w:left w:w="57" w:type="dxa"/>
              <w:bottom w:w="0" w:type="dxa"/>
              <w:right w:w="57" w:type="dxa"/>
            </w:tcMar>
          </w:tcPr>
          <w:p w14:paraId="03D39BCA"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7 (14</w:t>
            </w:r>
            <w:r>
              <w:rPr>
                <w:rFonts w:eastAsia="SimSun"/>
                <w:sz w:val="18"/>
                <w:szCs w:val="18"/>
                <w:lang w:val="en-GB" w:eastAsia="zh-CN"/>
              </w:rPr>
              <w:t xml:space="preserve"> </w:t>
            </w:r>
            <w:r w:rsidRPr="009030C1">
              <w:rPr>
                <w:rFonts w:eastAsia="SimSun"/>
                <w:sz w:val="18"/>
                <w:szCs w:val="18"/>
                <w:lang w:val="en-GB" w:eastAsia="zh-CN"/>
              </w:rPr>
              <w:t>%)</w:t>
            </w:r>
          </w:p>
        </w:tc>
        <w:tc>
          <w:tcPr>
            <w:tcW w:w="1418" w:type="dxa"/>
            <w:gridSpan w:val="2"/>
            <w:tcMar>
              <w:top w:w="0" w:type="dxa"/>
              <w:left w:w="57" w:type="dxa"/>
              <w:bottom w:w="0" w:type="dxa"/>
              <w:right w:w="57" w:type="dxa"/>
            </w:tcMar>
          </w:tcPr>
          <w:p w14:paraId="680C42FC"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9 (17</w:t>
            </w:r>
            <w:proofErr w:type="gramStart"/>
            <w:r>
              <w:rPr>
                <w:rFonts w:eastAsia="SimSun"/>
                <w:sz w:val="18"/>
                <w:szCs w:val="18"/>
                <w:lang w:val="en-GB" w:eastAsia="zh-CN"/>
              </w:rPr>
              <w:t>,</w:t>
            </w:r>
            <w:r w:rsidRPr="009030C1">
              <w:rPr>
                <w:rFonts w:eastAsia="SimSun"/>
                <w:sz w:val="18"/>
                <w:szCs w:val="18"/>
                <w:lang w:val="en-GB" w:eastAsia="zh-CN"/>
              </w:rPr>
              <w:t>6</w:t>
            </w:r>
            <w:proofErr w:type="gramEnd"/>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right w:val="nil"/>
            </w:tcBorders>
          </w:tcPr>
          <w:p w14:paraId="3972BD00"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56 (56</w:t>
            </w:r>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left w:val="nil"/>
              <w:right w:val="single" w:sz="8" w:space="0" w:color="auto"/>
            </w:tcBorders>
            <w:tcMar>
              <w:top w:w="0" w:type="dxa"/>
              <w:left w:w="57" w:type="dxa"/>
              <w:bottom w:w="0" w:type="dxa"/>
              <w:right w:w="57" w:type="dxa"/>
            </w:tcMar>
          </w:tcPr>
          <w:p w14:paraId="01C981B8"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26 (53</w:t>
            </w:r>
            <w:proofErr w:type="gramStart"/>
            <w:r>
              <w:rPr>
                <w:rFonts w:eastAsia="SimSun"/>
                <w:sz w:val="18"/>
                <w:szCs w:val="18"/>
                <w:lang w:val="en-GB" w:eastAsia="zh-CN"/>
              </w:rPr>
              <w:t>,</w:t>
            </w:r>
            <w:r w:rsidRPr="009030C1">
              <w:rPr>
                <w:rFonts w:eastAsia="SimSun"/>
                <w:sz w:val="18"/>
                <w:szCs w:val="18"/>
                <w:lang w:val="en-GB" w:eastAsia="zh-CN"/>
              </w:rPr>
              <w:t>1</w:t>
            </w:r>
            <w:proofErr w:type="gramEnd"/>
            <w:r>
              <w:rPr>
                <w:rFonts w:eastAsia="SimSun"/>
                <w:sz w:val="18"/>
                <w:szCs w:val="18"/>
                <w:lang w:val="en-GB" w:eastAsia="zh-CN"/>
              </w:rPr>
              <w:t xml:space="preserve"> </w:t>
            </w:r>
            <w:r w:rsidRPr="009030C1">
              <w:rPr>
                <w:rFonts w:eastAsia="SimSun"/>
                <w:sz w:val="18"/>
                <w:szCs w:val="18"/>
                <w:lang w:val="en-GB" w:eastAsia="zh-CN"/>
              </w:rPr>
              <w:t>%)</w:t>
            </w:r>
          </w:p>
        </w:tc>
      </w:tr>
      <w:tr w:rsidR="0079644F" w:rsidRPr="009030C1" w14:paraId="52B153F1" w14:textId="77777777" w:rsidTr="00FF2AFA">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5DEDCE53" w14:textId="77777777" w:rsidR="0079644F" w:rsidRPr="006868F5" w:rsidRDefault="0079644F" w:rsidP="00556927">
            <w:pPr>
              <w:spacing w:before="50" w:after="50" w:line="240" w:lineRule="exact"/>
              <w:ind w:left="720"/>
              <w:rPr>
                <w:rFonts w:eastAsia="SimSun"/>
                <w:sz w:val="18"/>
                <w:szCs w:val="18"/>
                <w:lang w:val="es-ES" w:eastAsia="zh-CN"/>
              </w:rPr>
            </w:pPr>
            <w:r w:rsidRPr="006868F5">
              <w:rPr>
                <w:rFonts w:eastAsia="SimSun"/>
                <w:sz w:val="18"/>
                <w:szCs w:val="18"/>
                <w:lang w:val="es-ES" w:eastAsia="zh-CN"/>
              </w:rPr>
              <w:t>Diferencia de proporciones no ajustada</w:t>
            </w:r>
            <w:r w:rsidRPr="00042DFC">
              <w:rPr>
                <w:rFonts w:eastAsia="SimSun"/>
                <w:sz w:val="18"/>
                <w:szCs w:val="18"/>
                <w:lang w:val="es-ES" w:eastAsia="zh-CN"/>
              </w:rPr>
              <w:t>s</w:t>
            </w:r>
            <w:r w:rsidRPr="006868F5">
              <w:rPr>
                <w:rFonts w:eastAsia="SimSun"/>
                <w:sz w:val="18"/>
                <w:szCs w:val="18"/>
                <w:lang w:val="es-ES" w:eastAsia="zh-CN"/>
              </w:rPr>
              <w:t xml:space="preserve">        (IC 99,5</w:t>
            </w:r>
            <w:r>
              <w:rPr>
                <w:rFonts w:eastAsia="SimSun"/>
                <w:sz w:val="18"/>
                <w:szCs w:val="18"/>
                <w:lang w:val="es-ES" w:eastAsia="zh-CN"/>
              </w:rPr>
              <w:t xml:space="preserve"> </w:t>
            </w:r>
            <w:r w:rsidRPr="006868F5">
              <w:rPr>
                <w:rFonts w:eastAsia="SimSun"/>
                <w:sz w:val="18"/>
                <w:szCs w:val="18"/>
                <w:lang w:val="es-ES" w:eastAsia="zh-CN"/>
              </w:rPr>
              <w:t>%)</w:t>
            </w:r>
          </w:p>
        </w:tc>
        <w:tc>
          <w:tcPr>
            <w:tcW w:w="992" w:type="dxa"/>
            <w:gridSpan w:val="2"/>
            <w:tcBorders>
              <w:bottom w:val="single" w:sz="4" w:space="0" w:color="auto"/>
            </w:tcBorders>
            <w:tcMar>
              <w:top w:w="0" w:type="dxa"/>
              <w:left w:w="57" w:type="dxa"/>
              <w:bottom w:w="0" w:type="dxa"/>
              <w:right w:w="57" w:type="dxa"/>
            </w:tcMar>
          </w:tcPr>
          <w:p w14:paraId="071125C4"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418" w:type="dxa"/>
            <w:gridSpan w:val="2"/>
            <w:tcBorders>
              <w:bottom w:val="single" w:sz="4" w:space="0" w:color="auto"/>
            </w:tcBorders>
            <w:tcMar>
              <w:top w:w="0" w:type="dxa"/>
              <w:left w:w="57" w:type="dxa"/>
              <w:bottom w:w="0" w:type="dxa"/>
              <w:right w:w="57" w:type="dxa"/>
            </w:tcMar>
          </w:tcPr>
          <w:p w14:paraId="37E27AFD"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842" w:type="dxa"/>
            <w:tcBorders>
              <w:bottom w:val="single" w:sz="4" w:space="0" w:color="auto"/>
              <w:right w:val="nil"/>
            </w:tcBorders>
          </w:tcPr>
          <w:p w14:paraId="06950AE3"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42</w:t>
            </w:r>
            <w:r>
              <w:rPr>
                <w:rFonts w:eastAsia="SimSun"/>
                <w:sz w:val="18"/>
                <w:szCs w:val="18"/>
                <w:lang w:val="en-GB" w:eastAsia="zh-CN"/>
              </w:rPr>
              <w:t xml:space="preserve"> </w:t>
            </w:r>
            <w:r w:rsidRPr="009030C1">
              <w:rPr>
                <w:rFonts w:eastAsia="SimSun"/>
                <w:sz w:val="18"/>
                <w:szCs w:val="18"/>
                <w:lang w:val="en-GB" w:eastAsia="zh-CN"/>
              </w:rPr>
              <w:t>%*</w:t>
            </w:r>
          </w:p>
          <w:p w14:paraId="1ECF6B2D"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(18,00; 66,</w:t>
            </w:r>
            <w:r w:rsidRPr="009030C1">
              <w:rPr>
                <w:rFonts w:eastAsia="SimSun"/>
                <w:sz w:val="18"/>
                <w:szCs w:val="18"/>
                <w:lang w:val="en-GB" w:eastAsia="zh-CN"/>
              </w:rPr>
              <w:t>00)</w:t>
            </w:r>
          </w:p>
        </w:tc>
        <w:tc>
          <w:tcPr>
            <w:tcW w:w="1842" w:type="dxa"/>
            <w:tcBorders>
              <w:left w:val="nil"/>
              <w:bottom w:val="single" w:sz="4" w:space="0" w:color="auto"/>
              <w:right w:val="single" w:sz="8" w:space="0" w:color="auto"/>
            </w:tcBorders>
            <w:tcMar>
              <w:top w:w="0" w:type="dxa"/>
              <w:left w:w="57" w:type="dxa"/>
              <w:bottom w:w="0" w:type="dxa"/>
              <w:right w:w="57" w:type="dxa"/>
            </w:tcMar>
          </w:tcPr>
          <w:p w14:paraId="164F667B"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39,</w:t>
            </w:r>
            <w:r w:rsidRPr="009030C1">
              <w:rPr>
                <w:rFonts w:eastAsia="SimSun"/>
                <w:sz w:val="18"/>
                <w:szCs w:val="18"/>
                <w:lang w:val="en-GB" w:eastAsia="zh-CN"/>
              </w:rPr>
              <w:t>06</w:t>
            </w:r>
            <w:r>
              <w:rPr>
                <w:rFonts w:eastAsia="SimSun"/>
                <w:sz w:val="18"/>
                <w:szCs w:val="18"/>
                <w:lang w:val="en-GB" w:eastAsia="zh-CN"/>
              </w:rPr>
              <w:t xml:space="preserve"> </w:t>
            </w:r>
            <w:r w:rsidRPr="009030C1">
              <w:rPr>
                <w:rFonts w:eastAsia="SimSun"/>
                <w:sz w:val="18"/>
                <w:szCs w:val="18"/>
                <w:lang w:val="en-GB" w:eastAsia="zh-CN"/>
              </w:rPr>
              <w:t>%*</w:t>
            </w:r>
          </w:p>
          <w:p w14:paraId="7F1B3AF2"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(12,46; 65,</w:t>
            </w:r>
            <w:r w:rsidRPr="009030C1">
              <w:rPr>
                <w:rFonts w:eastAsia="SimSun"/>
                <w:sz w:val="18"/>
                <w:szCs w:val="18"/>
                <w:lang w:val="en-GB" w:eastAsia="zh-CN"/>
              </w:rPr>
              <w:t>66)</w:t>
            </w:r>
          </w:p>
        </w:tc>
      </w:tr>
      <w:tr w:rsidR="0079644F" w:rsidRPr="009030C1" w14:paraId="08131158" w14:textId="77777777" w:rsidTr="00FF2AFA">
        <w:trPr>
          <w:cantSplit/>
        </w:trPr>
        <w:tc>
          <w:tcPr>
            <w:tcW w:w="10346" w:type="dxa"/>
            <w:gridSpan w:val="9"/>
            <w:tcBorders>
              <w:top w:val="single" w:sz="4" w:space="0" w:color="auto"/>
              <w:left w:val="single" w:sz="4" w:space="0" w:color="auto"/>
              <w:bottom w:val="single" w:sz="4" w:space="0" w:color="auto"/>
              <w:right w:val="single" w:sz="8" w:space="0" w:color="auto"/>
            </w:tcBorders>
          </w:tcPr>
          <w:p w14:paraId="77EE3278" w14:textId="107841C2" w:rsidR="0079644F" w:rsidRPr="009030C1" w:rsidRDefault="0079644F" w:rsidP="00556927">
            <w:pPr>
              <w:spacing w:before="50" w:after="50" w:line="240" w:lineRule="exact"/>
              <w:rPr>
                <w:rFonts w:eastAsia="SimSun"/>
                <w:b/>
                <w:sz w:val="18"/>
                <w:szCs w:val="18"/>
                <w:lang w:val="en-GB" w:eastAsia="zh-CN"/>
              </w:rPr>
            </w:pPr>
            <w:del w:id="1049" w:author="AUTHOR">
              <w:r w:rsidDel="00562CA7">
                <w:rPr>
                  <w:rFonts w:eastAsia="SimSun"/>
                  <w:b/>
                  <w:sz w:val="18"/>
                  <w:szCs w:val="18"/>
                  <w:lang w:val="en-GB" w:eastAsia="zh-CN"/>
                </w:rPr>
                <w:delText xml:space="preserve"> Objetivo</w:delText>
              </w:r>
            </w:del>
            <w:ins w:id="1050" w:author="AUTHOR">
              <w:r w:rsidR="00562CA7">
                <w:rPr>
                  <w:rFonts w:eastAsia="SimSun"/>
                  <w:b/>
                  <w:sz w:val="18"/>
                  <w:szCs w:val="18"/>
                  <w:lang w:val="en-GB" w:eastAsia="zh-CN"/>
                </w:rPr>
                <w:t>Variable</w:t>
              </w:r>
            </w:ins>
            <w:r>
              <w:rPr>
                <w:rFonts w:eastAsia="SimSun"/>
                <w:b/>
                <w:sz w:val="18"/>
                <w:szCs w:val="18"/>
                <w:lang w:val="en-GB" w:eastAsia="zh-CN"/>
              </w:rPr>
              <w:t xml:space="preserve"> secundari</w:t>
            </w:r>
            <w:ins w:id="1051" w:author="AUTHOR">
              <w:r w:rsidR="00562CA7">
                <w:rPr>
                  <w:rFonts w:eastAsia="SimSun"/>
                  <w:b/>
                  <w:sz w:val="18"/>
                  <w:szCs w:val="18"/>
                  <w:lang w:val="en-GB" w:eastAsia="zh-CN"/>
                </w:rPr>
                <w:t>a</w:t>
              </w:r>
            </w:ins>
            <w:del w:id="1052" w:author="AUTHOR">
              <w:r w:rsidDel="00562CA7">
                <w:rPr>
                  <w:rFonts w:eastAsia="SimSun"/>
                  <w:b/>
                  <w:sz w:val="18"/>
                  <w:szCs w:val="18"/>
                  <w:lang w:val="en-GB" w:eastAsia="zh-CN"/>
                </w:rPr>
                <w:delText>o</w:delText>
              </w:r>
            </w:del>
            <w:r>
              <w:rPr>
                <w:rFonts w:eastAsia="SimSun"/>
                <w:b/>
                <w:sz w:val="18"/>
                <w:szCs w:val="18"/>
                <w:lang w:val="en-GB" w:eastAsia="zh-CN"/>
              </w:rPr>
              <w:t xml:space="preserve"> principal</w:t>
            </w:r>
            <w:r w:rsidRPr="009030C1">
              <w:rPr>
                <w:rFonts w:eastAsia="SimSun"/>
                <w:sz w:val="18"/>
                <w:szCs w:val="18"/>
                <w:lang w:val="en-GB" w:eastAsia="zh-CN"/>
              </w:rPr>
              <w:t xml:space="preserve"> </w:t>
            </w:r>
          </w:p>
        </w:tc>
      </w:tr>
      <w:tr w:rsidR="0079644F" w:rsidRPr="00541248" w14:paraId="20BE32EB" w14:textId="77777777" w:rsidTr="00FF2AFA">
        <w:trPr>
          <w:cantSplit/>
        </w:trPr>
        <w:tc>
          <w:tcPr>
            <w:tcW w:w="6662" w:type="dxa"/>
            <w:gridSpan w:val="7"/>
            <w:tcBorders>
              <w:top w:val="single" w:sz="4" w:space="0" w:color="auto"/>
              <w:left w:val="single" w:sz="4" w:space="0" w:color="auto"/>
            </w:tcBorders>
            <w:tcMar>
              <w:top w:w="0" w:type="dxa"/>
              <w:left w:w="57" w:type="dxa"/>
              <w:bottom w:w="0" w:type="dxa"/>
              <w:right w:w="57" w:type="dxa"/>
            </w:tcMar>
          </w:tcPr>
          <w:p w14:paraId="5E8D183C" w14:textId="77777777" w:rsidR="0079644F" w:rsidRPr="006868F5" w:rsidRDefault="0079644F" w:rsidP="00556927">
            <w:pPr>
              <w:spacing w:before="50" w:after="50" w:line="240" w:lineRule="exact"/>
              <w:rPr>
                <w:rFonts w:eastAsia="SimSun"/>
                <w:sz w:val="18"/>
                <w:szCs w:val="18"/>
                <w:lang w:val="es-ES" w:eastAsia="zh-CN"/>
              </w:rPr>
            </w:pPr>
            <w:r w:rsidRPr="0002355A">
              <w:rPr>
                <w:rFonts w:eastAsia="SimSun"/>
                <w:sz w:val="18"/>
                <w:szCs w:val="18"/>
                <w:lang w:val="es-ES" w:eastAsia="zh-CN"/>
              </w:rPr>
              <w:t xml:space="preserve">Remisión </w:t>
            </w:r>
            <w:r>
              <w:rPr>
                <w:rFonts w:eastAsia="SimSun"/>
                <w:sz w:val="18"/>
                <w:szCs w:val="18"/>
                <w:lang w:val="es-ES" w:eastAsia="zh-CN"/>
              </w:rPr>
              <w:t>mantenida</w:t>
            </w:r>
            <w:r w:rsidRPr="006868F5">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 xml:space="preserve">Tocilizumab vs Placebo+52)                       </w:t>
            </w:r>
          </w:p>
        </w:tc>
        <w:tc>
          <w:tcPr>
            <w:tcW w:w="1842" w:type="dxa"/>
            <w:tcBorders>
              <w:top w:val="single" w:sz="4" w:space="0" w:color="auto"/>
              <w:left w:val="nil"/>
              <w:right w:val="nil"/>
            </w:tcBorders>
          </w:tcPr>
          <w:p w14:paraId="65E7A9A2" w14:textId="77777777" w:rsidR="0079644F" w:rsidRPr="006868F5" w:rsidRDefault="0079644F" w:rsidP="00556927">
            <w:pPr>
              <w:spacing w:before="50" w:after="50" w:line="240" w:lineRule="exact"/>
              <w:jc w:val="center"/>
              <w:rPr>
                <w:rFonts w:eastAsia="SimSun"/>
                <w:sz w:val="18"/>
                <w:szCs w:val="18"/>
                <w:lang w:val="es-E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0363A504" w14:textId="77777777" w:rsidR="0079644F" w:rsidRPr="006868F5" w:rsidRDefault="0079644F" w:rsidP="00556927">
            <w:pPr>
              <w:spacing w:before="50" w:after="50" w:line="240" w:lineRule="exact"/>
              <w:jc w:val="center"/>
              <w:rPr>
                <w:rFonts w:eastAsia="SimSun"/>
                <w:sz w:val="18"/>
                <w:szCs w:val="18"/>
                <w:lang w:val="es-ES" w:eastAsia="zh-CN"/>
              </w:rPr>
            </w:pPr>
          </w:p>
        </w:tc>
      </w:tr>
      <w:tr w:rsidR="0079644F" w:rsidRPr="009030C1" w14:paraId="18741DC9" w14:textId="77777777" w:rsidTr="00FF2AFA">
        <w:trPr>
          <w:cantSplit/>
        </w:trPr>
        <w:tc>
          <w:tcPr>
            <w:tcW w:w="4535" w:type="dxa"/>
            <w:gridSpan w:val="4"/>
            <w:tcBorders>
              <w:left w:val="single" w:sz="4" w:space="0" w:color="auto"/>
            </w:tcBorders>
            <w:tcMar>
              <w:top w:w="0" w:type="dxa"/>
              <w:left w:w="57" w:type="dxa"/>
              <w:bottom w:w="0" w:type="dxa"/>
              <w:right w:w="57" w:type="dxa"/>
            </w:tcMar>
          </w:tcPr>
          <w:p w14:paraId="3BB41825" w14:textId="5C689EEF" w:rsidR="0079644F" w:rsidRPr="006868F5" w:rsidRDefault="0079644F" w:rsidP="00556927">
            <w:pPr>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Respondedores en la </w:t>
            </w:r>
            <w:r w:rsidR="003532C2">
              <w:rPr>
                <w:rFonts w:eastAsia="SimSun"/>
                <w:sz w:val="18"/>
                <w:szCs w:val="18"/>
                <w:lang w:val="es-ES" w:eastAsia="zh-CN"/>
              </w:rPr>
              <w:t>s</w:t>
            </w:r>
            <w:r w:rsidR="003532C2" w:rsidRPr="006868F5">
              <w:rPr>
                <w:rFonts w:eastAsia="SimSun"/>
                <w:sz w:val="18"/>
                <w:szCs w:val="18"/>
                <w:lang w:val="es-ES" w:eastAsia="zh-CN"/>
              </w:rPr>
              <w:t>emana</w:t>
            </w:r>
            <w:r w:rsidR="003532C2" w:rsidRPr="00F30AB8">
              <w:rPr>
                <w:rFonts w:eastAsia="SimSun"/>
                <w:b/>
                <w:sz w:val="18"/>
                <w:szCs w:val="18"/>
                <w:lang w:val="es-ES" w:eastAsia="zh-CN"/>
              </w:rPr>
              <w:t> </w:t>
            </w:r>
            <w:r w:rsidRPr="006868F5">
              <w:rPr>
                <w:rFonts w:eastAsia="SimSun"/>
                <w:sz w:val="18"/>
                <w:szCs w:val="18"/>
                <w:lang w:val="es-ES" w:eastAsia="zh-CN"/>
              </w:rPr>
              <w:t>52, n (%)</w:t>
            </w:r>
          </w:p>
        </w:tc>
        <w:tc>
          <w:tcPr>
            <w:tcW w:w="919" w:type="dxa"/>
            <w:gridSpan w:val="2"/>
            <w:tcMar>
              <w:top w:w="0" w:type="dxa"/>
              <w:left w:w="57" w:type="dxa"/>
              <w:bottom w:w="0" w:type="dxa"/>
              <w:right w:w="57" w:type="dxa"/>
            </w:tcMar>
          </w:tcPr>
          <w:p w14:paraId="070F14D1"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7 (14</w:t>
            </w:r>
            <w:r>
              <w:rPr>
                <w:rFonts w:eastAsia="SimSun"/>
                <w:sz w:val="18"/>
                <w:szCs w:val="18"/>
                <w:lang w:val="en-GB" w:eastAsia="zh-CN"/>
              </w:rPr>
              <w:t xml:space="preserve"> </w:t>
            </w:r>
            <w:r w:rsidRPr="009030C1">
              <w:rPr>
                <w:rFonts w:eastAsia="SimSun"/>
                <w:sz w:val="18"/>
                <w:szCs w:val="18"/>
                <w:lang w:val="en-GB" w:eastAsia="zh-CN"/>
              </w:rPr>
              <w:t>%)</w:t>
            </w:r>
          </w:p>
        </w:tc>
        <w:tc>
          <w:tcPr>
            <w:tcW w:w="1208" w:type="dxa"/>
            <w:tcMar>
              <w:top w:w="0" w:type="dxa"/>
              <w:left w:w="57" w:type="dxa"/>
              <w:bottom w:w="0" w:type="dxa"/>
              <w:right w:w="57" w:type="dxa"/>
            </w:tcMar>
          </w:tcPr>
          <w:p w14:paraId="689E5371"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9 (17</w:t>
            </w:r>
            <w:proofErr w:type="gramStart"/>
            <w:r>
              <w:rPr>
                <w:rFonts w:eastAsia="SimSun"/>
                <w:sz w:val="18"/>
                <w:szCs w:val="18"/>
                <w:lang w:val="en-GB" w:eastAsia="zh-CN"/>
              </w:rPr>
              <w:t>,</w:t>
            </w:r>
            <w:r w:rsidRPr="009030C1">
              <w:rPr>
                <w:rFonts w:eastAsia="SimSun"/>
                <w:sz w:val="18"/>
                <w:szCs w:val="18"/>
                <w:lang w:val="en-GB" w:eastAsia="zh-CN"/>
              </w:rPr>
              <w:t>6</w:t>
            </w:r>
            <w:proofErr w:type="gramEnd"/>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right w:val="nil"/>
            </w:tcBorders>
          </w:tcPr>
          <w:p w14:paraId="1CF3F4C3"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56 (56</w:t>
            </w:r>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left w:val="nil"/>
              <w:right w:val="single" w:sz="4" w:space="0" w:color="auto"/>
            </w:tcBorders>
            <w:tcMar>
              <w:top w:w="0" w:type="dxa"/>
              <w:left w:w="57" w:type="dxa"/>
              <w:bottom w:w="0" w:type="dxa"/>
              <w:right w:w="57" w:type="dxa"/>
            </w:tcMar>
          </w:tcPr>
          <w:p w14:paraId="5601A718"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26 (53</w:t>
            </w:r>
            <w:proofErr w:type="gramStart"/>
            <w:r>
              <w:rPr>
                <w:rFonts w:eastAsia="SimSun"/>
                <w:sz w:val="18"/>
                <w:szCs w:val="18"/>
                <w:lang w:val="en-GB" w:eastAsia="zh-CN"/>
              </w:rPr>
              <w:t>,</w:t>
            </w:r>
            <w:r w:rsidRPr="009030C1">
              <w:rPr>
                <w:rFonts w:eastAsia="SimSun"/>
                <w:sz w:val="18"/>
                <w:szCs w:val="18"/>
                <w:lang w:val="en-GB" w:eastAsia="zh-CN"/>
              </w:rPr>
              <w:t>1</w:t>
            </w:r>
            <w:proofErr w:type="gramEnd"/>
            <w:r>
              <w:rPr>
                <w:rFonts w:eastAsia="SimSun"/>
                <w:sz w:val="18"/>
                <w:szCs w:val="18"/>
                <w:lang w:val="en-GB" w:eastAsia="zh-CN"/>
              </w:rPr>
              <w:t xml:space="preserve"> </w:t>
            </w:r>
            <w:r w:rsidRPr="009030C1">
              <w:rPr>
                <w:rFonts w:eastAsia="SimSun"/>
                <w:sz w:val="18"/>
                <w:szCs w:val="18"/>
                <w:lang w:val="en-GB" w:eastAsia="zh-CN"/>
              </w:rPr>
              <w:t>%)</w:t>
            </w:r>
          </w:p>
        </w:tc>
      </w:tr>
      <w:tr w:rsidR="0079644F" w:rsidRPr="009030C1" w14:paraId="28CFB4C1" w14:textId="77777777" w:rsidTr="00FF2AFA">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39A7683C" w14:textId="77777777" w:rsidR="0079644F" w:rsidRPr="006868F5" w:rsidRDefault="0079644F" w:rsidP="00556927">
            <w:pPr>
              <w:spacing w:before="50" w:after="50" w:line="240" w:lineRule="exact"/>
              <w:ind w:left="720"/>
              <w:rPr>
                <w:rFonts w:eastAsia="SimSun"/>
                <w:sz w:val="18"/>
                <w:szCs w:val="18"/>
                <w:lang w:val="es-ES" w:eastAsia="zh-CN"/>
              </w:rPr>
            </w:pPr>
            <w:r w:rsidRPr="00042DFC">
              <w:rPr>
                <w:rFonts w:eastAsia="SimSun"/>
                <w:sz w:val="18"/>
                <w:szCs w:val="18"/>
                <w:lang w:val="es-ES" w:eastAsia="zh-CN"/>
              </w:rPr>
              <w:t>Diferencia de proporciones no ajustada</w:t>
            </w:r>
            <w:r>
              <w:rPr>
                <w:rFonts w:eastAsia="SimSun"/>
                <w:sz w:val="18"/>
                <w:szCs w:val="18"/>
                <w:lang w:val="es-ES" w:eastAsia="zh-CN"/>
              </w:rPr>
              <w:t>s</w:t>
            </w:r>
            <w:r w:rsidRPr="0053650C">
              <w:rPr>
                <w:rFonts w:eastAsia="SimSun"/>
                <w:sz w:val="18"/>
                <w:szCs w:val="18"/>
                <w:lang w:val="es-ES" w:eastAsia="zh-CN"/>
              </w:rPr>
              <w:t xml:space="preserve">       </w:t>
            </w:r>
            <w:r>
              <w:rPr>
                <w:rFonts w:eastAsia="SimSun"/>
                <w:sz w:val="18"/>
                <w:szCs w:val="18"/>
                <w:lang w:val="es-ES" w:eastAsia="zh-CN"/>
              </w:rPr>
              <w:t xml:space="preserve">       </w:t>
            </w:r>
            <w:r w:rsidRPr="0053650C">
              <w:rPr>
                <w:rFonts w:eastAsia="SimSun"/>
                <w:sz w:val="18"/>
                <w:szCs w:val="18"/>
                <w:lang w:val="es-ES" w:eastAsia="zh-CN"/>
              </w:rPr>
              <w:t xml:space="preserve"> (IC 99,5</w:t>
            </w:r>
            <w:r>
              <w:rPr>
                <w:rFonts w:eastAsia="SimSun"/>
                <w:sz w:val="18"/>
                <w:szCs w:val="18"/>
                <w:lang w:val="es-ES" w:eastAsia="zh-CN"/>
              </w:rPr>
              <w:t xml:space="preserve"> </w:t>
            </w:r>
            <w:r w:rsidRPr="0053650C">
              <w:rPr>
                <w:rFonts w:eastAsia="SimSun"/>
                <w:sz w:val="18"/>
                <w:szCs w:val="18"/>
                <w:lang w:val="es-ES" w:eastAsia="zh-CN"/>
              </w:rPr>
              <w:t>%)</w:t>
            </w:r>
          </w:p>
        </w:tc>
        <w:tc>
          <w:tcPr>
            <w:tcW w:w="919" w:type="dxa"/>
            <w:gridSpan w:val="2"/>
            <w:tcBorders>
              <w:bottom w:val="single" w:sz="4" w:space="0" w:color="auto"/>
            </w:tcBorders>
            <w:tcMar>
              <w:top w:w="0" w:type="dxa"/>
              <w:left w:w="57" w:type="dxa"/>
              <w:bottom w:w="0" w:type="dxa"/>
              <w:right w:w="57" w:type="dxa"/>
            </w:tcMar>
          </w:tcPr>
          <w:p w14:paraId="665692D2"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208" w:type="dxa"/>
            <w:tcBorders>
              <w:bottom w:val="single" w:sz="4" w:space="0" w:color="auto"/>
            </w:tcBorders>
            <w:tcMar>
              <w:top w:w="0" w:type="dxa"/>
              <w:left w:w="57" w:type="dxa"/>
              <w:bottom w:w="0" w:type="dxa"/>
              <w:right w:w="57" w:type="dxa"/>
            </w:tcMar>
          </w:tcPr>
          <w:p w14:paraId="224B7801" w14:textId="77777777" w:rsidR="0079644F" w:rsidRPr="009030C1" w:rsidDel="00CA004A"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842" w:type="dxa"/>
            <w:tcBorders>
              <w:bottom w:val="single" w:sz="4" w:space="0" w:color="auto"/>
              <w:right w:val="nil"/>
            </w:tcBorders>
          </w:tcPr>
          <w:p w14:paraId="44477F8D"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38,</w:t>
            </w:r>
            <w:r w:rsidRPr="009030C1">
              <w:rPr>
                <w:rFonts w:eastAsia="SimSun"/>
                <w:sz w:val="18"/>
                <w:szCs w:val="18"/>
                <w:lang w:val="en-GB" w:eastAsia="zh-CN"/>
              </w:rPr>
              <w:t>35</w:t>
            </w:r>
            <w:r>
              <w:rPr>
                <w:rFonts w:eastAsia="SimSun"/>
                <w:sz w:val="18"/>
                <w:szCs w:val="18"/>
                <w:lang w:val="en-GB" w:eastAsia="zh-CN"/>
              </w:rPr>
              <w:t xml:space="preserve"> </w:t>
            </w:r>
            <w:r w:rsidRPr="009030C1">
              <w:rPr>
                <w:rFonts w:eastAsia="SimSun"/>
                <w:sz w:val="18"/>
                <w:szCs w:val="18"/>
                <w:lang w:val="en-GB" w:eastAsia="zh-CN"/>
              </w:rPr>
              <w:t>%*</w:t>
            </w:r>
          </w:p>
          <w:p w14:paraId="05F51F1D" w14:textId="77777777" w:rsidR="0079644F" w:rsidRPr="009030C1" w:rsidDel="00CA004A"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 xml:space="preserve">(17,89; </w:t>
            </w:r>
            <w:r w:rsidRPr="009030C1">
              <w:rPr>
                <w:rFonts w:eastAsia="SimSun"/>
                <w:sz w:val="18"/>
                <w:szCs w:val="18"/>
                <w:lang w:val="en-GB" w:eastAsia="zh-CN"/>
              </w:rPr>
              <w:t>58</w:t>
            </w:r>
            <w:r>
              <w:rPr>
                <w:rFonts w:eastAsia="SimSun"/>
                <w:sz w:val="18"/>
                <w:szCs w:val="18"/>
                <w:lang w:val="en-GB" w:eastAsia="zh-CN"/>
              </w:rPr>
              <w:t>,</w:t>
            </w:r>
            <w:r w:rsidRPr="009030C1">
              <w:rPr>
                <w:rFonts w:eastAsia="SimSun"/>
                <w:sz w:val="18"/>
                <w:szCs w:val="18"/>
                <w:lang w:val="en-GB" w:eastAsia="zh-CN"/>
              </w:rPr>
              <w:t>81)</w:t>
            </w:r>
          </w:p>
        </w:tc>
        <w:tc>
          <w:tcPr>
            <w:tcW w:w="1842" w:type="dxa"/>
            <w:tcBorders>
              <w:left w:val="nil"/>
              <w:bottom w:val="single" w:sz="4" w:space="0" w:color="auto"/>
              <w:right w:val="single" w:sz="4" w:space="0" w:color="auto"/>
            </w:tcBorders>
            <w:tcMar>
              <w:top w:w="0" w:type="dxa"/>
              <w:left w:w="57" w:type="dxa"/>
              <w:bottom w:w="0" w:type="dxa"/>
              <w:right w:w="57" w:type="dxa"/>
            </w:tcMar>
          </w:tcPr>
          <w:p w14:paraId="27B75BAD"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35,</w:t>
            </w:r>
            <w:r w:rsidRPr="009030C1">
              <w:rPr>
                <w:rFonts w:eastAsia="SimSun"/>
                <w:sz w:val="18"/>
                <w:szCs w:val="18"/>
                <w:lang w:val="en-GB" w:eastAsia="zh-CN"/>
              </w:rPr>
              <w:t>41</w:t>
            </w:r>
            <w:r>
              <w:rPr>
                <w:rFonts w:eastAsia="SimSun"/>
                <w:sz w:val="18"/>
                <w:szCs w:val="18"/>
                <w:lang w:val="en-GB" w:eastAsia="zh-CN"/>
              </w:rPr>
              <w:t xml:space="preserve"> </w:t>
            </w:r>
            <w:r w:rsidRPr="009030C1">
              <w:rPr>
                <w:rFonts w:eastAsia="SimSun"/>
                <w:sz w:val="18"/>
                <w:szCs w:val="18"/>
                <w:lang w:val="en-GB" w:eastAsia="zh-CN"/>
              </w:rPr>
              <w:t>%**</w:t>
            </w:r>
          </w:p>
          <w:p w14:paraId="4044C1E8"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(10,41; 60,</w:t>
            </w:r>
            <w:r w:rsidRPr="009030C1">
              <w:rPr>
                <w:rFonts w:eastAsia="SimSun"/>
                <w:sz w:val="18"/>
                <w:szCs w:val="18"/>
                <w:lang w:val="en-GB" w:eastAsia="zh-CN"/>
              </w:rPr>
              <w:t>41)</w:t>
            </w:r>
          </w:p>
        </w:tc>
      </w:tr>
      <w:tr w:rsidR="0079644F" w:rsidRPr="006868F5" w14:paraId="7D5CC825" w14:textId="77777777" w:rsidTr="00484513">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435610ED" w14:textId="3D7E9A42" w:rsidR="0079644F" w:rsidRPr="006868F5" w:rsidRDefault="0079644F">
            <w:pPr>
              <w:keepNext/>
              <w:keepLines/>
              <w:widowControl w:val="0"/>
              <w:spacing w:before="50" w:after="50" w:line="240" w:lineRule="exact"/>
              <w:rPr>
                <w:rFonts w:eastAsia="SimSun"/>
                <w:sz w:val="18"/>
                <w:szCs w:val="18"/>
                <w:lang w:val="es-ES" w:eastAsia="zh-CN"/>
              </w:rPr>
              <w:pPrChange w:id="1053" w:author="tcs" w:date="2026-02-26T10:52:00Z">
                <w:pPr>
                  <w:spacing w:before="50" w:after="50" w:line="240" w:lineRule="exact"/>
                </w:pPr>
              </w:pPrChange>
            </w:pPr>
            <w:r w:rsidRPr="006868F5">
              <w:rPr>
                <w:rFonts w:eastAsia="SimSun"/>
                <w:b/>
                <w:sz w:val="18"/>
                <w:szCs w:val="18"/>
                <w:lang w:val="es-ES" w:eastAsia="zh-CN"/>
              </w:rPr>
              <w:lastRenderedPageBreak/>
              <w:t>O</w:t>
            </w:r>
            <w:r w:rsidRPr="0002355A">
              <w:rPr>
                <w:rFonts w:eastAsia="SimSun"/>
                <w:b/>
                <w:sz w:val="18"/>
                <w:szCs w:val="18"/>
                <w:lang w:val="es-ES" w:eastAsia="zh-CN"/>
              </w:rPr>
              <w:t>tr</w:t>
            </w:r>
            <w:ins w:id="1054" w:author="AUTHOR">
              <w:r w:rsidR="00562CA7">
                <w:rPr>
                  <w:rFonts w:eastAsia="SimSun"/>
                  <w:b/>
                  <w:sz w:val="18"/>
                  <w:szCs w:val="18"/>
                  <w:lang w:val="es-ES" w:eastAsia="zh-CN"/>
                </w:rPr>
                <w:t>a</w:t>
              </w:r>
            </w:ins>
            <w:del w:id="1055" w:author="AUTHOR">
              <w:r w:rsidDel="00562CA7">
                <w:rPr>
                  <w:rFonts w:eastAsia="SimSun"/>
                  <w:b/>
                  <w:sz w:val="18"/>
                  <w:szCs w:val="18"/>
                  <w:lang w:val="es-ES" w:eastAsia="zh-CN"/>
                </w:rPr>
                <w:delText>o</w:delText>
              </w:r>
            </w:del>
            <w:r w:rsidRPr="006868F5">
              <w:rPr>
                <w:rFonts w:eastAsia="SimSun"/>
                <w:b/>
                <w:sz w:val="18"/>
                <w:szCs w:val="18"/>
                <w:lang w:val="es-ES" w:eastAsia="zh-CN"/>
              </w:rPr>
              <w:t xml:space="preserve">s </w:t>
            </w:r>
            <w:del w:id="1056" w:author="AUTHOR">
              <w:r w:rsidDel="00562CA7">
                <w:rPr>
                  <w:rFonts w:eastAsia="SimSun"/>
                  <w:b/>
                  <w:sz w:val="18"/>
                  <w:szCs w:val="18"/>
                  <w:lang w:val="es-ES" w:eastAsia="zh-CN"/>
                </w:rPr>
                <w:delText xml:space="preserve">objetivos </w:delText>
              </w:r>
            </w:del>
            <w:ins w:id="1057" w:author="AUTHOR">
              <w:r w:rsidR="00562CA7">
                <w:rPr>
                  <w:rFonts w:eastAsia="SimSun"/>
                  <w:b/>
                  <w:sz w:val="18"/>
                  <w:szCs w:val="18"/>
                  <w:lang w:val="es-ES" w:eastAsia="zh-CN"/>
                </w:rPr>
                <w:t xml:space="preserve">variables </w:t>
              </w:r>
            </w:ins>
            <w:r>
              <w:rPr>
                <w:rFonts w:eastAsia="SimSun"/>
                <w:b/>
                <w:sz w:val="18"/>
                <w:szCs w:val="18"/>
                <w:lang w:val="es-ES" w:eastAsia="zh-CN"/>
              </w:rPr>
              <w:t>s</w:t>
            </w:r>
            <w:r w:rsidRPr="0002355A">
              <w:rPr>
                <w:rFonts w:eastAsia="SimSun"/>
                <w:b/>
                <w:sz w:val="18"/>
                <w:szCs w:val="18"/>
                <w:lang w:val="es-ES" w:eastAsia="zh-CN"/>
              </w:rPr>
              <w:t>ecundari</w:t>
            </w:r>
            <w:ins w:id="1058" w:author="AUTHOR">
              <w:r w:rsidR="00562CA7">
                <w:rPr>
                  <w:rFonts w:eastAsia="SimSun"/>
                  <w:b/>
                  <w:sz w:val="18"/>
                  <w:szCs w:val="18"/>
                  <w:lang w:val="es-ES" w:eastAsia="zh-CN"/>
                </w:rPr>
                <w:t>a</w:t>
              </w:r>
            </w:ins>
            <w:del w:id="1059" w:author="AUTHOR">
              <w:r w:rsidDel="00562CA7">
                <w:rPr>
                  <w:rFonts w:eastAsia="SimSun"/>
                  <w:b/>
                  <w:sz w:val="18"/>
                  <w:szCs w:val="18"/>
                  <w:lang w:val="es-ES" w:eastAsia="zh-CN"/>
                </w:rPr>
                <w:delText>o</w:delText>
              </w:r>
            </w:del>
            <w:r w:rsidRPr="006868F5">
              <w:rPr>
                <w:rFonts w:eastAsia="SimSun"/>
                <w:b/>
                <w:sz w:val="18"/>
                <w:szCs w:val="18"/>
                <w:lang w:val="es-ES" w:eastAsia="zh-CN"/>
              </w:rPr>
              <w:t>s</w:t>
            </w:r>
          </w:p>
        </w:tc>
        <w:tc>
          <w:tcPr>
            <w:tcW w:w="919" w:type="dxa"/>
            <w:gridSpan w:val="2"/>
            <w:tcBorders>
              <w:top w:val="single" w:sz="4" w:space="0" w:color="auto"/>
              <w:bottom w:val="single" w:sz="4" w:space="0" w:color="auto"/>
            </w:tcBorders>
            <w:tcMar>
              <w:top w:w="0" w:type="dxa"/>
              <w:left w:w="57" w:type="dxa"/>
              <w:bottom w:w="0" w:type="dxa"/>
              <w:right w:w="57" w:type="dxa"/>
            </w:tcMar>
          </w:tcPr>
          <w:p w14:paraId="57D43282" w14:textId="77777777" w:rsidR="0079644F" w:rsidRPr="006868F5" w:rsidRDefault="0079644F" w:rsidP="00556927">
            <w:pPr>
              <w:spacing w:before="50" w:after="50" w:line="240" w:lineRule="exact"/>
              <w:jc w:val="center"/>
              <w:rPr>
                <w:rFonts w:eastAsia="SimSun"/>
                <w:sz w:val="18"/>
                <w:szCs w:val="18"/>
                <w:lang w:val="es-ES" w:eastAsia="zh-CN"/>
              </w:rPr>
            </w:pPr>
          </w:p>
        </w:tc>
        <w:tc>
          <w:tcPr>
            <w:tcW w:w="1208" w:type="dxa"/>
            <w:tcBorders>
              <w:top w:val="single" w:sz="4" w:space="0" w:color="auto"/>
              <w:bottom w:val="single" w:sz="4" w:space="0" w:color="auto"/>
            </w:tcBorders>
            <w:tcMar>
              <w:top w:w="0" w:type="dxa"/>
              <w:left w:w="57" w:type="dxa"/>
              <w:bottom w:w="0" w:type="dxa"/>
              <w:right w:w="57" w:type="dxa"/>
            </w:tcMar>
          </w:tcPr>
          <w:p w14:paraId="02A279F9" w14:textId="77777777" w:rsidR="0079644F" w:rsidRPr="006868F5" w:rsidRDefault="0079644F" w:rsidP="00556927">
            <w:pPr>
              <w:spacing w:before="50" w:after="50" w:line="240" w:lineRule="exact"/>
              <w:jc w:val="center"/>
              <w:rPr>
                <w:rFonts w:eastAsia="SimSun"/>
                <w:sz w:val="18"/>
                <w:szCs w:val="18"/>
                <w:lang w:val="es-ES" w:eastAsia="zh-CN"/>
              </w:rPr>
            </w:pPr>
          </w:p>
        </w:tc>
        <w:tc>
          <w:tcPr>
            <w:tcW w:w="1842" w:type="dxa"/>
            <w:tcBorders>
              <w:top w:val="single" w:sz="4" w:space="0" w:color="auto"/>
              <w:bottom w:val="single" w:sz="4" w:space="0" w:color="auto"/>
              <w:right w:val="nil"/>
            </w:tcBorders>
          </w:tcPr>
          <w:p w14:paraId="2E2E09A5" w14:textId="77777777" w:rsidR="0079644F" w:rsidRPr="006868F5" w:rsidRDefault="0079644F" w:rsidP="00556927">
            <w:pPr>
              <w:spacing w:before="50" w:after="50" w:line="240" w:lineRule="exact"/>
              <w:jc w:val="center"/>
              <w:rPr>
                <w:rFonts w:eastAsia="SimSun"/>
                <w:sz w:val="18"/>
                <w:szCs w:val="18"/>
                <w:lang w:val="es-ES"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3734BDA9" w14:textId="77777777" w:rsidR="0079644F" w:rsidRPr="006868F5" w:rsidRDefault="0079644F" w:rsidP="00556927">
            <w:pPr>
              <w:spacing w:before="50" w:after="50" w:line="240" w:lineRule="exact"/>
              <w:jc w:val="center"/>
              <w:rPr>
                <w:rFonts w:eastAsia="SimSun"/>
                <w:sz w:val="18"/>
                <w:szCs w:val="18"/>
                <w:lang w:val="es-ES" w:eastAsia="zh-CN"/>
              </w:rPr>
            </w:pPr>
          </w:p>
        </w:tc>
      </w:tr>
      <w:tr w:rsidR="0079644F" w:rsidRPr="009030C1" w14:paraId="491F165E" w14:textId="77777777" w:rsidTr="00484513">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6B7725C8" w14:textId="77777777" w:rsidR="0079644F" w:rsidRPr="006868F5" w:rsidRDefault="0079644F">
            <w:pPr>
              <w:keepNext/>
              <w:keepLines/>
              <w:widowControl w:val="0"/>
              <w:spacing w:before="50" w:after="50" w:line="240" w:lineRule="exact"/>
              <w:rPr>
                <w:rFonts w:eastAsia="SimSun"/>
                <w:sz w:val="18"/>
                <w:szCs w:val="18"/>
                <w:lang w:val="es-ES" w:eastAsia="zh-CN"/>
              </w:rPr>
              <w:pPrChange w:id="1060" w:author="tcs" w:date="2026-02-26T10:52:00Z">
                <w:pPr>
                  <w:spacing w:before="50" w:after="50" w:line="240" w:lineRule="exact"/>
                </w:pPr>
              </w:pPrChange>
            </w:pPr>
            <w:r w:rsidRPr="006868F5">
              <w:rPr>
                <w:rFonts w:eastAsia="SimSun"/>
                <w:sz w:val="18"/>
                <w:szCs w:val="18"/>
                <w:lang w:val="es-ES" w:eastAsia="zh-CN"/>
              </w:rPr>
              <w:t>Ti</w:t>
            </w:r>
            <w:r w:rsidRPr="00B30448">
              <w:rPr>
                <w:rFonts w:eastAsia="SimSun"/>
                <w:sz w:val="18"/>
                <w:szCs w:val="18"/>
                <w:lang w:val="es-ES" w:eastAsia="zh-CN"/>
              </w:rPr>
              <w:t xml:space="preserve">empo hasta </w:t>
            </w:r>
            <w:r>
              <w:rPr>
                <w:rFonts w:eastAsia="SimSun"/>
                <w:sz w:val="18"/>
                <w:szCs w:val="18"/>
                <w:lang w:val="es-ES" w:eastAsia="zh-CN"/>
              </w:rPr>
              <w:t>e</w:t>
            </w:r>
            <w:r w:rsidRPr="00B30448">
              <w:rPr>
                <w:rFonts w:eastAsia="SimSun"/>
                <w:sz w:val="18"/>
                <w:szCs w:val="18"/>
                <w:lang w:val="es-ES" w:eastAsia="zh-CN"/>
              </w:rPr>
              <w:t>l primer</w:t>
            </w:r>
            <w:r>
              <w:rPr>
                <w:rFonts w:eastAsia="SimSun"/>
                <w:sz w:val="18"/>
                <w:szCs w:val="18"/>
                <w:lang w:val="es-ES" w:eastAsia="zh-CN"/>
              </w:rPr>
              <w:t xml:space="preserve"> brote</w:t>
            </w:r>
            <w:r w:rsidRPr="0053650C">
              <w:rPr>
                <w:rFonts w:eastAsia="SimSun"/>
                <w:sz w:val="18"/>
                <w:szCs w:val="18"/>
                <w:lang w:val="es-ES" w:eastAsia="zh-CN"/>
              </w:rPr>
              <w:t>¹</w:t>
            </w:r>
            <w:r w:rsidRPr="006868F5">
              <w:rPr>
                <w:rFonts w:eastAsia="SimSun"/>
                <w:sz w:val="18"/>
                <w:szCs w:val="18"/>
                <w:lang w:val="es-ES" w:eastAsia="zh-CN"/>
              </w:rPr>
              <w:t xml:space="preserve"> de</w:t>
            </w:r>
            <w:r>
              <w:rPr>
                <w:rFonts w:eastAsia="SimSun"/>
                <w:sz w:val="18"/>
                <w:szCs w:val="18"/>
                <w:lang w:val="es-ES" w:eastAsia="zh-CN"/>
              </w:rPr>
              <w:t xml:space="preserve"> </w:t>
            </w:r>
            <w:r w:rsidRPr="006868F5">
              <w:rPr>
                <w:rFonts w:eastAsia="SimSun"/>
                <w:sz w:val="18"/>
                <w:szCs w:val="18"/>
                <w:lang w:val="es-ES" w:eastAsia="zh-CN"/>
              </w:rPr>
              <w:t>ACG (grupos Tocilizumab vs Placebo+26)</w:t>
            </w:r>
          </w:p>
          <w:p w14:paraId="54F14AB0" w14:textId="77777777" w:rsidR="0079644F" w:rsidRPr="006868F5" w:rsidRDefault="0079644F">
            <w:pPr>
              <w:keepNext/>
              <w:keepLines/>
              <w:widowControl w:val="0"/>
              <w:spacing w:before="50" w:after="50" w:line="240" w:lineRule="exact"/>
              <w:ind w:left="1440"/>
              <w:rPr>
                <w:rFonts w:eastAsia="SimSun"/>
                <w:sz w:val="18"/>
                <w:szCs w:val="18"/>
                <w:lang w:val="es-ES" w:eastAsia="zh-CN"/>
              </w:rPr>
              <w:pPrChange w:id="1061" w:author="tcs" w:date="2026-02-26T10:52:00Z">
                <w:pPr>
                  <w:spacing w:before="50" w:after="50" w:line="240" w:lineRule="exact"/>
                  <w:ind w:left="1440"/>
                </w:pPr>
              </w:pPrChange>
            </w:pPr>
            <w:r w:rsidRPr="006868F5">
              <w:rPr>
                <w:rFonts w:eastAsia="SimSun"/>
                <w:sz w:val="18"/>
                <w:szCs w:val="18"/>
                <w:lang w:val="es-ES" w:eastAsia="zh-CN"/>
              </w:rPr>
              <w:t>HR (IC 99</w:t>
            </w:r>
            <w:r>
              <w:rPr>
                <w:rFonts w:eastAsia="SimSun"/>
                <w:sz w:val="18"/>
                <w:szCs w:val="18"/>
                <w:lang w:val="es-ES" w:eastAsia="zh-CN"/>
              </w:rPr>
              <w:t xml:space="preserve"> </w:t>
            </w:r>
            <w:r w:rsidRPr="006868F5">
              <w:rPr>
                <w:rFonts w:eastAsia="SimSun"/>
                <w:sz w:val="18"/>
                <w:szCs w:val="18"/>
                <w:lang w:val="es-ES" w:eastAsia="zh-CN"/>
              </w:rPr>
              <w:t>%)</w:t>
            </w:r>
          </w:p>
          <w:p w14:paraId="47CB2478" w14:textId="77777777" w:rsidR="0079644F" w:rsidRPr="006868F5" w:rsidRDefault="0079644F">
            <w:pPr>
              <w:keepNext/>
              <w:keepLines/>
              <w:widowControl w:val="0"/>
              <w:spacing w:before="50" w:after="50" w:line="240" w:lineRule="exact"/>
              <w:ind w:left="-58"/>
              <w:rPr>
                <w:rFonts w:eastAsia="SimSun"/>
                <w:sz w:val="18"/>
                <w:szCs w:val="18"/>
                <w:lang w:val="es-ES" w:eastAsia="zh-CN"/>
              </w:rPr>
              <w:pPrChange w:id="1062" w:author="tcs" w:date="2026-02-26T10:52:00Z">
                <w:pPr>
                  <w:spacing w:before="50" w:after="50" w:line="240" w:lineRule="exact"/>
                  <w:ind w:left="-58"/>
                </w:pPr>
              </w:pPrChange>
            </w:pPr>
            <w:r w:rsidRPr="006868F5">
              <w:rPr>
                <w:rFonts w:eastAsia="SimSun"/>
                <w:sz w:val="18"/>
                <w:szCs w:val="18"/>
                <w:lang w:val="es-ES" w:eastAsia="zh-CN"/>
              </w:rPr>
              <w:t xml:space="preserve"> Tiempo hasta el primer </w:t>
            </w:r>
            <w:r>
              <w:rPr>
                <w:rFonts w:eastAsia="SimSun"/>
                <w:sz w:val="18"/>
                <w:szCs w:val="18"/>
                <w:lang w:val="es-ES" w:eastAsia="zh-CN"/>
              </w:rPr>
              <w:t>brote</w:t>
            </w:r>
            <w:r w:rsidRPr="0053650C">
              <w:rPr>
                <w:rFonts w:eastAsia="SimSun"/>
                <w:sz w:val="18"/>
                <w:szCs w:val="18"/>
                <w:lang w:val="es-ES" w:eastAsia="zh-CN"/>
              </w:rPr>
              <w:t>¹</w:t>
            </w:r>
            <w:r>
              <w:rPr>
                <w:rFonts w:eastAsia="SimSun"/>
                <w:sz w:val="18"/>
                <w:szCs w:val="18"/>
                <w:lang w:val="es-ES" w:eastAsia="zh-CN"/>
              </w:rPr>
              <w:t xml:space="preserve"> </w:t>
            </w:r>
            <w:r w:rsidRPr="006868F5">
              <w:rPr>
                <w:rFonts w:eastAsia="SimSun"/>
                <w:sz w:val="18"/>
                <w:szCs w:val="18"/>
                <w:lang w:val="es-ES" w:eastAsia="zh-CN"/>
              </w:rPr>
              <w:t>de</w:t>
            </w:r>
            <w:r>
              <w:rPr>
                <w:rFonts w:eastAsia="SimSun"/>
                <w:sz w:val="18"/>
                <w:szCs w:val="18"/>
                <w:lang w:val="es-ES" w:eastAsia="zh-CN"/>
              </w:rPr>
              <w:t xml:space="preserve"> </w:t>
            </w:r>
            <w:r w:rsidRPr="006868F5">
              <w:rPr>
                <w:rFonts w:eastAsia="SimSun"/>
                <w:sz w:val="18"/>
                <w:szCs w:val="18"/>
                <w:lang w:val="es-ES" w:eastAsia="zh-CN"/>
              </w:rPr>
              <w:t>A</w:t>
            </w:r>
            <w:r>
              <w:rPr>
                <w:rFonts w:eastAsia="SimSun"/>
                <w:sz w:val="18"/>
                <w:szCs w:val="18"/>
                <w:lang w:val="es-ES" w:eastAsia="zh-CN"/>
              </w:rPr>
              <w:t xml:space="preserve">CG </w:t>
            </w:r>
            <w:r w:rsidRPr="006868F5">
              <w:rPr>
                <w:rFonts w:eastAsia="SimSun"/>
                <w:sz w:val="18"/>
                <w:szCs w:val="18"/>
                <w:lang w:val="es-ES" w:eastAsia="zh-CN"/>
              </w:rPr>
              <w:t>(grupos Tocilizumab vs Placebo+52)</w:t>
            </w:r>
          </w:p>
          <w:p w14:paraId="5742E3F6" w14:textId="77777777" w:rsidR="0079644F" w:rsidRPr="006868F5" w:rsidRDefault="0079644F">
            <w:pPr>
              <w:keepNext/>
              <w:keepLines/>
              <w:widowControl w:val="0"/>
              <w:spacing w:before="50" w:after="50" w:line="240" w:lineRule="exact"/>
              <w:rPr>
                <w:rFonts w:eastAsia="SimSun"/>
                <w:sz w:val="18"/>
                <w:szCs w:val="18"/>
                <w:lang w:val="es-ES" w:eastAsia="zh-CN"/>
              </w:rPr>
              <w:pPrChange w:id="1063" w:author="tcs" w:date="2026-02-26T10:52:00Z">
                <w:pPr>
                  <w:spacing w:before="50" w:after="50" w:line="240" w:lineRule="exact"/>
                </w:pPr>
              </w:pPrChange>
            </w:pPr>
            <w:r w:rsidRPr="006868F5">
              <w:rPr>
                <w:rFonts w:eastAsia="SimSun"/>
                <w:sz w:val="18"/>
                <w:szCs w:val="18"/>
                <w:lang w:val="es-ES" w:eastAsia="zh-CN"/>
              </w:rPr>
              <w:t xml:space="preserve">                                HR (IC 99</w:t>
            </w:r>
            <w:r>
              <w:rPr>
                <w:rFonts w:eastAsia="SimSun"/>
                <w:sz w:val="18"/>
                <w:szCs w:val="18"/>
                <w:lang w:val="es-ES" w:eastAsia="zh-CN"/>
              </w:rPr>
              <w:t xml:space="preserve"> </w:t>
            </w:r>
            <w:r w:rsidRPr="006868F5">
              <w:rPr>
                <w:rFonts w:eastAsia="SimSun"/>
                <w:sz w:val="18"/>
                <w:szCs w:val="18"/>
                <w:lang w:val="es-ES" w:eastAsia="zh-CN"/>
              </w:rPr>
              <w:t>%)</w:t>
            </w:r>
          </w:p>
          <w:p w14:paraId="3C304270" w14:textId="77777777" w:rsidR="0079644F" w:rsidRPr="006868F5" w:rsidRDefault="0079644F">
            <w:pPr>
              <w:keepNext/>
              <w:keepLines/>
              <w:widowControl w:val="0"/>
              <w:spacing w:before="50" w:after="50" w:line="240" w:lineRule="exact"/>
              <w:rPr>
                <w:rFonts w:eastAsia="SimSun"/>
                <w:sz w:val="18"/>
                <w:szCs w:val="18"/>
                <w:lang w:val="es-ES" w:eastAsia="zh-CN"/>
              </w:rPr>
              <w:pPrChange w:id="1064" w:author="tcs" w:date="2026-02-26T10:52:00Z">
                <w:pPr>
                  <w:spacing w:before="50" w:after="50" w:line="240" w:lineRule="exact"/>
                </w:pPr>
              </w:pPrChange>
            </w:pPr>
            <w:r w:rsidRPr="006868F5">
              <w:rPr>
                <w:rFonts w:eastAsia="SimSun"/>
                <w:sz w:val="18"/>
                <w:szCs w:val="18"/>
                <w:lang w:val="es-ES" w:eastAsia="zh-CN"/>
              </w:rPr>
              <w:t xml:space="preserve">Tiempo hasta el primer </w:t>
            </w:r>
            <w:r>
              <w:rPr>
                <w:rFonts w:eastAsia="SimSun"/>
                <w:sz w:val="18"/>
                <w:szCs w:val="18"/>
                <w:lang w:val="es-ES" w:eastAsia="zh-CN"/>
              </w:rPr>
              <w:t>brote</w:t>
            </w:r>
            <w:r w:rsidRPr="0053650C">
              <w:rPr>
                <w:rFonts w:eastAsia="SimSun"/>
                <w:sz w:val="18"/>
                <w:szCs w:val="18"/>
                <w:lang w:val="es-ES" w:eastAsia="zh-CN"/>
              </w:rPr>
              <w:t>¹</w:t>
            </w:r>
            <w:r w:rsidRPr="006868F5">
              <w:rPr>
                <w:rFonts w:eastAsia="SimSun"/>
                <w:sz w:val="18"/>
                <w:szCs w:val="18"/>
                <w:lang w:val="es-ES" w:eastAsia="zh-CN"/>
              </w:rPr>
              <w:t xml:space="preserve"> de AC</w:t>
            </w:r>
            <w:r>
              <w:rPr>
                <w:rFonts w:eastAsia="SimSun"/>
                <w:sz w:val="18"/>
                <w:szCs w:val="18"/>
                <w:lang w:val="es-ES" w:eastAsia="zh-CN"/>
              </w:rPr>
              <w:t xml:space="preserve">G </w:t>
            </w:r>
            <w:r w:rsidRPr="006868F5">
              <w:rPr>
                <w:rFonts w:eastAsia="SimSun"/>
                <w:sz w:val="18"/>
                <w:szCs w:val="18"/>
                <w:lang w:val="es-ES" w:eastAsia="zh-CN"/>
              </w:rPr>
              <w:t>(</w:t>
            </w:r>
            <w:r>
              <w:rPr>
                <w:rFonts w:eastAsia="SimSun"/>
                <w:sz w:val="18"/>
                <w:szCs w:val="18"/>
                <w:lang w:val="es-ES" w:eastAsia="zh-CN"/>
              </w:rPr>
              <w:t>Pacientes recurrentes</w:t>
            </w:r>
            <w:r w:rsidRPr="006868F5">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Tocilizumab vs Placebo +26) HR (</w:t>
            </w:r>
            <w:r>
              <w:rPr>
                <w:rFonts w:eastAsia="SimSun"/>
                <w:sz w:val="18"/>
                <w:szCs w:val="18"/>
                <w:lang w:val="es-ES" w:eastAsia="zh-CN"/>
              </w:rPr>
              <w:t xml:space="preserve">IC </w:t>
            </w:r>
            <w:r w:rsidRPr="00C07015">
              <w:rPr>
                <w:rFonts w:eastAsia="SimSun"/>
                <w:sz w:val="18"/>
                <w:szCs w:val="18"/>
                <w:lang w:val="es-ES" w:eastAsia="zh-CN"/>
              </w:rPr>
              <w:t>99%</w:t>
            </w:r>
            <w:r w:rsidRPr="006868F5">
              <w:rPr>
                <w:rFonts w:eastAsia="SimSun"/>
                <w:sz w:val="18"/>
                <w:szCs w:val="18"/>
                <w:lang w:val="es-ES" w:eastAsia="zh-CN"/>
              </w:rPr>
              <w:t>)</w:t>
            </w:r>
          </w:p>
          <w:p w14:paraId="22719603" w14:textId="77777777" w:rsidR="0079644F" w:rsidRPr="006868F5" w:rsidRDefault="0079644F">
            <w:pPr>
              <w:keepNext/>
              <w:keepLines/>
              <w:widowControl w:val="0"/>
              <w:spacing w:before="50" w:after="50" w:line="240" w:lineRule="exact"/>
              <w:rPr>
                <w:rFonts w:eastAsia="SimSun"/>
                <w:sz w:val="18"/>
                <w:szCs w:val="18"/>
                <w:lang w:val="es-ES" w:eastAsia="zh-CN"/>
              </w:rPr>
              <w:pPrChange w:id="1065" w:author="tcs" w:date="2026-02-26T10:52:00Z">
                <w:pPr>
                  <w:spacing w:before="50" w:after="50" w:line="240" w:lineRule="exact"/>
                </w:pPr>
              </w:pPrChange>
            </w:pPr>
            <w:r w:rsidRPr="006868F5">
              <w:rPr>
                <w:rFonts w:eastAsia="SimSun"/>
                <w:sz w:val="18"/>
                <w:szCs w:val="18"/>
                <w:lang w:val="es-ES" w:eastAsia="zh-CN"/>
              </w:rPr>
              <w:t>Tiempo hasta el</w:t>
            </w:r>
            <w:r w:rsidRPr="0029618B">
              <w:rPr>
                <w:rFonts w:eastAsia="SimSun"/>
                <w:sz w:val="18"/>
                <w:szCs w:val="18"/>
                <w:lang w:val="es-ES" w:eastAsia="zh-CN"/>
              </w:rPr>
              <w:t xml:space="preserve"> primer </w:t>
            </w:r>
            <w:r>
              <w:rPr>
                <w:rFonts w:eastAsia="SimSun"/>
                <w:sz w:val="18"/>
                <w:szCs w:val="18"/>
                <w:lang w:val="es-ES" w:eastAsia="zh-CN"/>
              </w:rPr>
              <w:t>brote</w:t>
            </w:r>
            <w:r w:rsidRPr="006868F5">
              <w:rPr>
                <w:rFonts w:eastAsia="SimSun"/>
                <w:sz w:val="18"/>
                <w:szCs w:val="18"/>
                <w:lang w:val="es-ES" w:eastAsia="zh-CN"/>
              </w:rPr>
              <w:t>¹ de ACG (</w:t>
            </w:r>
            <w:r w:rsidRPr="0029618B">
              <w:rPr>
                <w:rFonts w:eastAsia="SimSun"/>
                <w:sz w:val="18"/>
                <w:szCs w:val="18"/>
                <w:lang w:val="es-ES" w:eastAsia="zh-CN"/>
              </w:rPr>
              <w:t>Pacientes rec</w:t>
            </w:r>
            <w:r>
              <w:rPr>
                <w:rFonts w:eastAsia="SimSun"/>
                <w:sz w:val="18"/>
                <w:szCs w:val="18"/>
                <w:lang w:val="es-ES" w:eastAsia="zh-CN"/>
              </w:rPr>
              <w:t>urre</w:t>
            </w:r>
            <w:r w:rsidRPr="006868F5">
              <w:rPr>
                <w:rFonts w:eastAsia="SimSun"/>
                <w:sz w:val="18"/>
                <w:szCs w:val="18"/>
                <w:lang w:val="es-ES" w:eastAsia="zh-CN"/>
              </w:rPr>
              <w:t xml:space="preserve">ntes; </w:t>
            </w:r>
            <w:r>
              <w:rPr>
                <w:rFonts w:eastAsia="SimSun"/>
                <w:sz w:val="18"/>
                <w:szCs w:val="18"/>
                <w:lang w:val="es-ES" w:eastAsia="zh-CN"/>
              </w:rPr>
              <w:t xml:space="preserve">grupos </w:t>
            </w:r>
            <w:r w:rsidRPr="006868F5">
              <w:rPr>
                <w:rFonts w:eastAsia="SimSun"/>
                <w:sz w:val="18"/>
                <w:szCs w:val="18"/>
                <w:lang w:val="es-ES" w:eastAsia="zh-CN"/>
              </w:rPr>
              <w:t>Tocilizumab vs Placebo + 52) HR (</w:t>
            </w:r>
            <w:r>
              <w:rPr>
                <w:rFonts w:eastAsia="SimSun"/>
                <w:sz w:val="18"/>
                <w:szCs w:val="18"/>
                <w:lang w:val="es-ES" w:eastAsia="zh-CN"/>
              </w:rPr>
              <w:t xml:space="preserve">IC </w:t>
            </w:r>
            <w:r w:rsidRPr="00C07015">
              <w:rPr>
                <w:rFonts w:eastAsia="SimSun"/>
                <w:sz w:val="18"/>
                <w:szCs w:val="18"/>
                <w:lang w:val="es-ES" w:eastAsia="zh-CN"/>
              </w:rPr>
              <w:t>99%</w:t>
            </w:r>
            <w:r w:rsidRPr="006868F5">
              <w:rPr>
                <w:rFonts w:eastAsia="SimSun"/>
                <w:sz w:val="18"/>
                <w:szCs w:val="18"/>
                <w:lang w:val="es-ES" w:eastAsia="zh-CN"/>
              </w:rPr>
              <w:t>)</w:t>
            </w:r>
          </w:p>
          <w:p w14:paraId="7A94A3F7" w14:textId="77777777" w:rsidR="0079644F" w:rsidRPr="006868F5" w:rsidRDefault="0079644F">
            <w:pPr>
              <w:keepNext/>
              <w:keepLines/>
              <w:widowControl w:val="0"/>
              <w:spacing w:before="50" w:after="50" w:line="240" w:lineRule="exact"/>
              <w:rPr>
                <w:rFonts w:eastAsia="SimSun"/>
                <w:sz w:val="18"/>
                <w:szCs w:val="18"/>
                <w:lang w:val="es-ES" w:eastAsia="zh-CN"/>
              </w:rPr>
              <w:pPrChange w:id="1066" w:author="tcs" w:date="2026-02-26T10:52:00Z">
                <w:pPr>
                  <w:spacing w:before="50" w:after="50" w:line="240" w:lineRule="exact"/>
                </w:pPr>
              </w:pPrChange>
            </w:pPr>
            <w:r w:rsidRPr="006868F5">
              <w:rPr>
                <w:rFonts w:eastAsia="SimSun"/>
                <w:sz w:val="18"/>
                <w:szCs w:val="18"/>
                <w:lang w:val="es-ES" w:eastAsia="zh-CN"/>
              </w:rPr>
              <w:t xml:space="preserve">Tiempo hasta el primer </w:t>
            </w:r>
            <w:r>
              <w:rPr>
                <w:rFonts w:eastAsia="SimSun"/>
                <w:sz w:val="18"/>
                <w:szCs w:val="18"/>
                <w:lang w:val="es-ES" w:eastAsia="zh-CN"/>
              </w:rPr>
              <w:t>brote</w:t>
            </w:r>
            <w:r w:rsidRPr="0053650C">
              <w:rPr>
                <w:rFonts w:eastAsia="SimSun"/>
                <w:sz w:val="18"/>
                <w:szCs w:val="18"/>
                <w:lang w:val="es-ES" w:eastAsia="zh-CN"/>
              </w:rPr>
              <w:t xml:space="preserve">¹ </w:t>
            </w:r>
            <w:r w:rsidRPr="006868F5">
              <w:rPr>
                <w:rFonts w:eastAsia="SimSun"/>
                <w:sz w:val="18"/>
                <w:szCs w:val="18"/>
                <w:lang w:val="es-ES" w:eastAsia="zh-CN"/>
              </w:rPr>
              <w:t>de ACG (</w:t>
            </w:r>
            <w:r>
              <w:rPr>
                <w:rFonts w:eastAsia="SimSun"/>
                <w:sz w:val="18"/>
                <w:szCs w:val="18"/>
                <w:lang w:val="es-ES" w:eastAsia="zh-CN"/>
              </w:rPr>
              <w:t>Casos de nueva aparición</w:t>
            </w:r>
            <w:r w:rsidRPr="0029618B">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Tocilizumab vs Placebo +26) HR (</w:t>
            </w:r>
            <w:r>
              <w:rPr>
                <w:rFonts w:eastAsia="SimSun"/>
                <w:sz w:val="18"/>
                <w:szCs w:val="18"/>
                <w:lang w:val="es-ES" w:eastAsia="zh-CN"/>
              </w:rPr>
              <w:t xml:space="preserve">IC </w:t>
            </w:r>
            <w:r w:rsidRPr="006868F5">
              <w:rPr>
                <w:rFonts w:eastAsia="SimSun"/>
                <w:sz w:val="18"/>
                <w:szCs w:val="18"/>
                <w:lang w:val="es-ES" w:eastAsia="zh-CN"/>
              </w:rPr>
              <w:t>99</w:t>
            </w:r>
            <w:r w:rsidRPr="00C07015">
              <w:rPr>
                <w:rFonts w:eastAsia="SimSun"/>
                <w:sz w:val="18"/>
                <w:szCs w:val="18"/>
                <w:lang w:val="es-ES" w:eastAsia="zh-CN"/>
              </w:rPr>
              <w:t>%</w:t>
            </w:r>
            <w:r w:rsidRPr="006868F5">
              <w:rPr>
                <w:rFonts w:eastAsia="SimSun"/>
                <w:sz w:val="18"/>
                <w:szCs w:val="18"/>
                <w:lang w:val="es-ES" w:eastAsia="zh-CN"/>
              </w:rPr>
              <w:t>)</w:t>
            </w:r>
          </w:p>
          <w:p w14:paraId="33632162" w14:textId="77777777" w:rsidR="0079644F" w:rsidRPr="006868F5" w:rsidRDefault="0079644F">
            <w:pPr>
              <w:keepNext/>
              <w:keepLines/>
              <w:widowControl w:val="0"/>
              <w:spacing w:before="50" w:after="50" w:line="240" w:lineRule="exact"/>
              <w:rPr>
                <w:rFonts w:eastAsia="SimSun"/>
                <w:sz w:val="18"/>
                <w:szCs w:val="18"/>
                <w:lang w:val="es-ES" w:eastAsia="zh-CN"/>
              </w:rPr>
              <w:pPrChange w:id="1067" w:author="tcs" w:date="2026-02-26T10:52:00Z">
                <w:pPr>
                  <w:spacing w:before="50" w:after="50" w:line="240" w:lineRule="exact"/>
                </w:pPr>
              </w:pPrChange>
            </w:pPr>
            <w:r w:rsidRPr="006868F5">
              <w:rPr>
                <w:rFonts w:eastAsia="SimSun"/>
                <w:sz w:val="18"/>
                <w:szCs w:val="18"/>
                <w:lang w:val="es-ES" w:eastAsia="zh-CN"/>
              </w:rPr>
              <w:t>Ti</w:t>
            </w:r>
            <w:r w:rsidRPr="0029618B">
              <w:rPr>
                <w:rFonts w:eastAsia="SimSun"/>
                <w:sz w:val="18"/>
                <w:szCs w:val="18"/>
                <w:lang w:val="es-ES" w:eastAsia="zh-CN"/>
              </w:rPr>
              <w:t xml:space="preserve">empo hasta el primer </w:t>
            </w:r>
            <w:r>
              <w:rPr>
                <w:rFonts w:eastAsia="SimSun"/>
                <w:sz w:val="18"/>
                <w:szCs w:val="18"/>
                <w:lang w:val="es-ES" w:eastAsia="zh-CN"/>
              </w:rPr>
              <w:t>brote</w:t>
            </w:r>
            <w:r w:rsidRPr="006868F5">
              <w:rPr>
                <w:rFonts w:eastAsia="SimSun"/>
                <w:sz w:val="18"/>
                <w:szCs w:val="18"/>
                <w:lang w:val="es-ES" w:eastAsia="zh-CN"/>
              </w:rPr>
              <w:t>¹ de ACG</w:t>
            </w:r>
            <w:r w:rsidRPr="007703ED">
              <w:rPr>
                <w:rFonts w:eastAsia="SimSun"/>
                <w:sz w:val="18"/>
                <w:szCs w:val="18"/>
                <w:lang w:val="es-ES" w:eastAsia="zh-CN"/>
              </w:rPr>
              <w:t xml:space="preserve"> (</w:t>
            </w:r>
            <w:r>
              <w:rPr>
                <w:rFonts w:eastAsia="SimSun"/>
                <w:sz w:val="18"/>
                <w:szCs w:val="18"/>
                <w:lang w:val="es-ES" w:eastAsia="zh-CN"/>
              </w:rPr>
              <w:t>Casos de nueva aparición</w:t>
            </w:r>
            <w:r w:rsidRPr="006868F5">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Tocilizumab vs Placebo + 52) HR (</w:t>
            </w:r>
            <w:r>
              <w:rPr>
                <w:rFonts w:eastAsia="SimSun"/>
                <w:sz w:val="18"/>
                <w:szCs w:val="18"/>
                <w:lang w:val="es-ES" w:eastAsia="zh-CN"/>
              </w:rPr>
              <w:t xml:space="preserve">IC </w:t>
            </w:r>
            <w:r w:rsidRPr="007703ED">
              <w:rPr>
                <w:rFonts w:eastAsia="SimSun"/>
                <w:sz w:val="18"/>
                <w:szCs w:val="18"/>
                <w:lang w:val="es-ES" w:eastAsia="zh-CN"/>
              </w:rPr>
              <w:t xml:space="preserve">99% </w:t>
            </w:r>
            <w:r w:rsidRPr="006868F5">
              <w:rPr>
                <w:rFonts w:eastAsia="SimSun"/>
                <w:sz w:val="18"/>
                <w:szCs w:val="18"/>
                <w:lang w:val="es-ES" w:eastAsia="zh-CN"/>
              </w:rPr>
              <w:t>)</w:t>
            </w:r>
          </w:p>
        </w:tc>
        <w:tc>
          <w:tcPr>
            <w:tcW w:w="919" w:type="dxa"/>
            <w:gridSpan w:val="2"/>
            <w:tcBorders>
              <w:top w:val="single" w:sz="4" w:space="0" w:color="auto"/>
              <w:bottom w:val="single" w:sz="4" w:space="0" w:color="auto"/>
            </w:tcBorders>
            <w:tcMar>
              <w:top w:w="0" w:type="dxa"/>
              <w:left w:w="57" w:type="dxa"/>
              <w:bottom w:w="0" w:type="dxa"/>
              <w:right w:w="57" w:type="dxa"/>
            </w:tcMar>
          </w:tcPr>
          <w:p w14:paraId="7D0480BE"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30CBF88D" w14:textId="77777777" w:rsidR="0079644F" w:rsidRPr="006616E4" w:rsidRDefault="0079644F" w:rsidP="00556927">
            <w:pPr>
              <w:spacing w:before="50" w:after="50" w:line="240" w:lineRule="exact"/>
              <w:jc w:val="center"/>
              <w:rPr>
                <w:rFonts w:eastAsia="SimSun"/>
                <w:sz w:val="18"/>
                <w:szCs w:val="18"/>
                <w:lang w:val="pt-BR" w:eastAsia="zh-CN"/>
              </w:rPr>
            </w:pPr>
          </w:p>
          <w:p w14:paraId="1C0B190F" w14:textId="77777777" w:rsidR="0079644F" w:rsidRPr="006616E4" w:rsidRDefault="0079644F" w:rsidP="00556927">
            <w:pPr>
              <w:spacing w:before="50" w:after="50" w:line="240" w:lineRule="exact"/>
              <w:jc w:val="center"/>
              <w:rPr>
                <w:rFonts w:eastAsia="SimSun"/>
                <w:sz w:val="18"/>
                <w:szCs w:val="18"/>
                <w:lang w:val="pt-BR" w:eastAsia="zh-CN"/>
              </w:rPr>
            </w:pPr>
          </w:p>
          <w:p w14:paraId="70CD1423"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068A6BB1" w14:textId="77777777" w:rsidR="0079644F" w:rsidRPr="006616E4" w:rsidRDefault="0079644F" w:rsidP="00556927">
            <w:pPr>
              <w:spacing w:before="50" w:after="50" w:line="240" w:lineRule="exact"/>
              <w:jc w:val="center"/>
              <w:rPr>
                <w:rFonts w:eastAsia="SimSun"/>
                <w:sz w:val="18"/>
                <w:szCs w:val="18"/>
                <w:lang w:val="pt-BR" w:eastAsia="zh-CN"/>
              </w:rPr>
            </w:pPr>
          </w:p>
          <w:p w14:paraId="07522B36" w14:textId="77777777" w:rsidR="0079644F" w:rsidRPr="006616E4" w:rsidRDefault="0079644F" w:rsidP="00556927">
            <w:pPr>
              <w:spacing w:before="50" w:after="50" w:line="240" w:lineRule="exact"/>
              <w:jc w:val="center"/>
              <w:rPr>
                <w:rFonts w:eastAsia="SimSun"/>
                <w:sz w:val="18"/>
                <w:szCs w:val="18"/>
                <w:lang w:val="pt-BR" w:eastAsia="zh-CN"/>
              </w:rPr>
            </w:pPr>
          </w:p>
          <w:p w14:paraId="76507C26"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08B7AD3A" w14:textId="77777777" w:rsidR="0079644F" w:rsidRPr="006616E4" w:rsidRDefault="0079644F" w:rsidP="00556927">
            <w:pPr>
              <w:spacing w:before="50" w:after="50" w:line="240" w:lineRule="exact"/>
              <w:rPr>
                <w:rFonts w:eastAsia="SimSun"/>
                <w:sz w:val="18"/>
                <w:szCs w:val="18"/>
                <w:lang w:val="pt-BR" w:eastAsia="zh-CN"/>
              </w:rPr>
            </w:pPr>
          </w:p>
          <w:p w14:paraId="097D4172" w14:textId="77777777" w:rsidR="0079644F" w:rsidRPr="006616E4" w:rsidRDefault="0079644F" w:rsidP="00556927">
            <w:pPr>
              <w:spacing w:before="50" w:after="50" w:line="240" w:lineRule="exact"/>
              <w:jc w:val="center"/>
              <w:rPr>
                <w:rFonts w:eastAsia="SimSun"/>
                <w:sz w:val="18"/>
                <w:szCs w:val="18"/>
                <w:lang w:val="pt-BR" w:eastAsia="zh-CN"/>
              </w:rPr>
            </w:pPr>
          </w:p>
          <w:p w14:paraId="25446ECF"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4D5BBE1C" w14:textId="77777777" w:rsidR="0079644F" w:rsidRPr="006616E4" w:rsidRDefault="0079644F" w:rsidP="00556927">
            <w:pPr>
              <w:spacing w:before="50" w:after="50" w:line="240" w:lineRule="exact"/>
              <w:jc w:val="center"/>
              <w:rPr>
                <w:rFonts w:eastAsia="SimSun"/>
                <w:sz w:val="18"/>
                <w:szCs w:val="18"/>
                <w:lang w:val="pt-BR" w:eastAsia="zh-CN"/>
              </w:rPr>
            </w:pPr>
          </w:p>
          <w:p w14:paraId="539919E1"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3382A12F" w14:textId="77777777" w:rsidR="0079644F" w:rsidRPr="006616E4" w:rsidRDefault="0079644F" w:rsidP="00556927">
            <w:pPr>
              <w:spacing w:before="50" w:after="50" w:line="240" w:lineRule="exact"/>
              <w:rPr>
                <w:rFonts w:eastAsia="SimSun"/>
                <w:sz w:val="18"/>
                <w:szCs w:val="18"/>
                <w:lang w:val="pt-BR" w:eastAsia="zh-CN"/>
              </w:rPr>
            </w:pPr>
          </w:p>
          <w:p w14:paraId="356E56C0" w14:textId="77777777" w:rsidR="0079644F" w:rsidRPr="006616E4" w:rsidRDefault="0079644F" w:rsidP="00556927">
            <w:pPr>
              <w:spacing w:before="50" w:after="50" w:line="240" w:lineRule="exact"/>
              <w:jc w:val="center"/>
              <w:rPr>
                <w:rFonts w:eastAsia="SimSun"/>
                <w:sz w:val="18"/>
                <w:szCs w:val="18"/>
                <w:lang w:val="pt-BR" w:eastAsia="zh-CN"/>
              </w:rPr>
            </w:pPr>
          </w:p>
          <w:p w14:paraId="6502D2F3"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tc>
        <w:tc>
          <w:tcPr>
            <w:tcW w:w="1208" w:type="dxa"/>
            <w:tcBorders>
              <w:top w:val="single" w:sz="4" w:space="0" w:color="auto"/>
              <w:bottom w:val="single" w:sz="4" w:space="0" w:color="auto"/>
            </w:tcBorders>
            <w:tcMar>
              <w:top w:w="0" w:type="dxa"/>
              <w:left w:w="57" w:type="dxa"/>
              <w:bottom w:w="0" w:type="dxa"/>
              <w:right w:w="57" w:type="dxa"/>
            </w:tcMar>
          </w:tcPr>
          <w:p w14:paraId="38638DE4"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5E4746F5" w14:textId="77777777" w:rsidR="0079644F" w:rsidRPr="006616E4" w:rsidRDefault="0079644F" w:rsidP="00556927">
            <w:pPr>
              <w:spacing w:before="50" w:after="50" w:line="240" w:lineRule="exact"/>
              <w:jc w:val="center"/>
              <w:rPr>
                <w:rFonts w:eastAsia="SimSun"/>
                <w:sz w:val="18"/>
                <w:szCs w:val="18"/>
                <w:lang w:val="pt-BR" w:eastAsia="zh-CN"/>
              </w:rPr>
            </w:pPr>
          </w:p>
          <w:p w14:paraId="6F7A0AC1" w14:textId="77777777" w:rsidR="0079644F" w:rsidRPr="006616E4" w:rsidRDefault="0079644F" w:rsidP="00556927">
            <w:pPr>
              <w:spacing w:before="50" w:after="50" w:line="240" w:lineRule="exact"/>
              <w:jc w:val="center"/>
              <w:rPr>
                <w:rFonts w:eastAsia="SimSun"/>
                <w:sz w:val="18"/>
                <w:szCs w:val="18"/>
                <w:lang w:val="pt-BR" w:eastAsia="zh-CN"/>
              </w:rPr>
            </w:pPr>
          </w:p>
          <w:p w14:paraId="37FB8194"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46A6E128" w14:textId="77777777" w:rsidR="0079644F" w:rsidRPr="006616E4" w:rsidRDefault="0079644F" w:rsidP="00556927">
            <w:pPr>
              <w:spacing w:before="50" w:after="50" w:line="240" w:lineRule="exact"/>
              <w:jc w:val="center"/>
              <w:rPr>
                <w:rFonts w:eastAsia="SimSun"/>
                <w:sz w:val="18"/>
                <w:szCs w:val="18"/>
                <w:lang w:val="pt-BR" w:eastAsia="zh-CN"/>
              </w:rPr>
            </w:pPr>
          </w:p>
          <w:p w14:paraId="0B18A5EF" w14:textId="77777777" w:rsidR="0079644F" w:rsidRPr="006616E4" w:rsidRDefault="0079644F" w:rsidP="00556927">
            <w:pPr>
              <w:spacing w:before="50" w:after="50" w:line="240" w:lineRule="exact"/>
              <w:jc w:val="center"/>
              <w:rPr>
                <w:rFonts w:eastAsia="SimSun"/>
                <w:sz w:val="18"/>
                <w:szCs w:val="18"/>
                <w:lang w:val="pt-BR" w:eastAsia="zh-CN"/>
              </w:rPr>
            </w:pPr>
          </w:p>
          <w:p w14:paraId="4BA2729A"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3213614D" w14:textId="77777777" w:rsidR="0079644F" w:rsidRPr="006616E4" w:rsidRDefault="0079644F" w:rsidP="00556927">
            <w:pPr>
              <w:spacing w:before="50" w:after="50" w:line="240" w:lineRule="exact"/>
              <w:rPr>
                <w:rFonts w:eastAsia="SimSun"/>
                <w:sz w:val="18"/>
                <w:szCs w:val="18"/>
                <w:lang w:val="pt-BR" w:eastAsia="zh-CN"/>
              </w:rPr>
            </w:pPr>
          </w:p>
          <w:p w14:paraId="2C889B45" w14:textId="77777777" w:rsidR="0079644F" w:rsidRPr="006616E4" w:rsidRDefault="0079644F" w:rsidP="00556927">
            <w:pPr>
              <w:spacing w:before="50" w:after="50" w:line="240" w:lineRule="exact"/>
              <w:jc w:val="center"/>
              <w:rPr>
                <w:rFonts w:eastAsia="SimSun"/>
                <w:sz w:val="18"/>
                <w:szCs w:val="18"/>
                <w:lang w:val="pt-BR" w:eastAsia="zh-CN"/>
              </w:rPr>
            </w:pPr>
          </w:p>
          <w:p w14:paraId="0FB966CF"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56A9C447" w14:textId="77777777" w:rsidR="0079644F" w:rsidRPr="006616E4" w:rsidRDefault="0079644F" w:rsidP="00556927">
            <w:pPr>
              <w:spacing w:before="50" w:after="50" w:line="240" w:lineRule="exact"/>
              <w:jc w:val="center"/>
              <w:rPr>
                <w:rFonts w:eastAsia="SimSun"/>
                <w:sz w:val="18"/>
                <w:szCs w:val="18"/>
                <w:lang w:val="pt-BR" w:eastAsia="zh-CN"/>
              </w:rPr>
            </w:pPr>
          </w:p>
          <w:p w14:paraId="49DBB0A8"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p w14:paraId="0C150735" w14:textId="77777777" w:rsidR="0079644F" w:rsidRPr="006616E4" w:rsidRDefault="0079644F" w:rsidP="00556927">
            <w:pPr>
              <w:spacing w:before="50" w:after="50" w:line="240" w:lineRule="exact"/>
              <w:rPr>
                <w:rFonts w:eastAsia="SimSun"/>
                <w:sz w:val="18"/>
                <w:szCs w:val="18"/>
                <w:lang w:val="pt-BR" w:eastAsia="zh-CN"/>
              </w:rPr>
            </w:pPr>
          </w:p>
          <w:p w14:paraId="1DC23E7E" w14:textId="77777777" w:rsidR="0079644F" w:rsidRPr="006616E4" w:rsidRDefault="0079644F" w:rsidP="00556927">
            <w:pPr>
              <w:spacing w:before="50" w:after="50" w:line="240" w:lineRule="exact"/>
              <w:jc w:val="center"/>
              <w:rPr>
                <w:rFonts w:eastAsia="SimSun"/>
                <w:sz w:val="18"/>
                <w:szCs w:val="18"/>
                <w:lang w:val="pt-BR" w:eastAsia="zh-CN"/>
              </w:rPr>
            </w:pPr>
          </w:p>
          <w:p w14:paraId="3FE43121" w14:textId="77777777" w:rsidR="0079644F" w:rsidRPr="006616E4" w:rsidRDefault="0079644F" w:rsidP="00556927">
            <w:pPr>
              <w:spacing w:before="50" w:after="50" w:line="240" w:lineRule="exact"/>
              <w:jc w:val="center"/>
              <w:rPr>
                <w:rFonts w:eastAsia="SimSun"/>
                <w:sz w:val="18"/>
                <w:szCs w:val="18"/>
                <w:lang w:val="pt-BR" w:eastAsia="zh-CN"/>
              </w:rPr>
            </w:pPr>
            <w:r w:rsidRPr="006616E4">
              <w:rPr>
                <w:rFonts w:eastAsia="SimSun"/>
                <w:sz w:val="18"/>
                <w:szCs w:val="18"/>
                <w:lang w:val="pt-BR" w:eastAsia="zh-CN"/>
              </w:rPr>
              <w:t>N/A</w:t>
            </w:r>
          </w:p>
        </w:tc>
        <w:tc>
          <w:tcPr>
            <w:tcW w:w="1842" w:type="dxa"/>
            <w:tcBorders>
              <w:top w:val="single" w:sz="4" w:space="0" w:color="auto"/>
              <w:bottom w:val="single" w:sz="4" w:space="0" w:color="auto"/>
              <w:right w:val="nil"/>
            </w:tcBorders>
          </w:tcPr>
          <w:p w14:paraId="303D9229"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23*</w:t>
            </w:r>
          </w:p>
          <w:p w14:paraId="451CFA33"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(0,11; 0,</w:t>
            </w:r>
            <w:r w:rsidRPr="009030C1">
              <w:rPr>
                <w:rFonts w:eastAsia="SimSun"/>
                <w:sz w:val="18"/>
                <w:szCs w:val="18"/>
                <w:lang w:val="en-GB" w:eastAsia="zh-CN"/>
              </w:rPr>
              <w:t>46)</w:t>
            </w:r>
          </w:p>
          <w:p w14:paraId="03B73F10"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39**</w:t>
            </w:r>
          </w:p>
          <w:p w14:paraId="27FAF5B2"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(0,18; 0,82</w:t>
            </w:r>
            <w:r w:rsidRPr="009030C1">
              <w:rPr>
                <w:rFonts w:eastAsia="SimSun"/>
                <w:sz w:val="18"/>
                <w:szCs w:val="18"/>
                <w:lang w:val="en-GB" w:eastAsia="zh-CN"/>
              </w:rPr>
              <w:t>)</w:t>
            </w:r>
            <w:r w:rsidRPr="009030C1" w:rsidDel="00CA2630">
              <w:rPr>
                <w:rFonts w:eastAsia="SimSun"/>
                <w:sz w:val="18"/>
                <w:szCs w:val="18"/>
                <w:lang w:val="en-GB" w:eastAsia="zh-CN"/>
              </w:rPr>
              <w:t xml:space="preserve"> </w:t>
            </w:r>
          </w:p>
          <w:p w14:paraId="61B07FEF" w14:textId="77777777" w:rsidR="0079644F" w:rsidRPr="009030C1" w:rsidRDefault="0079644F" w:rsidP="00556927">
            <w:pPr>
              <w:spacing w:before="50" w:after="50" w:line="240" w:lineRule="exact"/>
              <w:jc w:val="center"/>
              <w:rPr>
                <w:rFonts w:eastAsia="SimSun"/>
                <w:sz w:val="18"/>
                <w:szCs w:val="18"/>
                <w:lang w:val="en-GB" w:eastAsia="zh-CN"/>
              </w:rPr>
            </w:pPr>
          </w:p>
          <w:p w14:paraId="4B28DE99"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23***</w:t>
            </w:r>
          </w:p>
          <w:p w14:paraId="79F06733"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(0,09; 0,</w:t>
            </w:r>
            <w:r w:rsidRPr="009030C1">
              <w:rPr>
                <w:rFonts w:eastAsia="SimSun"/>
                <w:sz w:val="18"/>
                <w:szCs w:val="18"/>
                <w:lang w:val="en-GB" w:eastAsia="zh-CN"/>
              </w:rPr>
              <w:t>61)</w:t>
            </w:r>
          </w:p>
          <w:p w14:paraId="16B404A5"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36</w:t>
            </w:r>
          </w:p>
          <w:p w14:paraId="1322DDD3" w14:textId="77777777" w:rsidR="0079644F" w:rsidRDefault="0079644F" w:rsidP="00556927">
            <w:pPr>
              <w:spacing w:line="240" w:lineRule="exact"/>
              <w:jc w:val="center"/>
              <w:rPr>
                <w:rFonts w:eastAsia="SimSun"/>
                <w:sz w:val="18"/>
                <w:szCs w:val="18"/>
                <w:lang w:val="en-GB" w:eastAsia="zh-CN"/>
              </w:rPr>
            </w:pPr>
          </w:p>
          <w:p w14:paraId="3BA49DC0"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(0,13; 1,</w:t>
            </w:r>
            <w:r w:rsidRPr="009030C1">
              <w:rPr>
                <w:rFonts w:eastAsia="SimSun"/>
                <w:sz w:val="18"/>
                <w:szCs w:val="18"/>
                <w:lang w:val="en-GB" w:eastAsia="zh-CN"/>
              </w:rPr>
              <w:t>00)</w:t>
            </w:r>
          </w:p>
          <w:p w14:paraId="3544AE22"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25***</w:t>
            </w:r>
          </w:p>
          <w:p w14:paraId="26D930F6" w14:textId="77777777" w:rsidR="0079644F" w:rsidRDefault="0079644F" w:rsidP="00556927">
            <w:pPr>
              <w:spacing w:line="240" w:lineRule="exact"/>
              <w:jc w:val="center"/>
              <w:rPr>
                <w:rFonts w:eastAsia="SimSun"/>
                <w:sz w:val="18"/>
                <w:szCs w:val="18"/>
                <w:lang w:val="en-GB" w:eastAsia="zh-CN"/>
              </w:rPr>
            </w:pPr>
          </w:p>
          <w:p w14:paraId="75380257"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(0,09; 0,</w:t>
            </w:r>
            <w:r w:rsidRPr="009030C1">
              <w:rPr>
                <w:rFonts w:eastAsia="SimSun"/>
                <w:sz w:val="18"/>
                <w:szCs w:val="18"/>
                <w:lang w:val="en-GB" w:eastAsia="zh-CN"/>
              </w:rPr>
              <w:t>70)</w:t>
            </w:r>
          </w:p>
          <w:p w14:paraId="00BEAD8F"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44</w:t>
            </w:r>
          </w:p>
          <w:p w14:paraId="2E14F46F" w14:textId="77777777" w:rsidR="0079644F" w:rsidRDefault="0079644F" w:rsidP="00556927">
            <w:pPr>
              <w:spacing w:line="240" w:lineRule="exact"/>
              <w:jc w:val="center"/>
              <w:rPr>
                <w:rFonts w:eastAsia="SimSun"/>
                <w:sz w:val="18"/>
                <w:szCs w:val="18"/>
                <w:lang w:val="en-GB" w:eastAsia="zh-CN"/>
              </w:rPr>
            </w:pPr>
          </w:p>
          <w:p w14:paraId="74F2039D" w14:textId="77777777" w:rsidR="0079644F" w:rsidRDefault="0079644F" w:rsidP="00556927">
            <w:pPr>
              <w:spacing w:line="240" w:lineRule="exact"/>
              <w:jc w:val="center"/>
              <w:rPr>
                <w:rFonts w:eastAsia="SimSun"/>
                <w:sz w:val="18"/>
                <w:szCs w:val="18"/>
                <w:lang w:val="en-GB" w:eastAsia="zh-CN"/>
              </w:rPr>
            </w:pPr>
          </w:p>
          <w:p w14:paraId="038199B5"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(0,14; 1,</w:t>
            </w:r>
            <w:r w:rsidRPr="009030C1">
              <w:rPr>
                <w:rFonts w:eastAsia="SimSun"/>
                <w:sz w:val="18"/>
                <w:szCs w:val="18"/>
                <w:lang w:val="en-GB" w:eastAsia="zh-CN"/>
              </w:rPr>
              <w:t>32)</w:t>
            </w:r>
          </w:p>
          <w:p w14:paraId="1DF273C5" w14:textId="77777777" w:rsidR="0079644F" w:rsidRPr="009030C1" w:rsidRDefault="0079644F" w:rsidP="00556927">
            <w:pPr>
              <w:spacing w:before="50" w:after="50" w:line="240" w:lineRule="exact"/>
              <w:jc w:val="center"/>
              <w:rPr>
                <w:rFonts w:eastAsia="SimSun"/>
                <w:sz w:val="18"/>
                <w:szCs w:val="18"/>
                <w:lang w:val="en-GB"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79501D30"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28**</w:t>
            </w:r>
          </w:p>
          <w:p w14:paraId="117CA55D"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(0,12; 0,</w:t>
            </w:r>
            <w:r w:rsidRPr="009030C1">
              <w:rPr>
                <w:rFonts w:eastAsia="SimSun"/>
                <w:sz w:val="18"/>
                <w:szCs w:val="18"/>
                <w:lang w:val="en-GB" w:eastAsia="zh-CN"/>
              </w:rPr>
              <w:t>66)</w:t>
            </w:r>
          </w:p>
          <w:p w14:paraId="75E09C0D"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48</w:t>
            </w:r>
          </w:p>
          <w:p w14:paraId="44CF9290"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(0,20; 1,</w:t>
            </w:r>
            <w:r w:rsidRPr="009030C1">
              <w:rPr>
                <w:rFonts w:eastAsia="SimSun"/>
                <w:sz w:val="18"/>
                <w:szCs w:val="18"/>
                <w:lang w:val="en-GB" w:eastAsia="zh-CN"/>
              </w:rPr>
              <w:t>16)</w:t>
            </w:r>
            <w:r w:rsidRPr="009030C1" w:rsidDel="00CA2630">
              <w:rPr>
                <w:rFonts w:eastAsia="SimSun"/>
                <w:sz w:val="18"/>
                <w:szCs w:val="18"/>
                <w:lang w:val="en-GB" w:eastAsia="zh-CN"/>
              </w:rPr>
              <w:t xml:space="preserve"> </w:t>
            </w:r>
          </w:p>
          <w:p w14:paraId="6A367142" w14:textId="77777777" w:rsidR="0079644F" w:rsidRPr="009030C1" w:rsidRDefault="0079644F" w:rsidP="00556927">
            <w:pPr>
              <w:spacing w:before="50" w:after="50" w:line="240" w:lineRule="exact"/>
              <w:jc w:val="center"/>
              <w:rPr>
                <w:rFonts w:eastAsia="SimSun"/>
                <w:sz w:val="18"/>
                <w:szCs w:val="18"/>
                <w:lang w:val="en-GB" w:eastAsia="zh-CN"/>
              </w:rPr>
            </w:pPr>
          </w:p>
          <w:p w14:paraId="45A3CDBD"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42</w:t>
            </w:r>
          </w:p>
          <w:p w14:paraId="3818A08E"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(0,14; 1,</w:t>
            </w:r>
            <w:r w:rsidRPr="009030C1">
              <w:rPr>
                <w:rFonts w:eastAsia="SimSun"/>
                <w:sz w:val="18"/>
                <w:szCs w:val="18"/>
                <w:lang w:val="en-GB" w:eastAsia="zh-CN"/>
              </w:rPr>
              <w:t>28)</w:t>
            </w:r>
          </w:p>
          <w:p w14:paraId="23D439B6"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67</w:t>
            </w:r>
          </w:p>
          <w:p w14:paraId="1FB6B198" w14:textId="77777777" w:rsidR="0079644F" w:rsidRDefault="0079644F" w:rsidP="00556927">
            <w:pPr>
              <w:spacing w:line="240" w:lineRule="exact"/>
              <w:jc w:val="center"/>
              <w:rPr>
                <w:rFonts w:eastAsia="SimSun"/>
                <w:sz w:val="18"/>
                <w:szCs w:val="18"/>
                <w:lang w:val="en-GB" w:eastAsia="zh-CN"/>
              </w:rPr>
            </w:pPr>
          </w:p>
          <w:p w14:paraId="3EC7C9B8" w14:textId="77777777" w:rsidR="0079644F" w:rsidRPr="009030C1" w:rsidRDefault="0079644F" w:rsidP="00556927">
            <w:pPr>
              <w:spacing w:line="240" w:lineRule="exact"/>
              <w:jc w:val="center"/>
              <w:rPr>
                <w:rFonts w:eastAsia="SimSun"/>
                <w:sz w:val="18"/>
                <w:szCs w:val="18"/>
                <w:lang w:val="en-GB" w:eastAsia="zh-CN"/>
              </w:rPr>
            </w:pPr>
            <w:r w:rsidRPr="009030C1">
              <w:rPr>
                <w:rFonts w:eastAsia="SimSun"/>
                <w:sz w:val="18"/>
                <w:szCs w:val="18"/>
                <w:lang w:val="en-GB" w:eastAsia="zh-CN"/>
              </w:rPr>
              <w:t>(0</w:t>
            </w:r>
            <w:r>
              <w:rPr>
                <w:rFonts w:eastAsia="SimSun"/>
                <w:sz w:val="18"/>
                <w:szCs w:val="18"/>
                <w:lang w:val="en-GB" w:eastAsia="zh-CN"/>
              </w:rPr>
              <w:t>,21; 2,</w:t>
            </w:r>
            <w:r w:rsidRPr="009030C1">
              <w:rPr>
                <w:rFonts w:eastAsia="SimSun"/>
                <w:sz w:val="18"/>
                <w:szCs w:val="18"/>
                <w:lang w:val="en-GB" w:eastAsia="zh-CN"/>
              </w:rPr>
              <w:t>10)</w:t>
            </w:r>
          </w:p>
          <w:p w14:paraId="119265D9"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20***</w:t>
            </w:r>
          </w:p>
          <w:p w14:paraId="3859ECAE" w14:textId="77777777" w:rsidR="0079644F" w:rsidRDefault="0079644F" w:rsidP="00556927">
            <w:pPr>
              <w:spacing w:line="240" w:lineRule="exact"/>
              <w:jc w:val="center"/>
              <w:rPr>
                <w:rFonts w:eastAsia="SimSun"/>
                <w:sz w:val="18"/>
                <w:szCs w:val="18"/>
                <w:lang w:val="en-GB" w:eastAsia="zh-CN"/>
              </w:rPr>
            </w:pPr>
          </w:p>
          <w:p w14:paraId="6CD9A78D"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(0,05; 0,</w:t>
            </w:r>
            <w:r w:rsidRPr="009030C1">
              <w:rPr>
                <w:rFonts w:eastAsia="SimSun"/>
                <w:sz w:val="18"/>
                <w:szCs w:val="18"/>
                <w:lang w:val="en-GB" w:eastAsia="zh-CN"/>
              </w:rPr>
              <w:t>76)</w:t>
            </w:r>
          </w:p>
          <w:p w14:paraId="74FDABFA" w14:textId="77777777" w:rsidR="0079644F" w:rsidRDefault="0079644F" w:rsidP="00556927">
            <w:pPr>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35</w:t>
            </w:r>
          </w:p>
          <w:p w14:paraId="42BB9B6B" w14:textId="77777777" w:rsidR="0079644F" w:rsidRPr="009030C1" w:rsidRDefault="0079644F" w:rsidP="00556927">
            <w:pPr>
              <w:spacing w:line="240" w:lineRule="exact"/>
              <w:jc w:val="center"/>
              <w:rPr>
                <w:rFonts w:eastAsia="SimSun"/>
                <w:sz w:val="18"/>
                <w:szCs w:val="18"/>
                <w:lang w:val="en-GB" w:eastAsia="zh-CN"/>
              </w:rPr>
            </w:pPr>
          </w:p>
          <w:p w14:paraId="32462C9E" w14:textId="77777777" w:rsidR="0079644F" w:rsidRDefault="0079644F" w:rsidP="00556927">
            <w:pPr>
              <w:spacing w:line="240" w:lineRule="exact"/>
              <w:jc w:val="center"/>
              <w:rPr>
                <w:rFonts w:eastAsia="SimSun"/>
                <w:sz w:val="18"/>
                <w:szCs w:val="18"/>
                <w:lang w:val="en-GB" w:eastAsia="zh-CN"/>
              </w:rPr>
            </w:pPr>
          </w:p>
          <w:p w14:paraId="492A6D95" w14:textId="77777777" w:rsidR="0079644F" w:rsidRPr="009030C1" w:rsidRDefault="0079644F" w:rsidP="00556927">
            <w:pPr>
              <w:spacing w:line="240" w:lineRule="exact"/>
              <w:jc w:val="center"/>
              <w:rPr>
                <w:rFonts w:eastAsia="SimSun"/>
                <w:sz w:val="18"/>
                <w:szCs w:val="18"/>
                <w:lang w:val="en-GB" w:eastAsia="zh-CN"/>
              </w:rPr>
            </w:pPr>
            <w:r>
              <w:rPr>
                <w:rFonts w:eastAsia="SimSun"/>
                <w:sz w:val="18"/>
                <w:szCs w:val="18"/>
                <w:lang w:val="en-GB" w:eastAsia="zh-CN"/>
              </w:rPr>
              <w:t>(0,09; 1,</w:t>
            </w:r>
            <w:r w:rsidRPr="009030C1">
              <w:rPr>
                <w:rFonts w:eastAsia="SimSun"/>
                <w:sz w:val="18"/>
                <w:szCs w:val="18"/>
                <w:lang w:val="en-GB" w:eastAsia="zh-CN"/>
              </w:rPr>
              <w:t>42)</w:t>
            </w:r>
          </w:p>
          <w:p w14:paraId="7BBAD234" w14:textId="77777777" w:rsidR="0079644F" w:rsidRPr="009030C1" w:rsidRDefault="0079644F" w:rsidP="00556927">
            <w:pPr>
              <w:spacing w:before="50" w:after="50" w:line="240" w:lineRule="exact"/>
              <w:jc w:val="center"/>
              <w:rPr>
                <w:rFonts w:eastAsia="SimSun"/>
                <w:sz w:val="18"/>
                <w:szCs w:val="18"/>
                <w:lang w:val="en-GB" w:eastAsia="zh-CN"/>
              </w:rPr>
            </w:pPr>
          </w:p>
        </w:tc>
      </w:tr>
      <w:tr w:rsidR="0079644F" w:rsidRPr="009030C1" w14:paraId="7849BDA0" w14:textId="77777777" w:rsidTr="00484513">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48A9E931" w14:textId="77777777" w:rsidR="0079644F" w:rsidRPr="006868F5" w:rsidRDefault="0079644F" w:rsidP="00556927">
            <w:pPr>
              <w:spacing w:before="50" w:after="50" w:line="240" w:lineRule="exact"/>
              <w:rPr>
                <w:rFonts w:eastAsia="SimSun"/>
                <w:sz w:val="18"/>
                <w:szCs w:val="18"/>
                <w:lang w:val="es-ES" w:eastAsia="zh-CN"/>
              </w:rPr>
            </w:pPr>
            <w:r w:rsidRPr="006868F5">
              <w:rPr>
                <w:rFonts w:eastAsia="SimSun"/>
                <w:sz w:val="18"/>
                <w:szCs w:val="18"/>
                <w:lang w:val="es-ES" w:eastAsia="zh-CN"/>
              </w:rPr>
              <w:t>Dosis acumulada de glucocorticoides (mg)</w:t>
            </w:r>
          </w:p>
          <w:p w14:paraId="3963DCDC" w14:textId="34A61FE0" w:rsidR="0079644F" w:rsidRPr="006868F5" w:rsidRDefault="0079644F" w:rsidP="00556927">
            <w:pPr>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mediana en la </w:t>
            </w:r>
            <w:r w:rsidR="003532C2">
              <w:rPr>
                <w:rFonts w:eastAsia="SimSun"/>
                <w:sz w:val="18"/>
                <w:szCs w:val="18"/>
                <w:lang w:val="es-ES" w:eastAsia="zh-CN"/>
              </w:rPr>
              <w:t>s</w:t>
            </w:r>
            <w:r w:rsidR="003532C2" w:rsidRPr="006868F5">
              <w:rPr>
                <w:rFonts w:eastAsia="SimSun"/>
                <w:sz w:val="18"/>
                <w:szCs w:val="18"/>
                <w:lang w:val="es-ES" w:eastAsia="zh-CN"/>
              </w:rPr>
              <w:t xml:space="preserve">emana </w:t>
            </w:r>
            <w:r w:rsidRPr="006868F5">
              <w:rPr>
                <w:rFonts w:eastAsia="SimSun"/>
                <w:sz w:val="18"/>
                <w:szCs w:val="18"/>
                <w:lang w:val="es-ES" w:eastAsia="zh-CN"/>
              </w:rPr>
              <w:t>52 (</w:t>
            </w:r>
            <w:r>
              <w:rPr>
                <w:rFonts w:eastAsia="SimSun"/>
                <w:sz w:val="18"/>
                <w:szCs w:val="18"/>
                <w:lang w:val="es-ES" w:eastAsia="zh-CN"/>
              </w:rPr>
              <w:t xml:space="preserve">grupos </w:t>
            </w:r>
            <w:r w:rsidRPr="006868F5">
              <w:rPr>
                <w:rFonts w:eastAsia="SimSun"/>
                <w:sz w:val="18"/>
                <w:szCs w:val="18"/>
                <w:lang w:val="es-ES" w:eastAsia="zh-CN"/>
              </w:rPr>
              <w:t>Tocilizumab</w:t>
            </w:r>
            <w:r w:rsidRPr="007703ED">
              <w:rPr>
                <w:rFonts w:eastAsia="SimSun"/>
                <w:sz w:val="18"/>
                <w:szCs w:val="18"/>
                <w:lang w:val="es-ES" w:eastAsia="zh-CN"/>
              </w:rPr>
              <w:t xml:space="preserve"> </w:t>
            </w:r>
            <w:r w:rsidRPr="006868F5">
              <w:rPr>
                <w:rFonts w:eastAsia="SimSun"/>
                <w:sz w:val="18"/>
                <w:szCs w:val="18"/>
                <w:lang w:val="es-ES" w:eastAsia="zh-CN"/>
              </w:rPr>
              <w:t>vs Placebo+26</w:t>
            </w:r>
            <w:r w:rsidRPr="006868F5">
              <w:rPr>
                <w:rFonts w:eastAsia="SimSun"/>
                <w:sz w:val="18"/>
                <w:szCs w:val="18"/>
                <w:vertAlign w:val="superscript"/>
                <w:lang w:val="es-ES" w:eastAsia="zh-CN"/>
              </w:rPr>
              <w:t>2</w:t>
            </w:r>
            <w:r w:rsidRPr="006868F5">
              <w:rPr>
                <w:rFonts w:eastAsia="SimSun"/>
                <w:sz w:val="18"/>
                <w:szCs w:val="18"/>
                <w:lang w:val="es-ES" w:eastAsia="zh-CN"/>
              </w:rPr>
              <w:t xml:space="preserve">)                          </w:t>
            </w:r>
          </w:p>
          <w:p w14:paraId="471CB884" w14:textId="79311C27" w:rsidR="0079644F" w:rsidRPr="006868F5" w:rsidRDefault="0079644F" w:rsidP="00556927">
            <w:pPr>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mediana en la </w:t>
            </w:r>
            <w:r w:rsidR="003532C2">
              <w:rPr>
                <w:rFonts w:eastAsia="SimSun"/>
                <w:sz w:val="18"/>
                <w:szCs w:val="18"/>
                <w:lang w:val="es-ES" w:eastAsia="zh-CN"/>
              </w:rPr>
              <w:t>s</w:t>
            </w:r>
            <w:r w:rsidR="003532C2" w:rsidRPr="006868F5">
              <w:rPr>
                <w:rFonts w:eastAsia="SimSun"/>
                <w:sz w:val="18"/>
                <w:szCs w:val="18"/>
                <w:lang w:val="es-ES" w:eastAsia="zh-CN"/>
              </w:rPr>
              <w:t>emana</w:t>
            </w:r>
            <w:r w:rsidR="003532C2">
              <w:rPr>
                <w:rFonts w:eastAsia="SimSun"/>
                <w:sz w:val="18"/>
                <w:szCs w:val="18"/>
                <w:lang w:val="es-ES" w:eastAsia="zh-CN"/>
              </w:rPr>
              <w:t xml:space="preserve"> </w:t>
            </w:r>
            <w:r w:rsidRPr="006868F5">
              <w:rPr>
                <w:rFonts w:eastAsia="SimSun"/>
                <w:sz w:val="18"/>
                <w:szCs w:val="18"/>
                <w:lang w:val="es-ES" w:eastAsia="zh-CN"/>
              </w:rPr>
              <w:t>52 (</w:t>
            </w:r>
            <w:r>
              <w:rPr>
                <w:rFonts w:eastAsia="SimSun"/>
                <w:sz w:val="18"/>
                <w:szCs w:val="18"/>
                <w:lang w:val="es-ES" w:eastAsia="zh-CN"/>
              </w:rPr>
              <w:t>grupos</w:t>
            </w:r>
            <w:r w:rsidRPr="006868F5">
              <w:rPr>
                <w:rFonts w:eastAsia="SimSun"/>
                <w:sz w:val="18"/>
                <w:szCs w:val="18"/>
                <w:lang w:val="es-ES" w:eastAsia="zh-CN"/>
              </w:rPr>
              <w:t>Tocilizumab vs Placebo +52</w:t>
            </w:r>
            <w:r w:rsidRPr="006868F5">
              <w:rPr>
                <w:rFonts w:eastAsia="SimSun"/>
                <w:sz w:val="18"/>
                <w:szCs w:val="18"/>
                <w:vertAlign w:val="superscript"/>
                <w:lang w:val="es-ES" w:eastAsia="zh-CN"/>
              </w:rPr>
              <w:t>2</w:t>
            </w:r>
            <w:r w:rsidRPr="006868F5">
              <w:rPr>
                <w:rFonts w:eastAsia="SimSun"/>
                <w:sz w:val="18"/>
                <w:szCs w:val="18"/>
                <w:lang w:val="es-ES" w:eastAsia="zh-CN"/>
              </w:rPr>
              <w:t xml:space="preserve">)                         </w:t>
            </w:r>
          </w:p>
        </w:tc>
        <w:tc>
          <w:tcPr>
            <w:tcW w:w="919" w:type="dxa"/>
            <w:gridSpan w:val="2"/>
            <w:tcBorders>
              <w:top w:val="single" w:sz="4" w:space="0" w:color="auto"/>
              <w:bottom w:val="single" w:sz="4" w:space="0" w:color="auto"/>
            </w:tcBorders>
            <w:tcMar>
              <w:top w:w="0" w:type="dxa"/>
              <w:left w:w="57" w:type="dxa"/>
              <w:bottom w:w="0" w:type="dxa"/>
              <w:right w:w="57" w:type="dxa"/>
            </w:tcMar>
          </w:tcPr>
          <w:p w14:paraId="33DF7C91" w14:textId="77777777" w:rsidR="0079644F" w:rsidRPr="006868F5" w:rsidRDefault="0079644F" w:rsidP="00556927">
            <w:pPr>
              <w:spacing w:before="50" w:after="50" w:line="240" w:lineRule="exact"/>
              <w:jc w:val="center"/>
              <w:rPr>
                <w:rFonts w:eastAsia="SimSun"/>
                <w:sz w:val="18"/>
                <w:szCs w:val="18"/>
                <w:lang w:val="es-ES" w:eastAsia="zh-CN"/>
              </w:rPr>
            </w:pPr>
          </w:p>
          <w:p w14:paraId="1FBA8DA3"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3.296,</w:t>
            </w:r>
            <w:r w:rsidRPr="009030C1">
              <w:rPr>
                <w:rFonts w:eastAsia="SimSun"/>
                <w:sz w:val="18"/>
                <w:szCs w:val="18"/>
                <w:lang w:val="en-GB" w:eastAsia="zh-CN"/>
              </w:rPr>
              <w:t>00</w:t>
            </w:r>
          </w:p>
          <w:p w14:paraId="52D85A37" w14:textId="77777777" w:rsidR="0079644F" w:rsidRDefault="0079644F" w:rsidP="00556927">
            <w:pPr>
              <w:spacing w:before="50" w:after="50" w:line="240" w:lineRule="exact"/>
              <w:jc w:val="center"/>
              <w:rPr>
                <w:rFonts w:eastAsia="SimSun"/>
                <w:sz w:val="18"/>
                <w:szCs w:val="18"/>
                <w:lang w:val="en-GB" w:eastAsia="zh-CN"/>
              </w:rPr>
            </w:pPr>
          </w:p>
          <w:p w14:paraId="5109CC11"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208" w:type="dxa"/>
            <w:tcBorders>
              <w:top w:val="single" w:sz="4" w:space="0" w:color="auto"/>
              <w:bottom w:val="single" w:sz="4" w:space="0" w:color="auto"/>
            </w:tcBorders>
            <w:tcMar>
              <w:top w:w="0" w:type="dxa"/>
              <w:left w:w="57" w:type="dxa"/>
              <w:bottom w:w="0" w:type="dxa"/>
              <w:right w:w="57" w:type="dxa"/>
            </w:tcMar>
          </w:tcPr>
          <w:p w14:paraId="7FE68B14" w14:textId="77777777" w:rsidR="0079644F" w:rsidRPr="009030C1" w:rsidRDefault="0079644F" w:rsidP="00556927">
            <w:pPr>
              <w:spacing w:before="50" w:after="50" w:line="240" w:lineRule="exact"/>
              <w:jc w:val="center"/>
              <w:rPr>
                <w:rFonts w:eastAsia="SimSun"/>
                <w:sz w:val="18"/>
                <w:szCs w:val="18"/>
                <w:lang w:val="en-GB" w:eastAsia="zh-CN"/>
              </w:rPr>
            </w:pPr>
          </w:p>
          <w:p w14:paraId="4A72757A"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p w14:paraId="2411A2DD" w14:textId="77777777" w:rsidR="0079644F" w:rsidRDefault="0079644F" w:rsidP="00556927">
            <w:pPr>
              <w:spacing w:before="50" w:after="50" w:line="240" w:lineRule="exact"/>
              <w:jc w:val="center"/>
              <w:rPr>
                <w:rFonts w:eastAsia="SimSun"/>
                <w:sz w:val="18"/>
                <w:szCs w:val="18"/>
                <w:lang w:val="en-GB" w:eastAsia="zh-CN"/>
              </w:rPr>
            </w:pPr>
          </w:p>
          <w:p w14:paraId="53A1AE15"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3.817,</w:t>
            </w:r>
            <w:r w:rsidRPr="009030C1">
              <w:rPr>
                <w:rFonts w:eastAsia="SimSun"/>
                <w:sz w:val="18"/>
                <w:szCs w:val="18"/>
                <w:lang w:val="en-GB" w:eastAsia="zh-CN"/>
              </w:rPr>
              <w:t>50</w:t>
            </w:r>
          </w:p>
        </w:tc>
        <w:tc>
          <w:tcPr>
            <w:tcW w:w="1842" w:type="dxa"/>
            <w:tcBorders>
              <w:top w:val="single" w:sz="4" w:space="0" w:color="auto"/>
              <w:bottom w:val="single" w:sz="4" w:space="0" w:color="auto"/>
              <w:right w:val="nil"/>
            </w:tcBorders>
          </w:tcPr>
          <w:p w14:paraId="7CA04580" w14:textId="77777777" w:rsidR="0079644F" w:rsidRPr="009030C1" w:rsidRDefault="0079644F" w:rsidP="00556927">
            <w:pPr>
              <w:spacing w:before="50" w:after="50" w:line="240" w:lineRule="exact"/>
              <w:jc w:val="center"/>
              <w:rPr>
                <w:rFonts w:eastAsia="SimSun"/>
                <w:sz w:val="18"/>
                <w:szCs w:val="18"/>
                <w:lang w:val="en-GB" w:eastAsia="zh-CN"/>
              </w:rPr>
            </w:pPr>
          </w:p>
          <w:p w14:paraId="2B973297"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p w14:paraId="627CA4B1" w14:textId="77777777" w:rsidR="0079644F" w:rsidRDefault="0079644F" w:rsidP="00556927">
            <w:pPr>
              <w:spacing w:before="50" w:after="50" w:line="240" w:lineRule="exact"/>
              <w:jc w:val="center"/>
              <w:rPr>
                <w:rFonts w:eastAsia="SimSun"/>
                <w:sz w:val="18"/>
                <w:szCs w:val="18"/>
                <w:lang w:val="en-GB" w:eastAsia="zh-CN"/>
              </w:rPr>
            </w:pPr>
          </w:p>
          <w:p w14:paraId="62C71256"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0A1746A3" w14:textId="77777777" w:rsidR="0079644F" w:rsidRPr="009030C1" w:rsidRDefault="0079644F" w:rsidP="00556927">
            <w:pPr>
              <w:spacing w:before="50" w:after="50" w:line="240" w:lineRule="exact"/>
              <w:jc w:val="center"/>
              <w:rPr>
                <w:rFonts w:eastAsia="SimSun"/>
                <w:sz w:val="18"/>
                <w:szCs w:val="18"/>
                <w:lang w:val="en-GB" w:eastAsia="zh-CN"/>
              </w:rPr>
            </w:pPr>
          </w:p>
          <w:p w14:paraId="39FD8314"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p w14:paraId="4D9A6205" w14:textId="77777777" w:rsidR="0079644F" w:rsidRDefault="0079644F" w:rsidP="00556927">
            <w:pPr>
              <w:spacing w:before="50" w:after="50" w:line="240" w:lineRule="exact"/>
              <w:jc w:val="center"/>
              <w:rPr>
                <w:rFonts w:eastAsia="SimSun"/>
                <w:sz w:val="18"/>
                <w:szCs w:val="18"/>
                <w:lang w:val="en-GB" w:eastAsia="zh-CN"/>
              </w:rPr>
            </w:pPr>
          </w:p>
          <w:p w14:paraId="36AF25CB"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tc>
      </w:tr>
      <w:tr w:rsidR="0079644F" w:rsidRPr="009030C1" w14:paraId="5946885E" w14:textId="77777777" w:rsidTr="00FF2AFA">
        <w:trPr>
          <w:cantSplit/>
        </w:trPr>
        <w:tc>
          <w:tcPr>
            <w:tcW w:w="10346" w:type="dxa"/>
            <w:gridSpan w:val="9"/>
            <w:tcBorders>
              <w:top w:val="single" w:sz="4" w:space="0" w:color="auto"/>
              <w:left w:val="single" w:sz="4" w:space="0" w:color="auto"/>
              <w:bottom w:val="single" w:sz="4" w:space="0" w:color="auto"/>
              <w:right w:val="single" w:sz="8" w:space="0" w:color="auto"/>
            </w:tcBorders>
          </w:tcPr>
          <w:p w14:paraId="3FFC9E02" w14:textId="7992FBCB" w:rsidR="0079644F" w:rsidRPr="009030C1" w:rsidRDefault="0079644F" w:rsidP="00556927">
            <w:pPr>
              <w:spacing w:before="50" w:after="50" w:line="240" w:lineRule="exact"/>
              <w:rPr>
                <w:rFonts w:eastAsia="SimSun"/>
                <w:b/>
                <w:sz w:val="18"/>
                <w:szCs w:val="18"/>
                <w:lang w:val="en-GB" w:eastAsia="zh-CN"/>
              </w:rPr>
            </w:pPr>
            <w:del w:id="1068" w:author="AUTHOR">
              <w:r w:rsidDel="00562CA7">
                <w:rPr>
                  <w:rFonts w:eastAsia="SimSun"/>
                  <w:b/>
                  <w:sz w:val="18"/>
                  <w:szCs w:val="18"/>
                  <w:lang w:val="en-GB" w:eastAsia="zh-CN"/>
                </w:rPr>
                <w:delText xml:space="preserve"> Objetivos</w:delText>
              </w:r>
            </w:del>
            <w:ins w:id="1069" w:author="AUTHOR">
              <w:r w:rsidR="00562CA7">
                <w:rPr>
                  <w:rFonts w:eastAsia="SimSun"/>
                  <w:b/>
                  <w:sz w:val="18"/>
                  <w:szCs w:val="18"/>
                  <w:lang w:val="en-GB" w:eastAsia="zh-CN"/>
                </w:rPr>
                <w:t>Variables</w:t>
              </w:r>
            </w:ins>
            <w:r>
              <w:rPr>
                <w:rFonts w:eastAsia="SimSun"/>
                <w:b/>
                <w:sz w:val="18"/>
                <w:szCs w:val="18"/>
                <w:lang w:val="en-GB" w:eastAsia="zh-CN"/>
              </w:rPr>
              <w:t xml:space="preserve"> exploratorios</w:t>
            </w:r>
          </w:p>
        </w:tc>
      </w:tr>
      <w:tr w:rsidR="0079644F" w:rsidRPr="009030C1" w14:paraId="261D571C" w14:textId="77777777" w:rsidTr="00FF2AFA">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01EA6F98" w14:textId="6C11F814" w:rsidR="0079644F" w:rsidRPr="00EF2448" w:rsidRDefault="0079644F" w:rsidP="00556927">
            <w:pPr>
              <w:spacing w:before="50" w:after="50" w:line="240" w:lineRule="exact"/>
              <w:rPr>
                <w:rFonts w:eastAsia="SimSun"/>
                <w:sz w:val="18"/>
                <w:szCs w:val="18"/>
                <w:lang w:val="pt-BR" w:eastAsia="zh-CN"/>
              </w:rPr>
            </w:pPr>
            <w:r w:rsidRPr="00EF2448">
              <w:rPr>
                <w:rFonts w:eastAsia="SimSun"/>
                <w:sz w:val="18"/>
                <w:szCs w:val="18"/>
                <w:lang w:val="pt-BR" w:eastAsia="zh-CN"/>
              </w:rPr>
              <w:t xml:space="preserve">Tasa de recaída anual, </w:t>
            </w:r>
            <w:r w:rsidR="003532C2">
              <w:rPr>
                <w:rFonts w:eastAsia="SimSun"/>
                <w:sz w:val="18"/>
                <w:szCs w:val="18"/>
                <w:lang w:val="pt-BR" w:eastAsia="zh-CN"/>
              </w:rPr>
              <w:t>s</w:t>
            </w:r>
            <w:r w:rsidR="003532C2" w:rsidRPr="00EF2448">
              <w:rPr>
                <w:rFonts w:eastAsia="SimSun"/>
                <w:sz w:val="18"/>
                <w:szCs w:val="18"/>
                <w:lang w:val="pt-BR" w:eastAsia="zh-CN"/>
              </w:rPr>
              <w:t xml:space="preserve">emana </w:t>
            </w:r>
            <w:r w:rsidRPr="00EF2448">
              <w:rPr>
                <w:rFonts w:eastAsia="SimSun"/>
                <w:sz w:val="18"/>
                <w:szCs w:val="18"/>
                <w:lang w:val="pt-BR" w:eastAsia="zh-CN"/>
              </w:rPr>
              <w:t>52</w:t>
            </w:r>
            <w:r w:rsidRPr="00EF2448">
              <w:rPr>
                <w:rFonts w:eastAsia="SimSun"/>
                <w:sz w:val="18"/>
                <w:szCs w:val="18"/>
                <w:vertAlign w:val="superscript"/>
                <w:lang w:val="pt-BR" w:eastAsia="zh-CN"/>
              </w:rPr>
              <w:t>§</w:t>
            </w:r>
          </w:p>
          <w:p w14:paraId="19C7CDD9" w14:textId="77777777" w:rsidR="0079644F" w:rsidRPr="00EF2448" w:rsidRDefault="0079644F" w:rsidP="00556927">
            <w:pPr>
              <w:spacing w:before="50" w:after="50" w:line="240" w:lineRule="exact"/>
              <w:rPr>
                <w:rFonts w:eastAsia="SimSun"/>
                <w:sz w:val="18"/>
                <w:szCs w:val="18"/>
                <w:lang w:val="pt-BR" w:eastAsia="zh-CN"/>
              </w:rPr>
            </w:pPr>
            <w:r w:rsidRPr="00EF2448">
              <w:rPr>
                <w:rFonts w:eastAsia="SimSun"/>
                <w:sz w:val="18"/>
                <w:szCs w:val="18"/>
                <w:lang w:val="pt-BR" w:eastAsia="zh-CN"/>
              </w:rPr>
              <w:t xml:space="preserve">               </w:t>
            </w:r>
          </w:p>
          <w:p w14:paraId="2130B715" w14:textId="77777777" w:rsidR="0079644F" w:rsidRPr="00F30AB8" w:rsidRDefault="0079644F" w:rsidP="00556927">
            <w:pPr>
              <w:spacing w:before="50" w:after="50" w:line="240" w:lineRule="exact"/>
              <w:rPr>
                <w:rFonts w:eastAsia="SimSun"/>
                <w:sz w:val="18"/>
                <w:szCs w:val="18"/>
                <w:lang w:val="it-IT" w:eastAsia="zh-CN"/>
              </w:rPr>
            </w:pPr>
            <w:r w:rsidRPr="00EF2448">
              <w:rPr>
                <w:rFonts w:eastAsia="SimSun"/>
                <w:sz w:val="18"/>
                <w:szCs w:val="18"/>
                <w:lang w:val="pt-BR" w:eastAsia="zh-CN"/>
              </w:rPr>
              <w:t xml:space="preserve">  </w:t>
            </w:r>
            <w:r w:rsidRPr="00F30AB8">
              <w:rPr>
                <w:rFonts w:eastAsia="SimSun"/>
                <w:sz w:val="18"/>
                <w:szCs w:val="18"/>
                <w:lang w:val="it-IT" w:eastAsia="zh-CN"/>
              </w:rPr>
              <w:t>Media (DE)</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64EC626A" w14:textId="77777777" w:rsidR="0079644F" w:rsidRPr="00F30AB8" w:rsidRDefault="0079644F" w:rsidP="00556927">
            <w:pPr>
              <w:spacing w:before="50" w:after="50" w:line="240" w:lineRule="exact"/>
              <w:jc w:val="center"/>
              <w:rPr>
                <w:rFonts w:eastAsia="SimSun"/>
                <w:sz w:val="18"/>
                <w:szCs w:val="18"/>
                <w:lang w:val="it-IT" w:eastAsia="zh-CN"/>
              </w:rPr>
            </w:pPr>
          </w:p>
          <w:p w14:paraId="5B8868C7" w14:textId="77777777" w:rsidR="0079644F"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w:t>
            </w:r>
            <w:r w:rsidRPr="009030C1">
              <w:rPr>
                <w:rFonts w:eastAsia="SimSun"/>
                <w:sz w:val="18"/>
                <w:szCs w:val="18"/>
                <w:lang w:val="en-GB" w:eastAsia="zh-CN"/>
              </w:rPr>
              <w:t xml:space="preserve">74 </w:t>
            </w:r>
          </w:p>
          <w:p w14:paraId="1B288631"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(2,</w:t>
            </w:r>
            <w:r w:rsidRPr="009030C1">
              <w:rPr>
                <w:rFonts w:eastAsia="SimSun"/>
                <w:sz w:val="18"/>
                <w:szCs w:val="18"/>
                <w:lang w:val="en-GB" w:eastAsia="zh-CN"/>
              </w:rPr>
              <w:t>18)</w:t>
            </w:r>
          </w:p>
        </w:tc>
        <w:tc>
          <w:tcPr>
            <w:tcW w:w="1418" w:type="dxa"/>
            <w:gridSpan w:val="2"/>
            <w:tcBorders>
              <w:top w:val="single" w:sz="4" w:space="0" w:color="auto"/>
              <w:bottom w:val="single" w:sz="4" w:space="0" w:color="auto"/>
            </w:tcBorders>
            <w:tcMar>
              <w:top w:w="0" w:type="dxa"/>
              <w:left w:w="57" w:type="dxa"/>
              <w:bottom w:w="0" w:type="dxa"/>
              <w:right w:w="57" w:type="dxa"/>
            </w:tcMar>
            <w:vAlign w:val="center"/>
          </w:tcPr>
          <w:p w14:paraId="7CB0CEDA" w14:textId="77777777" w:rsidR="0079644F" w:rsidRPr="009030C1" w:rsidRDefault="0079644F" w:rsidP="00556927">
            <w:pPr>
              <w:spacing w:before="50" w:after="50" w:line="240" w:lineRule="exact"/>
              <w:jc w:val="center"/>
              <w:rPr>
                <w:rFonts w:eastAsia="SimSun"/>
                <w:sz w:val="18"/>
                <w:szCs w:val="18"/>
                <w:lang w:val="en-GB" w:eastAsia="zh-CN"/>
              </w:rPr>
            </w:pPr>
          </w:p>
          <w:p w14:paraId="25FC8539" w14:textId="77777777" w:rsidR="0079644F"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1,</w:t>
            </w:r>
            <w:r w:rsidRPr="009030C1">
              <w:rPr>
                <w:rFonts w:eastAsia="SimSun"/>
                <w:sz w:val="18"/>
                <w:szCs w:val="18"/>
                <w:lang w:val="en-GB" w:eastAsia="zh-CN"/>
              </w:rPr>
              <w:t xml:space="preserve">30 </w:t>
            </w:r>
          </w:p>
          <w:p w14:paraId="638F9147" w14:textId="77777777" w:rsidR="0079644F" w:rsidRPr="009030C1" w:rsidRDefault="0079644F" w:rsidP="00556927">
            <w:pPr>
              <w:spacing w:before="50" w:after="50" w:line="240" w:lineRule="exact"/>
              <w:jc w:val="center"/>
              <w:rPr>
                <w:rFonts w:eastAsia="SimSun"/>
                <w:sz w:val="18"/>
                <w:szCs w:val="18"/>
                <w:lang w:val="en-GB" w:eastAsia="zh-CN"/>
              </w:rPr>
            </w:pPr>
            <w:r w:rsidRPr="009030C1">
              <w:rPr>
                <w:rFonts w:eastAsia="SimSun"/>
                <w:sz w:val="18"/>
                <w:szCs w:val="18"/>
                <w:lang w:val="en-GB" w:eastAsia="zh-CN"/>
              </w:rPr>
              <w:t>(</w:t>
            </w:r>
            <w:r>
              <w:rPr>
                <w:rFonts w:eastAsia="SimSun"/>
                <w:sz w:val="18"/>
                <w:szCs w:val="18"/>
                <w:lang w:val="en-GB" w:eastAsia="zh-CN"/>
              </w:rPr>
              <w:t>1,</w:t>
            </w:r>
            <w:r w:rsidRPr="009030C1">
              <w:rPr>
                <w:rFonts w:eastAsia="SimSun"/>
                <w:sz w:val="18"/>
                <w:szCs w:val="18"/>
                <w:lang w:val="en-GB" w:eastAsia="zh-CN"/>
              </w:rPr>
              <w:t>84)</w:t>
            </w:r>
          </w:p>
        </w:tc>
        <w:tc>
          <w:tcPr>
            <w:tcW w:w="1842" w:type="dxa"/>
            <w:tcBorders>
              <w:top w:val="single" w:sz="4" w:space="0" w:color="auto"/>
              <w:bottom w:val="single" w:sz="4" w:space="0" w:color="auto"/>
              <w:right w:val="nil"/>
            </w:tcBorders>
            <w:vAlign w:val="center"/>
          </w:tcPr>
          <w:p w14:paraId="15C54C21" w14:textId="77777777" w:rsidR="0079644F" w:rsidRPr="009030C1" w:rsidRDefault="0079644F" w:rsidP="00556927">
            <w:pPr>
              <w:spacing w:before="50" w:after="50" w:line="240" w:lineRule="exact"/>
              <w:jc w:val="center"/>
              <w:rPr>
                <w:rFonts w:eastAsia="SimSun"/>
                <w:sz w:val="18"/>
                <w:szCs w:val="18"/>
                <w:lang w:val="en-GB" w:eastAsia="zh-CN"/>
              </w:rPr>
            </w:pPr>
          </w:p>
          <w:p w14:paraId="4D0640B7" w14:textId="77777777" w:rsidR="0079644F"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41</w:t>
            </w:r>
          </w:p>
          <w:p w14:paraId="03ED8533"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 xml:space="preserve"> (0,</w:t>
            </w:r>
            <w:r w:rsidRPr="009030C1">
              <w:rPr>
                <w:rFonts w:eastAsia="SimSun"/>
                <w:sz w:val="18"/>
                <w:szCs w:val="18"/>
                <w:lang w:val="en-GB" w:eastAsia="zh-CN"/>
              </w:rPr>
              <w:t>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4A1BAB67" w14:textId="77777777" w:rsidR="0079644F" w:rsidRPr="009030C1" w:rsidRDefault="0079644F" w:rsidP="00556927">
            <w:pPr>
              <w:spacing w:before="50" w:after="50" w:line="240" w:lineRule="exact"/>
              <w:jc w:val="center"/>
              <w:rPr>
                <w:rFonts w:eastAsia="SimSun"/>
                <w:sz w:val="18"/>
                <w:szCs w:val="18"/>
                <w:lang w:val="en-GB" w:eastAsia="zh-CN"/>
              </w:rPr>
            </w:pPr>
          </w:p>
          <w:p w14:paraId="228B58E6" w14:textId="77777777" w:rsidR="0079644F"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67</w:t>
            </w:r>
          </w:p>
          <w:p w14:paraId="56DE3829" w14:textId="77777777" w:rsidR="0079644F" w:rsidRPr="009030C1" w:rsidRDefault="0079644F" w:rsidP="00556927">
            <w:pPr>
              <w:spacing w:before="50" w:after="50" w:line="240" w:lineRule="exact"/>
              <w:jc w:val="center"/>
              <w:rPr>
                <w:rFonts w:eastAsia="SimSun"/>
                <w:sz w:val="18"/>
                <w:szCs w:val="18"/>
                <w:lang w:val="en-GB" w:eastAsia="zh-CN"/>
              </w:rPr>
            </w:pPr>
            <w:r>
              <w:rPr>
                <w:rFonts w:eastAsia="SimSun"/>
                <w:sz w:val="18"/>
                <w:szCs w:val="18"/>
                <w:lang w:val="en-GB" w:eastAsia="zh-CN"/>
              </w:rPr>
              <w:t xml:space="preserve"> (1,</w:t>
            </w:r>
            <w:r w:rsidRPr="009030C1">
              <w:rPr>
                <w:rFonts w:eastAsia="SimSun"/>
                <w:sz w:val="18"/>
                <w:szCs w:val="18"/>
                <w:lang w:val="en-GB" w:eastAsia="zh-CN"/>
              </w:rPr>
              <w:t>10)</w:t>
            </w:r>
          </w:p>
        </w:tc>
      </w:tr>
    </w:tbl>
    <w:p w14:paraId="4EA39B52" w14:textId="77777777" w:rsidR="0079644F" w:rsidRPr="006868F5" w:rsidRDefault="0079644F" w:rsidP="00556927">
      <w:pPr>
        <w:jc w:val="both"/>
        <w:rPr>
          <w:sz w:val="18"/>
          <w:szCs w:val="18"/>
          <w:lang w:val="es-ES" w:eastAsia="en-US"/>
        </w:rPr>
      </w:pPr>
      <w:r w:rsidRPr="006868F5">
        <w:rPr>
          <w:sz w:val="18"/>
          <w:szCs w:val="18"/>
          <w:lang w:val="es-ES" w:eastAsia="en-US"/>
        </w:rPr>
        <w:t>*  p&lt;0,0001</w:t>
      </w:r>
    </w:p>
    <w:p w14:paraId="758A83EF" w14:textId="21D73579" w:rsidR="0079644F" w:rsidRPr="006868F5" w:rsidRDefault="0079644F" w:rsidP="00556927">
      <w:pPr>
        <w:jc w:val="both"/>
        <w:rPr>
          <w:sz w:val="18"/>
          <w:szCs w:val="18"/>
          <w:lang w:val="es-ES" w:eastAsia="en-US"/>
        </w:rPr>
      </w:pPr>
      <w:r w:rsidRPr="0029618B">
        <w:rPr>
          <w:sz w:val="18"/>
          <w:szCs w:val="18"/>
          <w:lang w:val="es-ES" w:eastAsia="en-US"/>
        </w:rPr>
        <w:t>** p&lt;0</w:t>
      </w:r>
      <w:r>
        <w:rPr>
          <w:sz w:val="18"/>
          <w:szCs w:val="18"/>
          <w:lang w:val="es-ES" w:eastAsia="en-US"/>
        </w:rPr>
        <w:t>,</w:t>
      </w:r>
      <w:r w:rsidRPr="006868F5">
        <w:rPr>
          <w:sz w:val="18"/>
          <w:szCs w:val="18"/>
          <w:lang w:val="es-ES" w:eastAsia="en-US"/>
        </w:rPr>
        <w:t>005 (</w:t>
      </w:r>
      <w:r>
        <w:rPr>
          <w:sz w:val="18"/>
          <w:szCs w:val="18"/>
          <w:lang w:val="es-ES" w:eastAsia="en-US"/>
        </w:rPr>
        <w:t>u</w:t>
      </w:r>
      <w:r w:rsidRPr="006868F5">
        <w:rPr>
          <w:sz w:val="18"/>
          <w:szCs w:val="18"/>
          <w:lang w:val="es-ES" w:eastAsia="en-US"/>
        </w:rPr>
        <w:t xml:space="preserve">mbral de significación para las pruebas </w:t>
      </w:r>
      <w:r>
        <w:rPr>
          <w:sz w:val="18"/>
          <w:szCs w:val="18"/>
          <w:lang w:val="es-ES" w:eastAsia="en-US"/>
        </w:rPr>
        <w:t>de superioridad de</w:t>
      </w:r>
      <w:ins w:id="1070" w:author="AUTHOR">
        <w:r w:rsidR="00E11790">
          <w:rPr>
            <w:sz w:val="18"/>
            <w:szCs w:val="18"/>
            <w:lang w:val="es-ES" w:eastAsia="en-US"/>
          </w:rPr>
          <w:t xml:space="preserve"> </w:t>
        </w:r>
      </w:ins>
      <w:r>
        <w:rPr>
          <w:sz w:val="18"/>
          <w:szCs w:val="18"/>
          <w:lang w:val="es-ES" w:eastAsia="en-US"/>
        </w:rPr>
        <w:t>l</w:t>
      </w:r>
      <w:ins w:id="1071" w:author="AUTHOR">
        <w:r w:rsidR="00E11790">
          <w:rPr>
            <w:sz w:val="18"/>
            <w:szCs w:val="18"/>
            <w:lang w:val="es-ES" w:eastAsia="en-US"/>
          </w:rPr>
          <w:t>a variable principal</w:t>
        </w:r>
      </w:ins>
      <w:del w:id="1072" w:author="AUTHOR">
        <w:r w:rsidDel="00E11790">
          <w:rPr>
            <w:sz w:val="18"/>
            <w:szCs w:val="18"/>
            <w:lang w:val="es-ES" w:eastAsia="en-US"/>
          </w:rPr>
          <w:delText xml:space="preserve"> objetivo primario</w:delText>
        </w:r>
      </w:del>
      <w:r>
        <w:rPr>
          <w:sz w:val="18"/>
          <w:szCs w:val="18"/>
          <w:lang w:val="es-ES" w:eastAsia="en-US"/>
        </w:rPr>
        <w:t xml:space="preserve"> y de</w:t>
      </w:r>
      <w:ins w:id="1073" w:author="AUTHOR">
        <w:r w:rsidR="00E11790">
          <w:rPr>
            <w:sz w:val="18"/>
            <w:szCs w:val="18"/>
            <w:lang w:val="es-ES" w:eastAsia="en-US"/>
          </w:rPr>
          <w:t xml:space="preserve"> </w:t>
        </w:r>
      </w:ins>
      <w:r>
        <w:rPr>
          <w:sz w:val="18"/>
          <w:szCs w:val="18"/>
          <w:lang w:val="es-ES" w:eastAsia="en-US"/>
        </w:rPr>
        <w:t>l</w:t>
      </w:r>
      <w:ins w:id="1074" w:author="AUTHOR">
        <w:r w:rsidR="00E11790">
          <w:rPr>
            <w:sz w:val="18"/>
            <w:szCs w:val="18"/>
            <w:lang w:val="es-ES" w:eastAsia="en-US"/>
          </w:rPr>
          <w:t>a variable</w:t>
        </w:r>
      </w:ins>
      <w:del w:id="1075" w:author="AUTHOR">
        <w:r w:rsidDel="00E11790">
          <w:rPr>
            <w:sz w:val="18"/>
            <w:szCs w:val="18"/>
            <w:lang w:val="es-ES" w:eastAsia="en-US"/>
          </w:rPr>
          <w:delText xml:space="preserve"> objetivo</w:delText>
        </w:r>
      </w:del>
      <w:ins w:id="1076" w:author="AUTHOR">
        <w:r w:rsidR="00E11790">
          <w:rPr>
            <w:sz w:val="18"/>
            <w:szCs w:val="18"/>
            <w:lang w:val="es-ES" w:eastAsia="en-US"/>
          </w:rPr>
          <w:t xml:space="preserve"> secundaria</w:t>
        </w:r>
      </w:ins>
      <w:r>
        <w:rPr>
          <w:sz w:val="18"/>
          <w:szCs w:val="18"/>
          <w:lang w:val="es-ES" w:eastAsia="en-US"/>
        </w:rPr>
        <w:t xml:space="preserve"> principal</w:t>
      </w:r>
      <w:del w:id="1077" w:author="AUTHOR">
        <w:r w:rsidDel="00E11790">
          <w:rPr>
            <w:sz w:val="18"/>
            <w:szCs w:val="18"/>
            <w:lang w:val="es-ES" w:eastAsia="en-US"/>
          </w:rPr>
          <w:delText xml:space="preserve"> secundario</w:delText>
        </w:r>
      </w:del>
      <w:r w:rsidRPr="006868F5">
        <w:rPr>
          <w:sz w:val="18"/>
          <w:szCs w:val="18"/>
          <w:lang w:val="es-ES" w:eastAsia="en-US"/>
        </w:rPr>
        <w:t>)</w:t>
      </w:r>
    </w:p>
    <w:p w14:paraId="5DF45E49" w14:textId="77777777" w:rsidR="0079644F" w:rsidRDefault="0079644F" w:rsidP="00556927">
      <w:pPr>
        <w:jc w:val="both"/>
        <w:rPr>
          <w:sz w:val="18"/>
          <w:szCs w:val="18"/>
          <w:u w:val="single"/>
          <w:lang w:val="es-ES" w:eastAsia="en-US"/>
        </w:rPr>
      </w:pPr>
      <w:r w:rsidRPr="006868F5">
        <w:rPr>
          <w:sz w:val="18"/>
          <w:szCs w:val="18"/>
          <w:lang w:val="es-ES" w:eastAsia="en-US"/>
        </w:rPr>
        <w:t xml:space="preserve">***valor p descriptivo </w:t>
      </w:r>
      <w:r w:rsidRPr="006616E4">
        <w:rPr>
          <w:sz w:val="18"/>
          <w:szCs w:val="18"/>
          <w:lang w:val="es-ES" w:eastAsia="en-US"/>
        </w:rPr>
        <w:t>&lt;0,005</w:t>
      </w:r>
    </w:p>
    <w:p w14:paraId="02D1F71B" w14:textId="77777777" w:rsidR="0079644F" w:rsidRPr="003532C2" w:rsidRDefault="0079644F" w:rsidP="00556927">
      <w:pPr>
        <w:jc w:val="both"/>
        <w:rPr>
          <w:sz w:val="18"/>
          <w:szCs w:val="18"/>
          <w:lang w:val="es-ES" w:eastAsia="en-US"/>
        </w:rPr>
      </w:pPr>
      <w:r w:rsidRPr="003532C2">
        <w:rPr>
          <w:sz w:val="18"/>
          <w:szCs w:val="18"/>
          <w:lang w:val="es-ES" w:eastAsia="en-US"/>
        </w:rPr>
        <w:t>****</w:t>
      </w:r>
      <w:r w:rsidRPr="00F30AB8">
        <w:rPr>
          <w:iCs/>
          <w:sz w:val="18"/>
          <w:szCs w:val="18"/>
          <w:shd w:val="clear" w:color="auto" w:fill="FFFFFF"/>
          <w:lang w:val="es-ES" w:eastAsia="zh-TW"/>
        </w:rPr>
        <w:t>Brote: recurrencia de los signos o síntomas de la ACG y/o VSG ≥30 mm/h.</w:t>
      </w:r>
      <w:r w:rsidRPr="003532C2">
        <w:rPr>
          <w:sz w:val="18"/>
          <w:szCs w:val="18"/>
          <w:u w:val="single"/>
          <w:lang w:val="es-ES" w:eastAsia="en-US"/>
        </w:rPr>
        <w:t xml:space="preserve"> </w:t>
      </w:r>
      <w:r w:rsidRPr="003532C2">
        <w:rPr>
          <w:sz w:val="18"/>
          <w:szCs w:val="18"/>
          <w:lang w:val="es-ES" w:eastAsia="en-US"/>
        </w:rPr>
        <w:t>Aumento de la dosis de prednisona requerida</w:t>
      </w:r>
    </w:p>
    <w:p w14:paraId="4C017F74" w14:textId="77777777" w:rsidR="0079644F" w:rsidRPr="00F30AB8" w:rsidRDefault="0079644F" w:rsidP="00556927">
      <w:pPr>
        <w:jc w:val="both"/>
        <w:rPr>
          <w:iCs/>
          <w:sz w:val="18"/>
          <w:szCs w:val="18"/>
          <w:lang w:val="es-ES" w:eastAsia="zh-TW"/>
        </w:rPr>
      </w:pPr>
      <w:r w:rsidRPr="00F30AB8">
        <w:rPr>
          <w:iCs/>
          <w:sz w:val="18"/>
          <w:szCs w:val="18"/>
          <w:lang w:val="es-ES" w:eastAsia="zh-TW"/>
        </w:rPr>
        <w:t>Remisión: ausencia de brote y normalización del PCR</w:t>
      </w:r>
    </w:p>
    <w:p w14:paraId="70836B45" w14:textId="77777777" w:rsidR="0079644F" w:rsidRPr="0093503E" w:rsidRDefault="0079644F" w:rsidP="00556927">
      <w:pPr>
        <w:keepNext/>
        <w:keepLines/>
        <w:jc w:val="both"/>
        <w:rPr>
          <w:sz w:val="18"/>
          <w:szCs w:val="18"/>
          <w:lang w:val="es-ES" w:eastAsia="en-US"/>
        </w:rPr>
      </w:pPr>
      <w:r w:rsidRPr="00F30AB8">
        <w:rPr>
          <w:iCs/>
          <w:sz w:val="18"/>
          <w:szCs w:val="18"/>
          <w:lang w:val="es-ES" w:eastAsia="zh-TW"/>
        </w:rPr>
        <w:t>Remisión sostenida: remisión de la semana 12 a la semana 52</w:t>
      </w:r>
      <w:r w:rsidRPr="003532C2">
        <w:rPr>
          <w:sz w:val="18"/>
          <w:szCs w:val="18"/>
          <w:lang w:val="es-ES" w:eastAsia="en-US"/>
        </w:rPr>
        <w:t xml:space="preserve">. </w:t>
      </w:r>
      <w:r w:rsidRPr="006616E4">
        <w:rPr>
          <w:sz w:val="18"/>
          <w:szCs w:val="18"/>
          <w:lang w:val="es-ES" w:eastAsia="en-US"/>
        </w:rPr>
        <w:t>Los pacientes deben adherirse al protocolo establecido para la reducción gradual de prednisona</w:t>
      </w:r>
    </w:p>
    <w:p w14:paraId="7CB716A5" w14:textId="77777777" w:rsidR="0079644F" w:rsidRPr="006868F5" w:rsidRDefault="0079644F" w:rsidP="00556927">
      <w:pPr>
        <w:keepNext/>
        <w:keepLines/>
        <w:jc w:val="both"/>
        <w:rPr>
          <w:sz w:val="18"/>
          <w:szCs w:val="18"/>
          <w:lang w:val="es-ES" w:eastAsia="en-US"/>
        </w:rPr>
      </w:pPr>
      <w:r w:rsidRPr="006868F5">
        <w:rPr>
          <w:sz w:val="18"/>
          <w:szCs w:val="18"/>
          <w:lang w:val="es-ES" w:eastAsia="en-US"/>
        </w:rPr>
        <w:t xml:space="preserve">¹ </w:t>
      </w:r>
      <w:r>
        <w:rPr>
          <w:sz w:val="18"/>
          <w:szCs w:val="18"/>
          <w:lang w:val="es-ES" w:eastAsia="en-US"/>
        </w:rPr>
        <w:t>a</w:t>
      </w:r>
      <w:r w:rsidRPr="006868F5">
        <w:rPr>
          <w:sz w:val="18"/>
          <w:szCs w:val="18"/>
          <w:lang w:val="es-ES" w:eastAsia="en-US"/>
        </w:rPr>
        <w:t>nálisis del tiempo (en días) entre la re</w:t>
      </w:r>
      <w:r w:rsidRPr="001C5FA4">
        <w:rPr>
          <w:sz w:val="18"/>
          <w:szCs w:val="18"/>
          <w:lang w:val="es-ES" w:eastAsia="en-US"/>
        </w:rPr>
        <w:t>misión clínica y el primer</w:t>
      </w:r>
      <w:r>
        <w:rPr>
          <w:sz w:val="18"/>
          <w:szCs w:val="18"/>
          <w:lang w:val="es-ES" w:eastAsia="en-US"/>
        </w:rPr>
        <w:t xml:space="preserve"> brote de la</w:t>
      </w:r>
      <w:r w:rsidRPr="006868F5">
        <w:rPr>
          <w:sz w:val="18"/>
          <w:szCs w:val="18"/>
          <w:lang w:val="es-ES" w:eastAsia="en-US"/>
        </w:rPr>
        <w:t xml:space="preserve"> enfermedad</w:t>
      </w:r>
    </w:p>
    <w:p w14:paraId="16ECBD64" w14:textId="77777777" w:rsidR="0079644F" w:rsidRPr="006868F5" w:rsidRDefault="0079644F" w:rsidP="00556927">
      <w:pPr>
        <w:keepNext/>
        <w:keepLines/>
        <w:jc w:val="both"/>
        <w:rPr>
          <w:sz w:val="18"/>
          <w:szCs w:val="18"/>
          <w:lang w:val="es-ES" w:eastAsia="en-US"/>
        </w:rPr>
      </w:pPr>
      <w:r w:rsidRPr="006868F5">
        <w:rPr>
          <w:rFonts w:eastAsia="SimSun"/>
          <w:sz w:val="18"/>
          <w:szCs w:val="18"/>
          <w:vertAlign w:val="superscript"/>
          <w:lang w:val="es-ES" w:eastAsia="zh-CN"/>
        </w:rPr>
        <w:t>2</w:t>
      </w:r>
      <w:r w:rsidRPr="006868F5">
        <w:rPr>
          <w:sz w:val="18"/>
          <w:szCs w:val="18"/>
          <w:lang w:val="es-ES" w:eastAsia="en-US"/>
        </w:rPr>
        <w:t xml:space="preserve"> </w:t>
      </w:r>
      <w:r>
        <w:rPr>
          <w:sz w:val="18"/>
          <w:szCs w:val="18"/>
          <w:lang w:val="es-ES" w:eastAsia="en-US"/>
        </w:rPr>
        <w:t>l</w:t>
      </w:r>
      <w:r w:rsidRPr="006868F5">
        <w:rPr>
          <w:sz w:val="18"/>
          <w:szCs w:val="18"/>
          <w:lang w:val="es-ES" w:eastAsia="en-US"/>
        </w:rPr>
        <w:t xml:space="preserve">os valores </w:t>
      </w:r>
      <w:r w:rsidRPr="001C5FA4">
        <w:rPr>
          <w:sz w:val="18"/>
          <w:szCs w:val="18"/>
          <w:lang w:val="es-ES" w:eastAsia="en-US"/>
        </w:rPr>
        <w:t xml:space="preserve">de p se determinan utilizando </w:t>
      </w:r>
      <w:r>
        <w:rPr>
          <w:sz w:val="18"/>
          <w:szCs w:val="18"/>
          <w:lang w:val="es-ES" w:eastAsia="en-US"/>
        </w:rPr>
        <w:t>el</w:t>
      </w:r>
      <w:r w:rsidRPr="006868F5">
        <w:rPr>
          <w:sz w:val="18"/>
          <w:szCs w:val="18"/>
          <w:lang w:val="es-ES" w:eastAsia="en-US"/>
        </w:rPr>
        <w:t xml:space="preserve"> análisis de Van Elteren para datos no paramétricos</w:t>
      </w:r>
    </w:p>
    <w:p w14:paraId="132A6C23" w14:textId="77777777" w:rsidR="0079644F" w:rsidRPr="006868F5" w:rsidRDefault="0079644F" w:rsidP="00556927">
      <w:pPr>
        <w:keepNext/>
        <w:keepLines/>
        <w:jc w:val="both"/>
        <w:rPr>
          <w:sz w:val="18"/>
          <w:szCs w:val="18"/>
          <w:lang w:val="es-ES" w:eastAsia="en-US"/>
        </w:rPr>
      </w:pPr>
      <w:r w:rsidRPr="006868F5">
        <w:rPr>
          <w:sz w:val="18"/>
          <w:szCs w:val="18"/>
          <w:vertAlign w:val="superscript"/>
          <w:lang w:val="es-ES" w:eastAsia="en-US"/>
        </w:rPr>
        <w:t>§</w:t>
      </w:r>
      <w:r w:rsidRPr="006868F5">
        <w:rPr>
          <w:sz w:val="18"/>
          <w:szCs w:val="18"/>
          <w:lang w:val="es-ES" w:eastAsia="en-US"/>
        </w:rPr>
        <w:t xml:space="preserve"> </w:t>
      </w:r>
      <w:r>
        <w:rPr>
          <w:sz w:val="18"/>
          <w:szCs w:val="18"/>
          <w:lang w:val="es-ES" w:eastAsia="en-US"/>
        </w:rPr>
        <w:t>n</w:t>
      </w:r>
      <w:r w:rsidRPr="0028481A">
        <w:rPr>
          <w:sz w:val="18"/>
          <w:szCs w:val="18"/>
          <w:lang w:val="es-ES" w:eastAsia="en-US"/>
        </w:rPr>
        <w:t>o se ha</w:t>
      </w:r>
      <w:r w:rsidRPr="006868F5">
        <w:rPr>
          <w:sz w:val="18"/>
          <w:szCs w:val="18"/>
          <w:lang w:val="es-ES" w:eastAsia="en-US"/>
        </w:rPr>
        <w:t xml:space="preserve"> realizado análisi</w:t>
      </w:r>
      <w:r w:rsidRPr="0028481A">
        <w:rPr>
          <w:sz w:val="18"/>
          <w:szCs w:val="18"/>
          <w:lang w:val="es-ES" w:eastAsia="en-US"/>
        </w:rPr>
        <w:t>s estadístico</w:t>
      </w:r>
    </w:p>
    <w:p w14:paraId="5D834724" w14:textId="77777777" w:rsidR="0079644F" w:rsidRPr="006868F5" w:rsidRDefault="0079644F" w:rsidP="00556927">
      <w:pPr>
        <w:keepNext/>
        <w:keepLines/>
        <w:jc w:val="both"/>
        <w:rPr>
          <w:sz w:val="18"/>
          <w:szCs w:val="18"/>
          <w:lang w:val="es-ES" w:eastAsia="en-US"/>
        </w:rPr>
      </w:pPr>
      <w:r w:rsidRPr="006868F5">
        <w:rPr>
          <w:sz w:val="18"/>
          <w:szCs w:val="18"/>
          <w:lang w:val="es-ES" w:eastAsia="en-US"/>
        </w:rPr>
        <w:t>N/A= No aplica</w:t>
      </w:r>
    </w:p>
    <w:p w14:paraId="104D1469" w14:textId="77777777" w:rsidR="0079644F" w:rsidRPr="006868F5" w:rsidRDefault="0079644F" w:rsidP="00556927">
      <w:pPr>
        <w:keepNext/>
        <w:keepLines/>
        <w:jc w:val="both"/>
        <w:rPr>
          <w:sz w:val="18"/>
          <w:szCs w:val="18"/>
          <w:lang w:val="es-ES" w:eastAsia="en-US"/>
        </w:rPr>
      </w:pPr>
      <w:r w:rsidRPr="006868F5">
        <w:rPr>
          <w:sz w:val="18"/>
          <w:szCs w:val="18"/>
          <w:lang w:val="es-ES" w:eastAsia="en-US"/>
        </w:rPr>
        <w:t>HR = Hazard Ratio</w:t>
      </w:r>
    </w:p>
    <w:p w14:paraId="7814BBEF" w14:textId="77777777" w:rsidR="0079644F" w:rsidRPr="006868F5" w:rsidRDefault="0079644F" w:rsidP="00556927">
      <w:pPr>
        <w:keepNext/>
        <w:keepLines/>
        <w:jc w:val="both"/>
        <w:rPr>
          <w:sz w:val="18"/>
          <w:szCs w:val="18"/>
          <w:lang w:val="es-ES" w:eastAsia="en-US"/>
        </w:rPr>
      </w:pPr>
      <w:r w:rsidRPr="006868F5">
        <w:rPr>
          <w:sz w:val="18"/>
          <w:szCs w:val="18"/>
          <w:lang w:val="es-ES" w:eastAsia="en-US"/>
        </w:rPr>
        <w:t>IC = Intervalo de Confianza</w:t>
      </w:r>
    </w:p>
    <w:p w14:paraId="4E7ABE14" w14:textId="77777777" w:rsidR="0079644F" w:rsidRDefault="00317E68" w:rsidP="00556927">
      <w:pPr>
        <w:keepNext/>
        <w:keepLines/>
        <w:jc w:val="both"/>
        <w:rPr>
          <w:sz w:val="18"/>
          <w:szCs w:val="18"/>
          <w:lang w:val="es-ES" w:eastAsia="en-US"/>
        </w:rPr>
      </w:pPr>
      <w:r>
        <w:rPr>
          <w:sz w:val="18"/>
          <w:szCs w:val="18"/>
          <w:lang w:val="es-ES" w:eastAsia="en-US"/>
        </w:rPr>
        <w:t>SC= Subcutáneo</w:t>
      </w:r>
    </w:p>
    <w:p w14:paraId="55DAE1A7" w14:textId="77777777" w:rsidR="00317E68" w:rsidRPr="006868F5" w:rsidRDefault="00317E68" w:rsidP="00556927">
      <w:pPr>
        <w:keepNext/>
        <w:keepLines/>
        <w:jc w:val="both"/>
        <w:rPr>
          <w:sz w:val="18"/>
          <w:szCs w:val="18"/>
          <w:lang w:val="es-ES" w:eastAsia="en-US"/>
        </w:rPr>
      </w:pPr>
    </w:p>
    <w:p w14:paraId="6BB063BF" w14:textId="77777777" w:rsidR="007653FD" w:rsidRDefault="0079644F" w:rsidP="0079644F">
      <w:pPr>
        <w:rPr>
          <w:ins w:id="1078" w:author="AUTHOR"/>
          <w:i/>
          <w:iCs/>
          <w:lang w:val="es-ES"/>
        </w:rPr>
      </w:pPr>
      <w:r w:rsidRPr="00F30AB8">
        <w:rPr>
          <w:i/>
          <w:iCs/>
          <w:u w:val="single"/>
          <w:lang w:val="es-ES"/>
        </w:rPr>
        <w:t>Resultados de calidad de vida</w:t>
      </w:r>
    </w:p>
    <w:p w14:paraId="19245606" w14:textId="5945F40C" w:rsidR="0079644F" w:rsidRPr="00C22F3F" w:rsidRDefault="0079644F" w:rsidP="0079644F">
      <w:pPr>
        <w:rPr>
          <w:lang w:val="es-ES" w:eastAsia="de-DE"/>
        </w:rPr>
      </w:pPr>
      <w:r w:rsidRPr="00EC0387">
        <w:rPr>
          <w:iCs/>
          <w:lang w:val="es-ES"/>
        </w:rPr>
        <w:t>En el e</w:t>
      </w:r>
      <w:r>
        <w:rPr>
          <w:iCs/>
          <w:lang w:val="es-ES"/>
        </w:rPr>
        <w:t>nsay</w:t>
      </w:r>
      <w:r w:rsidRPr="00EC0387">
        <w:rPr>
          <w:iCs/>
          <w:lang w:val="es-ES"/>
        </w:rPr>
        <w:t xml:space="preserve">o </w:t>
      </w:r>
      <w:r w:rsidRPr="006868F5">
        <w:rPr>
          <w:lang w:val="es-ES" w:eastAsia="de-DE"/>
        </w:rPr>
        <w:t>WA28119, los resultados de S</w:t>
      </w:r>
      <w:r w:rsidRPr="00EC0387">
        <w:rPr>
          <w:lang w:val="es-ES" w:eastAsia="de-DE"/>
        </w:rPr>
        <w:t>F</w:t>
      </w:r>
      <w:r w:rsidRPr="006868F5">
        <w:rPr>
          <w:lang w:val="es-ES" w:eastAsia="de-DE"/>
        </w:rPr>
        <w:t xml:space="preserve">-36 se separaron </w:t>
      </w:r>
      <w:r w:rsidRPr="00EC0387">
        <w:rPr>
          <w:lang w:val="es-ES" w:eastAsia="de-DE"/>
        </w:rPr>
        <w:t>en el</w:t>
      </w:r>
      <w:r w:rsidRPr="002837E4">
        <w:rPr>
          <w:lang w:val="es-ES" w:eastAsia="de-DE"/>
        </w:rPr>
        <w:t xml:space="preserve"> </w:t>
      </w:r>
      <w:r w:rsidRPr="006C05BA">
        <w:rPr>
          <w:lang w:val="es-ES" w:eastAsia="de-DE"/>
        </w:rPr>
        <w:t>resu</w:t>
      </w:r>
      <w:r w:rsidRPr="00C22F3F">
        <w:rPr>
          <w:lang w:val="es-ES" w:eastAsia="de-DE"/>
        </w:rPr>
        <w:t xml:space="preserve">men de las puntuaciones del </w:t>
      </w:r>
      <w:r w:rsidRPr="006868F5">
        <w:rPr>
          <w:lang w:val="es-ES" w:eastAsia="de-DE"/>
        </w:rPr>
        <w:t>component</w:t>
      </w:r>
      <w:r w:rsidRPr="00EC0387">
        <w:rPr>
          <w:lang w:val="es-ES" w:eastAsia="de-DE"/>
        </w:rPr>
        <w:t xml:space="preserve">e físico y mental (PCS y MCS, respectivamente). </w:t>
      </w:r>
      <w:r w:rsidRPr="002837E4">
        <w:rPr>
          <w:lang w:val="es-ES" w:eastAsia="de-DE"/>
        </w:rPr>
        <w:t>El ca</w:t>
      </w:r>
      <w:r w:rsidRPr="006C05BA">
        <w:rPr>
          <w:lang w:val="es-ES" w:eastAsia="de-DE"/>
        </w:rPr>
        <w:t xml:space="preserve">mbio </w:t>
      </w:r>
      <w:ins w:id="1079" w:author="AUTHOR">
        <w:r w:rsidR="00C2539B">
          <w:rPr>
            <w:lang w:val="es-ES" w:eastAsia="de-DE"/>
          </w:rPr>
          <w:t xml:space="preserve">medio </w:t>
        </w:r>
      </w:ins>
      <w:r w:rsidRPr="00C22F3F">
        <w:rPr>
          <w:lang w:val="es-ES" w:eastAsia="de-DE"/>
        </w:rPr>
        <w:t xml:space="preserve">de la PCS </w:t>
      </w:r>
      <w:del w:id="1080" w:author="AUTHOR">
        <w:r w:rsidRPr="00C22F3F" w:rsidDel="00C2539B">
          <w:rPr>
            <w:lang w:val="es-ES" w:eastAsia="de-DE"/>
          </w:rPr>
          <w:delText xml:space="preserve">más importante </w:delText>
        </w:r>
      </w:del>
      <w:r w:rsidRPr="00C22F3F">
        <w:rPr>
          <w:lang w:val="es-ES" w:eastAsia="de-DE"/>
        </w:rPr>
        <w:t>desde el inicio hasta la semana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fue mayor (mostrando más mejoría) en los grupos semanal y </w:t>
      </w:r>
      <w:del w:id="1081" w:author="AUTHOR">
        <w:r w:rsidRPr="00C22F3F" w:rsidDel="009F26E0">
          <w:rPr>
            <w:lang w:val="es-ES" w:eastAsia="de-DE"/>
          </w:rPr>
          <w:delText>bisemanal</w:delText>
        </w:r>
      </w:del>
      <w:ins w:id="1082" w:author="AUTHOR">
        <w:r w:rsidR="009F26E0">
          <w:rPr>
            <w:lang w:val="es-ES" w:eastAsia="de-DE"/>
          </w:rPr>
          <w:t>cada dos semanas</w:t>
        </w:r>
      </w:ins>
      <w:r w:rsidRPr="00C22F3F">
        <w:rPr>
          <w:lang w:val="es-ES" w:eastAsia="de-DE"/>
        </w:rPr>
        <w:t xml:space="preserve"> de administración de </w:t>
      </w:r>
      <w:r w:rsidR="00317E68" w:rsidRPr="00317E68">
        <w:rPr>
          <w:lang w:val="es-ES" w:eastAsia="de-DE"/>
        </w:rPr>
        <w:t xml:space="preserve">tocilizumab </w:t>
      </w:r>
      <w:r w:rsidRPr="00C22F3F">
        <w:rPr>
          <w:lang w:val="es-ES" w:eastAsia="de-DE"/>
        </w:rPr>
        <w:t>[4,10; 2,76; respectivamente] que en los dos grupos de administración de placebo [placebo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semanas; -0,28, placebo más </w:t>
      </w:r>
      <w:r w:rsidRPr="00C22F3F">
        <w:rPr>
          <w:lang w:val="es-ES" w:eastAsia="de-DE"/>
        </w:rPr>
        <w:lastRenderedPageBreak/>
        <w:t>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semanas; -1,49], a pesar de que la sola comparación entre </w:t>
      </w:r>
      <w:r w:rsidR="00317E68">
        <w:rPr>
          <w:szCs w:val="22"/>
          <w:lang w:val="es-ES"/>
        </w:rPr>
        <w:t>tocilizumab</w:t>
      </w:r>
      <w:r w:rsidR="00317E68" w:rsidRPr="006868F5">
        <w:rPr>
          <w:szCs w:val="22"/>
          <w:lang w:val="es-ES"/>
        </w:rPr>
        <w:t xml:space="preserve"> </w:t>
      </w:r>
      <w:r w:rsidRPr="00C22F3F">
        <w:rPr>
          <w:lang w:val="es-ES" w:eastAsia="de-DE"/>
        </w:rPr>
        <w:t>semanal más 26 semanas de reducción gradual de prednisona y placebo más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(5,59; IC 99</w:t>
      </w:r>
      <w:r>
        <w:rPr>
          <w:lang w:val="es-ES" w:eastAsia="de-DE"/>
        </w:rPr>
        <w:t xml:space="preserve"> </w:t>
      </w:r>
      <w:r w:rsidRPr="00C22F3F">
        <w:rPr>
          <w:lang w:val="es-ES" w:eastAsia="de-DE"/>
        </w:rPr>
        <w:t xml:space="preserve">%: 8,6; 10,32) ya mostraron una diferencia estadísticamente significativa (p=0,0024). Para MCS, el cambio </w:t>
      </w:r>
      <w:del w:id="1083" w:author="AUTHOR">
        <w:r w:rsidRPr="00C22F3F" w:rsidDel="00E11790">
          <w:rPr>
            <w:lang w:val="es-ES" w:eastAsia="de-DE"/>
          </w:rPr>
          <w:delText xml:space="preserve">más importante </w:delText>
        </w:r>
      </w:del>
      <w:ins w:id="1084" w:author="AUTHOR">
        <w:r w:rsidR="00E11790">
          <w:rPr>
            <w:lang w:val="es-ES" w:eastAsia="de-DE"/>
          </w:rPr>
          <w:t xml:space="preserve">medio </w:t>
        </w:r>
      </w:ins>
      <w:r w:rsidRPr="00C22F3F">
        <w:rPr>
          <w:lang w:val="es-ES" w:eastAsia="de-DE"/>
        </w:rPr>
        <w:t>desde el inicio a la semana</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52 en los grupos semanal y </w:t>
      </w:r>
      <w:del w:id="1085" w:author="AUTHOR">
        <w:r w:rsidRPr="00C22F3F" w:rsidDel="009F26E0">
          <w:rPr>
            <w:lang w:val="es-ES" w:eastAsia="de-DE"/>
          </w:rPr>
          <w:delText>bisemanal</w:delText>
        </w:r>
      </w:del>
      <w:ins w:id="1086" w:author="AUTHOR">
        <w:r w:rsidR="009F26E0">
          <w:rPr>
            <w:lang w:val="es-ES" w:eastAsia="de-DE"/>
          </w:rPr>
          <w:t>cada dos semanas</w:t>
        </w:r>
      </w:ins>
      <w:r w:rsidRPr="00C22F3F">
        <w:rPr>
          <w:lang w:val="es-ES" w:eastAsia="de-DE"/>
        </w:rPr>
        <w:t xml:space="preserve"> de administración de </w:t>
      </w:r>
      <w:r w:rsidR="00317E68">
        <w:rPr>
          <w:szCs w:val="22"/>
          <w:lang w:val="es-ES"/>
        </w:rPr>
        <w:t>tocilizumab</w:t>
      </w:r>
      <w:r w:rsidR="00317E68" w:rsidRPr="006868F5">
        <w:rPr>
          <w:szCs w:val="22"/>
          <w:lang w:val="es-ES"/>
        </w:rPr>
        <w:t xml:space="preserve"> </w:t>
      </w:r>
      <w:r w:rsidRPr="00EC0387">
        <w:rPr>
          <w:lang w:val="es-ES" w:eastAsia="de-DE"/>
        </w:rPr>
        <w:t>[7,28; 6,12;</w:t>
      </w:r>
      <w:r w:rsidRPr="002837E4">
        <w:rPr>
          <w:lang w:val="es-ES" w:eastAsia="de-DE"/>
        </w:rPr>
        <w:t xml:space="preserve"> respectivamente]</w:t>
      </w:r>
      <w:r w:rsidRPr="006C05BA">
        <w:rPr>
          <w:lang w:val="es-ES" w:eastAsia="de-DE"/>
        </w:rPr>
        <w:t xml:space="preserve"> fueron mayores que el grupo de </w:t>
      </w:r>
      <w:r w:rsidRPr="00C22F3F">
        <w:rPr>
          <w:lang w:val="es-ES" w:eastAsia="de-DE"/>
        </w:rPr>
        <w:t>placebo más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semanas de reducción gradual de prednisona [2,84] (aunque las diferencias no fueron estadísticamente significativas [p=0,0252 para el grupo semanal, p=0,1468 para el grupo </w:t>
      </w:r>
      <w:del w:id="1087" w:author="AUTHOR">
        <w:r w:rsidRPr="00C22F3F" w:rsidDel="009F26E0">
          <w:rPr>
            <w:lang w:val="es-ES" w:eastAsia="de-DE"/>
          </w:rPr>
          <w:delText>bisemanal</w:delText>
        </w:r>
      </w:del>
      <w:ins w:id="1088" w:author="AUTHOR">
        <w:r w:rsidR="009F26E0">
          <w:rPr>
            <w:lang w:val="es-ES" w:eastAsia="de-DE"/>
          </w:rPr>
          <w:t>cada dos semanas</w:t>
        </w:r>
      </w:ins>
      <w:r w:rsidRPr="00C22F3F">
        <w:rPr>
          <w:lang w:val="es-ES" w:eastAsia="de-DE"/>
        </w:rPr>
        <w:t>) y fue similar para el grupo de administración de placebo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[6,67].</w:t>
      </w:r>
    </w:p>
    <w:p w14:paraId="2204EB70" w14:textId="77777777" w:rsidR="0079644F" w:rsidRPr="00C22F3F" w:rsidRDefault="0079644F" w:rsidP="0079644F">
      <w:pPr>
        <w:rPr>
          <w:lang w:val="es-ES" w:eastAsia="de-DE"/>
        </w:rPr>
      </w:pPr>
    </w:p>
    <w:p w14:paraId="31C8F790" w14:textId="7241CF5F" w:rsidR="0079644F" w:rsidRPr="00C22F3F" w:rsidRDefault="0079644F" w:rsidP="0079644F">
      <w:pPr>
        <w:rPr>
          <w:lang w:val="es-ES" w:eastAsia="de-DE"/>
        </w:rPr>
      </w:pPr>
      <w:r w:rsidRPr="00C22F3F">
        <w:rPr>
          <w:lang w:val="es-ES" w:eastAsia="de-DE"/>
        </w:rPr>
        <w:t>La Evaluación Global del Paciente de la actividad de la enfermedad se evaluó en una Escala Analógica Visual de 0-100 mm (EAV). El cambio medio en la EAV global del paciente desde el inicio a la semana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fue menor (mostrando mayor mejoría) en los grupos semanal y </w:t>
      </w:r>
      <w:del w:id="1089" w:author="AUTHOR">
        <w:r w:rsidRPr="00C22F3F" w:rsidDel="009F26E0">
          <w:rPr>
            <w:lang w:val="es-ES" w:eastAsia="de-DE"/>
          </w:rPr>
          <w:delText>bisemanal</w:delText>
        </w:r>
      </w:del>
      <w:ins w:id="1090" w:author="AUTHOR">
        <w:r w:rsidR="009F26E0">
          <w:rPr>
            <w:lang w:val="es-ES" w:eastAsia="de-DE"/>
          </w:rPr>
          <w:t>cada dos semanas</w:t>
        </w:r>
      </w:ins>
      <w:r w:rsidRPr="00C22F3F">
        <w:rPr>
          <w:lang w:val="es-ES" w:eastAsia="de-DE"/>
        </w:rPr>
        <w:t xml:space="preserve"> de </w:t>
      </w:r>
      <w:r w:rsidR="00317E68">
        <w:rPr>
          <w:szCs w:val="22"/>
          <w:lang w:val="es-ES"/>
        </w:rPr>
        <w:t>tocilizumab</w:t>
      </w:r>
      <w:r w:rsidR="00317E68" w:rsidRPr="006868F5">
        <w:rPr>
          <w:szCs w:val="22"/>
          <w:lang w:val="es-ES"/>
        </w:rPr>
        <w:t xml:space="preserve"> </w:t>
      </w:r>
      <w:r w:rsidR="00317E68">
        <w:rPr>
          <w:szCs w:val="22"/>
          <w:lang w:val="es-ES"/>
        </w:rPr>
        <w:t xml:space="preserve"> </w:t>
      </w:r>
      <w:r w:rsidRPr="00C22F3F">
        <w:rPr>
          <w:lang w:val="es-ES" w:eastAsia="de-DE"/>
        </w:rPr>
        <w:t>[-19,0; -25,3; respectivamente] que en los dos grupos de placebo [placebo más 26 semanas -3,4 ; placebo más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semanas -7,2], aunque solo el grupo de administración de </w:t>
      </w:r>
      <w:del w:id="1091" w:author="AUTHOR">
        <w:r w:rsidRPr="00C22F3F" w:rsidDel="00E11790">
          <w:rPr>
            <w:lang w:val="es-ES" w:eastAsia="de-DE"/>
          </w:rPr>
          <w:delText>Ro</w:delText>
        </w:r>
        <w:r w:rsidR="00317E68" w:rsidRPr="00317E68" w:rsidDel="00E11790">
          <w:rPr>
            <w:szCs w:val="22"/>
            <w:lang w:val="es-ES"/>
          </w:rPr>
          <w:delText xml:space="preserve"> </w:delText>
        </w:r>
      </w:del>
      <w:r w:rsidR="00317E68">
        <w:rPr>
          <w:szCs w:val="22"/>
          <w:lang w:val="es-ES"/>
        </w:rPr>
        <w:t>tocilizumab</w:t>
      </w:r>
      <w:r w:rsidR="00317E68" w:rsidRPr="006868F5">
        <w:rPr>
          <w:szCs w:val="22"/>
          <w:lang w:val="es-ES"/>
        </w:rPr>
        <w:t xml:space="preserve"> </w:t>
      </w:r>
      <w:del w:id="1092" w:author="AUTHOR">
        <w:r w:rsidRPr="00C22F3F" w:rsidDel="00E11790">
          <w:rPr>
            <w:lang w:val="es-ES" w:eastAsia="de-DE"/>
          </w:rPr>
          <w:delText xml:space="preserve">bisemanal </w:delText>
        </w:r>
      </w:del>
      <w:ins w:id="1093" w:author="AUTHOR">
        <w:r w:rsidR="00E11790">
          <w:rPr>
            <w:lang w:val="es-ES" w:eastAsia="de-DE"/>
          </w:rPr>
          <w:t>cada dos semanas</w:t>
        </w:r>
        <w:r w:rsidR="00E11790" w:rsidRPr="00C22F3F">
          <w:rPr>
            <w:lang w:val="es-ES" w:eastAsia="de-DE"/>
          </w:rPr>
          <w:t xml:space="preserve"> </w:t>
        </w:r>
      </w:ins>
      <w:r w:rsidRPr="00C22F3F">
        <w:rPr>
          <w:lang w:val="es-ES" w:eastAsia="de-DE"/>
        </w:rPr>
        <w:t>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mostró una diferencia estadísticamente significativa en comparación con placebo [placebo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p=0,0059, y placebo más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p=0,0081].</w:t>
      </w:r>
    </w:p>
    <w:p w14:paraId="05CE1AEB" w14:textId="77777777" w:rsidR="0079644F" w:rsidRPr="00C22F3F" w:rsidRDefault="0079644F" w:rsidP="0079644F">
      <w:pPr>
        <w:rPr>
          <w:lang w:val="es-ES" w:eastAsia="de-DE"/>
        </w:rPr>
      </w:pPr>
    </w:p>
    <w:p w14:paraId="37EB1045" w14:textId="0647AFBC" w:rsidR="0079644F" w:rsidRDefault="0079644F" w:rsidP="0079644F">
      <w:pPr>
        <w:rPr>
          <w:lang w:val="es-ES" w:eastAsia="de-DE"/>
        </w:rPr>
      </w:pPr>
      <w:r w:rsidRPr="00C22F3F">
        <w:rPr>
          <w:lang w:val="es-ES" w:eastAsia="de-DE"/>
        </w:rPr>
        <w:t xml:space="preserve">Se calcularon las puntuaciones del cambio FACIT-Fatiga desde el inicio hasta la </w:t>
      </w:r>
      <w:proofErr w:type="gramStart"/>
      <w:r w:rsidRPr="00C22F3F">
        <w:rPr>
          <w:lang w:val="es-ES" w:eastAsia="de-DE"/>
        </w:rPr>
        <w:t>semana</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52</w:t>
      </w:r>
      <w:proofErr w:type="gramEnd"/>
      <w:r w:rsidRPr="00C22F3F">
        <w:rPr>
          <w:lang w:val="es-ES" w:eastAsia="de-DE"/>
        </w:rPr>
        <w:t xml:space="preserve"> para todos los grupos. La media [DE] de las puntuaciones del cambio fueron las siguientes: </w:t>
      </w:r>
      <w:r w:rsidR="00317E68">
        <w:rPr>
          <w:szCs w:val="22"/>
          <w:lang w:val="es-ES"/>
        </w:rPr>
        <w:t>tocilizumab</w:t>
      </w:r>
      <w:r w:rsidR="00317E68" w:rsidRPr="006868F5">
        <w:rPr>
          <w:szCs w:val="22"/>
          <w:lang w:val="es-ES"/>
        </w:rPr>
        <w:t xml:space="preserve"> </w:t>
      </w:r>
      <w:r w:rsidRPr="00C22F3F">
        <w:rPr>
          <w:lang w:val="es-ES" w:eastAsia="de-DE"/>
        </w:rPr>
        <w:t>semanal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semanas de reducción gradual de prednisona 5,61 [10,115], </w:t>
      </w:r>
      <w:r w:rsidR="00317E68">
        <w:rPr>
          <w:szCs w:val="22"/>
          <w:lang w:val="es-ES"/>
        </w:rPr>
        <w:t>tocilizumab</w:t>
      </w:r>
      <w:r w:rsidR="00317E68" w:rsidRPr="006868F5">
        <w:rPr>
          <w:szCs w:val="22"/>
          <w:lang w:val="es-ES"/>
        </w:rPr>
        <w:t xml:space="preserve"> </w:t>
      </w:r>
      <w:del w:id="1094" w:author="AUTHOR">
        <w:r w:rsidRPr="00C22F3F" w:rsidDel="00E11790">
          <w:rPr>
            <w:lang w:val="es-ES" w:eastAsia="de-DE"/>
          </w:rPr>
          <w:delText xml:space="preserve">bisemanal </w:delText>
        </w:r>
      </w:del>
      <w:ins w:id="1095" w:author="AUTHOR">
        <w:r w:rsidR="00E11790">
          <w:rPr>
            <w:lang w:val="es-ES" w:eastAsia="de-DE"/>
          </w:rPr>
          <w:t>cada dos semanas</w:t>
        </w:r>
        <w:r w:rsidR="00E11790" w:rsidRPr="00C22F3F">
          <w:rPr>
            <w:lang w:val="es-ES" w:eastAsia="de-DE"/>
          </w:rPr>
          <w:t xml:space="preserve"> </w:t>
        </w:r>
      </w:ins>
      <w:r w:rsidRPr="00C22F3F">
        <w:rPr>
          <w:lang w:val="es-ES" w:eastAsia="de-DE"/>
        </w:rPr>
        <w:t>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1,81 [8,836], placebo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0,26 [10,702] y placebo más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-1,63 [6,753].</w:t>
      </w:r>
    </w:p>
    <w:p w14:paraId="4FDBFAD6" w14:textId="77777777" w:rsidR="00317E68" w:rsidRPr="00C22F3F" w:rsidRDefault="00317E68" w:rsidP="0079644F">
      <w:pPr>
        <w:rPr>
          <w:lang w:val="es-ES" w:eastAsia="de-DE"/>
        </w:rPr>
      </w:pPr>
    </w:p>
    <w:p w14:paraId="4532C06E" w14:textId="44B86093" w:rsidR="0079644F" w:rsidRPr="00C22F3F" w:rsidRDefault="0079644F" w:rsidP="0079644F">
      <w:pPr>
        <w:rPr>
          <w:lang w:val="es-ES" w:eastAsia="de-DE"/>
        </w:rPr>
      </w:pPr>
      <w:r w:rsidRPr="00C22F3F">
        <w:rPr>
          <w:lang w:val="es-ES" w:eastAsia="de-DE"/>
        </w:rPr>
        <w:t>El cambio en las puntuaciones de EQ-5D desde el inicio hasta la semana</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52 fueron: </w:t>
      </w:r>
      <w:r w:rsidR="00317E68">
        <w:rPr>
          <w:szCs w:val="22"/>
          <w:lang w:val="es-ES"/>
        </w:rPr>
        <w:t>tocilizumab</w:t>
      </w:r>
      <w:r w:rsidR="00317E68" w:rsidRPr="006868F5">
        <w:rPr>
          <w:szCs w:val="22"/>
          <w:lang w:val="es-ES"/>
        </w:rPr>
        <w:t xml:space="preserve"> </w:t>
      </w:r>
      <w:r w:rsidRPr="00C22F3F">
        <w:rPr>
          <w:lang w:val="es-ES" w:eastAsia="de-DE"/>
        </w:rPr>
        <w:t>semanal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 xml:space="preserve">semanas de reducción gradual de prednisona 0,10 [0,198], </w:t>
      </w:r>
      <w:r w:rsidR="00317E68">
        <w:rPr>
          <w:lang w:val="es-ES" w:eastAsia="de-DE"/>
        </w:rPr>
        <w:t>tocilizumab</w:t>
      </w:r>
      <w:r w:rsidRPr="00C22F3F">
        <w:rPr>
          <w:lang w:val="es-ES" w:eastAsia="de-DE"/>
        </w:rPr>
        <w:t xml:space="preserve"> </w:t>
      </w:r>
      <w:del w:id="1096" w:author="AUTHOR">
        <w:r w:rsidRPr="00C22F3F" w:rsidDel="00E11790">
          <w:rPr>
            <w:lang w:val="es-ES" w:eastAsia="de-DE"/>
          </w:rPr>
          <w:delText xml:space="preserve">bisemanal </w:delText>
        </w:r>
      </w:del>
      <w:ins w:id="1097" w:author="AUTHOR">
        <w:r w:rsidR="00E11790">
          <w:rPr>
            <w:lang w:val="es-ES" w:eastAsia="de-DE"/>
          </w:rPr>
          <w:t xml:space="preserve">cada dos semanas </w:t>
        </w:r>
      </w:ins>
      <w:r w:rsidRPr="00C22F3F">
        <w:rPr>
          <w:lang w:val="es-ES" w:eastAsia="de-DE"/>
        </w:rPr>
        <w:t>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0,05 [0,215], placebo más 26</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0,07 [0,293] y placebo más 52</w:t>
      </w:r>
      <w:r w:rsidR="00267243" w:rsidRPr="00F30AB8">
        <w:rPr>
          <w:szCs w:val="22"/>
          <w:lang w:val="es-ES" w:eastAsia="de-DE"/>
        </w:rPr>
        <w:t> </w:t>
      </w:r>
      <w:r w:rsidR="00267243" w:rsidRPr="00C22F3F" w:rsidDel="00267243">
        <w:rPr>
          <w:lang w:val="es-ES" w:eastAsia="de-DE"/>
        </w:rPr>
        <w:t xml:space="preserve"> </w:t>
      </w:r>
      <w:r w:rsidRPr="00C22F3F">
        <w:rPr>
          <w:lang w:val="es-ES" w:eastAsia="de-DE"/>
        </w:rPr>
        <w:t>semanas de reducción gradual de prednisona -0,02 [0,159].</w:t>
      </w:r>
    </w:p>
    <w:p w14:paraId="470D09E3" w14:textId="77777777" w:rsidR="0079644F" w:rsidRPr="00C22F3F" w:rsidRDefault="0079644F" w:rsidP="0079644F">
      <w:pPr>
        <w:rPr>
          <w:lang w:val="es-ES" w:eastAsia="de-DE"/>
        </w:rPr>
      </w:pPr>
    </w:p>
    <w:p w14:paraId="5A411FB5" w14:textId="77777777" w:rsidR="0079644F" w:rsidRDefault="0079644F" w:rsidP="0079644F">
      <w:pPr>
        <w:rPr>
          <w:lang w:val="es-ES" w:eastAsia="de-DE"/>
        </w:rPr>
      </w:pPr>
      <w:r w:rsidRPr="00C22F3F">
        <w:rPr>
          <w:lang w:val="es-ES" w:eastAsia="de-DE"/>
        </w:rPr>
        <w:t>Las puntuaciones más altas indican mejoría tanto en FACIT-Fatiga como en EQ5D.</w:t>
      </w:r>
      <w:r>
        <w:rPr>
          <w:lang w:val="es-ES" w:eastAsia="de-DE"/>
        </w:rPr>
        <w:t xml:space="preserve"> </w:t>
      </w:r>
    </w:p>
    <w:p w14:paraId="0F6A3F38" w14:textId="77777777" w:rsidR="00CB3DF8" w:rsidRDefault="00CB3DF8" w:rsidP="0079644F">
      <w:pPr>
        <w:rPr>
          <w:lang w:val="es-ES" w:eastAsia="de-DE"/>
        </w:rPr>
      </w:pPr>
    </w:p>
    <w:p w14:paraId="7A08005C" w14:textId="77777777" w:rsidR="00CB3DF8" w:rsidRDefault="00CB3DF8" w:rsidP="0079644F">
      <w:pPr>
        <w:rPr>
          <w:u w:val="single"/>
          <w:lang w:val="es-ES" w:eastAsia="de-DE"/>
        </w:rPr>
      </w:pPr>
      <w:r w:rsidRPr="00E576A0">
        <w:rPr>
          <w:u w:val="single"/>
          <w:lang w:val="es-ES" w:eastAsia="de-DE"/>
        </w:rPr>
        <w:t>Vía intravenosa</w:t>
      </w:r>
    </w:p>
    <w:p w14:paraId="274E21AB" w14:textId="53B495C0" w:rsidR="00834462" w:rsidRPr="00F30AB8" w:rsidRDefault="00317E68" w:rsidP="00834462">
      <w:pPr>
        <w:numPr>
          <w:ilvl w:val="12"/>
          <w:numId w:val="0"/>
        </w:numPr>
        <w:ind w:right="-2"/>
        <w:rPr>
          <w:i/>
          <w:lang w:val="es-ES"/>
        </w:rPr>
      </w:pPr>
      <w:r w:rsidRPr="00F30AB8">
        <w:rPr>
          <w:i/>
          <w:lang w:val="es-ES"/>
        </w:rPr>
        <w:t>Paciente</w:t>
      </w:r>
      <w:r w:rsidR="00267243">
        <w:rPr>
          <w:i/>
          <w:lang w:val="es-ES"/>
        </w:rPr>
        <w:t>s con</w:t>
      </w:r>
      <w:r w:rsidR="00265742">
        <w:rPr>
          <w:i/>
          <w:lang w:val="es-ES"/>
        </w:rPr>
        <w:t xml:space="preserve"> </w:t>
      </w:r>
      <w:r w:rsidR="0071356C" w:rsidRPr="00F30AB8">
        <w:rPr>
          <w:i/>
          <w:lang w:val="es-ES"/>
        </w:rPr>
        <w:t>AR</w:t>
      </w:r>
      <w:r w:rsidR="00834462" w:rsidRPr="00F30AB8">
        <w:rPr>
          <w:i/>
          <w:lang w:val="es-ES"/>
        </w:rPr>
        <w:t xml:space="preserve"> </w:t>
      </w:r>
    </w:p>
    <w:p w14:paraId="7B6E60B4" w14:textId="6BACF32C" w:rsidR="00834462" w:rsidRPr="00286CDE" w:rsidDel="00FF4632" w:rsidRDefault="00834462" w:rsidP="00836EE0">
      <w:pPr>
        <w:keepNext/>
        <w:keepLines/>
        <w:numPr>
          <w:ilvl w:val="12"/>
          <w:numId w:val="0"/>
        </w:numPr>
        <w:rPr>
          <w:del w:id="1098" w:author="AUTHOR"/>
          <w:u w:val="single"/>
          <w:lang w:val="es-ES"/>
        </w:rPr>
      </w:pPr>
    </w:p>
    <w:p w14:paraId="5480D373" w14:textId="77777777" w:rsidR="005B7E73" w:rsidRPr="00467FFD" w:rsidRDefault="00834462" w:rsidP="00834462">
      <w:pPr>
        <w:numPr>
          <w:ilvl w:val="12"/>
          <w:numId w:val="0"/>
        </w:numPr>
        <w:rPr>
          <w:i/>
          <w:u w:val="single"/>
          <w:lang w:val="es-ES"/>
          <w:rPrChange w:id="1099" w:author="AUTHOR">
            <w:rPr>
              <w:iCs/>
              <w:u w:val="single"/>
              <w:lang w:val="es-ES"/>
            </w:rPr>
          </w:rPrChange>
        </w:rPr>
      </w:pPr>
      <w:r w:rsidRPr="00467FFD">
        <w:rPr>
          <w:i/>
          <w:u w:val="single"/>
          <w:lang w:val="es-ES_tradnl"/>
          <w:rPrChange w:id="1100" w:author="AUTHOR">
            <w:rPr>
              <w:iCs/>
              <w:u w:val="single"/>
              <w:lang w:val="es-ES_tradnl"/>
            </w:rPr>
          </w:rPrChange>
        </w:rPr>
        <w:t>Eficacia clínica</w:t>
      </w:r>
      <w:r w:rsidRPr="00467FFD">
        <w:rPr>
          <w:i/>
          <w:u w:val="single"/>
          <w:lang w:val="es-ES"/>
          <w:rPrChange w:id="1101" w:author="AUTHOR">
            <w:rPr>
              <w:iCs/>
              <w:u w:val="single"/>
              <w:lang w:val="es-ES"/>
            </w:rPr>
          </w:rPrChange>
        </w:rPr>
        <w:t xml:space="preserve"> </w:t>
      </w:r>
    </w:p>
    <w:p w14:paraId="6D3CB891" w14:textId="061F5E1D" w:rsidR="00834462" w:rsidRPr="008A106B" w:rsidRDefault="00834462" w:rsidP="00834462">
      <w:pPr>
        <w:numPr>
          <w:ilvl w:val="12"/>
          <w:numId w:val="0"/>
        </w:numPr>
        <w:rPr>
          <w:lang w:val="es-ES"/>
        </w:rPr>
      </w:pPr>
      <w:r w:rsidRPr="008A106B">
        <w:rPr>
          <w:lang w:val="es-ES_tradnl"/>
        </w:rPr>
        <w:t>Se ha eva</w:t>
      </w:r>
      <w:r w:rsidR="00D73C3D">
        <w:rPr>
          <w:lang w:val="es-ES_tradnl"/>
        </w:rPr>
        <w:t xml:space="preserve">luado la eficacia de </w:t>
      </w:r>
      <w:r w:rsidR="00317E68">
        <w:rPr>
          <w:szCs w:val="22"/>
          <w:lang w:val="es-ES"/>
        </w:rPr>
        <w:t>tocilizumab</w:t>
      </w:r>
      <w:r w:rsidR="00317E68" w:rsidRPr="006868F5">
        <w:rPr>
          <w:szCs w:val="22"/>
          <w:lang w:val="es-ES"/>
        </w:rPr>
        <w:t xml:space="preserve"> </w:t>
      </w:r>
      <w:r w:rsidRPr="008A106B">
        <w:rPr>
          <w:lang w:val="es-ES_tradnl"/>
        </w:rPr>
        <w:t>para aliviar los signos y síntomas de artritis reumatoide en cinco ensayos aleatorizados, doble ciego, multicéntricos.</w:t>
      </w:r>
      <w:r w:rsidRPr="008A106B">
        <w:rPr>
          <w:lang w:val="es-ES"/>
        </w:rPr>
        <w:t xml:space="preserve"> </w:t>
      </w:r>
      <w:r w:rsidRPr="008A106B">
        <w:rPr>
          <w:lang w:val="es-ES_tradnl"/>
        </w:rPr>
        <w:t>Los ensayos I-V incluyeron a pacientes</w:t>
      </w:r>
      <w:r w:rsidR="00267243">
        <w:rPr>
          <w:lang w:val="es-ES_tradnl"/>
        </w:rPr>
        <w:t xml:space="preserve"> </w:t>
      </w:r>
      <w:r w:rsidR="00267243" w:rsidRPr="00F30AB8">
        <w:rPr>
          <w:szCs w:val="22"/>
          <w:lang w:val="es-ES"/>
        </w:rPr>
        <w:t>≥ </w:t>
      </w:r>
      <w:r w:rsidRPr="008A106B">
        <w:rPr>
          <w:lang w:val="es-ES_tradnl"/>
        </w:rPr>
        <w:t>18 años de edad con artritis reumatoide activa diagnosticada según los criterios del American College of Rheumatology (ACR) y que tenían al menos ocho articulaciones doloridas y seis inflamadas al inicio.</w:t>
      </w:r>
      <w:r w:rsidRPr="008A106B">
        <w:rPr>
          <w:lang w:val="es-ES"/>
        </w:rPr>
        <w:t xml:space="preserve"> </w:t>
      </w:r>
    </w:p>
    <w:p w14:paraId="4D81920E" w14:textId="77777777" w:rsidR="00834462" w:rsidRPr="008A106B" w:rsidRDefault="00834462" w:rsidP="00834462">
      <w:pPr>
        <w:numPr>
          <w:ilvl w:val="12"/>
          <w:numId w:val="0"/>
        </w:numPr>
        <w:ind w:right="-2"/>
        <w:rPr>
          <w:lang w:val="es-ES"/>
        </w:rPr>
      </w:pPr>
    </w:p>
    <w:p w14:paraId="7ECCF4D4" w14:textId="06546606" w:rsidR="00834462" w:rsidRPr="008A106B" w:rsidRDefault="00834462" w:rsidP="00834462">
      <w:pPr>
        <w:numPr>
          <w:ilvl w:val="12"/>
          <w:numId w:val="0"/>
        </w:numPr>
        <w:ind w:right="-2"/>
        <w:rPr>
          <w:lang w:val="es-ES"/>
        </w:rPr>
      </w:pPr>
      <w:r w:rsidRPr="008A106B">
        <w:rPr>
          <w:lang w:val="es-ES_tradnl"/>
        </w:rPr>
        <w:t xml:space="preserve">En el </w:t>
      </w:r>
      <w:proofErr w:type="gramStart"/>
      <w:r w:rsidRPr="008A106B">
        <w:rPr>
          <w:lang w:val="es-ES_tradnl"/>
        </w:rPr>
        <w:t xml:space="preserve">ensayo </w:t>
      </w:r>
      <w:ins w:id="1102" w:author="AUTHOR">
        <w:r w:rsidR="00FF4632" w:rsidRPr="008A106B">
          <w:rPr>
            <w:lang w:val="es-ES_tradnl"/>
          </w:rPr>
          <w:t xml:space="preserve"> </w:t>
        </w:r>
      </w:ins>
      <w:r w:rsidRPr="008A106B">
        <w:rPr>
          <w:lang w:val="es-ES_tradnl"/>
        </w:rPr>
        <w:t>I</w:t>
      </w:r>
      <w:proofErr w:type="gramEnd"/>
      <w:r w:rsidRPr="008A106B">
        <w:rPr>
          <w:lang w:val="es-ES_tradnl"/>
        </w:rPr>
        <w:t xml:space="preserve">, </w:t>
      </w:r>
      <w:r w:rsidR="00317E68">
        <w:rPr>
          <w:szCs w:val="22"/>
          <w:lang w:val="es-ES"/>
        </w:rPr>
        <w:t>tocilizumab</w:t>
      </w:r>
      <w:r w:rsidR="00317E68" w:rsidRPr="006868F5">
        <w:rPr>
          <w:szCs w:val="22"/>
          <w:lang w:val="es-ES"/>
        </w:rPr>
        <w:t xml:space="preserve"> </w:t>
      </w:r>
      <w:r w:rsidRPr="008A106B">
        <w:rPr>
          <w:lang w:val="es-ES_tradnl"/>
        </w:rPr>
        <w:t>se administró por vía intravenosa cada cuatro semanas como monoterapia.</w:t>
      </w:r>
      <w:r w:rsidRPr="008A106B">
        <w:rPr>
          <w:lang w:val="es-ES"/>
        </w:rPr>
        <w:t xml:space="preserve"> </w:t>
      </w:r>
      <w:r w:rsidRPr="008A106B">
        <w:rPr>
          <w:lang w:val="es-ES_tradnl"/>
        </w:rPr>
        <w:t xml:space="preserve">En los </w:t>
      </w:r>
      <w:r w:rsidR="000F0199" w:rsidRPr="008A106B">
        <w:rPr>
          <w:lang w:val="es-ES_tradnl"/>
        </w:rPr>
        <w:t>e</w:t>
      </w:r>
      <w:r w:rsidR="000F0199">
        <w:rPr>
          <w:lang w:val="es-ES_tradnl"/>
        </w:rPr>
        <w:t>nsay</w:t>
      </w:r>
      <w:r w:rsidR="000F0199" w:rsidRPr="008A106B">
        <w:rPr>
          <w:lang w:val="es-ES_tradnl"/>
        </w:rPr>
        <w:t xml:space="preserve">os </w:t>
      </w:r>
      <w:r w:rsidRPr="008A106B">
        <w:rPr>
          <w:lang w:val="es-ES_tradnl"/>
        </w:rPr>
        <w:t xml:space="preserve">II, III y V, </w:t>
      </w:r>
      <w:r w:rsidR="00D1620C">
        <w:rPr>
          <w:szCs w:val="22"/>
          <w:lang w:val="es-ES"/>
        </w:rPr>
        <w:t>tocilizumab</w:t>
      </w:r>
      <w:r w:rsidR="00D1620C" w:rsidRPr="006868F5">
        <w:rPr>
          <w:szCs w:val="22"/>
          <w:lang w:val="es-ES"/>
        </w:rPr>
        <w:t xml:space="preserve"> </w:t>
      </w:r>
      <w:r w:rsidRPr="008A106B">
        <w:rPr>
          <w:lang w:val="es-ES_tradnl"/>
        </w:rPr>
        <w:t>se administró por vía intravenosa cada cuatro semanas en combinación con MTX frente a placebo y MTX.</w:t>
      </w:r>
      <w:r w:rsidRPr="008A106B">
        <w:rPr>
          <w:lang w:val="es-ES"/>
        </w:rPr>
        <w:t xml:space="preserve"> </w:t>
      </w:r>
      <w:r w:rsidRPr="008A106B">
        <w:rPr>
          <w:lang w:val="es-ES_tradnl"/>
        </w:rPr>
        <w:t xml:space="preserve">En el </w:t>
      </w:r>
      <w:r w:rsidR="000F0199" w:rsidRPr="008A106B">
        <w:rPr>
          <w:lang w:val="es-ES_tradnl"/>
        </w:rPr>
        <w:t>e</w:t>
      </w:r>
      <w:r w:rsidR="000F0199">
        <w:rPr>
          <w:lang w:val="es-ES_tradnl"/>
        </w:rPr>
        <w:t>nsay</w:t>
      </w:r>
      <w:r w:rsidR="000F0199" w:rsidRPr="008A106B">
        <w:rPr>
          <w:lang w:val="es-ES_tradnl"/>
        </w:rPr>
        <w:t xml:space="preserve">o </w:t>
      </w:r>
      <w:r w:rsidRPr="008A106B">
        <w:rPr>
          <w:lang w:val="es-ES_tradnl"/>
        </w:rPr>
        <w:t xml:space="preserve">IV, </w:t>
      </w:r>
      <w:r w:rsidR="00D1620C">
        <w:rPr>
          <w:szCs w:val="22"/>
          <w:lang w:val="es-ES"/>
        </w:rPr>
        <w:t>tocilizumab</w:t>
      </w:r>
      <w:r w:rsidR="00D1620C" w:rsidRPr="006868F5">
        <w:rPr>
          <w:szCs w:val="22"/>
          <w:lang w:val="es-ES"/>
        </w:rPr>
        <w:t xml:space="preserve"> </w:t>
      </w:r>
      <w:r w:rsidRPr="008A106B">
        <w:rPr>
          <w:lang w:val="es-ES_tradnl"/>
        </w:rPr>
        <w:t xml:space="preserve">se administró por vía intravenosa cada </w:t>
      </w:r>
      <w:proofErr w:type="gramStart"/>
      <w:r w:rsidRPr="008A106B">
        <w:rPr>
          <w:lang w:val="es-ES_tradnl"/>
        </w:rPr>
        <w:t>4</w:t>
      </w:r>
      <w:r w:rsidR="00267243" w:rsidRPr="00F30AB8">
        <w:rPr>
          <w:szCs w:val="22"/>
          <w:lang w:val="es-ES"/>
        </w:rPr>
        <w:t> </w:t>
      </w:r>
      <w:r w:rsidR="00267243" w:rsidRPr="008A106B" w:rsidDel="00267243">
        <w:rPr>
          <w:lang w:val="es-ES_tradnl"/>
        </w:rPr>
        <w:t xml:space="preserve"> </w:t>
      </w:r>
      <w:r w:rsidRPr="008A106B">
        <w:rPr>
          <w:lang w:val="es-ES_tradnl"/>
        </w:rPr>
        <w:t>semanas</w:t>
      </w:r>
      <w:proofErr w:type="gramEnd"/>
      <w:r w:rsidRPr="008A106B">
        <w:rPr>
          <w:lang w:val="es-ES_tradnl"/>
        </w:rPr>
        <w:t xml:space="preserve"> en combinación con otros FAMEs frente a placebo y otros FAMEs.</w:t>
      </w:r>
      <w:r w:rsidRPr="008A106B">
        <w:rPr>
          <w:lang w:val="es-ES"/>
        </w:rPr>
        <w:t xml:space="preserve"> </w:t>
      </w:r>
      <w:r w:rsidRPr="008A106B">
        <w:rPr>
          <w:lang w:val="es-ES_tradnl"/>
        </w:rPr>
        <w:t xml:space="preserve">El objetivo </w:t>
      </w:r>
      <w:ins w:id="1103" w:author="AUTHOR">
        <w:r w:rsidR="00E11790">
          <w:rPr>
            <w:lang w:val="es-ES_tradnl"/>
          </w:rPr>
          <w:t>principal</w:t>
        </w:r>
      </w:ins>
      <w:del w:id="1104" w:author="AUTHOR">
        <w:r w:rsidRPr="008A106B" w:rsidDel="00E11790">
          <w:rPr>
            <w:lang w:val="es-ES_tradnl"/>
          </w:rPr>
          <w:delText>primario</w:delText>
        </w:r>
      </w:del>
      <w:r w:rsidRPr="008A106B">
        <w:rPr>
          <w:lang w:val="es-ES_tradnl"/>
        </w:rPr>
        <w:t xml:space="preserve"> de los cinco </w:t>
      </w:r>
      <w:r w:rsidR="000F0199" w:rsidRPr="008A106B">
        <w:rPr>
          <w:lang w:val="es-ES_tradnl"/>
        </w:rPr>
        <w:t>e</w:t>
      </w:r>
      <w:r w:rsidR="000F0199">
        <w:rPr>
          <w:lang w:val="es-ES_tradnl"/>
        </w:rPr>
        <w:t>nsay</w:t>
      </w:r>
      <w:r w:rsidR="000F0199" w:rsidRPr="008A106B">
        <w:rPr>
          <w:lang w:val="es-ES_tradnl"/>
        </w:rPr>
        <w:t xml:space="preserve">os </w:t>
      </w:r>
      <w:r w:rsidRPr="008A106B">
        <w:rPr>
          <w:lang w:val="es-ES_tradnl"/>
        </w:rPr>
        <w:t>fue la proporción de pacientes que alcanzaron respuesta ACR</w:t>
      </w:r>
      <w:r w:rsidR="00267243" w:rsidRPr="00F30AB8">
        <w:rPr>
          <w:szCs w:val="22"/>
          <w:lang w:val="es-ES"/>
        </w:rPr>
        <w:t> </w:t>
      </w:r>
      <w:r w:rsidR="00267243" w:rsidRPr="008A106B">
        <w:rPr>
          <w:lang w:val="es-ES_tradnl"/>
        </w:rPr>
        <w:t xml:space="preserve"> </w:t>
      </w:r>
      <w:r w:rsidRPr="008A106B">
        <w:rPr>
          <w:lang w:val="es-ES_tradnl"/>
        </w:rPr>
        <w:t>20 la semana</w:t>
      </w:r>
      <w:r w:rsidR="00267243" w:rsidRPr="00F30AB8">
        <w:rPr>
          <w:szCs w:val="22"/>
          <w:lang w:val="es-ES"/>
        </w:rPr>
        <w:t> </w:t>
      </w:r>
      <w:r w:rsidR="00267243" w:rsidRPr="008A106B" w:rsidDel="00267243">
        <w:rPr>
          <w:lang w:val="es-ES_tradnl"/>
        </w:rPr>
        <w:t xml:space="preserve"> </w:t>
      </w:r>
      <w:r w:rsidRPr="008A106B">
        <w:rPr>
          <w:lang w:val="es-ES_tradnl"/>
        </w:rPr>
        <w:t>24.</w:t>
      </w:r>
      <w:r w:rsidRPr="008A106B">
        <w:rPr>
          <w:lang w:val="es-ES"/>
        </w:rPr>
        <w:t xml:space="preserve"> </w:t>
      </w:r>
    </w:p>
    <w:p w14:paraId="17D96FBD" w14:textId="77777777" w:rsidR="00834462" w:rsidRPr="008A106B" w:rsidRDefault="00834462" w:rsidP="00834462">
      <w:pPr>
        <w:numPr>
          <w:ilvl w:val="12"/>
          <w:numId w:val="0"/>
        </w:numPr>
        <w:ind w:right="-2"/>
        <w:rPr>
          <w:lang w:val="es-ES"/>
        </w:rPr>
      </w:pPr>
    </w:p>
    <w:p w14:paraId="0BA06FEB" w14:textId="0B0D68EC" w:rsidR="00834462" w:rsidRPr="008A106B" w:rsidRDefault="00834462" w:rsidP="00834462">
      <w:pPr>
        <w:numPr>
          <w:ilvl w:val="12"/>
          <w:numId w:val="0"/>
        </w:numPr>
        <w:ind w:right="-2"/>
        <w:rPr>
          <w:lang w:val="es-ES"/>
        </w:rPr>
      </w:pPr>
      <w:r w:rsidRPr="008A106B">
        <w:rPr>
          <w:lang w:val="es-ES_tradnl"/>
        </w:rPr>
        <w:t xml:space="preserve">En el ensayo I se evaluaron </w:t>
      </w:r>
      <w:proofErr w:type="gramStart"/>
      <w:r w:rsidRPr="008A106B">
        <w:rPr>
          <w:lang w:val="es-ES_tradnl"/>
        </w:rPr>
        <w:t>673</w:t>
      </w:r>
      <w:r w:rsidR="00267243" w:rsidRPr="00F30AB8">
        <w:rPr>
          <w:szCs w:val="22"/>
          <w:lang w:val="es-ES"/>
        </w:rPr>
        <w:t> </w:t>
      </w:r>
      <w:r w:rsidR="00267243" w:rsidRPr="008A106B" w:rsidDel="00267243">
        <w:rPr>
          <w:lang w:val="es-ES_tradnl"/>
        </w:rPr>
        <w:t xml:space="preserve"> </w:t>
      </w:r>
      <w:r w:rsidRPr="008A106B">
        <w:rPr>
          <w:lang w:val="es-ES_tradnl"/>
        </w:rPr>
        <w:t>pacientes</w:t>
      </w:r>
      <w:proofErr w:type="gramEnd"/>
      <w:r w:rsidRPr="008A106B">
        <w:rPr>
          <w:lang w:val="es-ES_tradnl"/>
        </w:rPr>
        <w:t xml:space="preserve"> que no habían sido tratados con MTX en los seis meses previos a la aleatorización y que no habían suspendido el tratamiento previo con MTX como consecuencia de efectos tóxicos clínicamente importantes o falta de respuesta.</w:t>
      </w:r>
      <w:r w:rsidRPr="008A106B">
        <w:rPr>
          <w:lang w:val="es-ES"/>
        </w:rPr>
        <w:t xml:space="preserve"> </w:t>
      </w:r>
      <w:r w:rsidRPr="008A106B">
        <w:rPr>
          <w:lang w:val="es-ES_tradnl"/>
        </w:rPr>
        <w:t>La mayoría (67 %) de los pacientes no habían recibido nunca MTX.</w:t>
      </w:r>
      <w:r w:rsidRPr="008A106B">
        <w:rPr>
          <w:lang w:val="es-ES"/>
        </w:rPr>
        <w:t xml:space="preserve"> </w:t>
      </w:r>
      <w:r w:rsidRPr="008A106B">
        <w:rPr>
          <w:lang w:val="es-ES_tradnl"/>
        </w:rPr>
        <w:t xml:space="preserve">Se administraron dosis de 8 mg/kg de </w:t>
      </w:r>
      <w:r w:rsidR="00D1620C">
        <w:rPr>
          <w:szCs w:val="22"/>
          <w:lang w:val="es-ES"/>
        </w:rPr>
        <w:t>tocilizumab</w:t>
      </w:r>
      <w:r w:rsidR="00D1620C" w:rsidRPr="006868F5">
        <w:rPr>
          <w:szCs w:val="22"/>
          <w:lang w:val="es-ES"/>
        </w:rPr>
        <w:t xml:space="preserve"> </w:t>
      </w:r>
      <w:r w:rsidRPr="008A106B">
        <w:rPr>
          <w:lang w:val="es-ES_tradnl"/>
        </w:rPr>
        <w:t xml:space="preserve">cada </w:t>
      </w:r>
      <w:r w:rsidRPr="008A106B">
        <w:rPr>
          <w:lang w:val="es-ES_tradnl"/>
        </w:rPr>
        <w:lastRenderedPageBreak/>
        <w:t>cuatro semanas como monoterapia.</w:t>
      </w:r>
      <w:r w:rsidRPr="008A106B">
        <w:rPr>
          <w:lang w:val="es-ES"/>
        </w:rPr>
        <w:t xml:space="preserve"> </w:t>
      </w:r>
      <w:r w:rsidRPr="008A106B">
        <w:rPr>
          <w:lang w:val="es-ES_tradnl"/>
        </w:rPr>
        <w:t>El grupo de comparación recibió MTX semanal (dosis ajustada desde 7,5 mg a un máximo de 20 mg por semana durante un período de ocho semanas).</w:t>
      </w:r>
      <w:r w:rsidRPr="008A106B">
        <w:rPr>
          <w:lang w:val="es-ES"/>
        </w:rPr>
        <w:t xml:space="preserve"> </w:t>
      </w:r>
    </w:p>
    <w:p w14:paraId="24F23E13" w14:textId="77777777" w:rsidR="00834462" w:rsidRPr="008A106B" w:rsidRDefault="00834462" w:rsidP="00834462">
      <w:pPr>
        <w:numPr>
          <w:ilvl w:val="12"/>
          <w:numId w:val="0"/>
        </w:numPr>
        <w:ind w:right="-2"/>
        <w:rPr>
          <w:lang w:val="es-ES"/>
        </w:rPr>
      </w:pPr>
    </w:p>
    <w:p w14:paraId="7C441F1D" w14:textId="566DAD30" w:rsidR="00834462" w:rsidRPr="008A106B" w:rsidRDefault="00834462" w:rsidP="00834462">
      <w:pPr>
        <w:numPr>
          <w:ilvl w:val="12"/>
          <w:numId w:val="0"/>
        </w:numPr>
        <w:ind w:right="-2"/>
        <w:rPr>
          <w:lang w:val="es-ES"/>
        </w:rPr>
      </w:pPr>
      <w:r w:rsidRPr="008A106B">
        <w:rPr>
          <w:lang w:val="es-ES_tradnl"/>
        </w:rPr>
        <w:t xml:space="preserve">En el ensayo II, un </w:t>
      </w:r>
      <w:r w:rsidR="00C434A4" w:rsidRPr="008A106B">
        <w:rPr>
          <w:lang w:val="es-ES_tradnl"/>
        </w:rPr>
        <w:t>e</w:t>
      </w:r>
      <w:r w:rsidR="00C434A4">
        <w:rPr>
          <w:lang w:val="es-ES_tradnl"/>
        </w:rPr>
        <w:t>nsay</w:t>
      </w:r>
      <w:r w:rsidR="00C434A4" w:rsidRPr="008A106B">
        <w:rPr>
          <w:lang w:val="es-ES_tradnl"/>
        </w:rPr>
        <w:t xml:space="preserve">o </w:t>
      </w:r>
      <w:r w:rsidRPr="008A106B">
        <w:rPr>
          <w:lang w:val="es-ES_tradnl"/>
        </w:rPr>
        <w:t xml:space="preserve">de dos años con análisis planificados en las </w:t>
      </w:r>
      <w:proofErr w:type="gramStart"/>
      <w:r w:rsidRPr="008A106B">
        <w:rPr>
          <w:lang w:val="es-ES_tradnl"/>
        </w:rPr>
        <w:t>semanas</w:t>
      </w:r>
      <w:r w:rsidR="00267243" w:rsidRPr="00F30AB8">
        <w:rPr>
          <w:szCs w:val="22"/>
          <w:lang w:val="es-ES"/>
        </w:rPr>
        <w:t> </w:t>
      </w:r>
      <w:r w:rsidR="00267243" w:rsidRPr="008A106B" w:rsidDel="00267243">
        <w:rPr>
          <w:lang w:val="es-ES_tradnl"/>
        </w:rPr>
        <w:t xml:space="preserve"> </w:t>
      </w:r>
      <w:r w:rsidRPr="008A106B">
        <w:rPr>
          <w:lang w:val="es-ES_tradnl"/>
        </w:rPr>
        <w:t>24</w:t>
      </w:r>
      <w:proofErr w:type="gramEnd"/>
      <w:r w:rsidRPr="008A106B">
        <w:rPr>
          <w:lang w:val="es-ES_tradnl"/>
        </w:rPr>
        <w:t>, 52 y 104, se evaluaron 1</w:t>
      </w:r>
      <w:r w:rsidR="00BA73E0">
        <w:rPr>
          <w:lang w:val="es-ES_tradnl"/>
        </w:rPr>
        <w:t>.</w:t>
      </w:r>
      <w:r w:rsidRPr="008A106B">
        <w:rPr>
          <w:lang w:val="es-ES_tradnl"/>
        </w:rPr>
        <w:t>196</w:t>
      </w:r>
      <w:r w:rsidR="00267243" w:rsidRPr="00F30AB8">
        <w:rPr>
          <w:szCs w:val="22"/>
          <w:lang w:val="es-ES"/>
        </w:rPr>
        <w:t> </w:t>
      </w:r>
      <w:r w:rsidR="00267243" w:rsidRPr="008A106B" w:rsidDel="00267243">
        <w:rPr>
          <w:lang w:val="es-ES_tradnl"/>
        </w:rPr>
        <w:t xml:space="preserve"> </w:t>
      </w:r>
      <w:r w:rsidRPr="008A106B">
        <w:rPr>
          <w:lang w:val="es-ES_tradnl"/>
        </w:rPr>
        <w:t>pacientes con una respuesta clínica inadecuada a MTX.</w:t>
      </w:r>
      <w:r w:rsidRPr="008A106B">
        <w:rPr>
          <w:lang w:val="es-ES"/>
        </w:rPr>
        <w:t xml:space="preserve"> </w:t>
      </w:r>
      <w:r w:rsidRPr="008A106B">
        <w:rPr>
          <w:lang w:val="es-ES_tradnl"/>
        </w:rPr>
        <w:t xml:space="preserve">Se administraron dosis de 4 u 8 mg/kg de </w:t>
      </w:r>
      <w:r w:rsidR="00D1620C">
        <w:rPr>
          <w:szCs w:val="22"/>
          <w:lang w:val="es-ES"/>
        </w:rPr>
        <w:t>tocilizumab</w:t>
      </w:r>
      <w:r w:rsidR="00D1620C" w:rsidRPr="006868F5">
        <w:rPr>
          <w:szCs w:val="22"/>
          <w:lang w:val="es-ES"/>
        </w:rPr>
        <w:t xml:space="preserve"> </w:t>
      </w:r>
      <w:r w:rsidRPr="008A106B">
        <w:rPr>
          <w:lang w:val="es-ES_tradnl"/>
        </w:rPr>
        <w:t>o placebo cada cuatro semanas como</w:t>
      </w:r>
      <w:ins w:id="1105" w:author="AUTHOR">
        <w:r w:rsidR="004E273B">
          <w:rPr>
            <w:lang w:val="es-ES_tradnl"/>
          </w:rPr>
          <w:t xml:space="preserve"> </w:t>
        </w:r>
      </w:ins>
      <w:del w:id="1106" w:author="AUTHOR">
        <w:r w:rsidRPr="008A106B" w:rsidDel="004E273B">
          <w:rPr>
            <w:lang w:val="es-ES_tradnl"/>
          </w:rPr>
          <w:delText xml:space="preserve"> </w:delText>
        </w:r>
      </w:del>
      <w:ins w:id="1107" w:author="AUTHOR">
        <w:r w:rsidR="004E273B" w:rsidRPr="00467FFD">
          <w:rPr>
            <w:lang w:val="es-ES"/>
            <w:rPrChange w:id="1108" w:author="AUTHOR">
              <w:rPr>
                <w:b/>
                <w:bCs/>
              </w:rPr>
            </w:rPrChange>
          </w:rPr>
          <w:t>tratamiento</w:t>
        </w:r>
        <w:r w:rsidR="004E273B" w:rsidRPr="00467FFD">
          <w:rPr>
            <w:lang w:val="es-ES"/>
            <w:rPrChange w:id="1109" w:author="AUTHOR">
              <w:rPr/>
            </w:rPrChange>
          </w:rPr>
          <w:t> bajo enmascaramiento</w:t>
        </w:r>
      </w:ins>
      <w:del w:id="1110" w:author="AUTHOR">
        <w:r w:rsidRPr="008A106B" w:rsidDel="004E273B">
          <w:rPr>
            <w:lang w:val="es-ES_tradnl"/>
          </w:rPr>
          <w:delText>terapia ciega</w:delText>
        </w:r>
      </w:del>
      <w:r w:rsidRPr="008A106B">
        <w:rPr>
          <w:lang w:val="es-ES_tradnl"/>
        </w:rPr>
        <w:t xml:space="preserve"> durante 52 semanas en combinación con MTX estable (de 10 mg a 25 mg semanales).</w:t>
      </w:r>
      <w:r w:rsidRPr="008A106B">
        <w:rPr>
          <w:lang w:val="es-ES"/>
        </w:rPr>
        <w:t xml:space="preserve"> Después de </w:t>
      </w:r>
      <w:proofErr w:type="gramStart"/>
      <w:r w:rsidRPr="008A106B">
        <w:rPr>
          <w:lang w:val="es-ES"/>
        </w:rPr>
        <w:t>52</w:t>
      </w:r>
      <w:r w:rsidR="00267243" w:rsidRPr="00F30AB8">
        <w:rPr>
          <w:szCs w:val="22"/>
          <w:lang w:val="es-ES"/>
        </w:rPr>
        <w:t> </w:t>
      </w:r>
      <w:r w:rsidR="00267243" w:rsidRPr="008A106B" w:rsidDel="00267243">
        <w:rPr>
          <w:lang w:val="es-ES"/>
        </w:rPr>
        <w:t xml:space="preserve"> </w:t>
      </w:r>
      <w:r w:rsidRPr="008A106B">
        <w:rPr>
          <w:lang w:val="es-ES"/>
        </w:rPr>
        <w:t>semanas</w:t>
      </w:r>
      <w:proofErr w:type="gramEnd"/>
      <w:r w:rsidRPr="008A106B">
        <w:rPr>
          <w:lang w:val="es-ES"/>
        </w:rPr>
        <w:t xml:space="preserve"> todos los pacientes pudieron recibir tratamiento abierto con </w:t>
      </w:r>
      <w:r w:rsidR="00D1620C">
        <w:rPr>
          <w:szCs w:val="22"/>
          <w:lang w:val="es-ES"/>
        </w:rPr>
        <w:t>tocilizumab</w:t>
      </w:r>
      <w:r w:rsidR="00D1620C" w:rsidRPr="006868F5">
        <w:rPr>
          <w:szCs w:val="22"/>
          <w:lang w:val="es-ES"/>
        </w:rPr>
        <w:t xml:space="preserve"> </w:t>
      </w:r>
      <w:r w:rsidRPr="008A106B">
        <w:rPr>
          <w:lang w:val="es-ES"/>
        </w:rPr>
        <w:t xml:space="preserve">8mg/kg. De los pacientes que completaron el </w:t>
      </w:r>
      <w:r w:rsidR="000F0199" w:rsidRPr="008A106B">
        <w:rPr>
          <w:lang w:val="es-ES"/>
        </w:rPr>
        <w:t>e</w:t>
      </w:r>
      <w:r w:rsidR="000F0199">
        <w:rPr>
          <w:lang w:val="es-ES"/>
        </w:rPr>
        <w:t>nsay</w:t>
      </w:r>
      <w:r w:rsidR="000F0199" w:rsidRPr="008A106B">
        <w:rPr>
          <w:lang w:val="es-ES"/>
        </w:rPr>
        <w:t>o</w:t>
      </w:r>
      <w:r w:rsidRPr="008A106B">
        <w:rPr>
          <w:lang w:val="es-ES"/>
        </w:rPr>
        <w:t>, el 86</w:t>
      </w:r>
      <w:r w:rsidR="00BA73E0">
        <w:rPr>
          <w:lang w:val="es-ES"/>
        </w:rPr>
        <w:t xml:space="preserve"> </w:t>
      </w:r>
      <w:r w:rsidRPr="008A106B">
        <w:rPr>
          <w:lang w:val="es-ES"/>
        </w:rPr>
        <w:t xml:space="preserve">% de los que inicialmente fueron asignados al </w:t>
      </w:r>
      <w:del w:id="1111" w:author="AUTHOR">
        <w:r w:rsidRPr="008A106B" w:rsidDel="004E273B">
          <w:rPr>
            <w:lang w:val="es-ES"/>
          </w:rPr>
          <w:delText>brazo</w:delText>
        </w:r>
      </w:del>
      <w:ins w:id="1112" w:author="AUTHOR">
        <w:r w:rsidR="004E273B">
          <w:rPr>
            <w:lang w:val="es-ES"/>
          </w:rPr>
          <w:t>grupo</w:t>
        </w:r>
      </w:ins>
      <w:r w:rsidRPr="008A106B">
        <w:rPr>
          <w:lang w:val="es-ES"/>
        </w:rPr>
        <w:t xml:space="preserve"> placebo + MTX recibieron tratamiento abierto con </w:t>
      </w:r>
      <w:r w:rsidR="00D1620C">
        <w:rPr>
          <w:szCs w:val="22"/>
          <w:lang w:val="es-ES"/>
        </w:rPr>
        <w:t>tocilizumab</w:t>
      </w:r>
      <w:r w:rsidR="00D1620C" w:rsidRPr="006868F5">
        <w:rPr>
          <w:szCs w:val="22"/>
          <w:lang w:val="es-ES"/>
        </w:rPr>
        <w:t xml:space="preserve"> </w:t>
      </w:r>
      <w:r w:rsidRPr="008A106B">
        <w:rPr>
          <w:lang w:val="es-ES"/>
        </w:rPr>
        <w:t>8</w:t>
      </w:r>
      <w:r w:rsidR="00267243" w:rsidRPr="00F30AB8">
        <w:rPr>
          <w:szCs w:val="22"/>
          <w:lang w:val="es-ES"/>
        </w:rPr>
        <w:t> </w:t>
      </w:r>
      <w:r w:rsidR="00267243" w:rsidRPr="008A106B">
        <w:rPr>
          <w:lang w:val="es-ES"/>
        </w:rPr>
        <w:t xml:space="preserve"> </w:t>
      </w:r>
      <w:r w:rsidRPr="008A106B">
        <w:rPr>
          <w:lang w:val="es-ES"/>
        </w:rPr>
        <w:t xml:space="preserve">mg/kg en el segundo año. </w:t>
      </w:r>
      <w:r w:rsidRPr="008A106B">
        <w:rPr>
          <w:lang w:val="es-ES_tradnl"/>
        </w:rPr>
        <w:t xml:space="preserve">El </w:t>
      </w:r>
      <w:del w:id="1113" w:author="AUTHOR">
        <w:r w:rsidRPr="008A106B" w:rsidDel="00E11790">
          <w:rPr>
            <w:lang w:val="es-ES_tradnl"/>
          </w:rPr>
          <w:delText xml:space="preserve">objetivo </w:delText>
        </w:r>
      </w:del>
      <w:ins w:id="1114" w:author="AUTHOR">
        <w:r w:rsidR="00E11790">
          <w:rPr>
            <w:lang w:val="es-ES_tradnl"/>
          </w:rPr>
          <w:t>variable</w:t>
        </w:r>
        <w:r w:rsidR="00E11790" w:rsidRPr="008A106B">
          <w:rPr>
            <w:lang w:val="es-ES_tradnl"/>
          </w:rPr>
          <w:t xml:space="preserve">o </w:t>
        </w:r>
      </w:ins>
      <w:del w:id="1115" w:author="AUTHOR">
        <w:r w:rsidRPr="008A106B" w:rsidDel="00E11790">
          <w:rPr>
            <w:lang w:val="es-ES_tradnl"/>
          </w:rPr>
          <w:delText xml:space="preserve">primario </w:delText>
        </w:r>
      </w:del>
      <w:ins w:id="1116" w:author="AUTHOR">
        <w:r w:rsidR="00E11790">
          <w:rPr>
            <w:lang w:val="es-ES_tradnl"/>
          </w:rPr>
          <w:t>principal</w:t>
        </w:r>
        <w:r w:rsidR="00E11790" w:rsidRPr="008A106B">
          <w:rPr>
            <w:lang w:val="es-ES_tradnl"/>
          </w:rPr>
          <w:t xml:space="preserve"> </w:t>
        </w:r>
      </w:ins>
      <w:r w:rsidRPr="008A106B">
        <w:rPr>
          <w:lang w:val="es-ES_tradnl"/>
        </w:rPr>
        <w:t>en la semana</w:t>
      </w:r>
      <w:r w:rsidR="00267243" w:rsidRPr="00F30AB8">
        <w:rPr>
          <w:szCs w:val="22"/>
          <w:lang w:val="es-ES"/>
        </w:rPr>
        <w:t> </w:t>
      </w:r>
      <w:r w:rsidR="00267243" w:rsidRPr="008A106B" w:rsidDel="00267243">
        <w:rPr>
          <w:lang w:val="es-ES_tradnl"/>
        </w:rPr>
        <w:t xml:space="preserve"> </w:t>
      </w:r>
      <w:r w:rsidRPr="008A106B">
        <w:rPr>
          <w:lang w:val="es-ES_tradnl"/>
        </w:rPr>
        <w:t>24 fue la proporción de pacientes que alcanzaron respuesta ACR</w:t>
      </w:r>
      <w:r w:rsidR="00267243" w:rsidRPr="00F30AB8">
        <w:rPr>
          <w:szCs w:val="22"/>
          <w:lang w:val="es-ES"/>
        </w:rPr>
        <w:t> </w:t>
      </w:r>
      <w:r w:rsidR="00267243" w:rsidRPr="008A106B">
        <w:rPr>
          <w:lang w:val="es-ES_tradnl"/>
        </w:rPr>
        <w:t xml:space="preserve"> </w:t>
      </w:r>
      <w:r w:rsidRPr="008A106B">
        <w:rPr>
          <w:lang w:val="es-ES_tradnl"/>
        </w:rPr>
        <w:t>20.</w:t>
      </w:r>
      <w:r w:rsidRPr="008A106B">
        <w:rPr>
          <w:lang w:val="es-ES"/>
        </w:rPr>
        <w:t xml:space="preserve"> En </w:t>
      </w:r>
      <w:r w:rsidRPr="008A106B">
        <w:rPr>
          <w:lang w:val="es-ES_tradnl"/>
        </w:rPr>
        <w:t>la semana</w:t>
      </w:r>
      <w:r w:rsidR="00267243" w:rsidRPr="00F30AB8">
        <w:rPr>
          <w:szCs w:val="22"/>
          <w:lang w:val="es-ES"/>
        </w:rPr>
        <w:t> </w:t>
      </w:r>
      <w:r w:rsidR="00267243" w:rsidRPr="008A106B" w:rsidDel="00267243">
        <w:rPr>
          <w:lang w:val="es-ES_tradnl"/>
        </w:rPr>
        <w:t xml:space="preserve"> </w:t>
      </w:r>
      <w:r w:rsidRPr="008A106B">
        <w:rPr>
          <w:lang w:val="es-ES_tradnl"/>
        </w:rPr>
        <w:t>52 y 104, l</w:t>
      </w:r>
      <w:ins w:id="1117" w:author="AUTHOR">
        <w:r w:rsidR="00E11790">
          <w:rPr>
            <w:lang w:val="es-ES_tradnl"/>
          </w:rPr>
          <w:t>a</w:t>
        </w:r>
      </w:ins>
      <w:del w:id="1118" w:author="AUTHOR">
        <w:r w:rsidRPr="008A106B" w:rsidDel="00E11790">
          <w:rPr>
            <w:lang w:val="es-ES_tradnl"/>
          </w:rPr>
          <w:delText>o</w:delText>
        </w:r>
      </w:del>
      <w:r w:rsidRPr="008A106B">
        <w:rPr>
          <w:lang w:val="es-ES_tradnl"/>
        </w:rPr>
        <w:t xml:space="preserve">s </w:t>
      </w:r>
      <w:del w:id="1119" w:author="AUTHOR">
        <w:r w:rsidRPr="008A106B" w:rsidDel="00E11790">
          <w:rPr>
            <w:lang w:val="es-ES_tradnl"/>
          </w:rPr>
          <w:delText xml:space="preserve">objetivos </w:delText>
        </w:r>
      </w:del>
      <w:ins w:id="1120" w:author="AUTHOR">
        <w:r w:rsidR="00E11790">
          <w:rPr>
            <w:lang w:val="es-ES_tradnl"/>
          </w:rPr>
          <w:t>variables</w:t>
        </w:r>
        <w:r w:rsidR="00E11790" w:rsidRPr="008A106B">
          <w:rPr>
            <w:lang w:val="es-ES_tradnl"/>
          </w:rPr>
          <w:t xml:space="preserve"> </w:t>
        </w:r>
      </w:ins>
      <w:r w:rsidRPr="008A106B">
        <w:rPr>
          <w:lang w:val="es-ES_tradnl"/>
        </w:rPr>
        <w:t>co-</w:t>
      </w:r>
      <w:del w:id="1121" w:author="AUTHOR">
        <w:r w:rsidRPr="008A106B" w:rsidDel="00E11790">
          <w:rPr>
            <w:lang w:val="es-ES_tradnl"/>
          </w:rPr>
          <w:delText xml:space="preserve">primarios </w:delText>
        </w:r>
      </w:del>
      <w:ins w:id="1122" w:author="AUTHOR">
        <w:r w:rsidR="00E11790" w:rsidRPr="008A106B">
          <w:rPr>
            <w:lang w:val="es-ES_tradnl"/>
          </w:rPr>
          <w:t>pri</w:t>
        </w:r>
        <w:r w:rsidR="00E11790">
          <w:rPr>
            <w:lang w:val="es-ES_tradnl"/>
          </w:rPr>
          <w:t>cipales</w:t>
        </w:r>
        <w:r w:rsidR="00E11790" w:rsidRPr="008A106B">
          <w:rPr>
            <w:lang w:val="es-ES_tradnl"/>
          </w:rPr>
          <w:t xml:space="preserve"> </w:t>
        </w:r>
      </w:ins>
      <w:r w:rsidRPr="008A106B">
        <w:rPr>
          <w:lang w:val="es-ES_tradnl"/>
        </w:rPr>
        <w:t>fueron la prevención del daño articular y la mejora de la función física.</w:t>
      </w:r>
    </w:p>
    <w:p w14:paraId="5C6A8EEC" w14:textId="77777777" w:rsidR="00834462" w:rsidRPr="008A106B" w:rsidRDefault="00834462" w:rsidP="00834462">
      <w:pPr>
        <w:numPr>
          <w:ilvl w:val="12"/>
          <w:numId w:val="0"/>
        </w:numPr>
        <w:ind w:right="-2"/>
        <w:rPr>
          <w:lang w:val="es-ES"/>
        </w:rPr>
      </w:pPr>
    </w:p>
    <w:p w14:paraId="7EF9E971" w14:textId="374A8E37" w:rsidR="00834462" w:rsidRPr="008A106B" w:rsidRDefault="00834462" w:rsidP="00834462">
      <w:pPr>
        <w:numPr>
          <w:ilvl w:val="12"/>
          <w:numId w:val="0"/>
        </w:numPr>
        <w:ind w:right="-2"/>
        <w:rPr>
          <w:lang w:val="es-ES"/>
        </w:rPr>
      </w:pPr>
      <w:r w:rsidRPr="008A106B">
        <w:rPr>
          <w:lang w:val="es-ES_tradnl"/>
        </w:rPr>
        <w:t xml:space="preserve">En el ensayo III se evaluaron </w:t>
      </w:r>
      <w:proofErr w:type="gramStart"/>
      <w:r w:rsidRPr="008A106B">
        <w:rPr>
          <w:lang w:val="es-ES_tradnl"/>
        </w:rPr>
        <w:t>623</w:t>
      </w:r>
      <w:r w:rsidR="00267243" w:rsidRPr="00F30AB8">
        <w:rPr>
          <w:szCs w:val="22"/>
          <w:lang w:val="es-ES"/>
        </w:rPr>
        <w:t> </w:t>
      </w:r>
      <w:r w:rsidR="00267243" w:rsidRPr="008A106B" w:rsidDel="00267243">
        <w:rPr>
          <w:lang w:val="es-ES_tradnl"/>
        </w:rPr>
        <w:t xml:space="preserve"> </w:t>
      </w:r>
      <w:r w:rsidRPr="008A106B">
        <w:rPr>
          <w:lang w:val="es-ES_tradnl"/>
        </w:rPr>
        <w:t>pacientes</w:t>
      </w:r>
      <w:proofErr w:type="gramEnd"/>
      <w:r w:rsidRPr="008A106B">
        <w:rPr>
          <w:lang w:val="es-ES_tradnl"/>
        </w:rPr>
        <w:t xml:space="preserve"> con una respuesta clínica inadecuada a MTX.</w:t>
      </w:r>
      <w:r w:rsidRPr="008A106B">
        <w:rPr>
          <w:lang w:val="es-ES"/>
        </w:rPr>
        <w:t xml:space="preserve"> </w:t>
      </w:r>
      <w:r w:rsidRPr="008A106B">
        <w:rPr>
          <w:lang w:val="es-ES_tradnl"/>
        </w:rPr>
        <w:t xml:space="preserve">Se administraron dosis de 4 u 8 mg/kg de </w:t>
      </w:r>
      <w:r w:rsidR="00D1620C">
        <w:rPr>
          <w:szCs w:val="22"/>
          <w:lang w:val="es-ES"/>
        </w:rPr>
        <w:t>tocilizumab</w:t>
      </w:r>
      <w:r w:rsidR="00D1620C" w:rsidRPr="006868F5">
        <w:rPr>
          <w:szCs w:val="22"/>
          <w:lang w:val="es-ES"/>
        </w:rPr>
        <w:t xml:space="preserve"> </w:t>
      </w:r>
      <w:r w:rsidRPr="008A106B">
        <w:rPr>
          <w:lang w:val="es-ES_tradnl"/>
        </w:rPr>
        <w:t>o placebo cada cuatro semanas, en combinación con MTX estable (de 10 mg a 25 mg semanales).</w:t>
      </w:r>
      <w:r w:rsidRPr="008A106B">
        <w:rPr>
          <w:lang w:val="es-ES"/>
        </w:rPr>
        <w:t xml:space="preserve"> </w:t>
      </w:r>
    </w:p>
    <w:p w14:paraId="547DA1F7" w14:textId="77777777" w:rsidR="00834462" w:rsidRPr="008A106B" w:rsidRDefault="00834462" w:rsidP="00834462">
      <w:pPr>
        <w:numPr>
          <w:ilvl w:val="12"/>
          <w:numId w:val="0"/>
        </w:numPr>
        <w:ind w:right="-2"/>
        <w:rPr>
          <w:lang w:val="es-ES"/>
        </w:rPr>
      </w:pPr>
    </w:p>
    <w:p w14:paraId="72BB5BC4" w14:textId="4AB6997F" w:rsidR="00834462" w:rsidRPr="008A106B" w:rsidRDefault="00834462" w:rsidP="00834462">
      <w:pPr>
        <w:numPr>
          <w:ilvl w:val="12"/>
          <w:numId w:val="0"/>
        </w:numPr>
        <w:ind w:right="-2"/>
        <w:rPr>
          <w:lang w:val="es-ES"/>
        </w:rPr>
      </w:pPr>
      <w:r w:rsidRPr="008A106B">
        <w:rPr>
          <w:lang w:val="es-ES_tradnl"/>
        </w:rPr>
        <w:t xml:space="preserve">En el ensayo IV se evaluaron </w:t>
      </w:r>
      <w:proofErr w:type="gramStart"/>
      <w:r w:rsidRPr="008A106B">
        <w:rPr>
          <w:lang w:val="es-ES_tradnl"/>
        </w:rPr>
        <w:t>1</w:t>
      </w:r>
      <w:r w:rsidR="00BA73E0">
        <w:rPr>
          <w:lang w:val="es-ES_tradnl"/>
        </w:rPr>
        <w:t>.</w:t>
      </w:r>
      <w:r w:rsidRPr="008A106B">
        <w:rPr>
          <w:lang w:val="es-ES_tradnl"/>
        </w:rPr>
        <w:t>220</w:t>
      </w:r>
      <w:r w:rsidR="00267243" w:rsidRPr="00F30AB8">
        <w:rPr>
          <w:szCs w:val="22"/>
          <w:lang w:val="es-ES"/>
        </w:rPr>
        <w:t> </w:t>
      </w:r>
      <w:r w:rsidR="00267243" w:rsidRPr="008A106B" w:rsidDel="00267243">
        <w:rPr>
          <w:lang w:val="es-ES_tradnl"/>
        </w:rPr>
        <w:t xml:space="preserve"> </w:t>
      </w:r>
      <w:r w:rsidRPr="008A106B">
        <w:rPr>
          <w:lang w:val="es-ES_tradnl"/>
        </w:rPr>
        <w:t>pacientes</w:t>
      </w:r>
      <w:proofErr w:type="gramEnd"/>
      <w:r w:rsidRPr="008A106B">
        <w:rPr>
          <w:lang w:val="es-ES_tradnl"/>
        </w:rPr>
        <w:t xml:space="preserve"> con una respuesta inadecuada a un tratamiento reumatológico instaurado, con uno o más FAMEs.</w:t>
      </w:r>
      <w:r w:rsidRPr="008A106B">
        <w:rPr>
          <w:lang w:val="es-ES"/>
        </w:rPr>
        <w:t xml:space="preserve"> </w:t>
      </w:r>
      <w:r w:rsidRPr="008A106B">
        <w:rPr>
          <w:lang w:val="es-ES_tradnl"/>
        </w:rPr>
        <w:t xml:space="preserve">Se administraron dosis de 8 mg/kg de </w:t>
      </w:r>
      <w:r w:rsidR="00D1620C">
        <w:rPr>
          <w:szCs w:val="22"/>
          <w:lang w:val="es-ES"/>
        </w:rPr>
        <w:t>tocilizumab</w:t>
      </w:r>
      <w:r w:rsidR="00D1620C" w:rsidRPr="006868F5">
        <w:rPr>
          <w:szCs w:val="22"/>
          <w:lang w:val="es-ES"/>
        </w:rPr>
        <w:t xml:space="preserve"> </w:t>
      </w:r>
      <w:r w:rsidRPr="008A106B">
        <w:rPr>
          <w:lang w:val="es-ES_tradnl"/>
        </w:rPr>
        <w:t>o placebo cada cuatro semanas, en combinación con FAMEs estables.</w:t>
      </w:r>
      <w:r w:rsidRPr="008A106B">
        <w:rPr>
          <w:lang w:val="es-ES"/>
        </w:rPr>
        <w:t xml:space="preserve"> </w:t>
      </w:r>
    </w:p>
    <w:p w14:paraId="18BC62A5" w14:textId="77777777" w:rsidR="00834462" w:rsidRPr="008A106B" w:rsidRDefault="00834462" w:rsidP="00834462">
      <w:pPr>
        <w:numPr>
          <w:ilvl w:val="12"/>
          <w:numId w:val="0"/>
        </w:numPr>
        <w:ind w:right="-2"/>
        <w:rPr>
          <w:lang w:val="es-ES"/>
        </w:rPr>
      </w:pPr>
    </w:p>
    <w:p w14:paraId="0E2111E9" w14:textId="726F66F3" w:rsidR="00834462" w:rsidRPr="008A106B" w:rsidRDefault="00834462" w:rsidP="00834462">
      <w:pPr>
        <w:numPr>
          <w:ilvl w:val="12"/>
          <w:numId w:val="0"/>
        </w:numPr>
        <w:ind w:right="-2"/>
        <w:rPr>
          <w:lang w:val="es-ES"/>
        </w:rPr>
      </w:pPr>
      <w:r w:rsidRPr="008A106B">
        <w:rPr>
          <w:lang w:val="es-ES_tradnl"/>
        </w:rPr>
        <w:t xml:space="preserve">En el ensayo V se evaluaron </w:t>
      </w:r>
      <w:proofErr w:type="gramStart"/>
      <w:r w:rsidRPr="008A106B">
        <w:rPr>
          <w:lang w:val="es-ES_tradnl"/>
        </w:rPr>
        <w:t>499</w:t>
      </w:r>
      <w:r w:rsidR="00267243" w:rsidRPr="00F30AB8">
        <w:rPr>
          <w:szCs w:val="22"/>
          <w:lang w:val="es-ES"/>
        </w:rPr>
        <w:t> </w:t>
      </w:r>
      <w:r w:rsidR="00267243" w:rsidRPr="008A106B" w:rsidDel="00267243">
        <w:rPr>
          <w:lang w:val="es-ES_tradnl"/>
        </w:rPr>
        <w:t xml:space="preserve"> </w:t>
      </w:r>
      <w:r w:rsidRPr="008A106B">
        <w:rPr>
          <w:lang w:val="es-ES_tradnl"/>
        </w:rPr>
        <w:t>pacientes</w:t>
      </w:r>
      <w:proofErr w:type="gramEnd"/>
      <w:r w:rsidRPr="008A106B">
        <w:rPr>
          <w:lang w:val="es-ES_tradnl"/>
        </w:rPr>
        <w:t xml:space="preserve"> con una respuesta clínica inadecuada o intolerancia a uno o más tratamientos antagonistas TNF.</w:t>
      </w:r>
      <w:r w:rsidRPr="008A106B">
        <w:rPr>
          <w:lang w:val="es-ES"/>
        </w:rPr>
        <w:t xml:space="preserve"> </w:t>
      </w:r>
      <w:r w:rsidRPr="008A106B">
        <w:rPr>
          <w:lang w:val="es-ES_tradnl"/>
        </w:rPr>
        <w:t>El tratamiento con antagonistas TNF se suspendió antes de la aleatorización.</w:t>
      </w:r>
      <w:r w:rsidRPr="008A106B">
        <w:rPr>
          <w:lang w:val="es-ES"/>
        </w:rPr>
        <w:t xml:space="preserve"> </w:t>
      </w:r>
      <w:r w:rsidRPr="008A106B">
        <w:rPr>
          <w:lang w:val="es-ES_tradnl"/>
        </w:rPr>
        <w:t>Se admini</w:t>
      </w:r>
      <w:r w:rsidR="0020159F">
        <w:rPr>
          <w:lang w:val="es-ES_tradnl"/>
        </w:rPr>
        <w:t xml:space="preserve">straron dosis de 4 u 8 mg/kg de </w:t>
      </w:r>
      <w:r w:rsidR="00D1620C">
        <w:rPr>
          <w:szCs w:val="22"/>
          <w:lang w:val="es-ES"/>
        </w:rPr>
        <w:t>tocilizumab</w:t>
      </w:r>
      <w:r w:rsidR="00D1620C" w:rsidRPr="006868F5">
        <w:rPr>
          <w:szCs w:val="22"/>
          <w:lang w:val="es-ES"/>
        </w:rPr>
        <w:t xml:space="preserve"> </w:t>
      </w:r>
      <w:r w:rsidRPr="008A106B">
        <w:rPr>
          <w:lang w:val="es-ES_tradnl"/>
        </w:rPr>
        <w:t>o placebo cada cuatro semanas, en combinació</w:t>
      </w:r>
      <w:r w:rsidR="0020159F">
        <w:rPr>
          <w:lang w:val="es-ES_tradnl"/>
        </w:rPr>
        <w:t xml:space="preserve">n con MTX estable (de 10 mg a </w:t>
      </w:r>
      <w:r w:rsidRPr="008A106B">
        <w:rPr>
          <w:lang w:val="es-ES_tradnl"/>
        </w:rPr>
        <w:t>25 mg semanales).</w:t>
      </w:r>
      <w:r w:rsidRPr="008A106B">
        <w:rPr>
          <w:lang w:val="es-ES"/>
        </w:rPr>
        <w:t xml:space="preserve"> </w:t>
      </w:r>
    </w:p>
    <w:p w14:paraId="25B8D370" w14:textId="77777777" w:rsidR="00834462" w:rsidRPr="008A106B" w:rsidRDefault="00834462" w:rsidP="00834462">
      <w:pPr>
        <w:numPr>
          <w:ilvl w:val="12"/>
          <w:numId w:val="0"/>
        </w:numPr>
        <w:ind w:right="-2"/>
        <w:rPr>
          <w:lang w:val="es-ES"/>
        </w:rPr>
      </w:pPr>
    </w:p>
    <w:p w14:paraId="3E944794" w14:textId="77777777" w:rsidR="00834462" w:rsidRPr="00F30AB8" w:rsidRDefault="00834462" w:rsidP="00834462">
      <w:pPr>
        <w:keepNext/>
        <w:keepLines/>
        <w:numPr>
          <w:ilvl w:val="12"/>
          <w:numId w:val="0"/>
        </w:numPr>
        <w:rPr>
          <w:i/>
          <w:iCs/>
          <w:u w:val="single"/>
          <w:lang w:val="es-ES"/>
        </w:rPr>
      </w:pPr>
      <w:r w:rsidRPr="00F30AB8">
        <w:rPr>
          <w:i/>
          <w:iCs/>
          <w:u w:val="single"/>
          <w:lang w:val="es-ES_tradnl"/>
        </w:rPr>
        <w:t>Respuesta clínica</w:t>
      </w:r>
    </w:p>
    <w:p w14:paraId="0108FDF8" w14:textId="24D7320C" w:rsidR="00834462" w:rsidRPr="008A106B" w:rsidRDefault="00834462" w:rsidP="00834462">
      <w:pPr>
        <w:numPr>
          <w:ilvl w:val="12"/>
          <w:numId w:val="0"/>
        </w:numPr>
        <w:ind w:right="-2"/>
        <w:rPr>
          <w:lang w:val="es-ES"/>
        </w:rPr>
      </w:pPr>
      <w:r w:rsidRPr="008A106B">
        <w:rPr>
          <w:lang w:val="es-ES_tradnl"/>
        </w:rPr>
        <w:t xml:space="preserve">En todos los ensayos, los pacientes tratados con </w:t>
      </w:r>
      <w:r w:rsidR="00D1620C">
        <w:rPr>
          <w:szCs w:val="22"/>
          <w:lang w:val="es-ES"/>
        </w:rPr>
        <w:t>tocilizumab</w:t>
      </w:r>
      <w:r w:rsidR="00D1620C" w:rsidRPr="006868F5">
        <w:rPr>
          <w:szCs w:val="22"/>
          <w:lang w:val="es-ES"/>
        </w:rPr>
        <w:t xml:space="preserve"> </w:t>
      </w:r>
      <w:r w:rsidRPr="008A106B">
        <w:rPr>
          <w:lang w:val="es-ES_tradnl"/>
        </w:rPr>
        <w:t>8 mg/kg tuvieron unas tasas de respuesta en ACR</w:t>
      </w:r>
      <w:r w:rsidR="00267243" w:rsidRPr="00F30AB8">
        <w:rPr>
          <w:szCs w:val="22"/>
          <w:lang w:val="es-ES"/>
        </w:rPr>
        <w:t> </w:t>
      </w:r>
      <w:r w:rsidR="00267243" w:rsidRPr="008A106B" w:rsidDel="00267243">
        <w:rPr>
          <w:lang w:val="es-ES_tradnl"/>
        </w:rPr>
        <w:t xml:space="preserve"> </w:t>
      </w:r>
      <w:r w:rsidRPr="008A106B">
        <w:rPr>
          <w:lang w:val="es-ES_tradnl"/>
        </w:rPr>
        <w:t xml:space="preserve">20, 50 y 70 significativamente mayores a los </w:t>
      </w:r>
      <w:proofErr w:type="gramStart"/>
      <w:r w:rsidRPr="008A106B">
        <w:rPr>
          <w:lang w:val="es-ES_tradnl"/>
        </w:rPr>
        <w:t>6</w:t>
      </w:r>
      <w:r w:rsidR="00267243" w:rsidRPr="00F30AB8">
        <w:rPr>
          <w:szCs w:val="22"/>
          <w:lang w:val="es-ES"/>
        </w:rPr>
        <w:t> </w:t>
      </w:r>
      <w:r w:rsidR="00267243" w:rsidRPr="008A106B" w:rsidDel="00267243">
        <w:rPr>
          <w:lang w:val="es-ES_tradnl"/>
        </w:rPr>
        <w:t xml:space="preserve"> </w:t>
      </w:r>
      <w:r w:rsidRPr="008A106B">
        <w:rPr>
          <w:lang w:val="es-ES_tradnl"/>
        </w:rPr>
        <w:t>meses</w:t>
      </w:r>
      <w:proofErr w:type="gramEnd"/>
      <w:r w:rsidRPr="008A106B">
        <w:rPr>
          <w:lang w:val="es-ES_tradnl"/>
        </w:rPr>
        <w:t xml:space="preserve"> que los controles (</w:t>
      </w:r>
      <w:r w:rsidR="00852BE8">
        <w:rPr>
          <w:lang w:val="es-ES_tradnl"/>
        </w:rPr>
        <w:t xml:space="preserve">ver </w:t>
      </w:r>
      <w:r w:rsidRPr="008A106B">
        <w:rPr>
          <w:lang w:val="es-ES_tradnl"/>
        </w:rPr>
        <w:t>Tabla</w:t>
      </w:r>
      <w:r w:rsidR="00D54DB5">
        <w:rPr>
          <w:lang w:val="es-ES_tradnl"/>
        </w:rPr>
        <w:t xml:space="preserve"> </w:t>
      </w:r>
      <w:r w:rsidR="00513DDB">
        <w:rPr>
          <w:lang w:val="es-ES_tradnl"/>
        </w:rPr>
        <w:t>5</w:t>
      </w:r>
      <w:r w:rsidRPr="008A106B">
        <w:rPr>
          <w:lang w:val="es-ES_tradnl"/>
        </w:rPr>
        <w:t>).</w:t>
      </w:r>
      <w:r w:rsidRPr="008A106B">
        <w:rPr>
          <w:lang w:val="es-ES"/>
        </w:rPr>
        <w:t xml:space="preserve"> </w:t>
      </w:r>
      <w:r w:rsidRPr="008A106B">
        <w:rPr>
          <w:lang w:val="es-ES_tradnl"/>
        </w:rPr>
        <w:t xml:space="preserve">En el </w:t>
      </w:r>
      <w:r w:rsidR="00C434A4" w:rsidRPr="008A106B">
        <w:rPr>
          <w:lang w:val="es-ES_tradnl"/>
        </w:rPr>
        <w:t>e</w:t>
      </w:r>
      <w:r w:rsidR="00C434A4">
        <w:rPr>
          <w:lang w:val="es-ES_tradnl"/>
        </w:rPr>
        <w:t>nsay</w:t>
      </w:r>
      <w:r w:rsidR="00C434A4" w:rsidRPr="008A106B">
        <w:rPr>
          <w:lang w:val="es-ES_tradnl"/>
        </w:rPr>
        <w:t xml:space="preserve">o </w:t>
      </w:r>
      <w:r w:rsidRPr="008A106B">
        <w:rPr>
          <w:lang w:val="es-ES_tradnl"/>
        </w:rPr>
        <w:t xml:space="preserve">I, se demostró la superioridad de </w:t>
      </w:r>
      <w:r w:rsidR="00D1620C">
        <w:rPr>
          <w:szCs w:val="22"/>
          <w:lang w:val="es-ES"/>
        </w:rPr>
        <w:t>tocilizumab</w:t>
      </w:r>
      <w:r w:rsidR="00D1620C" w:rsidRPr="006868F5">
        <w:rPr>
          <w:szCs w:val="22"/>
          <w:lang w:val="es-ES"/>
        </w:rPr>
        <w:t xml:space="preserve"> </w:t>
      </w:r>
      <w:r w:rsidRPr="008A106B">
        <w:rPr>
          <w:lang w:val="es-ES_tradnl"/>
        </w:rPr>
        <w:t>8 mg/kg frente al comparador activo MTX.</w:t>
      </w:r>
      <w:r w:rsidR="00D1620C">
        <w:rPr>
          <w:lang w:val="es-ES_tradnl"/>
        </w:rPr>
        <w:t xml:space="preserve"> </w:t>
      </w:r>
      <w:r w:rsidRPr="008A106B">
        <w:rPr>
          <w:lang w:val="es-ES_tradnl"/>
        </w:rPr>
        <w:t>El efecto del tratamiento fue similar en los pacientes independientemente de cuestiones como factor reumatoide, edad, sexo, raza, número de tratamientos previos o estado de la enfermedad.</w:t>
      </w:r>
      <w:r w:rsidRPr="008A106B">
        <w:rPr>
          <w:lang w:val="es-ES"/>
        </w:rPr>
        <w:t xml:space="preserve"> </w:t>
      </w:r>
      <w:r w:rsidRPr="008A106B">
        <w:rPr>
          <w:lang w:val="es-ES_tradnl"/>
        </w:rPr>
        <w:t>El tiempo hasta al inicio de la acción fue rápido (ya a la semana 2) y la magnitud de la respuesta siguió mejorando con la duración del tratamiento.</w:t>
      </w:r>
      <w:r w:rsidRPr="008A106B">
        <w:rPr>
          <w:lang w:val="es-ES"/>
        </w:rPr>
        <w:t xml:space="preserve"> </w:t>
      </w:r>
      <w:r w:rsidRPr="008A106B">
        <w:rPr>
          <w:lang w:val="es-ES_tradnl"/>
        </w:rPr>
        <w:t xml:space="preserve">Se han observado respuestas duraderas continuadas durante más de </w:t>
      </w:r>
      <w:proofErr w:type="gramStart"/>
      <w:r w:rsidRPr="008A106B">
        <w:rPr>
          <w:lang w:val="es-ES_tradnl"/>
        </w:rPr>
        <w:t>3</w:t>
      </w:r>
      <w:r w:rsidR="00267243" w:rsidRPr="00F30AB8">
        <w:rPr>
          <w:szCs w:val="22"/>
          <w:lang w:val="es-ES"/>
        </w:rPr>
        <w:t> </w:t>
      </w:r>
      <w:r w:rsidR="00267243" w:rsidRPr="008A106B" w:rsidDel="00267243">
        <w:rPr>
          <w:lang w:val="es-ES_tradnl"/>
        </w:rPr>
        <w:t xml:space="preserve"> </w:t>
      </w:r>
      <w:r w:rsidRPr="008A106B">
        <w:rPr>
          <w:lang w:val="es-ES_tradnl"/>
        </w:rPr>
        <w:t>años</w:t>
      </w:r>
      <w:proofErr w:type="gramEnd"/>
      <w:r w:rsidRPr="008A106B">
        <w:rPr>
          <w:lang w:val="es-ES_tradnl"/>
        </w:rPr>
        <w:t xml:space="preserve"> en los ensayos de extens</w:t>
      </w:r>
      <w:r w:rsidR="009464CC">
        <w:rPr>
          <w:lang w:val="es-ES_tradnl"/>
        </w:rPr>
        <w:t>ión abiertos</w:t>
      </w:r>
      <w:r w:rsidRPr="008A106B">
        <w:rPr>
          <w:lang w:val="es-ES_tradnl"/>
        </w:rPr>
        <w:t>, I</w:t>
      </w:r>
      <w:r>
        <w:rPr>
          <w:lang w:val="es-ES_tradnl"/>
        </w:rPr>
        <w:t>-</w:t>
      </w:r>
      <w:r w:rsidRPr="008A106B">
        <w:rPr>
          <w:lang w:val="es-ES_tradnl"/>
        </w:rPr>
        <w:t>V.</w:t>
      </w:r>
      <w:r w:rsidRPr="008A106B">
        <w:rPr>
          <w:lang w:val="es-ES"/>
        </w:rPr>
        <w:t xml:space="preserve"> </w:t>
      </w:r>
    </w:p>
    <w:p w14:paraId="5103C751" w14:textId="77777777" w:rsidR="00834462" w:rsidRPr="008A106B" w:rsidRDefault="00834462" w:rsidP="00834462">
      <w:pPr>
        <w:numPr>
          <w:ilvl w:val="12"/>
          <w:numId w:val="0"/>
        </w:numPr>
        <w:ind w:right="-2"/>
        <w:rPr>
          <w:lang w:val="es-ES"/>
        </w:rPr>
      </w:pPr>
    </w:p>
    <w:p w14:paraId="19025F6C" w14:textId="780A8F83" w:rsidR="00834462" w:rsidRPr="008A106B" w:rsidRDefault="00834462" w:rsidP="00834462">
      <w:pPr>
        <w:numPr>
          <w:ilvl w:val="12"/>
          <w:numId w:val="0"/>
        </w:numPr>
        <w:ind w:right="-2"/>
        <w:rPr>
          <w:lang w:val="es-ES"/>
        </w:rPr>
      </w:pPr>
      <w:r w:rsidRPr="008A106B">
        <w:rPr>
          <w:lang w:val="es-ES_tradnl"/>
        </w:rPr>
        <w:t xml:space="preserve">En pacientes tratados con </w:t>
      </w:r>
      <w:r w:rsidR="00D1620C">
        <w:rPr>
          <w:szCs w:val="22"/>
          <w:lang w:val="es-ES"/>
        </w:rPr>
        <w:t>tocilizumab</w:t>
      </w:r>
      <w:r w:rsidR="00D1620C" w:rsidRPr="006868F5">
        <w:rPr>
          <w:szCs w:val="22"/>
          <w:lang w:val="es-ES"/>
        </w:rPr>
        <w:t xml:space="preserve"> </w:t>
      </w:r>
      <w:r w:rsidRPr="008A106B">
        <w:rPr>
          <w:lang w:val="es-ES_tradnl"/>
        </w:rPr>
        <w:t>8 mg/kg, se observaron mejorías significativas en todos los componentes individuales de la respuesta ACR, incluidos:</w:t>
      </w:r>
      <w:r w:rsidRPr="008A106B">
        <w:rPr>
          <w:lang w:val="es-ES"/>
        </w:rPr>
        <w:t xml:space="preserve"> </w:t>
      </w:r>
      <w:r w:rsidR="003772AA">
        <w:rPr>
          <w:lang w:val="es-ES_tradnl"/>
        </w:rPr>
        <w:t>r</w:t>
      </w:r>
      <w:r w:rsidRPr="008A106B">
        <w:rPr>
          <w:lang w:val="es-ES_tradnl"/>
        </w:rPr>
        <w:t>ecuentos de articulaciones doloridas e inflamadas; evaluación global por los pacientes y los médicos; puntuaciones del índice de discapacidad; evaluación del dolor y PCR en comparación con los pacientes</w:t>
      </w:r>
      <w:r w:rsidR="0020159F">
        <w:rPr>
          <w:lang w:val="es-ES_tradnl"/>
        </w:rPr>
        <w:t xml:space="preserve"> que recibieron placebo más MTX </w:t>
      </w:r>
      <w:r w:rsidRPr="008A106B">
        <w:rPr>
          <w:lang w:val="es-ES_tradnl"/>
        </w:rPr>
        <w:t xml:space="preserve">u otros FAMEs en todos los </w:t>
      </w:r>
      <w:r w:rsidR="00C434A4" w:rsidRPr="008A106B">
        <w:rPr>
          <w:lang w:val="es-ES_tradnl"/>
        </w:rPr>
        <w:t>e</w:t>
      </w:r>
      <w:r w:rsidR="00C434A4">
        <w:rPr>
          <w:lang w:val="es-ES_tradnl"/>
        </w:rPr>
        <w:t>nsay</w:t>
      </w:r>
      <w:r w:rsidR="00C434A4" w:rsidRPr="008A106B">
        <w:rPr>
          <w:lang w:val="es-ES_tradnl"/>
        </w:rPr>
        <w:t>os</w:t>
      </w:r>
      <w:r w:rsidRPr="008A106B">
        <w:rPr>
          <w:lang w:val="es-ES_tradnl"/>
        </w:rPr>
        <w:t>.</w:t>
      </w:r>
      <w:r w:rsidRPr="008A106B">
        <w:rPr>
          <w:lang w:val="es-ES"/>
        </w:rPr>
        <w:t xml:space="preserve"> </w:t>
      </w:r>
    </w:p>
    <w:p w14:paraId="0B136DE1" w14:textId="77777777" w:rsidR="00834462" w:rsidRPr="008A106B" w:rsidRDefault="00834462" w:rsidP="00834462">
      <w:pPr>
        <w:numPr>
          <w:ilvl w:val="12"/>
          <w:numId w:val="0"/>
        </w:numPr>
        <w:ind w:right="-2"/>
        <w:rPr>
          <w:lang w:val="es-ES"/>
        </w:rPr>
      </w:pPr>
    </w:p>
    <w:p w14:paraId="036B1AB2" w14:textId="7B0C8522" w:rsidR="00834462" w:rsidRPr="00BD7005" w:rsidRDefault="00834462" w:rsidP="00834462">
      <w:pPr>
        <w:numPr>
          <w:ilvl w:val="12"/>
          <w:numId w:val="0"/>
        </w:numPr>
        <w:ind w:right="-2"/>
        <w:rPr>
          <w:lang w:val="es-ES"/>
          <w:rPrChange w:id="1123" w:author="TCS" w:date="2026-03-19T15:05:00Z">
            <w:rPr>
              <w:lang w:val="es-ES"/>
            </w:rPr>
          </w:rPrChange>
        </w:rPr>
      </w:pPr>
      <w:r w:rsidRPr="008A106B">
        <w:rPr>
          <w:lang w:val="es-ES"/>
        </w:rPr>
        <w:t xml:space="preserve">Los pacientes de los </w:t>
      </w:r>
      <w:del w:id="1124" w:author="AUTHOR">
        <w:r w:rsidR="00FF4632" w:rsidDel="00F30D29">
          <w:rPr>
            <w:lang w:val="es-ES"/>
          </w:rPr>
          <w:delText>Estudios</w:delText>
        </w:r>
        <w:r w:rsidR="00FF4632" w:rsidRPr="008A106B" w:rsidDel="00F30D29">
          <w:rPr>
            <w:lang w:val="es-ES"/>
          </w:rPr>
          <w:delText xml:space="preserve"> </w:delText>
        </w:r>
      </w:del>
      <w:ins w:id="1125" w:author="AUTHOR">
        <w:r w:rsidR="00F30D29">
          <w:rPr>
            <w:lang w:val="es-ES"/>
          </w:rPr>
          <w:t>ensayos</w:t>
        </w:r>
        <w:r w:rsidR="00F30D29" w:rsidRPr="008A106B">
          <w:rPr>
            <w:lang w:val="es-ES"/>
          </w:rPr>
          <w:t xml:space="preserve"> </w:t>
        </w:r>
      </w:ins>
      <w:r w:rsidRPr="008A106B">
        <w:rPr>
          <w:lang w:val="es-ES"/>
        </w:rPr>
        <w:t xml:space="preserve">I-V tenían un nivel medio de </w:t>
      </w:r>
      <w:r w:rsidR="0020159F">
        <w:rPr>
          <w:lang w:val="es-ES"/>
        </w:rPr>
        <w:t>actividad de la enfermedad DAS</w:t>
      </w:r>
      <w:r w:rsidRPr="008A106B">
        <w:rPr>
          <w:lang w:val="es-ES"/>
        </w:rPr>
        <w:t>28 6,5</w:t>
      </w:r>
      <w:r w:rsidR="00267243" w:rsidRPr="00F30AB8">
        <w:rPr>
          <w:szCs w:val="22"/>
          <w:lang w:val="es-ES"/>
        </w:rPr>
        <w:noBreakHyphen/>
      </w:r>
      <w:r w:rsidRPr="008A106B">
        <w:rPr>
          <w:lang w:val="es-ES"/>
        </w:rPr>
        <w:t xml:space="preserve"> 6,8 al inicio. Se observó una reducción significativa (mejoría media), del nivel inicial DAS28 3,1</w:t>
      </w:r>
      <w:r w:rsidR="00267243" w:rsidRPr="00F30AB8">
        <w:rPr>
          <w:szCs w:val="22"/>
          <w:lang w:val="es-ES"/>
        </w:rPr>
        <w:noBreakHyphen/>
      </w:r>
      <w:r w:rsidRPr="008A106B">
        <w:rPr>
          <w:lang w:val="es-ES"/>
        </w:rPr>
        <w:t xml:space="preserve">3,4 en </w:t>
      </w:r>
      <w:r w:rsidRPr="00BD7005">
        <w:rPr>
          <w:lang w:val="es-ES"/>
          <w:rPrChange w:id="1126" w:author="TCS" w:date="2026-03-19T15:05:00Z">
            <w:rPr>
              <w:lang w:val="es-ES"/>
            </w:rPr>
          </w:rPrChange>
        </w:rPr>
        <w:t>los pa</w:t>
      </w:r>
      <w:r w:rsidR="009464CC" w:rsidRPr="00BD7005">
        <w:rPr>
          <w:lang w:val="es-ES"/>
          <w:rPrChange w:id="1127" w:author="TCS" w:date="2026-03-19T15:05:00Z">
            <w:rPr>
              <w:lang w:val="es-ES"/>
            </w:rPr>
          </w:rPrChange>
        </w:rPr>
        <w:t xml:space="preserve">cientes tratados con </w:t>
      </w:r>
      <w:r w:rsidR="00D1620C" w:rsidRPr="00BD7005">
        <w:rPr>
          <w:szCs w:val="22"/>
          <w:lang w:val="es-ES"/>
          <w:rPrChange w:id="1128" w:author="TCS" w:date="2026-03-19T15:05:00Z">
            <w:rPr>
              <w:szCs w:val="22"/>
              <w:lang w:val="es-ES"/>
            </w:rPr>
          </w:rPrChange>
        </w:rPr>
        <w:t xml:space="preserve">tocilizumab </w:t>
      </w:r>
      <w:r w:rsidRPr="00BD7005">
        <w:rPr>
          <w:lang w:val="es-ES"/>
          <w:rPrChange w:id="1129" w:author="TCS" w:date="2026-03-19T15:05:00Z">
            <w:rPr>
              <w:lang w:val="es-ES"/>
            </w:rPr>
          </w:rPrChange>
        </w:rPr>
        <w:t>frente a los pacientes control (1,3</w:t>
      </w:r>
      <w:r w:rsidR="00267243" w:rsidRPr="00BD7005">
        <w:rPr>
          <w:szCs w:val="22"/>
          <w:lang w:val="es-ES"/>
          <w:rPrChange w:id="1130" w:author="TCS" w:date="2026-03-19T15:05:00Z">
            <w:rPr>
              <w:szCs w:val="22"/>
              <w:lang w:val="es-ES"/>
            </w:rPr>
          </w:rPrChange>
        </w:rPr>
        <w:noBreakHyphen/>
      </w:r>
      <w:r w:rsidRPr="00BD7005">
        <w:rPr>
          <w:lang w:val="es-ES"/>
          <w:rPrChange w:id="1131" w:author="TCS" w:date="2026-03-19T15:05:00Z">
            <w:rPr>
              <w:lang w:val="es-ES"/>
            </w:rPr>
          </w:rPrChange>
        </w:rPr>
        <w:t>2,1). La proporción de pacientes que alcanzaron una remisión clínica DAS28 (DAS28</w:t>
      </w:r>
      <w:r w:rsidR="00267243" w:rsidRPr="00BD7005">
        <w:rPr>
          <w:rFonts w:eastAsia="MS Mincho"/>
          <w:sz w:val="10"/>
          <w:szCs w:val="22"/>
          <w:lang w:val="es-ES"/>
          <w:rPrChange w:id="1132" w:author="TCS" w:date="2026-03-19T15:05:00Z">
            <w:rPr>
              <w:rFonts w:ascii="Arial" w:eastAsia="MS Mincho" w:hAnsi="Arial" w:cs="Arial"/>
              <w:sz w:val="10"/>
              <w:szCs w:val="22"/>
              <w:lang w:val="es-ES"/>
            </w:rPr>
          </w:rPrChange>
        </w:rPr>
        <w:t> </w:t>
      </w:r>
      <w:r w:rsidR="00267243" w:rsidRPr="00BD7005">
        <w:rPr>
          <w:rFonts w:eastAsia="MS Mincho"/>
          <w:szCs w:val="22"/>
          <w:lang w:val="en-GB"/>
          <w:rPrChange w:id="1133" w:author="TCS" w:date="2026-03-19T15:05:00Z">
            <w:rPr>
              <w:rFonts w:ascii="Arial" w:eastAsia="MS Mincho" w:hAnsi="Arial" w:cs="Arial"/>
              <w:szCs w:val="22"/>
              <w:lang w:val="en-GB"/>
            </w:rPr>
          </w:rPrChange>
        </w:rPr>
        <w:sym w:font="Symbol" w:char="F03C"/>
      </w:r>
      <w:r w:rsidR="00267243" w:rsidRPr="00BD7005">
        <w:rPr>
          <w:rFonts w:eastAsia="MS Mincho"/>
          <w:sz w:val="10"/>
          <w:szCs w:val="22"/>
          <w:lang w:val="es-ES"/>
          <w:rPrChange w:id="1134" w:author="TCS" w:date="2026-03-19T15:05:00Z">
            <w:rPr>
              <w:rFonts w:ascii="Arial" w:eastAsia="MS Mincho" w:hAnsi="Arial" w:cs="Arial"/>
              <w:sz w:val="10"/>
              <w:szCs w:val="22"/>
              <w:lang w:val="es-ES"/>
            </w:rPr>
          </w:rPrChange>
        </w:rPr>
        <w:t> </w:t>
      </w:r>
      <w:r w:rsidRPr="00BD7005">
        <w:rPr>
          <w:lang w:val="es-ES"/>
          <w:rPrChange w:id="1135" w:author="TCS" w:date="2026-03-19T15:05:00Z">
            <w:rPr>
              <w:lang w:val="es-ES"/>
            </w:rPr>
          </w:rPrChange>
        </w:rPr>
        <w:t>2,6), a las 24</w:t>
      </w:r>
      <w:r w:rsidR="00267243" w:rsidRPr="00BD7005">
        <w:rPr>
          <w:szCs w:val="22"/>
          <w:lang w:val="es-ES"/>
          <w:rPrChange w:id="1136" w:author="TCS" w:date="2026-03-19T15:05:00Z">
            <w:rPr>
              <w:szCs w:val="22"/>
              <w:lang w:val="es-ES"/>
            </w:rPr>
          </w:rPrChange>
        </w:rPr>
        <w:t> </w:t>
      </w:r>
      <w:r w:rsidR="00267243" w:rsidRPr="00BD7005" w:rsidDel="00267243">
        <w:rPr>
          <w:lang w:val="es-ES"/>
          <w:rPrChange w:id="1137" w:author="TCS" w:date="2026-03-19T15:05:00Z">
            <w:rPr>
              <w:lang w:val="es-ES"/>
            </w:rPr>
          </w:rPrChange>
        </w:rPr>
        <w:t xml:space="preserve"> </w:t>
      </w:r>
      <w:r w:rsidRPr="00BD7005">
        <w:rPr>
          <w:lang w:val="es-ES"/>
          <w:rPrChange w:id="1138" w:author="TCS" w:date="2026-03-19T15:05:00Z">
            <w:rPr>
              <w:lang w:val="es-ES"/>
            </w:rPr>
          </w:rPrChange>
        </w:rPr>
        <w:t>semanas, fue significativamente mayor en los pacie</w:t>
      </w:r>
      <w:r w:rsidR="009464CC" w:rsidRPr="00BD7005">
        <w:rPr>
          <w:lang w:val="es-ES"/>
          <w:rPrChange w:id="1139" w:author="TCS" w:date="2026-03-19T15:05:00Z">
            <w:rPr>
              <w:lang w:val="es-ES"/>
            </w:rPr>
          </w:rPrChange>
        </w:rPr>
        <w:t xml:space="preserve">ntes que recibieron </w:t>
      </w:r>
      <w:r w:rsidR="00D1620C" w:rsidRPr="00BD7005">
        <w:rPr>
          <w:szCs w:val="22"/>
          <w:lang w:val="es-ES"/>
          <w:rPrChange w:id="1140" w:author="TCS" w:date="2026-03-19T15:05:00Z">
            <w:rPr>
              <w:szCs w:val="22"/>
              <w:lang w:val="es-ES"/>
            </w:rPr>
          </w:rPrChange>
        </w:rPr>
        <w:t xml:space="preserve">tocilizumab </w:t>
      </w:r>
      <w:r w:rsidRPr="00BD7005">
        <w:rPr>
          <w:lang w:val="es-ES"/>
          <w:rPrChange w:id="1141" w:author="TCS" w:date="2026-03-19T15:05:00Z">
            <w:rPr>
              <w:lang w:val="es-ES"/>
            </w:rPr>
          </w:rPrChange>
        </w:rPr>
        <w:t>(28</w:t>
      </w:r>
      <w:r w:rsidR="00267243" w:rsidRPr="00BD7005">
        <w:rPr>
          <w:szCs w:val="22"/>
          <w:lang w:val="es-ES"/>
          <w:rPrChange w:id="1142" w:author="TCS" w:date="2026-03-19T15:05:00Z">
            <w:rPr>
              <w:szCs w:val="22"/>
              <w:lang w:val="es-ES"/>
            </w:rPr>
          </w:rPrChange>
        </w:rPr>
        <w:noBreakHyphen/>
      </w:r>
      <w:r w:rsidRPr="00BD7005">
        <w:rPr>
          <w:lang w:val="es-ES"/>
          <w:rPrChange w:id="1143" w:author="TCS" w:date="2026-03-19T15:05:00Z">
            <w:rPr>
              <w:lang w:val="es-ES"/>
            </w:rPr>
          </w:rPrChange>
        </w:rPr>
        <w:t>34 %) comparado con los pacientes del control (1</w:t>
      </w:r>
      <w:r w:rsidR="00267243" w:rsidRPr="00BD7005">
        <w:rPr>
          <w:szCs w:val="22"/>
          <w:lang w:val="es-ES"/>
          <w:rPrChange w:id="1144" w:author="TCS" w:date="2026-03-19T15:05:00Z">
            <w:rPr>
              <w:szCs w:val="22"/>
              <w:lang w:val="es-ES"/>
            </w:rPr>
          </w:rPrChange>
        </w:rPr>
        <w:noBreakHyphen/>
      </w:r>
      <w:r w:rsidRPr="00BD7005">
        <w:rPr>
          <w:lang w:val="es-ES"/>
          <w:rPrChange w:id="1145" w:author="TCS" w:date="2026-03-19T15:05:00Z">
            <w:rPr>
              <w:lang w:val="es-ES"/>
            </w:rPr>
          </w:rPrChange>
        </w:rPr>
        <w:t>12 %). En el ensayo II, un 65 % de los pacientes alcanzaron un DAS28</w:t>
      </w:r>
      <w:r w:rsidR="00267243" w:rsidRPr="00BD7005">
        <w:rPr>
          <w:rFonts w:eastAsia="MS Mincho"/>
          <w:sz w:val="10"/>
          <w:szCs w:val="22"/>
          <w:lang w:val="es-ES"/>
          <w:rPrChange w:id="1146" w:author="TCS" w:date="2026-03-19T15:05:00Z">
            <w:rPr>
              <w:rFonts w:ascii="Arial" w:eastAsia="MS Mincho" w:hAnsi="Arial" w:cs="Arial"/>
              <w:sz w:val="10"/>
              <w:szCs w:val="22"/>
              <w:lang w:val="es-ES"/>
            </w:rPr>
          </w:rPrChange>
        </w:rPr>
        <w:t> </w:t>
      </w:r>
      <w:r w:rsidR="00267243" w:rsidRPr="00BD7005">
        <w:rPr>
          <w:rFonts w:eastAsia="MS Mincho"/>
          <w:szCs w:val="22"/>
          <w:lang w:val="en-GB"/>
          <w:rPrChange w:id="1147" w:author="TCS" w:date="2026-03-19T15:05:00Z">
            <w:rPr>
              <w:rFonts w:ascii="Arial" w:eastAsia="MS Mincho" w:hAnsi="Arial" w:cs="Arial"/>
              <w:szCs w:val="22"/>
              <w:lang w:val="en-GB"/>
            </w:rPr>
          </w:rPrChange>
        </w:rPr>
        <w:sym w:font="Symbol" w:char="F03C"/>
      </w:r>
      <w:r w:rsidR="00267243" w:rsidRPr="00BD7005">
        <w:rPr>
          <w:rFonts w:eastAsia="MS Mincho"/>
          <w:sz w:val="10"/>
          <w:szCs w:val="22"/>
          <w:lang w:val="es-ES"/>
          <w:rPrChange w:id="1148" w:author="TCS" w:date="2026-03-19T15:05:00Z">
            <w:rPr>
              <w:rFonts w:ascii="Arial" w:eastAsia="MS Mincho" w:hAnsi="Arial" w:cs="Arial"/>
              <w:sz w:val="10"/>
              <w:szCs w:val="22"/>
              <w:lang w:val="es-ES"/>
            </w:rPr>
          </w:rPrChange>
        </w:rPr>
        <w:t> </w:t>
      </w:r>
      <w:r w:rsidRPr="00BD7005">
        <w:rPr>
          <w:lang w:val="es-ES"/>
          <w:rPrChange w:id="1149" w:author="TCS" w:date="2026-03-19T15:05:00Z">
            <w:rPr>
              <w:lang w:val="es-ES"/>
            </w:rPr>
          </w:rPrChange>
        </w:rPr>
        <w:t>de 2,6 a la semana 104, comparado con un 48</w:t>
      </w:r>
      <w:r w:rsidR="00BA73E0" w:rsidRPr="00BD7005">
        <w:rPr>
          <w:lang w:val="es-ES"/>
          <w:rPrChange w:id="1150" w:author="TCS" w:date="2026-03-19T15:05:00Z">
            <w:rPr>
              <w:lang w:val="es-ES"/>
            </w:rPr>
          </w:rPrChange>
        </w:rPr>
        <w:t xml:space="preserve"> </w:t>
      </w:r>
      <w:r w:rsidRPr="00BD7005">
        <w:rPr>
          <w:lang w:val="es-ES"/>
          <w:rPrChange w:id="1151" w:author="TCS" w:date="2026-03-19T15:05:00Z">
            <w:rPr>
              <w:lang w:val="es-ES"/>
            </w:rPr>
          </w:rPrChange>
        </w:rPr>
        <w:t>% que lo alcanzó a la semana</w:t>
      </w:r>
      <w:r w:rsidR="00267243" w:rsidRPr="00BD7005">
        <w:rPr>
          <w:szCs w:val="22"/>
          <w:lang w:val="es-ES"/>
          <w:rPrChange w:id="1152" w:author="TCS" w:date="2026-03-19T15:05:00Z">
            <w:rPr>
              <w:szCs w:val="22"/>
              <w:lang w:val="es-ES"/>
            </w:rPr>
          </w:rPrChange>
        </w:rPr>
        <w:t> </w:t>
      </w:r>
      <w:r w:rsidR="00267243" w:rsidRPr="00BD7005" w:rsidDel="00267243">
        <w:rPr>
          <w:lang w:val="es-ES"/>
          <w:rPrChange w:id="1153" w:author="TCS" w:date="2026-03-19T15:05:00Z">
            <w:rPr>
              <w:lang w:val="es-ES"/>
            </w:rPr>
          </w:rPrChange>
        </w:rPr>
        <w:t xml:space="preserve"> </w:t>
      </w:r>
      <w:r w:rsidRPr="00BD7005">
        <w:rPr>
          <w:lang w:val="es-ES"/>
          <w:rPrChange w:id="1154" w:author="TCS" w:date="2026-03-19T15:05:00Z">
            <w:rPr>
              <w:lang w:val="es-ES"/>
            </w:rPr>
          </w:rPrChange>
        </w:rPr>
        <w:t>52 y un 33 % que lo alcanzó en la semana</w:t>
      </w:r>
      <w:r w:rsidR="00267243" w:rsidRPr="00BD7005">
        <w:rPr>
          <w:szCs w:val="22"/>
          <w:lang w:val="es-ES"/>
          <w:rPrChange w:id="1155" w:author="TCS" w:date="2026-03-19T15:05:00Z">
            <w:rPr>
              <w:szCs w:val="22"/>
              <w:lang w:val="es-ES"/>
            </w:rPr>
          </w:rPrChange>
        </w:rPr>
        <w:t> </w:t>
      </w:r>
      <w:r w:rsidR="00267243" w:rsidRPr="00BD7005" w:rsidDel="00267243">
        <w:rPr>
          <w:lang w:val="es-ES"/>
          <w:rPrChange w:id="1156" w:author="TCS" w:date="2026-03-19T15:05:00Z">
            <w:rPr>
              <w:lang w:val="es-ES"/>
            </w:rPr>
          </w:rPrChange>
        </w:rPr>
        <w:t xml:space="preserve"> </w:t>
      </w:r>
      <w:r w:rsidRPr="00BD7005">
        <w:rPr>
          <w:lang w:val="es-ES"/>
          <w:rPrChange w:id="1157" w:author="TCS" w:date="2026-03-19T15:05:00Z">
            <w:rPr>
              <w:lang w:val="es-ES"/>
            </w:rPr>
          </w:rPrChange>
        </w:rPr>
        <w:t xml:space="preserve">24. </w:t>
      </w:r>
    </w:p>
    <w:p w14:paraId="3EEBDCDB" w14:textId="77777777" w:rsidR="00834462" w:rsidRPr="00BD7005" w:rsidRDefault="00834462" w:rsidP="00834462">
      <w:pPr>
        <w:numPr>
          <w:ilvl w:val="12"/>
          <w:numId w:val="0"/>
        </w:numPr>
        <w:ind w:right="-2"/>
        <w:rPr>
          <w:lang w:val="es-ES"/>
          <w:rPrChange w:id="1158" w:author="TCS" w:date="2026-03-19T15:05:00Z">
            <w:rPr>
              <w:lang w:val="es-ES"/>
            </w:rPr>
          </w:rPrChange>
        </w:rPr>
      </w:pPr>
    </w:p>
    <w:p w14:paraId="79848E41" w14:textId="5BF97B6C" w:rsidR="00834462" w:rsidRPr="008A106B" w:rsidRDefault="00834462" w:rsidP="00834462">
      <w:pPr>
        <w:numPr>
          <w:ilvl w:val="12"/>
          <w:numId w:val="0"/>
        </w:numPr>
        <w:ind w:right="-2"/>
        <w:rPr>
          <w:lang w:val="es-ES"/>
        </w:rPr>
      </w:pPr>
      <w:r w:rsidRPr="00BD7005">
        <w:rPr>
          <w:lang w:val="es-ES_tradnl"/>
          <w:rPrChange w:id="1159" w:author="TCS" w:date="2026-03-19T15:05:00Z">
            <w:rPr>
              <w:lang w:val="es-ES_tradnl"/>
            </w:rPr>
          </w:rPrChange>
        </w:rPr>
        <w:t xml:space="preserve">En un análisis conjunto de los </w:t>
      </w:r>
      <w:r w:rsidR="0023138F" w:rsidRPr="00BD7005">
        <w:rPr>
          <w:lang w:val="es-ES_tradnl"/>
          <w:rPrChange w:id="1160" w:author="TCS" w:date="2026-03-19T15:05:00Z">
            <w:rPr>
              <w:lang w:val="es-ES_tradnl"/>
            </w:rPr>
          </w:rPrChange>
        </w:rPr>
        <w:t xml:space="preserve">ensayos </w:t>
      </w:r>
      <w:r w:rsidRPr="00BD7005">
        <w:rPr>
          <w:lang w:val="es-ES_tradnl"/>
          <w:rPrChange w:id="1161" w:author="TCS" w:date="2026-03-19T15:05:00Z">
            <w:rPr>
              <w:lang w:val="es-ES_tradnl"/>
            </w:rPr>
          </w:rPrChange>
        </w:rPr>
        <w:t>II, III y IV, la proporción de pacientes que alcanzaron una respuesta ACR</w:t>
      </w:r>
      <w:r w:rsidR="00267243" w:rsidRPr="00BD7005">
        <w:rPr>
          <w:szCs w:val="22"/>
          <w:lang w:val="es-ES"/>
          <w:rPrChange w:id="1162" w:author="TCS" w:date="2026-03-19T15:05:00Z">
            <w:rPr>
              <w:szCs w:val="22"/>
              <w:lang w:val="es-ES"/>
            </w:rPr>
          </w:rPrChange>
        </w:rPr>
        <w:t> </w:t>
      </w:r>
      <w:r w:rsidR="00267243" w:rsidRPr="00BD7005">
        <w:rPr>
          <w:lang w:val="es-ES_tradnl"/>
          <w:rPrChange w:id="1163" w:author="TCS" w:date="2026-03-19T15:05:00Z">
            <w:rPr>
              <w:lang w:val="es-ES_tradnl"/>
            </w:rPr>
          </w:rPrChange>
        </w:rPr>
        <w:t xml:space="preserve"> </w:t>
      </w:r>
      <w:r w:rsidRPr="00BD7005">
        <w:rPr>
          <w:lang w:val="es-ES_tradnl"/>
          <w:rPrChange w:id="1164" w:author="TCS" w:date="2026-03-19T15:05:00Z">
            <w:rPr>
              <w:lang w:val="es-ES_tradnl"/>
            </w:rPr>
          </w:rPrChange>
        </w:rPr>
        <w:t>20, 50 y 70 fue significativamente mayor (59 % frente al 50 %, 37 % frente a</w:t>
      </w:r>
      <w:r w:rsidR="004C11BF" w:rsidRPr="00BD7005">
        <w:rPr>
          <w:lang w:val="es-ES_tradnl"/>
          <w:rPrChange w:id="1165" w:author="TCS" w:date="2026-03-19T15:05:00Z">
            <w:rPr>
              <w:lang w:val="es-ES_tradnl"/>
            </w:rPr>
          </w:rPrChange>
        </w:rPr>
        <w:t>l</w:t>
      </w:r>
      <w:r w:rsidRPr="00BD7005">
        <w:rPr>
          <w:lang w:val="es-ES_tradnl"/>
          <w:rPrChange w:id="1166" w:author="TCS" w:date="2026-03-19T15:05:00Z">
            <w:rPr>
              <w:lang w:val="es-ES_tradnl"/>
            </w:rPr>
          </w:rPrChange>
        </w:rPr>
        <w:t xml:space="preserve"> 27 %, 18 % frente al 11 %, respectivamente) en el grupo de tocilizumab 8 mg/kg más FAMEs frente al grupo tratado con tocilizumab 4 mg/kg más FAMEs (p</w:t>
      </w:r>
      <w:r w:rsidR="00267243" w:rsidRPr="00BD7005">
        <w:rPr>
          <w:rFonts w:eastAsia="MS Mincho"/>
          <w:sz w:val="10"/>
          <w:szCs w:val="22"/>
          <w:lang w:val="es-ES"/>
          <w:rPrChange w:id="1167" w:author="TCS" w:date="2026-03-19T15:05:00Z">
            <w:rPr>
              <w:rFonts w:ascii="Arial" w:eastAsia="MS Mincho" w:hAnsi="Arial" w:cs="Arial"/>
              <w:sz w:val="10"/>
              <w:szCs w:val="22"/>
              <w:lang w:val="es-ES"/>
            </w:rPr>
          </w:rPrChange>
        </w:rPr>
        <w:t> </w:t>
      </w:r>
      <w:r w:rsidR="00267243" w:rsidRPr="00BD7005">
        <w:rPr>
          <w:rFonts w:eastAsia="MS Mincho"/>
          <w:szCs w:val="22"/>
          <w:lang w:val="en-GB"/>
          <w:rPrChange w:id="1168" w:author="TCS" w:date="2026-03-19T15:05:00Z">
            <w:rPr>
              <w:rFonts w:ascii="Arial" w:eastAsia="MS Mincho" w:hAnsi="Arial" w:cs="Arial"/>
              <w:szCs w:val="22"/>
              <w:lang w:val="en-GB"/>
            </w:rPr>
          </w:rPrChange>
        </w:rPr>
        <w:sym w:font="Symbol" w:char="F03C"/>
      </w:r>
      <w:r w:rsidR="00267243" w:rsidRPr="00BD7005">
        <w:rPr>
          <w:rFonts w:eastAsia="MS Mincho"/>
          <w:sz w:val="10"/>
          <w:szCs w:val="22"/>
          <w:lang w:val="es-ES"/>
          <w:rPrChange w:id="1169" w:author="TCS" w:date="2026-03-19T15:05:00Z">
            <w:rPr>
              <w:rFonts w:ascii="Arial" w:eastAsia="MS Mincho" w:hAnsi="Arial" w:cs="Arial"/>
              <w:sz w:val="10"/>
              <w:szCs w:val="22"/>
              <w:lang w:val="es-ES"/>
            </w:rPr>
          </w:rPrChange>
        </w:rPr>
        <w:t> </w:t>
      </w:r>
      <w:r w:rsidRPr="00BD7005">
        <w:rPr>
          <w:lang w:val="es-ES_tradnl"/>
          <w:rPrChange w:id="1170" w:author="TCS" w:date="2026-03-19T15:05:00Z">
            <w:rPr>
              <w:lang w:val="es-ES_tradnl"/>
            </w:rPr>
          </w:rPrChange>
        </w:rPr>
        <w:t>0,03).</w:t>
      </w:r>
      <w:r w:rsidRPr="00BD7005">
        <w:rPr>
          <w:lang w:val="es-ES"/>
          <w:rPrChange w:id="1171" w:author="TCS" w:date="2026-03-19T15:05:00Z">
            <w:rPr>
              <w:lang w:val="es-ES"/>
            </w:rPr>
          </w:rPrChange>
        </w:rPr>
        <w:t xml:space="preserve"> </w:t>
      </w:r>
      <w:r w:rsidRPr="00BD7005">
        <w:rPr>
          <w:lang w:val="es-ES_tradnl"/>
          <w:rPrChange w:id="1172" w:author="TCS" w:date="2026-03-19T15:05:00Z">
            <w:rPr>
              <w:lang w:val="es-ES_tradnl"/>
            </w:rPr>
          </w:rPrChange>
        </w:rPr>
        <w:t xml:space="preserve">De forma similar, la proporción de pacientes </w:t>
      </w:r>
      <w:r w:rsidRPr="00BD7005">
        <w:rPr>
          <w:lang w:val="es-ES_tradnl"/>
          <w:rPrChange w:id="1173" w:author="TCS" w:date="2026-03-19T15:05:00Z">
            <w:rPr>
              <w:lang w:val="es-ES_tradnl"/>
            </w:rPr>
          </w:rPrChange>
        </w:rPr>
        <w:lastRenderedPageBreak/>
        <w:t>que alcanzaron remisión en el DAS28 (DAS28</w:t>
      </w:r>
      <w:r w:rsidR="00267243" w:rsidRPr="00BD7005">
        <w:rPr>
          <w:rFonts w:eastAsia="MS Mincho"/>
          <w:sz w:val="10"/>
          <w:szCs w:val="22"/>
          <w:lang w:val="es-ES"/>
          <w:rPrChange w:id="1174" w:author="TCS" w:date="2026-03-19T15:05:00Z">
            <w:rPr>
              <w:rFonts w:ascii="Arial" w:eastAsia="MS Mincho" w:hAnsi="Arial" w:cs="Arial"/>
              <w:sz w:val="10"/>
              <w:szCs w:val="22"/>
              <w:lang w:val="es-ES"/>
            </w:rPr>
          </w:rPrChange>
        </w:rPr>
        <w:t> </w:t>
      </w:r>
      <w:r w:rsidR="00267243" w:rsidRPr="00BD7005">
        <w:rPr>
          <w:rFonts w:eastAsia="MS Mincho"/>
          <w:szCs w:val="22"/>
          <w:lang w:val="en-GB"/>
          <w:rPrChange w:id="1175" w:author="TCS" w:date="2026-03-19T15:05:00Z">
            <w:rPr>
              <w:rFonts w:ascii="Arial" w:eastAsia="MS Mincho" w:hAnsi="Arial" w:cs="Arial"/>
              <w:szCs w:val="22"/>
              <w:lang w:val="en-GB"/>
            </w:rPr>
          </w:rPrChange>
        </w:rPr>
        <w:sym w:font="Symbol" w:char="F03C"/>
      </w:r>
      <w:r w:rsidR="00267243" w:rsidRPr="00BD7005">
        <w:rPr>
          <w:rFonts w:eastAsia="MS Mincho"/>
          <w:sz w:val="10"/>
          <w:szCs w:val="22"/>
          <w:lang w:val="es-ES"/>
          <w:rPrChange w:id="1176" w:author="TCS" w:date="2026-03-19T15:05:00Z">
            <w:rPr>
              <w:rFonts w:ascii="Arial" w:eastAsia="MS Mincho" w:hAnsi="Arial" w:cs="Arial"/>
              <w:sz w:val="10"/>
              <w:szCs w:val="22"/>
              <w:lang w:val="es-ES"/>
            </w:rPr>
          </w:rPrChange>
        </w:rPr>
        <w:t> </w:t>
      </w:r>
      <w:r w:rsidRPr="00BD7005">
        <w:rPr>
          <w:lang w:val="es-ES_tradnl"/>
          <w:rPrChange w:id="1177" w:author="TCS" w:date="2026-03-19T15:05:00Z">
            <w:rPr>
              <w:lang w:val="es-ES_tradnl"/>
            </w:rPr>
          </w:rPrChange>
        </w:rPr>
        <w:t xml:space="preserve"> 2,6) fue significativamente mayor (31 % frente al</w:t>
      </w:r>
      <w:r w:rsidRPr="008A106B">
        <w:rPr>
          <w:lang w:val="es-ES_tradnl"/>
        </w:rPr>
        <w:t xml:space="preserve"> 16 %, respectivamente) en los pacientes que recibieron </w:t>
      </w:r>
      <w:r w:rsidR="00D1620C">
        <w:rPr>
          <w:szCs w:val="22"/>
          <w:lang w:val="es-ES"/>
        </w:rPr>
        <w:t>tocilizumab</w:t>
      </w:r>
      <w:r w:rsidR="00D1620C" w:rsidRPr="006868F5">
        <w:rPr>
          <w:szCs w:val="22"/>
          <w:lang w:val="es-ES"/>
        </w:rPr>
        <w:t xml:space="preserve"> </w:t>
      </w:r>
      <w:r w:rsidRPr="008A106B">
        <w:rPr>
          <w:lang w:val="es-ES_tradnl"/>
        </w:rPr>
        <w:t>8 mg/kg más FAME</w:t>
      </w:r>
      <w:r>
        <w:rPr>
          <w:lang w:val="es-ES_tradnl"/>
        </w:rPr>
        <w:t>s</w:t>
      </w:r>
      <w:r w:rsidRPr="008A106B">
        <w:rPr>
          <w:lang w:val="es-ES_tradnl"/>
        </w:rPr>
        <w:t xml:space="preserve"> que en pacientes que reciben </w:t>
      </w:r>
      <w:r w:rsidR="00D1620C">
        <w:rPr>
          <w:szCs w:val="22"/>
          <w:lang w:val="es-ES"/>
        </w:rPr>
        <w:t>tocilizumab</w:t>
      </w:r>
      <w:r w:rsidR="00D1620C" w:rsidRPr="006868F5">
        <w:rPr>
          <w:szCs w:val="22"/>
          <w:lang w:val="es-ES"/>
        </w:rPr>
        <w:t xml:space="preserve"> </w:t>
      </w:r>
      <w:r w:rsidRPr="008A106B">
        <w:rPr>
          <w:lang w:val="es-ES_tradnl"/>
        </w:rPr>
        <w:t>4 mg/kg más FAME</w:t>
      </w:r>
      <w:r w:rsidR="0020159F">
        <w:rPr>
          <w:lang w:val="es-ES_tradnl"/>
        </w:rPr>
        <w:t>s</w:t>
      </w:r>
      <w:r w:rsidRPr="008A106B">
        <w:rPr>
          <w:lang w:val="es-ES_tradnl"/>
        </w:rPr>
        <w:t xml:space="preserve"> (p &lt; 0,0001).</w:t>
      </w:r>
    </w:p>
    <w:p w14:paraId="6D524580" w14:textId="77777777" w:rsidR="00834462" w:rsidRPr="008A106B" w:rsidRDefault="00834462" w:rsidP="00834462">
      <w:pPr>
        <w:numPr>
          <w:ilvl w:val="12"/>
          <w:numId w:val="0"/>
        </w:numPr>
        <w:rPr>
          <w:lang w:val="es-ES"/>
        </w:rPr>
      </w:pPr>
    </w:p>
    <w:p w14:paraId="0841434D" w14:textId="77777777" w:rsidR="00834462" w:rsidRDefault="00834462" w:rsidP="00834462">
      <w:pPr>
        <w:keepNext/>
        <w:keepLines/>
        <w:numPr>
          <w:ilvl w:val="12"/>
          <w:numId w:val="0"/>
        </w:numPr>
        <w:ind w:right="-2"/>
        <w:rPr>
          <w:bCs/>
          <w:i/>
          <w:lang w:val="es-ES_tradnl"/>
        </w:rPr>
      </w:pPr>
      <w:r w:rsidRPr="00286CDE">
        <w:rPr>
          <w:bCs/>
          <w:i/>
          <w:lang w:val="es-ES_tradnl"/>
        </w:rPr>
        <w:t>Tabla</w:t>
      </w:r>
      <w:r w:rsidR="00D54DB5">
        <w:rPr>
          <w:bCs/>
          <w:i/>
          <w:lang w:val="es-ES_tradnl"/>
        </w:rPr>
        <w:t xml:space="preserve"> </w:t>
      </w:r>
      <w:r w:rsidR="00513DDB">
        <w:rPr>
          <w:bCs/>
          <w:i/>
          <w:lang w:val="es-ES_tradnl"/>
        </w:rPr>
        <w:t>5</w:t>
      </w:r>
      <w:r w:rsidRPr="00286CDE">
        <w:rPr>
          <w:bCs/>
          <w:i/>
          <w:lang w:val="es-ES_tradnl"/>
        </w:rPr>
        <w:t>. Respuestas ACR en ensayos controlados con placebo / MTX / FAMEs (Porcentaje de pacientes)</w:t>
      </w:r>
      <w:r w:rsidRPr="008A106B">
        <w:rPr>
          <w:bCs/>
          <w:i/>
          <w:lang w:val="es-ES_tradnl"/>
        </w:rPr>
        <w:t xml:space="preserve"> </w:t>
      </w:r>
    </w:p>
    <w:p w14:paraId="4ABFA7EE" w14:textId="77777777" w:rsidR="000F0DA6" w:rsidRPr="008A106B" w:rsidRDefault="000F0DA6" w:rsidP="00834462">
      <w:pPr>
        <w:keepNext/>
        <w:keepLines/>
        <w:numPr>
          <w:ilvl w:val="12"/>
          <w:numId w:val="0"/>
        </w:numPr>
        <w:ind w:right="-2"/>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861"/>
        <w:gridCol w:w="636"/>
        <w:gridCol w:w="861"/>
        <w:gridCol w:w="835"/>
        <w:gridCol w:w="861"/>
        <w:gridCol w:w="835"/>
        <w:gridCol w:w="920"/>
        <w:gridCol w:w="909"/>
        <w:gridCol w:w="8"/>
        <w:gridCol w:w="861"/>
        <w:gridCol w:w="706"/>
      </w:tblGrid>
      <w:tr w:rsidR="00834462" w:rsidRPr="005A5612" w14:paraId="2C36D9E8" w14:textId="77777777" w:rsidTr="003E3A62">
        <w:trPr>
          <w:cantSplit/>
          <w:trHeight w:val="463"/>
          <w:tblHeader/>
        </w:trPr>
        <w:tc>
          <w:tcPr>
            <w:tcW w:w="432" w:type="pct"/>
          </w:tcPr>
          <w:p w14:paraId="359A2FD3" w14:textId="77777777" w:rsidR="00834462" w:rsidRPr="005A5612" w:rsidRDefault="00834462" w:rsidP="003E3A62">
            <w:pPr>
              <w:keepNext/>
              <w:keepLines/>
              <w:numPr>
                <w:ilvl w:val="12"/>
                <w:numId w:val="0"/>
              </w:numPr>
              <w:ind w:right="-2"/>
              <w:jc w:val="center"/>
              <w:rPr>
                <w:sz w:val="18"/>
                <w:szCs w:val="18"/>
                <w:lang w:val="es-ES"/>
              </w:rPr>
            </w:pPr>
          </w:p>
        </w:tc>
        <w:tc>
          <w:tcPr>
            <w:tcW w:w="787" w:type="pct"/>
            <w:gridSpan w:val="2"/>
            <w:tcBorders>
              <w:bottom w:val="single" w:sz="4" w:space="0" w:color="auto"/>
            </w:tcBorders>
          </w:tcPr>
          <w:p w14:paraId="77298DBC" w14:textId="19A90608" w:rsidR="00834462" w:rsidRPr="005A5612" w:rsidRDefault="00834462" w:rsidP="003E3A62">
            <w:pPr>
              <w:keepNext/>
              <w:keepLines/>
              <w:numPr>
                <w:ilvl w:val="12"/>
                <w:numId w:val="0"/>
              </w:numPr>
              <w:ind w:right="-2"/>
              <w:jc w:val="center"/>
              <w:rPr>
                <w:b/>
                <w:bCs/>
                <w:sz w:val="18"/>
                <w:szCs w:val="18"/>
                <w:lang w:val="en-GB"/>
              </w:rPr>
            </w:pPr>
            <w:del w:id="1178" w:author="AUTHOR">
              <w:r w:rsidRPr="005A5612" w:rsidDel="000228E7">
                <w:rPr>
                  <w:b/>
                  <w:bCs/>
                  <w:sz w:val="18"/>
                  <w:szCs w:val="18"/>
                  <w:lang w:val="es-ES_tradnl"/>
                </w:rPr>
                <w:delText xml:space="preserve">Estudio </w:delText>
              </w:r>
            </w:del>
            <w:ins w:id="1179" w:author="AUTHOR">
              <w:r w:rsidR="000228E7" w:rsidRPr="005A5612">
                <w:rPr>
                  <w:b/>
                  <w:bCs/>
                  <w:sz w:val="18"/>
                  <w:szCs w:val="18"/>
                  <w:lang w:val="es-ES_tradnl"/>
                </w:rPr>
                <w:t>E</w:t>
              </w:r>
              <w:r w:rsidR="000228E7">
                <w:rPr>
                  <w:b/>
                  <w:bCs/>
                  <w:sz w:val="18"/>
                  <w:szCs w:val="18"/>
                  <w:lang w:val="es-ES_tradnl"/>
                </w:rPr>
                <w:t>nsayo</w:t>
              </w:r>
              <w:r w:rsidR="000228E7" w:rsidRPr="005A5612">
                <w:rPr>
                  <w:b/>
                  <w:bCs/>
                  <w:sz w:val="18"/>
                  <w:szCs w:val="18"/>
                  <w:lang w:val="es-ES_tradnl"/>
                </w:rPr>
                <w:t xml:space="preserve"> </w:t>
              </w:r>
            </w:ins>
            <w:r w:rsidRPr="005A5612">
              <w:rPr>
                <w:b/>
                <w:bCs/>
                <w:sz w:val="18"/>
                <w:szCs w:val="18"/>
                <w:lang w:val="es-ES_tradnl"/>
              </w:rPr>
              <w:t>I</w:t>
            </w:r>
          </w:p>
          <w:p w14:paraId="102F6E92"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AMBITION</w:t>
            </w:r>
          </w:p>
        </w:tc>
        <w:tc>
          <w:tcPr>
            <w:tcW w:w="938" w:type="pct"/>
            <w:gridSpan w:val="2"/>
            <w:tcBorders>
              <w:bottom w:val="single" w:sz="4" w:space="0" w:color="auto"/>
            </w:tcBorders>
          </w:tcPr>
          <w:p w14:paraId="06B18187" w14:textId="2E61146F" w:rsidR="00834462" w:rsidRPr="005A5612" w:rsidRDefault="00834462" w:rsidP="003E3A62">
            <w:pPr>
              <w:keepNext/>
              <w:keepLines/>
              <w:numPr>
                <w:ilvl w:val="12"/>
                <w:numId w:val="0"/>
              </w:numPr>
              <w:ind w:right="-2"/>
              <w:jc w:val="center"/>
              <w:rPr>
                <w:b/>
                <w:bCs/>
                <w:sz w:val="18"/>
                <w:szCs w:val="18"/>
                <w:lang w:val="en-GB"/>
              </w:rPr>
            </w:pPr>
            <w:del w:id="1180" w:author="AUTHOR">
              <w:r w:rsidRPr="005A5612" w:rsidDel="000228E7">
                <w:rPr>
                  <w:b/>
                  <w:bCs/>
                  <w:sz w:val="18"/>
                  <w:szCs w:val="18"/>
                  <w:lang w:val="es-ES_tradnl"/>
                </w:rPr>
                <w:delText xml:space="preserve">Estudio </w:delText>
              </w:r>
            </w:del>
            <w:ins w:id="1181" w:author="AUTHOR">
              <w:r w:rsidR="000228E7" w:rsidRPr="005A5612">
                <w:rPr>
                  <w:b/>
                  <w:bCs/>
                  <w:sz w:val="18"/>
                  <w:szCs w:val="18"/>
                  <w:lang w:val="es-ES_tradnl"/>
                </w:rPr>
                <w:t>E</w:t>
              </w:r>
              <w:r w:rsidR="000228E7">
                <w:rPr>
                  <w:b/>
                  <w:bCs/>
                  <w:sz w:val="18"/>
                  <w:szCs w:val="18"/>
                  <w:lang w:val="es-ES_tradnl"/>
                </w:rPr>
                <w:t>nsayo</w:t>
              </w:r>
              <w:r w:rsidR="000228E7" w:rsidRPr="005A5612">
                <w:rPr>
                  <w:b/>
                  <w:bCs/>
                  <w:sz w:val="18"/>
                  <w:szCs w:val="18"/>
                  <w:lang w:val="es-ES_tradnl"/>
                </w:rPr>
                <w:t xml:space="preserve"> </w:t>
              </w:r>
            </w:ins>
            <w:r w:rsidRPr="005A5612">
              <w:rPr>
                <w:b/>
                <w:bCs/>
                <w:sz w:val="18"/>
                <w:szCs w:val="18"/>
                <w:lang w:val="es-ES_tradnl"/>
              </w:rPr>
              <w:t>II</w:t>
            </w:r>
          </w:p>
          <w:p w14:paraId="62C2CB24"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LITHE</w:t>
            </w:r>
          </w:p>
        </w:tc>
        <w:tc>
          <w:tcPr>
            <w:tcW w:w="938" w:type="pct"/>
            <w:gridSpan w:val="2"/>
            <w:tcBorders>
              <w:bottom w:val="single" w:sz="4" w:space="0" w:color="auto"/>
            </w:tcBorders>
          </w:tcPr>
          <w:p w14:paraId="65F81FA2" w14:textId="21A33F3C" w:rsidR="00834462" w:rsidRPr="005A5612" w:rsidRDefault="00834462" w:rsidP="003E3A62">
            <w:pPr>
              <w:keepNext/>
              <w:keepLines/>
              <w:numPr>
                <w:ilvl w:val="12"/>
                <w:numId w:val="0"/>
              </w:numPr>
              <w:ind w:right="-2"/>
              <w:jc w:val="center"/>
              <w:rPr>
                <w:b/>
                <w:bCs/>
                <w:sz w:val="18"/>
                <w:szCs w:val="18"/>
                <w:lang w:val="en-GB"/>
              </w:rPr>
            </w:pPr>
            <w:del w:id="1182" w:author="AUTHOR">
              <w:r w:rsidRPr="005A5612" w:rsidDel="000228E7">
                <w:rPr>
                  <w:b/>
                  <w:bCs/>
                  <w:sz w:val="18"/>
                  <w:szCs w:val="18"/>
                  <w:lang w:val="es-ES_tradnl"/>
                </w:rPr>
                <w:delText xml:space="preserve">Estudio </w:delText>
              </w:r>
            </w:del>
            <w:ins w:id="1183" w:author="AUTHOR">
              <w:r w:rsidR="000228E7" w:rsidRPr="005A5612">
                <w:rPr>
                  <w:b/>
                  <w:bCs/>
                  <w:sz w:val="18"/>
                  <w:szCs w:val="18"/>
                  <w:lang w:val="es-ES_tradnl"/>
                </w:rPr>
                <w:t>E</w:t>
              </w:r>
              <w:r w:rsidR="000228E7">
                <w:rPr>
                  <w:b/>
                  <w:bCs/>
                  <w:sz w:val="18"/>
                  <w:szCs w:val="18"/>
                  <w:lang w:val="es-ES_tradnl"/>
                </w:rPr>
                <w:t>nsayo</w:t>
              </w:r>
              <w:r w:rsidR="000228E7" w:rsidRPr="005A5612">
                <w:rPr>
                  <w:b/>
                  <w:bCs/>
                  <w:sz w:val="18"/>
                  <w:szCs w:val="18"/>
                  <w:lang w:val="es-ES_tradnl"/>
                </w:rPr>
                <w:t xml:space="preserve"> </w:t>
              </w:r>
            </w:ins>
            <w:r w:rsidRPr="005A5612">
              <w:rPr>
                <w:b/>
                <w:bCs/>
                <w:sz w:val="18"/>
                <w:szCs w:val="18"/>
                <w:lang w:val="es-ES_tradnl"/>
              </w:rPr>
              <w:t>III</w:t>
            </w:r>
          </w:p>
          <w:p w14:paraId="7AE277D8"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OPTION</w:t>
            </w:r>
          </w:p>
        </w:tc>
        <w:tc>
          <w:tcPr>
            <w:tcW w:w="1031" w:type="pct"/>
            <w:gridSpan w:val="3"/>
            <w:tcBorders>
              <w:bottom w:val="single" w:sz="4" w:space="0" w:color="auto"/>
            </w:tcBorders>
          </w:tcPr>
          <w:p w14:paraId="5D1C8C2F" w14:textId="6E9EFCCF" w:rsidR="00834462" w:rsidRPr="005A5612" w:rsidRDefault="00834462" w:rsidP="003E3A62">
            <w:pPr>
              <w:keepNext/>
              <w:keepLines/>
              <w:numPr>
                <w:ilvl w:val="12"/>
                <w:numId w:val="0"/>
              </w:numPr>
              <w:ind w:right="-2"/>
              <w:jc w:val="center"/>
              <w:rPr>
                <w:b/>
                <w:bCs/>
                <w:sz w:val="18"/>
                <w:szCs w:val="18"/>
                <w:lang w:val="en-GB"/>
              </w:rPr>
            </w:pPr>
            <w:del w:id="1184" w:author="AUTHOR">
              <w:r w:rsidRPr="005A5612" w:rsidDel="000228E7">
                <w:rPr>
                  <w:b/>
                  <w:bCs/>
                  <w:sz w:val="18"/>
                  <w:szCs w:val="18"/>
                  <w:lang w:val="es-ES_tradnl"/>
                </w:rPr>
                <w:delText xml:space="preserve">Estudio </w:delText>
              </w:r>
            </w:del>
            <w:ins w:id="1185" w:author="AUTHOR">
              <w:r w:rsidR="000228E7" w:rsidRPr="005A5612">
                <w:rPr>
                  <w:b/>
                  <w:bCs/>
                  <w:sz w:val="18"/>
                  <w:szCs w:val="18"/>
                  <w:lang w:val="es-ES_tradnl"/>
                </w:rPr>
                <w:t>E</w:t>
              </w:r>
              <w:r w:rsidR="000228E7">
                <w:rPr>
                  <w:b/>
                  <w:bCs/>
                  <w:sz w:val="18"/>
                  <w:szCs w:val="18"/>
                  <w:lang w:val="es-ES_tradnl"/>
                </w:rPr>
                <w:t>nsayo</w:t>
              </w:r>
              <w:r w:rsidR="000228E7" w:rsidRPr="005A5612">
                <w:rPr>
                  <w:b/>
                  <w:bCs/>
                  <w:sz w:val="18"/>
                  <w:szCs w:val="18"/>
                  <w:lang w:val="es-ES_tradnl"/>
                </w:rPr>
                <w:t xml:space="preserve"> </w:t>
              </w:r>
            </w:ins>
            <w:r w:rsidRPr="005A5612">
              <w:rPr>
                <w:b/>
                <w:bCs/>
                <w:sz w:val="18"/>
                <w:szCs w:val="18"/>
                <w:lang w:val="es-ES_tradnl"/>
              </w:rPr>
              <w:t>IV</w:t>
            </w:r>
          </w:p>
          <w:p w14:paraId="2B3AC483"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TOWARD</w:t>
            </w:r>
          </w:p>
        </w:tc>
        <w:tc>
          <w:tcPr>
            <w:tcW w:w="875" w:type="pct"/>
            <w:gridSpan w:val="2"/>
            <w:tcBorders>
              <w:bottom w:val="single" w:sz="4" w:space="0" w:color="auto"/>
            </w:tcBorders>
          </w:tcPr>
          <w:p w14:paraId="08919C7A" w14:textId="34D97519" w:rsidR="00834462" w:rsidRPr="005A5612" w:rsidRDefault="00834462" w:rsidP="003E3A62">
            <w:pPr>
              <w:keepNext/>
              <w:keepLines/>
              <w:numPr>
                <w:ilvl w:val="12"/>
                <w:numId w:val="0"/>
              </w:numPr>
              <w:ind w:right="-2"/>
              <w:jc w:val="center"/>
              <w:rPr>
                <w:b/>
                <w:bCs/>
                <w:sz w:val="18"/>
                <w:szCs w:val="18"/>
                <w:lang w:val="en-GB"/>
              </w:rPr>
            </w:pPr>
            <w:del w:id="1186" w:author="AUTHOR">
              <w:r w:rsidRPr="005A5612" w:rsidDel="000228E7">
                <w:rPr>
                  <w:b/>
                  <w:bCs/>
                  <w:sz w:val="18"/>
                  <w:szCs w:val="18"/>
                  <w:lang w:val="es-ES_tradnl"/>
                </w:rPr>
                <w:delText xml:space="preserve">Estudio </w:delText>
              </w:r>
            </w:del>
            <w:ins w:id="1187" w:author="AUTHOR">
              <w:r w:rsidR="000228E7" w:rsidRPr="005A5612">
                <w:rPr>
                  <w:b/>
                  <w:bCs/>
                  <w:sz w:val="18"/>
                  <w:szCs w:val="18"/>
                  <w:lang w:val="es-ES_tradnl"/>
                </w:rPr>
                <w:t>E</w:t>
              </w:r>
              <w:r w:rsidR="000228E7">
                <w:rPr>
                  <w:b/>
                  <w:bCs/>
                  <w:sz w:val="18"/>
                  <w:szCs w:val="18"/>
                  <w:lang w:val="es-ES_tradnl"/>
                </w:rPr>
                <w:t>nsayo</w:t>
              </w:r>
              <w:r w:rsidR="000228E7" w:rsidRPr="005A5612">
                <w:rPr>
                  <w:b/>
                  <w:bCs/>
                  <w:sz w:val="18"/>
                  <w:szCs w:val="18"/>
                  <w:lang w:val="es-ES_tradnl"/>
                </w:rPr>
                <w:t xml:space="preserve"> </w:t>
              </w:r>
            </w:ins>
            <w:r w:rsidRPr="005A5612">
              <w:rPr>
                <w:b/>
                <w:bCs/>
                <w:sz w:val="18"/>
                <w:szCs w:val="18"/>
                <w:lang w:val="es-ES_tradnl"/>
              </w:rPr>
              <w:t>V</w:t>
            </w:r>
          </w:p>
          <w:p w14:paraId="552CA15A"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RADIATE</w:t>
            </w:r>
          </w:p>
        </w:tc>
      </w:tr>
      <w:tr w:rsidR="00834462" w:rsidRPr="005A5612" w14:paraId="2E23CD71" w14:textId="77777777" w:rsidTr="003E3A62">
        <w:trPr>
          <w:cantSplit/>
          <w:trHeight w:val="737"/>
        </w:trPr>
        <w:tc>
          <w:tcPr>
            <w:tcW w:w="432" w:type="pct"/>
          </w:tcPr>
          <w:p w14:paraId="4F525573"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Sema-na</w:t>
            </w:r>
          </w:p>
        </w:tc>
        <w:tc>
          <w:tcPr>
            <w:tcW w:w="443" w:type="pct"/>
            <w:tcBorders>
              <w:right w:val="single" w:sz="4" w:space="0" w:color="auto"/>
            </w:tcBorders>
          </w:tcPr>
          <w:p w14:paraId="24A4F126"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s-ES_tradnl"/>
              </w:rPr>
              <w:t>TCZ</w:t>
            </w:r>
          </w:p>
          <w:p w14:paraId="66C40682"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8 mg/kg</w:t>
            </w:r>
          </w:p>
        </w:tc>
        <w:tc>
          <w:tcPr>
            <w:tcW w:w="344" w:type="pct"/>
            <w:tcBorders>
              <w:left w:val="single" w:sz="4" w:space="0" w:color="auto"/>
              <w:right w:val="single" w:sz="4" w:space="0" w:color="auto"/>
            </w:tcBorders>
          </w:tcPr>
          <w:p w14:paraId="093AA2EA"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MTX</w:t>
            </w:r>
          </w:p>
        </w:tc>
        <w:tc>
          <w:tcPr>
            <w:tcW w:w="469" w:type="pct"/>
            <w:tcBorders>
              <w:left w:val="single" w:sz="4" w:space="0" w:color="auto"/>
              <w:right w:val="single" w:sz="4" w:space="0" w:color="auto"/>
            </w:tcBorders>
          </w:tcPr>
          <w:p w14:paraId="29889DE3" w14:textId="77777777" w:rsidR="00834462" w:rsidRPr="005A5612" w:rsidRDefault="00834462" w:rsidP="003E3A62">
            <w:pPr>
              <w:keepNext/>
              <w:keepLines/>
              <w:numPr>
                <w:ilvl w:val="12"/>
                <w:numId w:val="0"/>
              </w:numPr>
              <w:ind w:right="-2"/>
              <w:jc w:val="center"/>
              <w:rPr>
                <w:b/>
                <w:bCs/>
                <w:sz w:val="18"/>
                <w:szCs w:val="18"/>
                <w:lang w:val="pt-BR"/>
              </w:rPr>
            </w:pPr>
            <w:r w:rsidRPr="005A5612">
              <w:rPr>
                <w:b/>
                <w:bCs/>
                <w:sz w:val="18"/>
                <w:szCs w:val="18"/>
                <w:lang w:val="es-ES_tradnl"/>
              </w:rPr>
              <w:t>TCZ</w:t>
            </w:r>
          </w:p>
          <w:p w14:paraId="791DCDC0"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8 mg/kg + MTX</w:t>
            </w:r>
          </w:p>
        </w:tc>
        <w:tc>
          <w:tcPr>
            <w:tcW w:w="469" w:type="pct"/>
            <w:tcBorders>
              <w:left w:val="single" w:sz="4" w:space="0" w:color="auto"/>
              <w:right w:val="single" w:sz="4" w:space="0" w:color="auto"/>
            </w:tcBorders>
          </w:tcPr>
          <w:p w14:paraId="076B391D"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PBO + MTX</w:t>
            </w:r>
          </w:p>
        </w:tc>
        <w:tc>
          <w:tcPr>
            <w:tcW w:w="469" w:type="pct"/>
            <w:tcBorders>
              <w:left w:val="single" w:sz="4" w:space="0" w:color="auto"/>
              <w:right w:val="single" w:sz="4" w:space="0" w:color="auto"/>
            </w:tcBorders>
          </w:tcPr>
          <w:p w14:paraId="377AB27A" w14:textId="77777777" w:rsidR="00834462" w:rsidRPr="005A5612" w:rsidRDefault="00834462" w:rsidP="003E3A62">
            <w:pPr>
              <w:keepNext/>
              <w:keepLines/>
              <w:numPr>
                <w:ilvl w:val="12"/>
                <w:numId w:val="0"/>
              </w:numPr>
              <w:ind w:right="-2"/>
              <w:jc w:val="center"/>
              <w:rPr>
                <w:b/>
                <w:bCs/>
                <w:sz w:val="18"/>
                <w:szCs w:val="18"/>
                <w:lang w:val="pt-BR"/>
              </w:rPr>
            </w:pPr>
            <w:r w:rsidRPr="005A5612">
              <w:rPr>
                <w:b/>
                <w:bCs/>
                <w:sz w:val="18"/>
                <w:szCs w:val="18"/>
                <w:lang w:val="es-ES_tradnl"/>
              </w:rPr>
              <w:t>TCZ</w:t>
            </w:r>
          </w:p>
          <w:p w14:paraId="791DBAD9"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8 mg/kg + MTX</w:t>
            </w:r>
          </w:p>
        </w:tc>
        <w:tc>
          <w:tcPr>
            <w:tcW w:w="469" w:type="pct"/>
            <w:tcBorders>
              <w:left w:val="single" w:sz="4" w:space="0" w:color="auto"/>
            </w:tcBorders>
          </w:tcPr>
          <w:p w14:paraId="04961072"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PBO + MTX</w:t>
            </w:r>
          </w:p>
        </w:tc>
        <w:tc>
          <w:tcPr>
            <w:tcW w:w="516" w:type="pct"/>
            <w:tcBorders>
              <w:left w:val="nil"/>
              <w:right w:val="single" w:sz="4" w:space="0" w:color="auto"/>
            </w:tcBorders>
          </w:tcPr>
          <w:p w14:paraId="0C019167" w14:textId="77777777" w:rsidR="00834462" w:rsidRPr="005A5612" w:rsidRDefault="00834462" w:rsidP="003E3A62">
            <w:pPr>
              <w:keepNext/>
              <w:keepLines/>
              <w:numPr>
                <w:ilvl w:val="12"/>
                <w:numId w:val="0"/>
              </w:numPr>
              <w:ind w:right="-2"/>
              <w:jc w:val="center"/>
              <w:rPr>
                <w:b/>
                <w:bCs/>
                <w:sz w:val="18"/>
                <w:szCs w:val="18"/>
                <w:lang w:val="fr-FR"/>
              </w:rPr>
            </w:pPr>
            <w:r w:rsidRPr="005A5612">
              <w:rPr>
                <w:b/>
                <w:bCs/>
                <w:sz w:val="18"/>
                <w:szCs w:val="18"/>
                <w:lang w:val="es-ES_tradnl"/>
              </w:rPr>
              <w:t>TCZ</w:t>
            </w:r>
          </w:p>
          <w:p w14:paraId="3333C16F"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8 mg/kg + FAME</w:t>
            </w:r>
          </w:p>
        </w:tc>
        <w:tc>
          <w:tcPr>
            <w:tcW w:w="516" w:type="pct"/>
            <w:gridSpan w:val="2"/>
            <w:tcBorders>
              <w:left w:val="single" w:sz="4" w:space="0" w:color="auto"/>
            </w:tcBorders>
          </w:tcPr>
          <w:p w14:paraId="63908ED2"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PBO + FAME</w:t>
            </w:r>
          </w:p>
        </w:tc>
        <w:tc>
          <w:tcPr>
            <w:tcW w:w="469" w:type="pct"/>
            <w:tcBorders>
              <w:left w:val="nil"/>
              <w:right w:val="single" w:sz="4" w:space="0" w:color="auto"/>
            </w:tcBorders>
          </w:tcPr>
          <w:p w14:paraId="3BC403C7"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TCZ 8 mg/kg + MTX</w:t>
            </w:r>
          </w:p>
        </w:tc>
        <w:tc>
          <w:tcPr>
            <w:tcW w:w="406" w:type="pct"/>
            <w:tcBorders>
              <w:left w:val="single" w:sz="4" w:space="0" w:color="auto"/>
            </w:tcBorders>
          </w:tcPr>
          <w:p w14:paraId="69D1BBF0"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PBO + MTX</w:t>
            </w:r>
            <w:r w:rsidRPr="005A5612">
              <w:rPr>
                <w:b/>
                <w:bCs/>
                <w:sz w:val="18"/>
                <w:szCs w:val="18"/>
                <w:lang w:val="en-GB"/>
              </w:rPr>
              <w:br/>
            </w:r>
          </w:p>
        </w:tc>
      </w:tr>
      <w:tr w:rsidR="00834462" w:rsidRPr="005A5612" w14:paraId="399B964B" w14:textId="77777777" w:rsidTr="003E3A62">
        <w:trPr>
          <w:cantSplit/>
          <w:trHeight w:val="521"/>
        </w:trPr>
        <w:tc>
          <w:tcPr>
            <w:tcW w:w="432" w:type="pct"/>
          </w:tcPr>
          <w:p w14:paraId="2E8D2711" w14:textId="77777777" w:rsidR="00834462" w:rsidRPr="005A5612" w:rsidRDefault="00834462" w:rsidP="003E3A62">
            <w:pPr>
              <w:keepNext/>
              <w:keepLines/>
              <w:numPr>
                <w:ilvl w:val="12"/>
                <w:numId w:val="0"/>
              </w:numPr>
              <w:ind w:right="-2"/>
              <w:jc w:val="center"/>
              <w:rPr>
                <w:b/>
                <w:bCs/>
                <w:sz w:val="18"/>
                <w:szCs w:val="18"/>
                <w:lang w:val="en-GB"/>
              </w:rPr>
            </w:pPr>
          </w:p>
        </w:tc>
        <w:tc>
          <w:tcPr>
            <w:tcW w:w="443" w:type="pct"/>
            <w:tcBorders>
              <w:right w:val="single" w:sz="4" w:space="0" w:color="auto"/>
            </w:tcBorders>
          </w:tcPr>
          <w:p w14:paraId="782087CC" w14:textId="321A7012" w:rsidR="00834462" w:rsidRPr="005A5612" w:rsidRDefault="00834462" w:rsidP="003E3A62">
            <w:pPr>
              <w:keepNext/>
              <w:keepLines/>
              <w:numPr>
                <w:ilvl w:val="12"/>
                <w:numId w:val="0"/>
              </w:numPr>
              <w:ind w:right="-2"/>
              <w:jc w:val="center"/>
              <w:rPr>
                <w:b/>
                <w:bCs/>
                <w:sz w:val="18"/>
                <w:szCs w:val="18"/>
                <w:lang w:val="en-GB"/>
              </w:rPr>
            </w:pPr>
            <w:del w:id="1188" w:author="AUTHOR">
              <w:r w:rsidRPr="005A5612" w:rsidDel="000228E7">
                <w:rPr>
                  <w:b/>
                  <w:bCs/>
                  <w:sz w:val="18"/>
                  <w:szCs w:val="18"/>
                  <w:lang w:val="es-ES_tradnl"/>
                </w:rPr>
                <w:delText>N</w:delText>
              </w:r>
            </w:del>
            <w:ins w:id="1189" w:author="AUTHOR">
              <w:r w:rsidR="000228E7">
                <w:rPr>
                  <w:b/>
                  <w:bCs/>
                  <w:sz w:val="18"/>
                  <w:szCs w:val="18"/>
                  <w:lang w:val="es-ES_tradnl"/>
                </w:rPr>
                <w:t>n</w:t>
              </w:r>
            </w:ins>
          </w:p>
          <w:p w14:paraId="13068809"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286</w:t>
            </w:r>
          </w:p>
        </w:tc>
        <w:tc>
          <w:tcPr>
            <w:tcW w:w="344" w:type="pct"/>
            <w:tcBorders>
              <w:left w:val="single" w:sz="4" w:space="0" w:color="auto"/>
              <w:right w:val="single" w:sz="4" w:space="0" w:color="auto"/>
            </w:tcBorders>
          </w:tcPr>
          <w:p w14:paraId="7C9D7C89" w14:textId="7D9CA31D" w:rsidR="00834462" w:rsidRPr="005A5612" w:rsidRDefault="00834462" w:rsidP="003E3A62">
            <w:pPr>
              <w:keepNext/>
              <w:keepLines/>
              <w:numPr>
                <w:ilvl w:val="12"/>
                <w:numId w:val="0"/>
              </w:numPr>
              <w:ind w:right="-2"/>
              <w:jc w:val="center"/>
              <w:rPr>
                <w:b/>
                <w:bCs/>
                <w:sz w:val="18"/>
                <w:szCs w:val="18"/>
                <w:lang w:val="en-GB"/>
              </w:rPr>
            </w:pPr>
            <w:del w:id="1190" w:author="AUTHOR">
              <w:r w:rsidRPr="005A5612" w:rsidDel="000228E7">
                <w:rPr>
                  <w:b/>
                  <w:bCs/>
                  <w:sz w:val="18"/>
                  <w:szCs w:val="18"/>
                  <w:lang w:val="es-ES_tradnl"/>
                </w:rPr>
                <w:delText>N</w:delText>
              </w:r>
            </w:del>
            <w:ins w:id="1191" w:author="AUTHOR">
              <w:r w:rsidR="000228E7">
                <w:rPr>
                  <w:b/>
                  <w:bCs/>
                  <w:sz w:val="18"/>
                  <w:szCs w:val="18"/>
                  <w:lang w:val="es-ES_tradnl"/>
                </w:rPr>
                <w:t>n</w:t>
              </w:r>
            </w:ins>
          </w:p>
          <w:p w14:paraId="40BF879C"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284</w:t>
            </w:r>
          </w:p>
        </w:tc>
        <w:tc>
          <w:tcPr>
            <w:tcW w:w="469" w:type="pct"/>
            <w:tcBorders>
              <w:left w:val="single" w:sz="4" w:space="0" w:color="auto"/>
              <w:right w:val="single" w:sz="4" w:space="0" w:color="auto"/>
            </w:tcBorders>
          </w:tcPr>
          <w:p w14:paraId="0EC23E9F" w14:textId="76B3351B" w:rsidR="00834462" w:rsidRPr="005A5612" w:rsidRDefault="00834462" w:rsidP="003E3A62">
            <w:pPr>
              <w:keepNext/>
              <w:keepLines/>
              <w:numPr>
                <w:ilvl w:val="12"/>
                <w:numId w:val="0"/>
              </w:numPr>
              <w:ind w:right="-2"/>
              <w:jc w:val="center"/>
              <w:rPr>
                <w:b/>
                <w:bCs/>
                <w:sz w:val="18"/>
                <w:szCs w:val="18"/>
                <w:lang w:val="pt-BR"/>
              </w:rPr>
            </w:pPr>
            <w:del w:id="1192" w:author="AUTHOR">
              <w:r w:rsidRPr="005A5612" w:rsidDel="000228E7">
                <w:rPr>
                  <w:b/>
                  <w:bCs/>
                  <w:sz w:val="18"/>
                  <w:szCs w:val="18"/>
                  <w:lang w:val="es-ES_tradnl"/>
                </w:rPr>
                <w:delText>N</w:delText>
              </w:r>
            </w:del>
            <w:ins w:id="1193" w:author="AUTHOR">
              <w:r w:rsidR="000228E7">
                <w:rPr>
                  <w:b/>
                  <w:bCs/>
                  <w:sz w:val="18"/>
                  <w:szCs w:val="18"/>
                  <w:lang w:val="es-ES_tradnl"/>
                </w:rPr>
                <w:t>n</w:t>
              </w:r>
            </w:ins>
          </w:p>
          <w:p w14:paraId="4CE91029" w14:textId="77777777" w:rsidR="00834462" w:rsidRPr="005A5612" w:rsidRDefault="00834462" w:rsidP="003E3A62">
            <w:pPr>
              <w:keepNext/>
              <w:keepLines/>
              <w:numPr>
                <w:ilvl w:val="12"/>
                <w:numId w:val="0"/>
              </w:numPr>
              <w:ind w:right="-2"/>
              <w:jc w:val="center"/>
              <w:rPr>
                <w:b/>
                <w:bCs/>
                <w:sz w:val="18"/>
                <w:szCs w:val="18"/>
                <w:lang w:val="pt-BR"/>
              </w:rPr>
            </w:pPr>
            <w:r w:rsidRPr="005A5612">
              <w:rPr>
                <w:b/>
                <w:bCs/>
                <w:sz w:val="18"/>
                <w:szCs w:val="18"/>
                <w:lang w:val="pt-BR"/>
              </w:rPr>
              <w:t>398</w:t>
            </w:r>
          </w:p>
        </w:tc>
        <w:tc>
          <w:tcPr>
            <w:tcW w:w="469" w:type="pct"/>
            <w:tcBorders>
              <w:left w:val="single" w:sz="4" w:space="0" w:color="auto"/>
              <w:right w:val="single" w:sz="4" w:space="0" w:color="auto"/>
            </w:tcBorders>
          </w:tcPr>
          <w:p w14:paraId="241DC9CA" w14:textId="777033EC" w:rsidR="00834462" w:rsidRPr="005A5612" w:rsidRDefault="00834462" w:rsidP="003E3A62">
            <w:pPr>
              <w:keepNext/>
              <w:keepLines/>
              <w:numPr>
                <w:ilvl w:val="12"/>
                <w:numId w:val="0"/>
              </w:numPr>
              <w:ind w:right="-2"/>
              <w:jc w:val="center"/>
              <w:rPr>
                <w:b/>
                <w:bCs/>
                <w:sz w:val="18"/>
                <w:szCs w:val="18"/>
                <w:lang w:val="en-GB"/>
              </w:rPr>
            </w:pPr>
            <w:del w:id="1194" w:author="AUTHOR">
              <w:r w:rsidRPr="005A5612" w:rsidDel="000228E7">
                <w:rPr>
                  <w:b/>
                  <w:bCs/>
                  <w:sz w:val="18"/>
                  <w:szCs w:val="18"/>
                  <w:lang w:val="es-ES_tradnl"/>
                </w:rPr>
                <w:delText>N</w:delText>
              </w:r>
            </w:del>
            <w:ins w:id="1195" w:author="AUTHOR">
              <w:r w:rsidR="000228E7">
                <w:rPr>
                  <w:b/>
                  <w:bCs/>
                  <w:sz w:val="18"/>
                  <w:szCs w:val="18"/>
                  <w:lang w:val="es-ES_tradnl"/>
                </w:rPr>
                <w:t>n</w:t>
              </w:r>
            </w:ins>
          </w:p>
          <w:p w14:paraId="25D31C82"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393</w:t>
            </w:r>
          </w:p>
        </w:tc>
        <w:tc>
          <w:tcPr>
            <w:tcW w:w="469" w:type="pct"/>
            <w:tcBorders>
              <w:left w:val="single" w:sz="4" w:space="0" w:color="auto"/>
              <w:right w:val="single" w:sz="4" w:space="0" w:color="auto"/>
            </w:tcBorders>
          </w:tcPr>
          <w:p w14:paraId="2EF95DB3" w14:textId="33065AD3" w:rsidR="00834462" w:rsidRPr="005A5612" w:rsidRDefault="00834462" w:rsidP="003E3A62">
            <w:pPr>
              <w:keepNext/>
              <w:keepLines/>
              <w:numPr>
                <w:ilvl w:val="12"/>
                <w:numId w:val="0"/>
              </w:numPr>
              <w:ind w:right="-2"/>
              <w:jc w:val="center"/>
              <w:rPr>
                <w:b/>
                <w:bCs/>
                <w:sz w:val="18"/>
                <w:szCs w:val="18"/>
                <w:lang w:val="pt-BR"/>
              </w:rPr>
            </w:pPr>
            <w:del w:id="1196" w:author="AUTHOR">
              <w:r w:rsidRPr="005A5612" w:rsidDel="000228E7">
                <w:rPr>
                  <w:b/>
                  <w:bCs/>
                  <w:sz w:val="18"/>
                  <w:szCs w:val="18"/>
                  <w:lang w:val="es-ES_tradnl"/>
                </w:rPr>
                <w:delText>N</w:delText>
              </w:r>
            </w:del>
            <w:ins w:id="1197" w:author="AUTHOR">
              <w:r w:rsidR="000228E7">
                <w:rPr>
                  <w:b/>
                  <w:bCs/>
                  <w:sz w:val="18"/>
                  <w:szCs w:val="18"/>
                  <w:lang w:val="es-ES_tradnl"/>
                </w:rPr>
                <w:t>n</w:t>
              </w:r>
            </w:ins>
          </w:p>
          <w:p w14:paraId="2F8C77E4" w14:textId="77777777" w:rsidR="00834462" w:rsidRPr="005A5612" w:rsidRDefault="00834462" w:rsidP="003E3A62">
            <w:pPr>
              <w:keepNext/>
              <w:keepLines/>
              <w:numPr>
                <w:ilvl w:val="12"/>
                <w:numId w:val="0"/>
              </w:numPr>
              <w:ind w:right="-2"/>
              <w:jc w:val="center"/>
              <w:rPr>
                <w:b/>
                <w:bCs/>
                <w:sz w:val="18"/>
                <w:szCs w:val="18"/>
                <w:lang w:val="pt-BR"/>
              </w:rPr>
            </w:pPr>
            <w:r w:rsidRPr="005A5612">
              <w:rPr>
                <w:b/>
                <w:bCs/>
                <w:sz w:val="18"/>
                <w:szCs w:val="18"/>
                <w:lang w:val="pt-BR"/>
              </w:rPr>
              <w:t>205</w:t>
            </w:r>
          </w:p>
        </w:tc>
        <w:tc>
          <w:tcPr>
            <w:tcW w:w="469" w:type="pct"/>
            <w:tcBorders>
              <w:left w:val="single" w:sz="4" w:space="0" w:color="auto"/>
            </w:tcBorders>
          </w:tcPr>
          <w:p w14:paraId="3AE033D4" w14:textId="114A0623" w:rsidR="00834462" w:rsidRPr="005A5612" w:rsidRDefault="00834462" w:rsidP="003E3A62">
            <w:pPr>
              <w:keepNext/>
              <w:keepLines/>
              <w:numPr>
                <w:ilvl w:val="12"/>
                <w:numId w:val="0"/>
              </w:numPr>
              <w:ind w:right="-2"/>
              <w:jc w:val="center"/>
              <w:rPr>
                <w:b/>
                <w:bCs/>
                <w:sz w:val="18"/>
                <w:szCs w:val="18"/>
                <w:lang w:val="en-GB"/>
              </w:rPr>
            </w:pPr>
            <w:del w:id="1198" w:author="AUTHOR">
              <w:r w:rsidRPr="005A5612" w:rsidDel="000228E7">
                <w:rPr>
                  <w:b/>
                  <w:bCs/>
                  <w:sz w:val="18"/>
                  <w:szCs w:val="18"/>
                  <w:lang w:val="es-ES_tradnl"/>
                </w:rPr>
                <w:delText>N</w:delText>
              </w:r>
            </w:del>
            <w:ins w:id="1199" w:author="AUTHOR">
              <w:r w:rsidR="000228E7">
                <w:rPr>
                  <w:b/>
                  <w:bCs/>
                  <w:sz w:val="18"/>
                  <w:szCs w:val="18"/>
                  <w:lang w:val="es-ES_tradnl"/>
                </w:rPr>
                <w:t>n</w:t>
              </w:r>
            </w:ins>
          </w:p>
          <w:p w14:paraId="4631293A"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204</w:t>
            </w:r>
          </w:p>
        </w:tc>
        <w:tc>
          <w:tcPr>
            <w:tcW w:w="516" w:type="pct"/>
            <w:tcBorders>
              <w:left w:val="nil"/>
              <w:right w:val="single" w:sz="4" w:space="0" w:color="auto"/>
            </w:tcBorders>
          </w:tcPr>
          <w:p w14:paraId="67076E69" w14:textId="51AA9FA9" w:rsidR="00834462" w:rsidRPr="005A5612" w:rsidRDefault="00834462" w:rsidP="003E3A62">
            <w:pPr>
              <w:keepNext/>
              <w:keepLines/>
              <w:numPr>
                <w:ilvl w:val="12"/>
                <w:numId w:val="0"/>
              </w:numPr>
              <w:ind w:right="-2"/>
              <w:jc w:val="center"/>
              <w:rPr>
                <w:b/>
                <w:bCs/>
                <w:sz w:val="18"/>
                <w:szCs w:val="18"/>
                <w:lang w:val="en-GB"/>
              </w:rPr>
            </w:pPr>
            <w:del w:id="1200" w:author="AUTHOR">
              <w:r w:rsidRPr="005A5612" w:rsidDel="000228E7">
                <w:rPr>
                  <w:b/>
                  <w:bCs/>
                  <w:sz w:val="18"/>
                  <w:szCs w:val="18"/>
                  <w:lang w:val="es-ES_tradnl"/>
                </w:rPr>
                <w:delText>N</w:delText>
              </w:r>
            </w:del>
            <w:ins w:id="1201" w:author="AUTHOR">
              <w:r w:rsidR="000228E7">
                <w:rPr>
                  <w:b/>
                  <w:bCs/>
                  <w:sz w:val="18"/>
                  <w:szCs w:val="18"/>
                  <w:lang w:val="es-ES_tradnl"/>
                </w:rPr>
                <w:t>n</w:t>
              </w:r>
            </w:ins>
          </w:p>
          <w:p w14:paraId="232391E8"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803</w:t>
            </w:r>
          </w:p>
        </w:tc>
        <w:tc>
          <w:tcPr>
            <w:tcW w:w="516" w:type="pct"/>
            <w:gridSpan w:val="2"/>
            <w:tcBorders>
              <w:left w:val="single" w:sz="4" w:space="0" w:color="auto"/>
            </w:tcBorders>
          </w:tcPr>
          <w:p w14:paraId="26A12A01" w14:textId="6837BCB7" w:rsidR="00834462" w:rsidRPr="005A5612" w:rsidRDefault="00834462" w:rsidP="003E3A62">
            <w:pPr>
              <w:keepNext/>
              <w:keepLines/>
              <w:numPr>
                <w:ilvl w:val="12"/>
                <w:numId w:val="0"/>
              </w:numPr>
              <w:ind w:right="-2"/>
              <w:jc w:val="center"/>
              <w:rPr>
                <w:b/>
                <w:bCs/>
                <w:sz w:val="18"/>
                <w:szCs w:val="18"/>
                <w:lang w:val="en-GB"/>
              </w:rPr>
            </w:pPr>
            <w:del w:id="1202" w:author="AUTHOR">
              <w:r w:rsidRPr="005A5612" w:rsidDel="000228E7">
                <w:rPr>
                  <w:b/>
                  <w:bCs/>
                  <w:sz w:val="18"/>
                  <w:szCs w:val="18"/>
                  <w:lang w:val="es-ES_tradnl"/>
                </w:rPr>
                <w:delText>N</w:delText>
              </w:r>
            </w:del>
            <w:ins w:id="1203" w:author="AUTHOR">
              <w:r w:rsidR="000228E7">
                <w:rPr>
                  <w:b/>
                  <w:bCs/>
                  <w:sz w:val="18"/>
                  <w:szCs w:val="18"/>
                  <w:lang w:val="es-ES_tradnl"/>
                </w:rPr>
                <w:t>n</w:t>
              </w:r>
            </w:ins>
          </w:p>
          <w:p w14:paraId="0FD52F19"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413</w:t>
            </w:r>
          </w:p>
        </w:tc>
        <w:tc>
          <w:tcPr>
            <w:tcW w:w="469" w:type="pct"/>
            <w:tcBorders>
              <w:left w:val="nil"/>
              <w:right w:val="single" w:sz="4" w:space="0" w:color="auto"/>
            </w:tcBorders>
          </w:tcPr>
          <w:p w14:paraId="007C978B" w14:textId="667683E4" w:rsidR="00834462" w:rsidRPr="005A5612" w:rsidRDefault="00834462" w:rsidP="003E3A62">
            <w:pPr>
              <w:keepNext/>
              <w:keepLines/>
              <w:numPr>
                <w:ilvl w:val="12"/>
                <w:numId w:val="0"/>
              </w:numPr>
              <w:ind w:right="-2"/>
              <w:jc w:val="center"/>
              <w:rPr>
                <w:b/>
                <w:bCs/>
                <w:sz w:val="18"/>
                <w:szCs w:val="18"/>
                <w:lang w:val="pt-BR"/>
              </w:rPr>
            </w:pPr>
            <w:del w:id="1204" w:author="AUTHOR">
              <w:r w:rsidRPr="005A5612" w:rsidDel="000228E7">
                <w:rPr>
                  <w:b/>
                  <w:bCs/>
                  <w:sz w:val="18"/>
                  <w:szCs w:val="18"/>
                  <w:lang w:val="es-ES_tradnl"/>
                </w:rPr>
                <w:delText>N</w:delText>
              </w:r>
            </w:del>
            <w:ins w:id="1205" w:author="AUTHOR">
              <w:r w:rsidR="000228E7">
                <w:rPr>
                  <w:b/>
                  <w:bCs/>
                  <w:sz w:val="18"/>
                  <w:szCs w:val="18"/>
                  <w:lang w:val="es-ES_tradnl"/>
                </w:rPr>
                <w:t>n</w:t>
              </w:r>
            </w:ins>
          </w:p>
          <w:p w14:paraId="46CE7195" w14:textId="77777777" w:rsidR="00834462" w:rsidRPr="005A5612" w:rsidRDefault="00834462" w:rsidP="003E3A62">
            <w:pPr>
              <w:keepNext/>
              <w:keepLines/>
              <w:numPr>
                <w:ilvl w:val="12"/>
                <w:numId w:val="0"/>
              </w:numPr>
              <w:ind w:right="-2"/>
              <w:jc w:val="center"/>
              <w:rPr>
                <w:b/>
                <w:bCs/>
                <w:sz w:val="18"/>
                <w:szCs w:val="18"/>
                <w:lang w:val="pt-BR"/>
              </w:rPr>
            </w:pPr>
            <w:r w:rsidRPr="005A5612">
              <w:rPr>
                <w:b/>
                <w:bCs/>
                <w:sz w:val="18"/>
                <w:szCs w:val="18"/>
                <w:lang w:val="pt-BR"/>
              </w:rPr>
              <w:t>170</w:t>
            </w:r>
          </w:p>
        </w:tc>
        <w:tc>
          <w:tcPr>
            <w:tcW w:w="406" w:type="pct"/>
            <w:tcBorders>
              <w:left w:val="single" w:sz="4" w:space="0" w:color="auto"/>
            </w:tcBorders>
          </w:tcPr>
          <w:p w14:paraId="78E842E9" w14:textId="09F4B4C9" w:rsidR="00834462" w:rsidRPr="005A5612" w:rsidRDefault="00834462" w:rsidP="003E3A62">
            <w:pPr>
              <w:keepNext/>
              <w:keepLines/>
              <w:numPr>
                <w:ilvl w:val="12"/>
                <w:numId w:val="0"/>
              </w:numPr>
              <w:ind w:right="-2"/>
              <w:jc w:val="center"/>
              <w:rPr>
                <w:b/>
                <w:bCs/>
                <w:sz w:val="18"/>
                <w:szCs w:val="18"/>
                <w:lang w:val="en-GB"/>
              </w:rPr>
            </w:pPr>
            <w:del w:id="1206" w:author="AUTHOR">
              <w:r w:rsidRPr="005A5612" w:rsidDel="000228E7">
                <w:rPr>
                  <w:b/>
                  <w:bCs/>
                  <w:sz w:val="18"/>
                  <w:szCs w:val="18"/>
                  <w:lang w:val="es-ES_tradnl"/>
                </w:rPr>
                <w:delText>N</w:delText>
              </w:r>
            </w:del>
            <w:ins w:id="1207" w:author="AUTHOR">
              <w:r w:rsidR="000228E7">
                <w:rPr>
                  <w:b/>
                  <w:bCs/>
                  <w:sz w:val="18"/>
                  <w:szCs w:val="18"/>
                  <w:lang w:val="es-ES_tradnl"/>
                </w:rPr>
                <w:t>n</w:t>
              </w:r>
            </w:ins>
          </w:p>
          <w:p w14:paraId="015BCB86" w14:textId="77777777" w:rsidR="00834462" w:rsidRPr="005A5612" w:rsidRDefault="00834462" w:rsidP="003E3A62">
            <w:pPr>
              <w:keepNext/>
              <w:keepLines/>
              <w:numPr>
                <w:ilvl w:val="12"/>
                <w:numId w:val="0"/>
              </w:numPr>
              <w:ind w:right="-2"/>
              <w:jc w:val="center"/>
              <w:rPr>
                <w:b/>
                <w:bCs/>
                <w:sz w:val="18"/>
                <w:szCs w:val="18"/>
                <w:lang w:val="en-GB"/>
              </w:rPr>
            </w:pPr>
            <w:r w:rsidRPr="005A5612">
              <w:rPr>
                <w:b/>
                <w:bCs/>
                <w:sz w:val="18"/>
                <w:szCs w:val="18"/>
                <w:lang w:val="en-GB"/>
              </w:rPr>
              <w:t>158</w:t>
            </w:r>
          </w:p>
        </w:tc>
      </w:tr>
      <w:tr w:rsidR="00834462" w:rsidRPr="005A5612" w14:paraId="0621CCA9" w14:textId="77777777" w:rsidTr="003E3A62">
        <w:trPr>
          <w:cantSplit/>
        </w:trPr>
        <w:tc>
          <w:tcPr>
            <w:tcW w:w="5000" w:type="pct"/>
            <w:gridSpan w:val="12"/>
          </w:tcPr>
          <w:p w14:paraId="20E18115" w14:textId="77777777" w:rsidR="00834462" w:rsidRPr="005A5612" w:rsidRDefault="00834462" w:rsidP="003E3A62">
            <w:pPr>
              <w:keepNext/>
              <w:keepLines/>
              <w:numPr>
                <w:ilvl w:val="12"/>
                <w:numId w:val="0"/>
              </w:numPr>
              <w:ind w:right="-2"/>
              <w:jc w:val="center"/>
              <w:rPr>
                <w:sz w:val="18"/>
                <w:szCs w:val="18"/>
              </w:rPr>
            </w:pPr>
            <w:r w:rsidRPr="005A5612">
              <w:rPr>
                <w:b/>
                <w:bCs/>
                <w:sz w:val="18"/>
                <w:szCs w:val="18"/>
                <w:lang w:val="es-ES_tradnl"/>
              </w:rPr>
              <w:t>ACR 20</w:t>
            </w:r>
          </w:p>
        </w:tc>
      </w:tr>
      <w:tr w:rsidR="00834462" w:rsidRPr="005A5612" w14:paraId="43FD607B" w14:textId="77777777" w:rsidTr="003E3A62">
        <w:trPr>
          <w:cantSplit/>
        </w:trPr>
        <w:tc>
          <w:tcPr>
            <w:tcW w:w="432" w:type="pct"/>
            <w:tcBorders>
              <w:right w:val="single" w:sz="4" w:space="0" w:color="auto"/>
            </w:tcBorders>
          </w:tcPr>
          <w:p w14:paraId="59B5348D"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24</w:t>
            </w:r>
          </w:p>
        </w:tc>
        <w:tc>
          <w:tcPr>
            <w:tcW w:w="443" w:type="pct"/>
            <w:tcBorders>
              <w:left w:val="single" w:sz="4" w:space="0" w:color="auto"/>
              <w:right w:val="single" w:sz="4" w:space="0" w:color="auto"/>
            </w:tcBorders>
          </w:tcPr>
          <w:p w14:paraId="17ADF82A"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70 %***</w:t>
            </w:r>
          </w:p>
        </w:tc>
        <w:tc>
          <w:tcPr>
            <w:tcW w:w="344" w:type="pct"/>
            <w:tcBorders>
              <w:left w:val="single" w:sz="4" w:space="0" w:color="auto"/>
              <w:right w:val="single" w:sz="4" w:space="0" w:color="auto"/>
            </w:tcBorders>
          </w:tcPr>
          <w:p w14:paraId="08162F2A"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52 %</w:t>
            </w:r>
          </w:p>
        </w:tc>
        <w:tc>
          <w:tcPr>
            <w:tcW w:w="469" w:type="pct"/>
            <w:tcBorders>
              <w:left w:val="single" w:sz="4" w:space="0" w:color="auto"/>
              <w:right w:val="single" w:sz="4" w:space="0" w:color="auto"/>
            </w:tcBorders>
          </w:tcPr>
          <w:p w14:paraId="561C11CF"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56 %***</w:t>
            </w:r>
          </w:p>
        </w:tc>
        <w:tc>
          <w:tcPr>
            <w:tcW w:w="469" w:type="pct"/>
            <w:tcBorders>
              <w:left w:val="single" w:sz="4" w:space="0" w:color="auto"/>
              <w:right w:val="single" w:sz="4" w:space="0" w:color="auto"/>
            </w:tcBorders>
          </w:tcPr>
          <w:p w14:paraId="0DE40AD8"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27 %</w:t>
            </w:r>
          </w:p>
        </w:tc>
        <w:tc>
          <w:tcPr>
            <w:tcW w:w="469" w:type="pct"/>
            <w:tcBorders>
              <w:left w:val="single" w:sz="4" w:space="0" w:color="auto"/>
              <w:right w:val="single" w:sz="4" w:space="0" w:color="auto"/>
            </w:tcBorders>
          </w:tcPr>
          <w:p w14:paraId="0080AF61"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59 %***</w:t>
            </w:r>
          </w:p>
        </w:tc>
        <w:tc>
          <w:tcPr>
            <w:tcW w:w="469" w:type="pct"/>
            <w:tcBorders>
              <w:left w:val="single" w:sz="4" w:space="0" w:color="auto"/>
            </w:tcBorders>
          </w:tcPr>
          <w:p w14:paraId="63D4C479"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26 %</w:t>
            </w:r>
          </w:p>
        </w:tc>
        <w:tc>
          <w:tcPr>
            <w:tcW w:w="516" w:type="pct"/>
            <w:tcBorders>
              <w:left w:val="nil"/>
            </w:tcBorders>
          </w:tcPr>
          <w:p w14:paraId="7482448D"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61 %***</w:t>
            </w:r>
          </w:p>
        </w:tc>
        <w:tc>
          <w:tcPr>
            <w:tcW w:w="516" w:type="pct"/>
            <w:gridSpan w:val="2"/>
            <w:tcBorders>
              <w:left w:val="nil"/>
            </w:tcBorders>
          </w:tcPr>
          <w:p w14:paraId="448CBE6C"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24 %</w:t>
            </w:r>
          </w:p>
        </w:tc>
        <w:tc>
          <w:tcPr>
            <w:tcW w:w="469" w:type="pct"/>
            <w:tcBorders>
              <w:left w:val="nil"/>
            </w:tcBorders>
          </w:tcPr>
          <w:p w14:paraId="66720FF8"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50 %***</w:t>
            </w:r>
          </w:p>
        </w:tc>
        <w:tc>
          <w:tcPr>
            <w:tcW w:w="406" w:type="pct"/>
            <w:tcBorders>
              <w:left w:val="nil"/>
            </w:tcBorders>
          </w:tcPr>
          <w:p w14:paraId="40DB9C06"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10 %</w:t>
            </w:r>
          </w:p>
        </w:tc>
      </w:tr>
      <w:tr w:rsidR="00834462" w:rsidRPr="005A5612" w14:paraId="08740081" w14:textId="77777777" w:rsidTr="003E3A62">
        <w:trPr>
          <w:cantSplit/>
        </w:trPr>
        <w:tc>
          <w:tcPr>
            <w:tcW w:w="432" w:type="pct"/>
            <w:tcBorders>
              <w:right w:val="single" w:sz="4" w:space="0" w:color="auto"/>
            </w:tcBorders>
          </w:tcPr>
          <w:p w14:paraId="6A6B2167"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52</w:t>
            </w:r>
          </w:p>
        </w:tc>
        <w:tc>
          <w:tcPr>
            <w:tcW w:w="443" w:type="pct"/>
            <w:tcBorders>
              <w:left w:val="single" w:sz="4" w:space="0" w:color="auto"/>
              <w:right w:val="single" w:sz="4" w:space="0" w:color="auto"/>
            </w:tcBorders>
          </w:tcPr>
          <w:p w14:paraId="2AED5AA4" w14:textId="77777777" w:rsidR="00834462" w:rsidRPr="005A5612" w:rsidRDefault="00834462" w:rsidP="003E3A62">
            <w:pPr>
              <w:keepNext/>
              <w:keepLines/>
              <w:numPr>
                <w:ilvl w:val="12"/>
                <w:numId w:val="0"/>
              </w:numPr>
              <w:ind w:right="-2"/>
              <w:jc w:val="center"/>
              <w:rPr>
                <w:sz w:val="18"/>
                <w:szCs w:val="18"/>
                <w:lang w:val="en-GB"/>
              </w:rPr>
            </w:pPr>
          </w:p>
        </w:tc>
        <w:tc>
          <w:tcPr>
            <w:tcW w:w="344" w:type="pct"/>
            <w:tcBorders>
              <w:left w:val="single" w:sz="4" w:space="0" w:color="auto"/>
              <w:right w:val="single" w:sz="4" w:space="0" w:color="auto"/>
            </w:tcBorders>
          </w:tcPr>
          <w:p w14:paraId="6EBB0078" w14:textId="77777777" w:rsidR="00834462" w:rsidRPr="005A5612" w:rsidRDefault="00834462" w:rsidP="003E3A62">
            <w:pPr>
              <w:keepNext/>
              <w:keepLines/>
              <w:numPr>
                <w:ilvl w:val="12"/>
                <w:numId w:val="0"/>
              </w:numPr>
              <w:ind w:right="-2"/>
              <w:jc w:val="center"/>
              <w:rPr>
                <w:sz w:val="18"/>
                <w:szCs w:val="18"/>
                <w:lang w:val="en-GB"/>
              </w:rPr>
            </w:pPr>
          </w:p>
        </w:tc>
        <w:tc>
          <w:tcPr>
            <w:tcW w:w="469" w:type="pct"/>
            <w:tcBorders>
              <w:left w:val="single" w:sz="4" w:space="0" w:color="auto"/>
              <w:right w:val="single" w:sz="4" w:space="0" w:color="auto"/>
            </w:tcBorders>
          </w:tcPr>
          <w:p w14:paraId="170DF2F5"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56 %***</w:t>
            </w:r>
          </w:p>
        </w:tc>
        <w:tc>
          <w:tcPr>
            <w:tcW w:w="469" w:type="pct"/>
            <w:tcBorders>
              <w:left w:val="single" w:sz="4" w:space="0" w:color="auto"/>
              <w:right w:val="single" w:sz="4" w:space="0" w:color="auto"/>
            </w:tcBorders>
          </w:tcPr>
          <w:p w14:paraId="0D2E621F"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25 %</w:t>
            </w:r>
          </w:p>
        </w:tc>
        <w:tc>
          <w:tcPr>
            <w:tcW w:w="469" w:type="pct"/>
            <w:tcBorders>
              <w:left w:val="single" w:sz="4" w:space="0" w:color="auto"/>
              <w:right w:val="single" w:sz="4" w:space="0" w:color="auto"/>
            </w:tcBorders>
          </w:tcPr>
          <w:p w14:paraId="4776ECD1" w14:textId="77777777" w:rsidR="00834462" w:rsidRPr="005A5612" w:rsidRDefault="00834462" w:rsidP="003E3A62">
            <w:pPr>
              <w:keepNext/>
              <w:keepLines/>
              <w:numPr>
                <w:ilvl w:val="12"/>
                <w:numId w:val="0"/>
              </w:numPr>
              <w:ind w:right="-2"/>
              <w:jc w:val="center"/>
              <w:rPr>
                <w:sz w:val="18"/>
                <w:szCs w:val="18"/>
                <w:lang w:val="en-GB"/>
              </w:rPr>
            </w:pPr>
          </w:p>
        </w:tc>
        <w:tc>
          <w:tcPr>
            <w:tcW w:w="469" w:type="pct"/>
            <w:tcBorders>
              <w:left w:val="single" w:sz="4" w:space="0" w:color="auto"/>
            </w:tcBorders>
          </w:tcPr>
          <w:p w14:paraId="3867F88D" w14:textId="77777777" w:rsidR="00834462" w:rsidRPr="005A5612" w:rsidRDefault="00834462" w:rsidP="003E3A62">
            <w:pPr>
              <w:keepNext/>
              <w:keepLines/>
              <w:numPr>
                <w:ilvl w:val="12"/>
                <w:numId w:val="0"/>
              </w:numPr>
              <w:ind w:right="-2"/>
              <w:jc w:val="center"/>
              <w:rPr>
                <w:sz w:val="18"/>
                <w:szCs w:val="18"/>
                <w:lang w:val="en-GB"/>
              </w:rPr>
            </w:pPr>
          </w:p>
        </w:tc>
        <w:tc>
          <w:tcPr>
            <w:tcW w:w="516" w:type="pct"/>
            <w:tcBorders>
              <w:left w:val="nil"/>
            </w:tcBorders>
          </w:tcPr>
          <w:p w14:paraId="07B6FEE9" w14:textId="77777777" w:rsidR="00834462" w:rsidRPr="005A5612" w:rsidRDefault="00834462" w:rsidP="003E3A62">
            <w:pPr>
              <w:keepNext/>
              <w:keepLines/>
              <w:numPr>
                <w:ilvl w:val="12"/>
                <w:numId w:val="0"/>
              </w:numPr>
              <w:ind w:right="-2"/>
              <w:jc w:val="center"/>
              <w:rPr>
                <w:sz w:val="18"/>
                <w:szCs w:val="18"/>
                <w:lang w:val="en-GB"/>
              </w:rPr>
            </w:pPr>
          </w:p>
        </w:tc>
        <w:tc>
          <w:tcPr>
            <w:tcW w:w="516" w:type="pct"/>
            <w:gridSpan w:val="2"/>
            <w:tcBorders>
              <w:left w:val="nil"/>
            </w:tcBorders>
          </w:tcPr>
          <w:p w14:paraId="125DE147" w14:textId="77777777" w:rsidR="00834462" w:rsidRPr="005A5612" w:rsidRDefault="00834462" w:rsidP="003E3A62">
            <w:pPr>
              <w:keepNext/>
              <w:keepLines/>
              <w:numPr>
                <w:ilvl w:val="12"/>
                <w:numId w:val="0"/>
              </w:numPr>
              <w:ind w:right="-2"/>
              <w:jc w:val="center"/>
              <w:rPr>
                <w:sz w:val="18"/>
                <w:szCs w:val="18"/>
                <w:lang w:val="en-GB"/>
              </w:rPr>
            </w:pPr>
          </w:p>
        </w:tc>
        <w:tc>
          <w:tcPr>
            <w:tcW w:w="469" w:type="pct"/>
            <w:tcBorders>
              <w:left w:val="nil"/>
            </w:tcBorders>
          </w:tcPr>
          <w:p w14:paraId="36980FD9" w14:textId="77777777" w:rsidR="00834462" w:rsidRPr="005A5612" w:rsidRDefault="00834462" w:rsidP="003E3A62">
            <w:pPr>
              <w:keepNext/>
              <w:keepLines/>
              <w:numPr>
                <w:ilvl w:val="12"/>
                <w:numId w:val="0"/>
              </w:numPr>
              <w:ind w:right="-2"/>
              <w:jc w:val="center"/>
              <w:rPr>
                <w:sz w:val="18"/>
                <w:szCs w:val="18"/>
                <w:lang w:val="en-GB"/>
              </w:rPr>
            </w:pPr>
          </w:p>
        </w:tc>
        <w:tc>
          <w:tcPr>
            <w:tcW w:w="406" w:type="pct"/>
            <w:tcBorders>
              <w:left w:val="nil"/>
            </w:tcBorders>
          </w:tcPr>
          <w:p w14:paraId="02A4D45F" w14:textId="77777777" w:rsidR="00834462" w:rsidRPr="005A5612" w:rsidRDefault="00834462" w:rsidP="003E3A62">
            <w:pPr>
              <w:keepNext/>
              <w:keepLines/>
              <w:numPr>
                <w:ilvl w:val="12"/>
                <w:numId w:val="0"/>
              </w:numPr>
              <w:ind w:right="-2"/>
              <w:jc w:val="center"/>
              <w:rPr>
                <w:sz w:val="18"/>
                <w:szCs w:val="18"/>
                <w:lang w:val="en-GB"/>
              </w:rPr>
            </w:pPr>
          </w:p>
        </w:tc>
      </w:tr>
      <w:tr w:rsidR="00834462" w:rsidRPr="005A5612" w14:paraId="7EB31240" w14:textId="77777777" w:rsidTr="003E3A62">
        <w:trPr>
          <w:cantSplit/>
        </w:trPr>
        <w:tc>
          <w:tcPr>
            <w:tcW w:w="5000" w:type="pct"/>
            <w:gridSpan w:val="12"/>
          </w:tcPr>
          <w:p w14:paraId="65440CFC" w14:textId="77777777" w:rsidR="00834462" w:rsidRPr="005A5612" w:rsidRDefault="00834462" w:rsidP="003E3A62">
            <w:pPr>
              <w:keepNext/>
              <w:keepLines/>
              <w:numPr>
                <w:ilvl w:val="12"/>
                <w:numId w:val="0"/>
              </w:numPr>
              <w:jc w:val="center"/>
              <w:rPr>
                <w:sz w:val="18"/>
                <w:szCs w:val="18"/>
              </w:rPr>
            </w:pPr>
            <w:r w:rsidRPr="005A5612">
              <w:rPr>
                <w:b/>
                <w:bCs/>
                <w:sz w:val="18"/>
                <w:szCs w:val="18"/>
                <w:lang w:val="es-ES_tradnl"/>
              </w:rPr>
              <w:t>ACR 50</w:t>
            </w:r>
          </w:p>
        </w:tc>
      </w:tr>
      <w:tr w:rsidR="00834462" w:rsidRPr="005A5612" w14:paraId="31209852" w14:textId="77777777" w:rsidTr="003E3A62">
        <w:trPr>
          <w:cantSplit/>
        </w:trPr>
        <w:tc>
          <w:tcPr>
            <w:tcW w:w="432" w:type="pct"/>
            <w:tcBorders>
              <w:right w:val="single" w:sz="4" w:space="0" w:color="auto"/>
            </w:tcBorders>
          </w:tcPr>
          <w:p w14:paraId="36D015B1"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24</w:t>
            </w:r>
          </w:p>
        </w:tc>
        <w:tc>
          <w:tcPr>
            <w:tcW w:w="443" w:type="pct"/>
            <w:tcBorders>
              <w:left w:val="single" w:sz="4" w:space="0" w:color="auto"/>
              <w:right w:val="single" w:sz="4" w:space="0" w:color="auto"/>
            </w:tcBorders>
          </w:tcPr>
          <w:p w14:paraId="67DCE544"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44 %**</w:t>
            </w:r>
          </w:p>
        </w:tc>
        <w:tc>
          <w:tcPr>
            <w:tcW w:w="344" w:type="pct"/>
            <w:tcBorders>
              <w:left w:val="single" w:sz="4" w:space="0" w:color="auto"/>
              <w:right w:val="single" w:sz="4" w:space="0" w:color="auto"/>
            </w:tcBorders>
          </w:tcPr>
          <w:p w14:paraId="205443DD"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33 %</w:t>
            </w:r>
          </w:p>
        </w:tc>
        <w:tc>
          <w:tcPr>
            <w:tcW w:w="469" w:type="pct"/>
            <w:tcBorders>
              <w:left w:val="single" w:sz="4" w:space="0" w:color="auto"/>
              <w:right w:val="single" w:sz="4" w:space="0" w:color="auto"/>
            </w:tcBorders>
          </w:tcPr>
          <w:p w14:paraId="5BBC26D0"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32 %***</w:t>
            </w:r>
          </w:p>
        </w:tc>
        <w:tc>
          <w:tcPr>
            <w:tcW w:w="469" w:type="pct"/>
            <w:tcBorders>
              <w:left w:val="single" w:sz="4" w:space="0" w:color="auto"/>
              <w:right w:val="single" w:sz="4" w:space="0" w:color="auto"/>
            </w:tcBorders>
          </w:tcPr>
          <w:p w14:paraId="5C29D5DF"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10 %</w:t>
            </w:r>
          </w:p>
        </w:tc>
        <w:tc>
          <w:tcPr>
            <w:tcW w:w="469" w:type="pct"/>
            <w:tcBorders>
              <w:left w:val="single" w:sz="4" w:space="0" w:color="auto"/>
              <w:right w:val="single" w:sz="4" w:space="0" w:color="auto"/>
            </w:tcBorders>
          </w:tcPr>
          <w:p w14:paraId="4BFEC3D2"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44 %***</w:t>
            </w:r>
          </w:p>
        </w:tc>
        <w:tc>
          <w:tcPr>
            <w:tcW w:w="469" w:type="pct"/>
            <w:tcBorders>
              <w:left w:val="single" w:sz="4" w:space="0" w:color="auto"/>
            </w:tcBorders>
          </w:tcPr>
          <w:p w14:paraId="07AB3A24"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11 %</w:t>
            </w:r>
          </w:p>
        </w:tc>
        <w:tc>
          <w:tcPr>
            <w:tcW w:w="516" w:type="pct"/>
            <w:tcBorders>
              <w:left w:val="nil"/>
            </w:tcBorders>
          </w:tcPr>
          <w:p w14:paraId="4EE22B4D"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38 %***</w:t>
            </w:r>
          </w:p>
        </w:tc>
        <w:tc>
          <w:tcPr>
            <w:tcW w:w="510" w:type="pct"/>
            <w:tcBorders>
              <w:left w:val="nil"/>
            </w:tcBorders>
          </w:tcPr>
          <w:p w14:paraId="55A419F7"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9 %</w:t>
            </w:r>
          </w:p>
        </w:tc>
        <w:tc>
          <w:tcPr>
            <w:tcW w:w="474" w:type="pct"/>
            <w:gridSpan w:val="2"/>
            <w:tcBorders>
              <w:left w:val="nil"/>
            </w:tcBorders>
          </w:tcPr>
          <w:p w14:paraId="1384EF47"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29 %***</w:t>
            </w:r>
          </w:p>
        </w:tc>
        <w:tc>
          <w:tcPr>
            <w:tcW w:w="406" w:type="pct"/>
            <w:tcBorders>
              <w:left w:val="nil"/>
            </w:tcBorders>
          </w:tcPr>
          <w:p w14:paraId="6DDC2266"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4 %</w:t>
            </w:r>
          </w:p>
        </w:tc>
      </w:tr>
      <w:tr w:rsidR="00834462" w:rsidRPr="005A5612" w14:paraId="121AD92E" w14:textId="77777777" w:rsidTr="003E3A62">
        <w:trPr>
          <w:cantSplit/>
        </w:trPr>
        <w:tc>
          <w:tcPr>
            <w:tcW w:w="432" w:type="pct"/>
            <w:tcBorders>
              <w:right w:val="single" w:sz="4" w:space="0" w:color="auto"/>
            </w:tcBorders>
          </w:tcPr>
          <w:p w14:paraId="4A803F9B"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52</w:t>
            </w:r>
          </w:p>
        </w:tc>
        <w:tc>
          <w:tcPr>
            <w:tcW w:w="443" w:type="pct"/>
            <w:tcBorders>
              <w:left w:val="single" w:sz="4" w:space="0" w:color="auto"/>
              <w:right w:val="single" w:sz="4" w:space="0" w:color="auto"/>
            </w:tcBorders>
          </w:tcPr>
          <w:p w14:paraId="3514F187" w14:textId="77777777" w:rsidR="00834462" w:rsidRPr="005A5612" w:rsidRDefault="00834462" w:rsidP="003E3A62">
            <w:pPr>
              <w:keepNext/>
              <w:keepLines/>
              <w:numPr>
                <w:ilvl w:val="12"/>
                <w:numId w:val="0"/>
              </w:numPr>
              <w:ind w:right="-2"/>
              <w:jc w:val="center"/>
              <w:rPr>
                <w:sz w:val="18"/>
                <w:szCs w:val="18"/>
                <w:lang w:val="en-GB"/>
              </w:rPr>
            </w:pPr>
          </w:p>
        </w:tc>
        <w:tc>
          <w:tcPr>
            <w:tcW w:w="344" w:type="pct"/>
            <w:tcBorders>
              <w:left w:val="single" w:sz="4" w:space="0" w:color="auto"/>
              <w:right w:val="single" w:sz="4" w:space="0" w:color="auto"/>
            </w:tcBorders>
          </w:tcPr>
          <w:p w14:paraId="7F82A82C" w14:textId="77777777" w:rsidR="00834462" w:rsidRPr="005A5612" w:rsidRDefault="00834462" w:rsidP="003E3A62">
            <w:pPr>
              <w:keepNext/>
              <w:keepLines/>
              <w:numPr>
                <w:ilvl w:val="12"/>
                <w:numId w:val="0"/>
              </w:numPr>
              <w:ind w:right="-2"/>
              <w:jc w:val="center"/>
              <w:rPr>
                <w:sz w:val="18"/>
                <w:szCs w:val="18"/>
                <w:lang w:val="en-GB"/>
              </w:rPr>
            </w:pPr>
          </w:p>
        </w:tc>
        <w:tc>
          <w:tcPr>
            <w:tcW w:w="469" w:type="pct"/>
            <w:tcBorders>
              <w:left w:val="single" w:sz="4" w:space="0" w:color="auto"/>
              <w:right w:val="single" w:sz="4" w:space="0" w:color="auto"/>
            </w:tcBorders>
          </w:tcPr>
          <w:p w14:paraId="527AA1E9"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36 %***</w:t>
            </w:r>
          </w:p>
        </w:tc>
        <w:tc>
          <w:tcPr>
            <w:tcW w:w="469" w:type="pct"/>
            <w:tcBorders>
              <w:left w:val="single" w:sz="4" w:space="0" w:color="auto"/>
              <w:right w:val="single" w:sz="4" w:space="0" w:color="auto"/>
            </w:tcBorders>
          </w:tcPr>
          <w:p w14:paraId="45A24049" w14:textId="77777777" w:rsidR="00834462" w:rsidRPr="005A5612" w:rsidRDefault="00834462" w:rsidP="003E3A62">
            <w:pPr>
              <w:keepNext/>
              <w:keepLines/>
              <w:numPr>
                <w:ilvl w:val="12"/>
                <w:numId w:val="0"/>
              </w:numPr>
              <w:ind w:right="-2"/>
              <w:jc w:val="center"/>
              <w:rPr>
                <w:sz w:val="18"/>
                <w:szCs w:val="18"/>
                <w:lang w:val="en-GB"/>
              </w:rPr>
            </w:pPr>
            <w:r w:rsidRPr="005A5612">
              <w:rPr>
                <w:sz w:val="18"/>
                <w:szCs w:val="18"/>
                <w:lang w:val="en-GB"/>
              </w:rPr>
              <w:t>10 %</w:t>
            </w:r>
          </w:p>
        </w:tc>
        <w:tc>
          <w:tcPr>
            <w:tcW w:w="469" w:type="pct"/>
            <w:tcBorders>
              <w:left w:val="single" w:sz="4" w:space="0" w:color="auto"/>
              <w:right w:val="single" w:sz="4" w:space="0" w:color="auto"/>
            </w:tcBorders>
          </w:tcPr>
          <w:p w14:paraId="7C8905C9" w14:textId="77777777" w:rsidR="00834462" w:rsidRPr="005A5612" w:rsidRDefault="00834462" w:rsidP="003E3A62">
            <w:pPr>
              <w:keepNext/>
              <w:keepLines/>
              <w:numPr>
                <w:ilvl w:val="12"/>
                <w:numId w:val="0"/>
              </w:numPr>
              <w:ind w:right="-2"/>
              <w:jc w:val="center"/>
              <w:rPr>
                <w:sz w:val="18"/>
                <w:szCs w:val="18"/>
                <w:lang w:val="en-GB"/>
              </w:rPr>
            </w:pPr>
          </w:p>
        </w:tc>
        <w:tc>
          <w:tcPr>
            <w:tcW w:w="469" w:type="pct"/>
            <w:tcBorders>
              <w:left w:val="single" w:sz="4" w:space="0" w:color="auto"/>
            </w:tcBorders>
          </w:tcPr>
          <w:p w14:paraId="2FAFE4FC" w14:textId="77777777" w:rsidR="00834462" w:rsidRPr="005A5612" w:rsidRDefault="00834462" w:rsidP="003E3A62">
            <w:pPr>
              <w:keepNext/>
              <w:keepLines/>
              <w:numPr>
                <w:ilvl w:val="12"/>
                <w:numId w:val="0"/>
              </w:numPr>
              <w:ind w:right="-2"/>
              <w:jc w:val="center"/>
              <w:rPr>
                <w:sz w:val="18"/>
                <w:szCs w:val="18"/>
                <w:lang w:val="en-GB"/>
              </w:rPr>
            </w:pPr>
          </w:p>
        </w:tc>
        <w:tc>
          <w:tcPr>
            <w:tcW w:w="516" w:type="pct"/>
            <w:tcBorders>
              <w:left w:val="nil"/>
            </w:tcBorders>
          </w:tcPr>
          <w:p w14:paraId="09F05FDB" w14:textId="77777777" w:rsidR="00834462" w:rsidRPr="005A5612" w:rsidRDefault="00834462" w:rsidP="003E3A62">
            <w:pPr>
              <w:keepNext/>
              <w:keepLines/>
              <w:numPr>
                <w:ilvl w:val="12"/>
                <w:numId w:val="0"/>
              </w:numPr>
              <w:ind w:right="-2"/>
              <w:jc w:val="center"/>
              <w:rPr>
                <w:sz w:val="18"/>
                <w:szCs w:val="18"/>
                <w:lang w:val="en-GB"/>
              </w:rPr>
            </w:pPr>
          </w:p>
        </w:tc>
        <w:tc>
          <w:tcPr>
            <w:tcW w:w="510" w:type="pct"/>
            <w:tcBorders>
              <w:left w:val="nil"/>
            </w:tcBorders>
          </w:tcPr>
          <w:p w14:paraId="659A12E6" w14:textId="77777777" w:rsidR="00834462" w:rsidRPr="005A5612" w:rsidRDefault="00834462" w:rsidP="003E3A62">
            <w:pPr>
              <w:keepNext/>
              <w:keepLines/>
              <w:numPr>
                <w:ilvl w:val="12"/>
                <w:numId w:val="0"/>
              </w:numPr>
              <w:ind w:right="-2"/>
              <w:jc w:val="center"/>
              <w:rPr>
                <w:sz w:val="18"/>
                <w:szCs w:val="18"/>
                <w:lang w:val="en-GB"/>
              </w:rPr>
            </w:pPr>
          </w:p>
        </w:tc>
        <w:tc>
          <w:tcPr>
            <w:tcW w:w="474" w:type="pct"/>
            <w:gridSpan w:val="2"/>
            <w:tcBorders>
              <w:left w:val="nil"/>
            </w:tcBorders>
          </w:tcPr>
          <w:p w14:paraId="62D3E030" w14:textId="77777777" w:rsidR="00834462" w:rsidRPr="005A5612" w:rsidRDefault="00834462" w:rsidP="003E3A62">
            <w:pPr>
              <w:keepNext/>
              <w:keepLines/>
              <w:numPr>
                <w:ilvl w:val="12"/>
                <w:numId w:val="0"/>
              </w:numPr>
              <w:ind w:right="-2"/>
              <w:jc w:val="center"/>
              <w:rPr>
                <w:sz w:val="18"/>
                <w:szCs w:val="18"/>
                <w:lang w:val="en-GB"/>
              </w:rPr>
            </w:pPr>
          </w:p>
        </w:tc>
        <w:tc>
          <w:tcPr>
            <w:tcW w:w="406" w:type="pct"/>
            <w:tcBorders>
              <w:left w:val="nil"/>
            </w:tcBorders>
          </w:tcPr>
          <w:p w14:paraId="754C7B15" w14:textId="77777777" w:rsidR="00834462" w:rsidRPr="005A5612" w:rsidRDefault="00834462" w:rsidP="003E3A62">
            <w:pPr>
              <w:keepNext/>
              <w:keepLines/>
              <w:numPr>
                <w:ilvl w:val="12"/>
                <w:numId w:val="0"/>
              </w:numPr>
              <w:ind w:right="-2"/>
              <w:jc w:val="center"/>
              <w:rPr>
                <w:sz w:val="18"/>
                <w:szCs w:val="18"/>
                <w:lang w:val="en-GB"/>
              </w:rPr>
            </w:pPr>
          </w:p>
        </w:tc>
      </w:tr>
      <w:tr w:rsidR="00834462" w:rsidRPr="005A5612" w14:paraId="4BE8C6A4" w14:textId="77777777" w:rsidTr="003E3A62">
        <w:trPr>
          <w:cantSplit/>
        </w:trPr>
        <w:tc>
          <w:tcPr>
            <w:tcW w:w="5000" w:type="pct"/>
            <w:gridSpan w:val="12"/>
          </w:tcPr>
          <w:p w14:paraId="2B0A79A0" w14:textId="77777777" w:rsidR="00834462" w:rsidRPr="005A5612" w:rsidRDefault="00834462" w:rsidP="003E3A62">
            <w:pPr>
              <w:keepNext/>
              <w:numPr>
                <w:ilvl w:val="12"/>
                <w:numId w:val="0"/>
              </w:numPr>
              <w:ind w:right="-2"/>
              <w:jc w:val="center"/>
              <w:rPr>
                <w:sz w:val="18"/>
                <w:szCs w:val="18"/>
              </w:rPr>
            </w:pPr>
            <w:r w:rsidRPr="005A5612">
              <w:rPr>
                <w:b/>
                <w:bCs/>
                <w:sz w:val="18"/>
                <w:szCs w:val="18"/>
                <w:lang w:val="es-ES_tradnl"/>
              </w:rPr>
              <w:t>ACR 70</w:t>
            </w:r>
          </w:p>
        </w:tc>
      </w:tr>
      <w:tr w:rsidR="00834462" w:rsidRPr="005A5612" w14:paraId="339B504F" w14:textId="77777777" w:rsidTr="003E3A62">
        <w:trPr>
          <w:cantSplit/>
        </w:trPr>
        <w:tc>
          <w:tcPr>
            <w:tcW w:w="432" w:type="pct"/>
            <w:tcBorders>
              <w:right w:val="single" w:sz="4" w:space="0" w:color="auto"/>
            </w:tcBorders>
          </w:tcPr>
          <w:p w14:paraId="3C196169"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24</w:t>
            </w:r>
          </w:p>
        </w:tc>
        <w:tc>
          <w:tcPr>
            <w:tcW w:w="443" w:type="pct"/>
            <w:tcBorders>
              <w:left w:val="single" w:sz="4" w:space="0" w:color="auto"/>
              <w:right w:val="single" w:sz="4" w:space="0" w:color="auto"/>
            </w:tcBorders>
          </w:tcPr>
          <w:p w14:paraId="34BADF33"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28 %**</w:t>
            </w:r>
          </w:p>
        </w:tc>
        <w:tc>
          <w:tcPr>
            <w:tcW w:w="344" w:type="pct"/>
            <w:tcBorders>
              <w:left w:val="single" w:sz="4" w:space="0" w:color="auto"/>
              <w:right w:val="single" w:sz="4" w:space="0" w:color="auto"/>
            </w:tcBorders>
          </w:tcPr>
          <w:p w14:paraId="00116A25"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15 %</w:t>
            </w:r>
          </w:p>
        </w:tc>
        <w:tc>
          <w:tcPr>
            <w:tcW w:w="469" w:type="pct"/>
            <w:tcBorders>
              <w:left w:val="single" w:sz="4" w:space="0" w:color="auto"/>
              <w:right w:val="single" w:sz="4" w:space="0" w:color="auto"/>
            </w:tcBorders>
          </w:tcPr>
          <w:p w14:paraId="3721ACEA"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13 %***</w:t>
            </w:r>
          </w:p>
        </w:tc>
        <w:tc>
          <w:tcPr>
            <w:tcW w:w="469" w:type="pct"/>
            <w:tcBorders>
              <w:left w:val="single" w:sz="4" w:space="0" w:color="auto"/>
              <w:right w:val="single" w:sz="4" w:space="0" w:color="auto"/>
            </w:tcBorders>
          </w:tcPr>
          <w:p w14:paraId="21F34B94"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2 %</w:t>
            </w:r>
          </w:p>
        </w:tc>
        <w:tc>
          <w:tcPr>
            <w:tcW w:w="469" w:type="pct"/>
            <w:tcBorders>
              <w:left w:val="single" w:sz="4" w:space="0" w:color="auto"/>
              <w:right w:val="single" w:sz="4" w:space="0" w:color="auto"/>
            </w:tcBorders>
          </w:tcPr>
          <w:p w14:paraId="0DA72138"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22 %***</w:t>
            </w:r>
          </w:p>
        </w:tc>
        <w:tc>
          <w:tcPr>
            <w:tcW w:w="469" w:type="pct"/>
            <w:tcBorders>
              <w:left w:val="single" w:sz="4" w:space="0" w:color="auto"/>
            </w:tcBorders>
          </w:tcPr>
          <w:p w14:paraId="5FB21A83"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2 %</w:t>
            </w:r>
          </w:p>
        </w:tc>
        <w:tc>
          <w:tcPr>
            <w:tcW w:w="516" w:type="pct"/>
            <w:tcBorders>
              <w:left w:val="nil"/>
            </w:tcBorders>
          </w:tcPr>
          <w:p w14:paraId="4EB00422"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21 %***</w:t>
            </w:r>
          </w:p>
        </w:tc>
        <w:tc>
          <w:tcPr>
            <w:tcW w:w="516" w:type="pct"/>
            <w:gridSpan w:val="2"/>
            <w:tcBorders>
              <w:left w:val="nil"/>
            </w:tcBorders>
          </w:tcPr>
          <w:p w14:paraId="519B5F72"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3 %</w:t>
            </w:r>
          </w:p>
        </w:tc>
        <w:tc>
          <w:tcPr>
            <w:tcW w:w="469" w:type="pct"/>
            <w:tcBorders>
              <w:left w:val="nil"/>
            </w:tcBorders>
          </w:tcPr>
          <w:p w14:paraId="50A9831C"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12 %**</w:t>
            </w:r>
          </w:p>
        </w:tc>
        <w:tc>
          <w:tcPr>
            <w:tcW w:w="406" w:type="pct"/>
            <w:tcBorders>
              <w:left w:val="nil"/>
            </w:tcBorders>
          </w:tcPr>
          <w:p w14:paraId="1217BC31"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1 %</w:t>
            </w:r>
          </w:p>
        </w:tc>
      </w:tr>
      <w:tr w:rsidR="00834462" w:rsidRPr="005A5612" w14:paraId="21E083F7" w14:textId="77777777" w:rsidTr="003E3A62">
        <w:trPr>
          <w:cantSplit/>
        </w:trPr>
        <w:tc>
          <w:tcPr>
            <w:tcW w:w="432" w:type="pct"/>
          </w:tcPr>
          <w:p w14:paraId="6864BC7D"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52</w:t>
            </w:r>
          </w:p>
        </w:tc>
        <w:tc>
          <w:tcPr>
            <w:tcW w:w="443" w:type="pct"/>
            <w:tcBorders>
              <w:right w:val="nil"/>
            </w:tcBorders>
          </w:tcPr>
          <w:p w14:paraId="7BA006C9" w14:textId="77777777" w:rsidR="00834462" w:rsidRPr="005A5612" w:rsidRDefault="00834462" w:rsidP="003E3A62">
            <w:pPr>
              <w:keepNext/>
              <w:numPr>
                <w:ilvl w:val="12"/>
                <w:numId w:val="0"/>
              </w:numPr>
              <w:ind w:right="-2"/>
              <w:jc w:val="center"/>
              <w:rPr>
                <w:sz w:val="18"/>
                <w:szCs w:val="18"/>
                <w:lang w:val="en-GB"/>
              </w:rPr>
            </w:pPr>
          </w:p>
        </w:tc>
        <w:tc>
          <w:tcPr>
            <w:tcW w:w="344" w:type="pct"/>
            <w:tcBorders>
              <w:left w:val="nil"/>
            </w:tcBorders>
          </w:tcPr>
          <w:p w14:paraId="45314521" w14:textId="77777777" w:rsidR="00834462" w:rsidRPr="005A5612" w:rsidRDefault="00834462" w:rsidP="003E3A62">
            <w:pPr>
              <w:keepNext/>
              <w:numPr>
                <w:ilvl w:val="12"/>
                <w:numId w:val="0"/>
              </w:numPr>
              <w:ind w:right="-2"/>
              <w:jc w:val="center"/>
              <w:rPr>
                <w:sz w:val="18"/>
                <w:szCs w:val="18"/>
                <w:lang w:val="en-GB"/>
              </w:rPr>
            </w:pPr>
          </w:p>
        </w:tc>
        <w:tc>
          <w:tcPr>
            <w:tcW w:w="469" w:type="pct"/>
            <w:tcBorders>
              <w:right w:val="nil"/>
            </w:tcBorders>
          </w:tcPr>
          <w:p w14:paraId="0E35E36D"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20 %***</w:t>
            </w:r>
          </w:p>
        </w:tc>
        <w:tc>
          <w:tcPr>
            <w:tcW w:w="469" w:type="pct"/>
            <w:tcBorders>
              <w:left w:val="nil"/>
            </w:tcBorders>
          </w:tcPr>
          <w:p w14:paraId="4462774F" w14:textId="77777777" w:rsidR="00834462" w:rsidRPr="005A5612" w:rsidRDefault="00834462" w:rsidP="003E3A62">
            <w:pPr>
              <w:keepNext/>
              <w:numPr>
                <w:ilvl w:val="12"/>
                <w:numId w:val="0"/>
              </w:numPr>
              <w:ind w:right="-2"/>
              <w:jc w:val="center"/>
              <w:rPr>
                <w:sz w:val="18"/>
                <w:szCs w:val="18"/>
                <w:lang w:val="en-GB"/>
              </w:rPr>
            </w:pPr>
            <w:r w:rsidRPr="005A5612">
              <w:rPr>
                <w:sz w:val="18"/>
                <w:szCs w:val="18"/>
                <w:lang w:val="en-GB"/>
              </w:rPr>
              <w:t>4 %</w:t>
            </w:r>
          </w:p>
        </w:tc>
        <w:tc>
          <w:tcPr>
            <w:tcW w:w="469" w:type="pct"/>
            <w:tcBorders>
              <w:right w:val="nil"/>
            </w:tcBorders>
          </w:tcPr>
          <w:p w14:paraId="1087D9B5" w14:textId="77777777" w:rsidR="00834462" w:rsidRPr="005A5612" w:rsidRDefault="00834462" w:rsidP="003E3A62">
            <w:pPr>
              <w:keepNext/>
              <w:numPr>
                <w:ilvl w:val="12"/>
                <w:numId w:val="0"/>
              </w:numPr>
              <w:ind w:right="-2"/>
              <w:jc w:val="center"/>
              <w:rPr>
                <w:sz w:val="18"/>
                <w:szCs w:val="18"/>
                <w:lang w:val="en-GB"/>
              </w:rPr>
            </w:pPr>
          </w:p>
        </w:tc>
        <w:tc>
          <w:tcPr>
            <w:tcW w:w="469" w:type="pct"/>
            <w:tcBorders>
              <w:left w:val="nil"/>
            </w:tcBorders>
          </w:tcPr>
          <w:p w14:paraId="46B7BD96" w14:textId="77777777" w:rsidR="00834462" w:rsidRPr="005A5612" w:rsidRDefault="00834462" w:rsidP="003E3A62">
            <w:pPr>
              <w:keepNext/>
              <w:numPr>
                <w:ilvl w:val="12"/>
                <w:numId w:val="0"/>
              </w:numPr>
              <w:ind w:right="-2"/>
              <w:jc w:val="center"/>
              <w:rPr>
                <w:sz w:val="18"/>
                <w:szCs w:val="18"/>
                <w:lang w:val="en-GB"/>
              </w:rPr>
            </w:pPr>
          </w:p>
        </w:tc>
        <w:tc>
          <w:tcPr>
            <w:tcW w:w="516" w:type="pct"/>
            <w:tcBorders>
              <w:left w:val="nil"/>
            </w:tcBorders>
          </w:tcPr>
          <w:p w14:paraId="11F0EC40" w14:textId="77777777" w:rsidR="00834462" w:rsidRPr="005A5612" w:rsidRDefault="00834462" w:rsidP="003E3A62">
            <w:pPr>
              <w:keepNext/>
              <w:numPr>
                <w:ilvl w:val="12"/>
                <w:numId w:val="0"/>
              </w:numPr>
              <w:ind w:right="-2"/>
              <w:jc w:val="center"/>
              <w:rPr>
                <w:sz w:val="18"/>
                <w:szCs w:val="18"/>
                <w:lang w:val="en-GB"/>
              </w:rPr>
            </w:pPr>
          </w:p>
        </w:tc>
        <w:tc>
          <w:tcPr>
            <w:tcW w:w="516" w:type="pct"/>
            <w:gridSpan w:val="2"/>
            <w:tcBorders>
              <w:left w:val="nil"/>
            </w:tcBorders>
          </w:tcPr>
          <w:p w14:paraId="62A41509" w14:textId="77777777" w:rsidR="00834462" w:rsidRPr="005A5612" w:rsidRDefault="00834462" w:rsidP="003E3A62">
            <w:pPr>
              <w:keepNext/>
              <w:numPr>
                <w:ilvl w:val="12"/>
                <w:numId w:val="0"/>
              </w:numPr>
              <w:ind w:right="-2"/>
              <w:jc w:val="center"/>
              <w:rPr>
                <w:sz w:val="18"/>
                <w:szCs w:val="18"/>
                <w:lang w:val="en-GB"/>
              </w:rPr>
            </w:pPr>
          </w:p>
        </w:tc>
        <w:tc>
          <w:tcPr>
            <w:tcW w:w="469" w:type="pct"/>
            <w:tcBorders>
              <w:left w:val="nil"/>
            </w:tcBorders>
          </w:tcPr>
          <w:p w14:paraId="4BC7E68A" w14:textId="77777777" w:rsidR="00834462" w:rsidRPr="005A5612" w:rsidRDefault="00834462" w:rsidP="003E3A62">
            <w:pPr>
              <w:keepNext/>
              <w:numPr>
                <w:ilvl w:val="12"/>
                <w:numId w:val="0"/>
              </w:numPr>
              <w:ind w:right="-2"/>
              <w:jc w:val="center"/>
              <w:rPr>
                <w:sz w:val="18"/>
                <w:szCs w:val="18"/>
                <w:lang w:val="en-GB"/>
              </w:rPr>
            </w:pPr>
          </w:p>
        </w:tc>
        <w:tc>
          <w:tcPr>
            <w:tcW w:w="406" w:type="pct"/>
            <w:tcBorders>
              <w:left w:val="nil"/>
            </w:tcBorders>
          </w:tcPr>
          <w:p w14:paraId="4EE42807" w14:textId="77777777" w:rsidR="00834462" w:rsidRPr="005A5612" w:rsidRDefault="00834462" w:rsidP="003E3A62">
            <w:pPr>
              <w:keepNext/>
              <w:numPr>
                <w:ilvl w:val="12"/>
                <w:numId w:val="0"/>
              </w:numPr>
              <w:ind w:right="-2"/>
              <w:jc w:val="center"/>
              <w:rPr>
                <w:sz w:val="18"/>
                <w:szCs w:val="18"/>
                <w:lang w:val="en-GB"/>
              </w:rPr>
            </w:pPr>
          </w:p>
        </w:tc>
      </w:tr>
    </w:tbl>
    <w:p w14:paraId="3D335207" w14:textId="77777777" w:rsidR="00834462" w:rsidRPr="00286CDE" w:rsidRDefault="00834462" w:rsidP="00834462">
      <w:pPr>
        <w:keepNext/>
        <w:numPr>
          <w:ilvl w:val="12"/>
          <w:numId w:val="0"/>
        </w:numPr>
        <w:ind w:right="-2"/>
        <w:rPr>
          <w:i/>
          <w:iCs/>
          <w:sz w:val="18"/>
          <w:szCs w:val="18"/>
          <w:lang w:val="en-GB"/>
        </w:rPr>
      </w:pPr>
      <w:r w:rsidRPr="00286CDE">
        <w:rPr>
          <w:i/>
          <w:iCs/>
          <w:sz w:val="18"/>
          <w:szCs w:val="18"/>
          <w:lang w:val="en-GB"/>
        </w:rPr>
        <w:t>TCZ</w:t>
      </w:r>
      <w:r w:rsidRPr="00286CDE">
        <w:rPr>
          <w:i/>
          <w:iCs/>
          <w:sz w:val="18"/>
          <w:szCs w:val="18"/>
          <w:lang w:val="en-GB"/>
        </w:rPr>
        <w:tab/>
      </w:r>
      <w:r w:rsidRPr="00286CDE">
        <w:rPr>
          <w:i/>
          <w:iCs/>
          <w:sz w:val="18"/>
          <w:szCs w:val="18"/>
          <w:lang w:val="en-GB"/>
        </w:rPr>
        <w:tab/>
        <w:t>-Tocilizumab</w:t>
      </w:r>
    </w:p>
    <w:p w14:paraId="74DEB254" w14:textId="77777777" w:rsidR="00834462" w:rsidRPr="00286CDE" w:rsidRDefault="00834462" w:rsidP="00834462">
      <w:pPr>
        <w:keepNext/>
        <w:numPr>
          <w:ilvl w:val="12"/>
          <w:numId w:val="0"/>
        </w:numPr>
        <w:ind w:right="-2"/>
        <w:rPr>
          <w:lang w:val="en-GB"/>
        </w:rPr>
      </w:pPr>
      <w:r w:rsidRPr="00286CDE">
        <w:rPr>
          <w:i/>
          <w:iCs/>
          <w:sz w:val="18"/>
          <w:szCs w:val="18"/>
          <w:lang w:val="en-GB"/>
        </w:rPr>
        <w:t>MTX</w:t>
      </w:r>
      <w:r w:rsidRPr="00286CDE">
        <w:rPr>
          <w:i/>
          <w:iCs/>
          <w:sz w:val="18"/>
          <w:szCs w:val="18"/>
          <w:lang w:val="en-GB"/>
        </w:rPr>
        <w:tab/>
      </w:r>
      <w:r w:rsidRPr="00286CDE">
        <w:rPr>
          <w:i/>
          <w:iCs/>
          <w:sz w:val="18"/>
          <w:szCs w:val="18"/>
          <w:lang w:val="en-GB"/>
        </w:rPr>
        <w:tab/>
        <w:t>- Metotrexato</w:t>
      </w:r>
    </w:p>
    <w:p w14:paraId="1E6C2DEA" w14:textId="77777777" w:rsidR="00834462" w:rsidRPr="00286CDE" w:rsidRDefault="00834462" w:rsidP="00834462">
      <w:pPr>
        <w:keepNext/>
        <w:numPr>
          <w:ilvl w:val="12"/>
          <w:numId w:val="0"/>
        </w:numPr>
        <w:ind w:right="-2"/>
        <w:rPr>
          <w:i/>
          <w:iCs/>
          <w:sz w:val="18"/>
          <w:szCs w:val="18"/>
          <w:lang w:val="en-GB"/>
        </w:rPr>
      </w:pPr>
      <w:r w:rsidRPr="00286CDE">
        <w:rPr>
          <w:i/>
          <w:iCs/>
          <w:sz w:val="18"/>
          <w:szCs w:val="18"/>
          <w:lang w:val="en-GB"/>
        </w:rPr>
        <w:t>PBO</w:t>
      </w:r>
      <w:r w:rsidRPr="00286CDE">
        <w:rPr>
          <w:i/>
          <w:iCs/>
          <w:sz w:val="18"/>
          <w:szCs w:val="18"/>
          <w:lang w:val="en-GB"/>
        </w:rPr>
        <w:tab/>
      </w:r>
      <w:r w:rsidRPr="00286CDE">
        <w:rPr>
          <w:i/>
          <w:iCs/>
          <w:sz w:val="18"/>
          <w:szCs w:val="18"/>
          <w:lang w:val="en-GB"/>
        </w:rPr>
        <w:tab/>
        <w:t>-Placebo</w:t>
      </w:r>
    </w:p>
    <w:p w14:paraId="372A24FA" w14:textId="77777777" w:rsidR="00834462" w:rsidRPr="008A106B" w:rsidRDefault="00834462" w:rsidP="00834462">
      <w:pPr>
        <w:numPr>
          <w:ilvl w:val="12"/>
          <w:numId w:val="0"/>
        </w:numPr>
        <w:ind w:right="-2"/>
        <w:rPr>
          <w:lang w:val="es-ES_tradnl"/>
        </w:rPr>
      </w:pPr>
      <w:r w:rsidRPr="008A106B">
        <w:rPr>
          <w:i/>
          <w:iCs/>
          <w:sz w:val="18"/>
          <w:szCs w:val="18"/>
          <w:lang w:val="es-ES_tradnl"/>
        </w:rPr>
        <w:t>FAME</w:t>
      </w:r>
      <w:r w:rsidRPr="008A106B">
        <w:rPr>
          <w:i/>
          <w:iCs/>
          <w:sz w:val="18"/>
          <w:szCs w:val="18"/>
          <w:lang w:val="es-ES_tradnl"/>
        </w:rPr>
        <w:tab/>
        <w:t xml:space="preserve"> </w:t>
      </w:r>
      <w:r w:rsidRPr="008A106B">
        <w:rPr>
          <w:i/>
          <w:iCs/>
          <w:sz w:val="18"/>
          <w:szCs w:val="18"/>
          <w:lang w:val="es-ES_tradnl"/>
        </w:rPr>
        <w:tab/>
        <w:t xml:space="preserve">- Fármaco Antirreumático Modificador de la Enfermedad </w:t>
      </w:r>
    </w:p>
    <w:p w14:paraId="66D962C9" w14:textId="77777777" w:rsidR="00834462" w:rsidRPr="008A106B" w:rsidRDefault="00834462" w:rsidP="00834462">
      <w:pPr>
        <w:numPr>
          <w:ilvl w:val="12"/>
          <w:numId w:val="0"/>
        </w:numPr>
        <w:ind w:right="-2"/>
        <w:rPr>
          <w:i/>
          <w:iCs/>
          <w:sz w:val="18"/>
          <w:szCs w:val="18"/>
          <w:lang w:val="es-ES_tradnl"/>
        </w:rPr>
      </w:pPr>
      <w:r w:rsidRPr="008A106B">
        <w:rPr>
          <w:i/>
          <w:iCs/>
          <w:sz w:val="18"/>
          <w:szCs w:val="18"/>
          <w:lang w:val="es-ES_tradnl"/>
        </w:rPr>
        <w:t xml:space="preserve">** </w:t>
      </w:r>
      <w:r w:rsidRPr="008A106B">
        <w:rPr>
          <w:i/>
          <w:iCs/>
          <w:sz w:val="18"/>
          <w:szCs w:val="18"/>
          <w:lang w:val="es-ES_tradnl"/>
        </w:rPr>
        <w:tab/>
      </w:r>
      <w:r w:rsidRPr="008A106B">
        <w:rPr>
          <w:i/>
          <w:iCs/>
          <w:sz w:val="18"/>
          <w:szCs w:val="18"/>
          <w:lang w:val="es-ES_tradnl"/>
        </w:rPr>
        <w:tab/>
        <w:t xml:space="preserve">- p&lt;0,01, TCZ VS PBO + MTX/ FAME </w:t>
      </w:r>
    </w:p>
    <w:p w14:paraId="3CAF9C4D" w14:textId="77777777" w:rsidR="00834462" w:rsidRPr="008A106B" w:rsidRDefault="00834462" w:rsidP="00834462">
      <w:pPr>
        <w:numPr>
          <w:ilvl w:val="12"/>
          <w:numId w:val="0"/>
        </w:numPr>
        <w:ind w:right="-2"/>
        <w:rPr>
          <w:i/>
          <w:iCs/>
          <w:sz w:val="18"/>
          <w:szCs w:val="18"/>
          <w:lang w:val="es-ES_tradnl"/>
        </w:rPr>
      </w:pPr>
      <w:r w:rsidRPr="008A106B">
        <w:rPr>
          <w:i/>
          <w:iCs/>
          <w:sz w:val="18"/>
          <w:szCs w:val="18"/>
          <w:lang w:val="es-ES_tradnl"/>
        </w:rPr>
        <w:t xml:space="preserve">*** </w:t>
      </w:r>
      <w:r w:rsidRPr="008A106B">
        <w:rPr>
          <w:i/>
          <w:iCs/>
          <w:sz w:val="18"/>
          <w:szCs w:val="18"/>
          <w:lang w:val="es-ES_tradnl"/>
        </w:rPr>
        <w:tab/>
      </w:r>
      <w:r w:rsidRPr="008A106B">
        <w:rPr>
          <w:i/>
          <w:iCs/>
          <w:sz w:val="18"/>
          <w:szCs w:val="18"/>
          <w:lang w:val="es-ES_tradnl"/>
        </w:rPr>
        <w:tab/>
        <w:t xml:space="preserve">- p&lt;0,0001, TCZ VS PBO + MTX/ FAME </w:t>
      </w:r>
    </w:p>
    <w:p w14:paraId="380C034D" w14:textId="77777777" w:rsidR="00834462" w:rsidRPr="008A106B" w:rsidRDefault="00834462" w:rsidP="00834462">
      <w:pPr>
        <w:numPr>
          <w:ilvl w:val="12"/>
          <w:numId w:val="0"/>
        </w:numPr>
        <w:rPr>
          <w:lang w:val="es-ES"/>
        </w:rPr>
      </w:pPr>
    </w:p>
    <w:p w14:paraId="3FE765D5" w14:textId="77777777" w:rsidR="00834462" w:rsidRPr="00F30AB8" w:rsidRDefault="00834462" w:rsidP="00817DCE">
      <w:pPr>
        <w:keepNext/>
        <w:numPr>
          <w:ilvl w:val="12"/>
          <w:numId w:val="0"/>
        </w:numPr>
        <w:rPr>
          <w:i/>
          <w:u w:val="single"/>
          <w:lang w:val="es-ES"/>
        </w:rPr>
      </w:pPr>
      <w:r w:rsidRPr="00F30AB8">
        <w:rPr>
          <w:i/>
          <w:u w:val="single"/>
          <w:lang w:val="es-ES"/>
        </w:rPr>
        <w:t xml:space="preserve">Respuesta clínica mayor </w:t>
      </w:r>
    </w:p>
    <w:p w14:paraId="2B3A7372" w14:textId="0004B0D7" w:rsidR="00834462" w:rsidRPr="008A106B" w:rsidRDefault="00834462" w:rsidP="00834462">
      <w:pPr>
        <w:numPr>
          <w:ilvl w:val="12"/>
          <w:numId w:val="0"/>
        </w:numPr>
        <w:rPr>
          <w:lang w:val="es-ES"/>
        </w:rPr>
      </w:pPr>
      <w:r w:rsidRPr="008A106B">
        <w:rPr>
          <w:lang w:val="es-ES"/>
        </w:rPr>
        <w:t>Después de 2</w:t>
      </w:r>
      <w:r w:rsidR="00267243" w:rsidRPr="00F30AB8">
        <w:rPr>
          <w:szCs w:val="22"/>
          <w:lang w:val="es-ES"/>
        </w:rPr>
        <w:t> </w:t>
      </w:r>
      <w:r w:rsidRPr="008A106B">
        <w:rPr>
          <w:lang w:val="es-ES"/>
        </w:rPr>
        <w:t>año</w:t>
      </w:r>
      <w:r w:rsidR="00C57BA0">
        <w:rPr>
          <w:lang w:val="es-ES"/>
        </w:rPr>
        <w:t xml:space="preserve">s de tratamiento con </w:t>
      </w:r>
      <w:r w:rsidR="00AC558B">
        <w:rPr>
          <w:szCs w:val="22"/>
          <w:lang w:val="es-ES"/>
        </w:rPr>
        <w:t>tocilizumab</w:t>
      </w:r>
      <w:r w:rsidR="00AC558B" w:rsidRPr="006868F5">
        <w:rPr>
          <w:szCs w:val="22"/>
          <w:lang w:val="es-ES"/>
        </w:rPr>
        <w:t xml:space="preserve"> </w:t>
      </w:r>
      <w:r w:rsidRPr="008A106B">
        <w:rPr>
          <w:lang w:val="es-ES"/>
        </w:rPr>
        <w:t>y metotrexato, el 14</w:t>
      </w:r>
      <w:r w:rsidR="00BA73E0">
        <w:rPr>
          <w:lang w:val="es-ES"/>
        </w:rPr>
        <w:t xml:space="preserve"> </w:t>
      </w:r>
      <w:r w:rsidRPr="008A106B">
        <w:rPr>
          <w:lang w:val="es-ES"/>
        </w:rPr>
        <w:t>% de los pacientes alcanzaron una respuesta clínica mayor (mantenimiento de la respuesta ACR</w:t>
      </w:r>
      <w:r w:rsidR="00267243" w:rsidRPr="00F30AB8">
        <w:rPr>
          <w:szCs w:val="22"/>
          <w:lang w:val="es-ES"/>
        </w:rPr>
        <w:t> </w:t>
      </w:r>
      <w:r w:rsidRPr="008A106B">
        <w:rPr>
          <w:lang w:val="es-ES"/>
        </w:rPr>
        <w:t>70 durante 24</w:t>
      </w:r>
      <w:r w:rsidR="00267243" w:rsidRPr="00F30AB8">
        <w:rPr>
          <w:szCs w:val="22"/>
          <w:lang w:val="es-ES"/>
        </w:rPr>
        <w:t> </w:t>
      </w:r>
      <w:r w:rsidRPr="008A106B">
        <w:rPr>
          <w:lang w:val="es-ES"/>
        </w:rPr>
        <w:t>semanas o más).</w:t>
      </w:r>
    </w:p>
    <w:p w14:paraId="7C6BB8CC" w14:textId="77777777" w:rsidR="00834462" w:rsidRPr="008A106B" w:rsidRDefault="00834462" w:rsidP="00834462">
      <w:pPr>
        <w:numPr>
          <w:ilvl w:val="12"/>
          <w:numId w:val="0"/>
        </w:numPr>
        <w:rPr>
          <w:lang w:val="es-ES"/>
        </w:rPr>
      </w:pPr>
    </w:p>
    <w:p w14:paraId="4B9D68E3" w14:textId="77777777" w:rsidR="00834462" w:rsidRPr="00F30AB8" w:rsidRDefault="00834462" w:rsidP="00834462">
      <w:pPr>
        <w:rPr>
          <w:i/>
          <w:iCs/>
          <w:u w:val="single"/>
          <w:lang w:val="es-ES"/>
        </w:rPr>
      </w:pPr>
      <w:r w:rsidRPr="00F30AB8">
        <w:rPr>
          <w:i/>
          <w:iCs/>
          <w:u w:val="single"/>
          <w:lang w:val="es-ES_tradnl"/>
        </w:rPr>
        <w:t>Respuesta radiográfica</w:t>
      </w:r>
    </w:p>
    <w:p w14:paraId="70CDB330" w14:textId="4F00E9AB" w:rsidR="00834462" w:rsidRPr="008A106B" w:rsidRDefault="00834462" w:rsidP="00834462">
      <w:pPr>
        <w:rPr>
          <w:lang w:val="es-ES_tradnl"/>
        </w:rPr>
      </w:pPr>
      <w:r w:rsidRPr="008A106B">
        <w:rPr>
          <w:lang w:val="es-ES_tradnl"/>
        </w:rPr>
        <w:t>En el ensayo II, en pacientes con una respuesta inadecuada a MTX, se evaluó radiográficamente la inhibición del daño articular estructural y se expresó como un cambio en la escala de Sharp modificada y sus componentes, la puntuación de erosión y la puntuación de estrechamiento del espacio articular.</w:t>
      </w:r>
      <w:r w:rsidRPr="008A106B">
        <w:rPr>
          <w:lang w:val="es-ES"/>
        </w:rPr>
        <w:t xml:space="preserve"> </w:t>
      </w:r>
      <w:r w:rsidRPr="008A106B">
        <w:rPr>
          <w:lang w:val="es-ES_tradnl"/>
        </w:rPr>
        <w:t xml:space="preserve">Se demostró inhibición del daño estructural articular con una progresión radiográfica significativamente menor en los pacientes que recibieron </w:t>
      </w:r>
      <w:r w:rsidR="00AC558B">
        <w:rPr>
          <w:szCs w:val="22"/>
          <w:lang w:val="es-ES"/>
        </w:rPr>
        <w:t>tocilizumab</w:t>
      </w:r>
      <w:r w:rsidR="00AC558B" w:rsidRPr="006868F5">
        <w:rPr>
          <w:szCs w:val="22"/>
          <w:lang w:val="es-ES"/>
        </w:rPr>
        <w:t xml:space="preserve"> </w:t>
      </w:r>
      <w:r w:rsidRPr="008A106B">
        <w:rPr>
          <w:lang w:val="es-ES_tradnl"/>
        </w:rPr>
        <w:t>en comparación con el control (</w:t>
      </w:r>
      <w:r w:rsidR="00852BE8">
        <w:rPr>
          <w:lang w:val="es-ES_tradnl"/>
        </w:rPr>
        <w:t xml:space="preserve">ver </w:t>
      </w:r>
      <w:r w:rsidRPr="008A106B">
        <w:rPr>
          <w:lang w:val="es-ES_tradnl"/>
        </w:rPr>
        <w:t>Tabla </w:t>
      </w:r>
      <w:r w:rsidR="00513DDB">
        <w:rPr>
          <w:lang w:val="es-ES_tradnl"/>
        </w:rPr>
        <w:t>6</w:t>
      </w:r>
      <w:r w:rsidRPr="008A106B">
        <w:rPr>
          <w:lang w:val="es-ES_tradnl"/>
        </w:rPr>
        <w:t>).</w:t>
      </w:r>
    </w:p>
    <w:p w14:paraId="1E6039C4" w14:textId="77777777" w:rsidR="00834462" w:rsidRPr="008A106B" w:rsidRDefault="00834462" w:rsidP="00834462">
      <w:pPr>
        <w:rPr>
          <w:lang w:val="es-ES"/>
        </w:rPr>
      </w:pPr>
    </w:p>
    <w:p w14:paraId="6C94DB75" w14:textId="13F2514F" w:rsidR="00834462" w:rsidRPr="008A106B" w:rsidRDefault="00834462" w:rsidP="00834462">
      <w:pPr>
        <w:rPr>
          <w:lang w:val="es-ES"/>
        </w:rPr>
      </w:pPr>
      <w:r w:rsidRPr="008A106B">
        <w:rPr>
          <w:lang w:val="es-ES"/>
        </w:rPr>
        <w:t xml:space="preserve">En la extensión abierta del </w:t>
      </w:r>
      <w:r w:rsidR="00C434A4" w:rsidRPr="008A106B">
        <w:rPr>
          <w:lang w:val="es-ES"/>
        </w:rPr>
        <w:t>e</w:t>
      </w:r>
      <w:r w:rsidR="00C434A4">
        <w:rPr>
          <w:lang w:val="es-ES"/>
        </w:rPr>
        <w:t>nsay</w:t>
      </w:r>
      <w:r w:rsidR="00C434A4" w:rsidRPr="008A106B">
        <w:rPr>
          <w:lang w:val="es-ES"/>
        </w:rPr>
        <w:t xml:space="preserve">o </w:t>
      </w:r>
      <w:r w:rsidRPr="008A106B">
        <w:rPr>
          <w:lang w:val="es-ES"/>
        </w:rPr>
        <w:t>II la inhibición de la progresión del daño estructural en los pa</w:t>
      </w:r>
      <w:r w:rsidR="00C57BA0">
        <w:rPr>
          <w:lang w:val="es-ES"/>
        </w:rPr>
        <w:t xml:space="preserve">cientes tratados con </w:t>
      </w:r>
      <w:r w:rsidR="00AC558B">
        <w:rPr>
          <w:szCs w:val="22"/>
          <w:lang w:val="es-ES"/>
        </w:rPr>
        <w:t>tocilizumab</w:t>
      </w:r>
      <w:r w:rsidR="00AC558B" w:rsidRPr="006868F5">
        <w:rPr>
          <w:szCs w:val="22"/>
          <w:lang w:val="es-ES"/>
        </w:rPr>
        <w:t xml:space="preserve"> </w:t>
      </w:r>
      <w:r w:rsidRPr="008A106B">
        <w:rPr>
          <w:lang w:val="es-ES"/>
        </w:rPr>
        <w:t>más MTX se mantuvo en el segundo año de tratamiento. En la semana</w:t>
      </w:r>
      <w:r w:rsidR="00267243" w:rsidRPr="00F30AB8">
        <w:rPr>
          <w:szCs w:val="22"/>
          <w:lang w:val="es-ES"/>
        </w:rPr>
        <w:t> </w:t>
      </w:r>
      <w:r w:rsidRPr="008A106B">
        <w:rPr>
          <w:lang w:val="es-ES"/>
        </w:rPr>
        <w:t xml:space="preserve">104 el cambio medio desde la basal en el índice total Sharp-Genant fue significativamente menor en los pacientes del </w:t>
      </w:r>
      <w:del w:id="1208" w:author="AUTHOR">
        <w:r w:rsidRPr="008A106B" w:rsidDel="004E273B">
          <w:rPr>
            <w:lang w:val="es-ES"/>
          </w:rPr>
          <w:delText>brazo</w:delText>
        </w:r>
      </w:del>
      <w:ins w:id="1209" w:author="AUTHOR">
        <w:r w:rsidR="004E273B">
          <w:rPr>
            <w:lang w:val="es-ES"/>
          </w:rPr>
          <w:t>grupo</w:t>
        </w:r>
      </w:ins>
      <w:r w:rsidRPr="008A106B">
        <w:rPr>
          <w:lang w:val="es-ES"/>
        </w:rPr>
        <w:t xml:space="preserve"> </w:t>
      </w:r>
      <w:r w:rsidR="00267243">
        <w:rPr>
          <w:szCs w:val="22"/>
          <w:lang w:val="es-ES"/>
        </w:rPr>
        <w:t>tocilizumab</w:t>
      </w:r>
      <w:r w:rsidR="00390733" w:rsidRPr="006868F5">
        <w:rPr>
          <w:szCs w:val="22"/>
          <w:lang w:val="es-ES"/>
        </w:rPr>
        <w:t xml:space="preserve"> </w:t>
      </w:r>
      <w:r w:rsidRPr="008A106B">
        <w:rPr>
          <w:lang w:val="es-ES"/>
        </w:rPr>
        <w:t>8 mg/kg más MTX (p&lt;0</w:t>
      </w:r>
      <w:r w:rsidR="00BA73E0">
        <w:rPr>
          <w:lang w:val="es-ES"/>
        </w:rPr>
        <w:t>,</w:t>
      </w:r>
      <w:r w:rsidRPr="008A106B">
        <w:rPr>
          <w:lang w:val="es-ES"/>
        </w:rPr>
        <w:t xml:space="preserve">0001) que en los del </w:t>
      </w:r>
      <w:del w:id="1210" w:author="AUTHOR">
        <w:r w:rsidRPr="008A106B" w:rsidDel="004E273B">
          <w:rPr>
            <w:lang w:val="es-ES"/>
          </w:rPr>
          <w:delText>brazo</w:delText>
        </w:r>
      </w:del>
      <w:ins w:id="1211" w:author="AUTHOR">
        <w:r w:rsidR="004E273B">
          <w:rPr>
            <w:lang w:val="es-ES"/>
          </w:rPr>
          <w:t>grupo</w:t>
        </w:r>
      </w:ins>
      <w:r w:rsidRPr="008A106B">
        <w:rPr>
          <w:lang w:val="es-ES"/>
        </w:rPr>
        <w:t xml:space="preserve"> placebo más MTX. </w:t>
      </w:r>
    </w:p>
    <w:p w14:paraId="25B40DBE" w14:textId="77777777" w:rsidR="00834462" w:rsidRPr="008A106B" w:rsidRDefault="00834462" w:rsidP="00834462">
      <w:pPr>
        <w:rPr>
          <w:lang w:val="es-ES"/>
        </w:rPr>
      </w:pPr>
    </w:p>
    <w:p w14:paraId="077FFDC8" w14:textId="77777777" w:rsidR="00834462" w:rsidRDefault="00834462" w:rsidP="00A50280">
      <w:pPr>
        <w:keepNext/>
        <w:keepLines/>
        <w:rPr>
          <w:bCs/>
          <w:i/>
          <w:lang w:val="es-ES_tradnl"/>
        </w:rPr>
      </w:pPr>
      <w:r w:rsidRPr="008A106B">
        <w:rPr>
          <w:bCs/>
          <w:i/>
          <w:lang w:val="es-ES_tradnl"/>
        </w:rPr>
        <w:lastRenderedPageBreak/>
        <w:t>Tabla </w:t>
      </w:r>
      <w:r w:rsidR="00513DDB">
        <w:rPr>
          <w:bCs/>
          <w:i/>
          <w:lang w:val="es-ES_tradnl"/>
        </w:rPr>
        <w:t>6</w:t>
      </w:r>
      <w:r w:rsidRPr="008A106B">
        <w:rPr>
          <w:bCs/>
          <w:i/>
          <w:lang w:val="es-ES_tradnl"/>
        </w:rPr>
        <w:t>. Cambios radiográficos medios en 52 semanas en el e</w:t>
      </w:r>
      <w:r w:rsidR="00C434A4">
        <w:rPr>
          <w:bCs/>
          <w:i/>
          <w:lang w:val="es-ES_tradnl"/>
        </w:rPr>
        <w:t>nsay</w:t>
      </w:r>
      <w:r w:rsidRPr="008A106B">
        <w:rPr>
          <w:bCs/>
          <w:i/>
          <w:lang w:val="es-ES_tradnl"/>
        </w:rPr>
        <w:t>o II</w:t>
      </w:r>
    </w:p>
    <w:p w14:paraId="54378745" w14:textId="77777777" w:rsidR="000F0DA6" w:rsidRPr="008A106B" w:rsidRDefault="000F0DA6" w:rsidP="00A50280">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834462" w:rsidRPr="001335A4" w14:paraId="2F175BFE" w14:textId="77777777" w:rsidTr="003E3A62">
        <w:tc>
          <w:tcPr>
            <w:tcW w:w="2358" w:type="dxa"/>
          </w:tcPr>
          <w:p w14:paraId="714D42F2" w14:textId="77777777" w:rsidR="00834462" w:rsidRPr="005A5612" w:rsidRDefault="00834462" w:rsidP="00A50280">
            <w:pPr>
              <w:keepNext/>
              <w:keepLines/>
              <w:rPr>
                <w:lang w:val="es-ES"/>
              </w:rPr>
            </w:pPr>
          </w:p>
        </w:tc>
        <w:tc>
          <w:tcPr>
            <w:tcW w:w="2790" w:type="dxa"/>
          </w:tcPr>
          <w:p w14:paraId="3C0E38CC" w14:textId="77777777" w:rsidR="00834462" w:rsidRPr="005A5612" w:rsidRDefault="00834462" w:rsidP="00A50280">
            <w:pPr>
              <w:keepNext/>
              <w:keepLines/>
              <w:numPr>
                <w:ilvl w:val="12"/>
                <w:numId w:val="0"/>
              </w:numPr>
              <w:ind w:right="-2"/>
              <w:jc w:val="center"/>
              <w:rPr>
                <w:lang w:val="es-ES"/>
              </w:rPr>
            </w:pPr>
            <w:r w:rsidRPr="005A5612">
              <w:rPr>
                <w:b/>
                <w:bCs/>
                <w:sz w:val="20"/>
                <w:lang w:val="es-ES_tradnl"/>
              </w:rPr>
              <w:t>PBO + MTX</w:t>
            </w:r>
            <w:r w:rsidRPr="005A5612">
              <w:rPr>
                <w:b/>
                <w:bCs/>
                <w:sz w:val="20"/>
                <w:lang w:val="es-ES"/>
              </w:rPr>
              <w:t xml:space="preserve"> </w:t>
            </w:r>
          </w:p>
          <w:p w14:paraId="08A5BFC2" w14:textId="207A95CD" w:rsidR="00834462" w:rsidRPr="005A5612" w:rsidRDefault="00834462" w:rsidP="00A50280">
            <w:pPr>
              <w:keepNext/>
              <w:keepLines/>
              <w:numPr>
                <w:ilvl w:val="12"/>
                <w:numId w:val="0"/>
              </w:numPr>
              <w:ind w:right="-2"/>
              <w:jc w:val="center"/>
              <w:rPr>
                <w:b/>
                <w:bCs/>
                <w:sz w:val="20"/>
                <w:lang w:val="es-ES"/>
              </w:rPr>
            </w:pPr>
            <w:r w:rsidRPr="005A5612">
              <w:rPr>
                <w:b/>
                <w:bCs/>
                <w:sz w:val="20"/>
                <w:lang w:val="es-ES_tradnl"/>
              </w:rPr>
              <w:t>(+TCZ desde la semana</w:t>
            </w:r>
            <w:r w:rsidR="003532C2" w:rsidRPr="00F30AB8">
              <w:rPr>
                <w:rFonts w:eastAsia="SimSun"/>
                <w:b/>
                <w:sz w:val="18"/>
                <w:szCs w:val="18"/>
                <w:lang w:val="es-ES" w:eastAsia="zh-CN"/>
              </w:rPr>
              <w:t> </w:t>
            </w:r>
            <w:r w:rsidRPr="005A5612">
              <w:rPr>
                <w:b/>
                <w:bCs/>
                <w:sz w:val="20"/>
                <w:lang w:val="es-ES_tradnl"/>
              </w:rPr>
              <w:t>24)</w:t>
            </w:r>
          </w:p>
          <w:p w14:paraId="59BA1A31" w14:textId="310B1BBA" w:rsidR="00834462" w:rsidRPr="005A5612" w:rsidRDefault="00834462" w:rsidP="00A50280">
            <w:pPr>
              <w:keepNext/>
              <w:keepLines/>
              <w:jc w:val="center"/>
            </w:pPr>
            <w:del w:id="1212" w:author="AUTHOR">
              <w:r w:rsidRPr="005A5612" w:rsidDel="000228E7">
                <w:rPr>
                  <w:b/>
                  <w:bCs/>
                  <w:sz w:val="20"/>
                  <w:lang w:val="es-ES_tradnl"/>
                </w:rPr>
                <w:delText xml:space="preserve">N </w:delText>
              </w:r>
            </w:del>
            <w:ins w:id="1213" w:author="AUTHOR">
              <w:r w:rsidR="000228E7">
                <w:rPr>
                  <w:b/>
                  <w:bCs/>
                  <w:sz w:val="20"/>
                  <w:lang w:val="es-ES_tradnl"/>
                </w:rPr>
                <w:t>n</w:t>
              </w:r>
              <w:r w:rsidR="000228E7" w:rsidRPr="005A5612">
                <w:rPr>
                  <w:b/>
                  <w:bCs/>
                  <w:sz w:val="20"/>
                  <w:lang w:val="es-ES_tradnl"/>
                </w:rPr>
                <w:t xml:space="preserve"> </w:t>
              </w:r>
            </w:ins>
            <w:r w:rsidRPr="005A5612">
              <w:rPr>
                <w:b/>
                <w:bCs/>
                <w:sz w:val="20"/>
                <w:lang w:val="es-ES_tradnl"/>
              </w:rPr>
              <w:t>= 393</w:t>
            </w:r>
          </w:p>
        </w:tc>
        <w:tc>
          <w:tcPr>
            <w:tcW w:w="2610" w:type="dxa"/>
          </w:tcPr>
          <w:p w14:paraId="538BA3CA" w14:textId="362307A0" w:rsidR="00834462" w:rsidRPr="005A5612" w:rsidRDefault="00834462" w:rsidP="00A50280">
            <w:pPr>
              <w:keepNext/>
              <w:keepLines/>
              <w:jc w:val="center"/>
              <w:rPr>
                <w:lang w:val="pt-BR"/>
              </w:rPr>
            </w:pPr>
            <w:r w:rsidRPr="005A5612">
              <w:rPr>
                <w:b/>
                <w:bCs/>
                <w:sz w:val="20"/>
                <w:lang w:val="pt-BR"/>
              </w:rPr>
              <w:t>TCZ 8 mg/kg + MTX</w:t>
            </w:r>
            <w:r w:rsidRPr="005A5612">
              <w:rPr>
                <w:b/>
                <w:bCs/>
                <w:sz w:val="20"/>
                <w:lang w:val="pt-BR"/>
              </w:rPr>
              <w:br/>
            </w:r>
            <w:del w:id="1214" w:author="AUTHOR">
              <w:r w:rsidRPr="005A5612" w:rsidDel="000228E7">
                <w:rPr>
                  <w:b/>
                  <w:bCs/>
                  <w:sz w:val="20"/>
                  <w:lang w:val="pt-BR"/>
                </w:rPr>
                <w:delText xml:space="preserve">N </w:delText>
              </w:r>
            </w:del>
            <w:ins w:id="1215" w:author="AUTHOR">
              <w:r w:rsidR="000228E7">
                <w:rPr>
                  <w:b/>
                  <w:bCs/>
                  <w:sz w:val="20"/>
                  <w:lang w:val="pt-BR"/>
                </w:rPr>
                <w:t>n</w:t>
              </w:r>
              <w:r w:rsidR="000228E7" w:rsidRPr="005A5612">
                <w:rPr>
                  <w:b/>
                  <w:bCs/>
                  <w:sz w:val="20"/>
                  <w:lang w:val="pt-BR"/>
                </w:rPr>
                <w:t xml:space="preserve"> </w:t>
              </w:r>
            </w:ins>
            <w:r w:rsidRPr="005A5612">
              <w:rPr>
                <w:b/>
                <w:bCs/>
                <w:sz w:val="20"/>
                <w:lang w:val="pt-BR"/>
              </w:rPr>
              <w:t>= 398</w:t>
            </w:r>
          </w:p>
        </w:tc>
      </w:tr>
      <w:tr w:rsidR="00834462" w:rsidRPr="005A5612" w14:paraId="301369A6" w14:textId="77777777" w:rsidTr="003E3A62">
        <w:tc>
          <w:tcPr>
            <w:tcW w:w="2358" w:type="dxa"/>
          </w:tcPr>
          <w:p w14:paraId="2E30F06C" w14:textId="77777777" w:rsidR="00834462" w:rsidRPr="005A5612" w:rsidRDefault="00834462" w:rsidP="00A50280">
            <w:pPr>
              <w:keepNext/>
              <w:keepLines/>
              <w:rPr>
                <w:lang w:val="es-ES"/>
              </w:rPr>
            </w:pPr>
            <w:r w:rsidRPr="005A5612">
              <w:rPr>
                <w:lang w:val="es-ES_tradnl"/>
              </w:rPr>
              <w:t>Puntuación total de Sharp-Genant</w:t>
            </w:r>
          </w:p>
        </w:tc>
        <w:tc>
          <w:tcPr>
            <w:tcW w:w="2790" w:type="dxa"/>
          </w:tcPr>
          <w:p w14:paraId="26842E36" w14:textId="77777777" w:rsidR="00834462" w:rsidRPr="005A5612" w:rsidRDefault="00834462" w:rsidP="00A50280">
            <w:pPr>
              <w:keepNext/>
              <w:keepLines/>
              <w:jc w:val="center"/>
              <w:rPr>
                <w:lang w:val="en-GB"/>
              </w:rPr>
            </w:pPr>
            <w:r w:rsidRPr="005A5612">
              <w:rPr>
                <w:lang w:val="en-GB"/>
              </w:rPr>
              <w:t>1,13</w:t>
            </w:r>
          </w:p>
        </w:tc>
        <w:tc>
          <w:tcPr>
            <w:tcW w:w="2610" w:type="dxa"/>
          </w:tcPr>
          <w:p w14:paraId="37ED9254" w14:textId="77777777" w:rsidR="00834462" w:rsidRPr="005A5612" w:rsidRDefault="00834462" w:rsidP="00A50280">
            <w:pPr>
              <w:keepNext/>
              <w:keepLines/>
              <w:jc w:val="center"/>
              <w:rPr>
                <w:lang w:val="en-GB"/>
              </w:rPr>
            </w:pPr>
            <w:r w:rsidRPr="005A5612">
              <w:rPr>
                <w:lang w:val="en-GB"/>
              </w:rPr>
              <w:t>0,29*</w:t>
            </w:r>
          </w:p>
        </w:tc>
      </w:tr>
      <w:tr w:rsidR="00834462" w:rsidRPr="005A5612" w14:paraId="713FF485" w14:textId="77777777" w:rsidTr="003E3A62">
        <w:tc>
          <w:tcPr>
            <w:tcW w:w="2358" w:type="dxa"/>
          </w:tcPr>
          <w:p w14:paraId="73C8C391" w14:textId="77777777" w:rsidR="00834462" w:rsidRPr="005A5612" w:rsidRDefault="00834462" w:rsidP="00A50280">
            <w:pPr>
              <w:keepNext/>
              <w:keepLines/>
            </w:pPr>
            <w:r w:rsidRPr="005A5612">
              <w:rPr>
                <w:lang w:val="es-ES_tradnl"/>
              </w:rPr>
              <w:t>Puntuación de erosión</w:t>
            </w:r>
          </w:p>
        </w:tc>
        <w:tc>
          <w:tcPr>
            <w:tcW w:w="2790" w:type="dxa"/>
          </w:tcPr>
          <w:p w14:paraId="78038FB4" w14:textId="77777777" w:rsidR="00834462" w:rsidRPr="005A5612" w:rsidRDefault="00834462" w:rsidP="00A50280">
            <w:pPr>
              <w:keepNext/>
              <w:keepLines/>
              <w:jc w:val="center"/>
              <w:rPr>
                <w:lang w:val="en-GB"/>
              </w:rPr>
            </w:pPr>
            <w:r w:rsidRPr="005A5612">
              <w:rPr>
                <w:lang w:val="en-GB"/>
              </w:rPr>
              <w:t>0,71</w:t>
            </w:r>
          </w:p>
        </w:tc>
        <w:tc>
          <w:tcPr>
            <w:tcW w:w="2610" w:type="dxa"/>
          </w:tcPr>
          <w:p w14:paraId="3BACDA50" w14:textId="77777777" w:rsidR="00834462" w:rsidRPr="005A5612" w:rsidRDefault="00834462" w:rsidP="00A50280">
            <w:pPr>
              <w:keepNext/>
              <w:keepLines/>
              <w:jc w:val="center"/>
              <w:rPr>
                <w:lang w:val="en-GB"/>
              </w:rPr>
            </w:pPr>
            <w:r w:rsidRPr="005A5612">
              <w:rPr>
                <w:lang w:val="en-GB"/>
              </w:rPr>
              <w:t>0,17*</w:t>
            </w:r>
          </w:p>
        </w:tc>
      </w:tr>
      <w:tr w:rsidR="00834462" w:rsidRPr="005A5612" w14:paraId="633883B3" w14:textId="77777777" w:rsidTr="003E3A62">
        <w:tc>
          <w:tcPr>
            <w:tcW w:w="2358" w:type="dxa"/>
          </w:tcPr>
          <w:p w14:paraId="3D947AC4" w14:textId="77777777" w:rsidR="00834462" w:rsidRPr="005A5612" w:rsidRDefault="00834462" w:rsidP="00A50280">
            <w:pPr>
              <w:keepNext/>
              <w:keepLines/>
            </w:pPr>
            <w:r w:rsidRPr="005A5612">
              <w:rPr>
                <w:lang w:val="es-ES_tradnl"/>
              </w:rPr>
              <w:t>Puntuación de EEA</w:t>
            </w:r>
          </w:p>
        </w:tc>
        <w:tc>
          <w:tcPr>
            <w:tcW w:w="2790" w:type="dxa"/>
          </w:tcPr>
          <w:p w14:paraId="04369323" w14:textId="77777777" w:rsidR="00834462" w:rsidRPr="005A5612" w:rsidRDefault="00834462" w:rsidP="00A50280">
            <w:pPr>
              <w:keepNext/>
              <w:keepLines/>
              <w:jc w:val="center"/>
              <w:rPr>
                <w:lang w:val="en-GB"/>
              </w:rPr>
            </w:pPr>
            <w:r w:rsidRPr="005A5612">
              <w:rPr>
                <w:lang w:val="en-GB"/>
              </w:rPr>
              <w:t>0,42</w:t>
            </w:r>
          </w:p>
        </w:tc>
        <w:tc>
          <w:tcPr>
            <w:tcW w:w="2610" w:type="dxa"/>
          </w:tcPr>
          <w:p w14:paraId="3CB768B4" w14:textId="77777777" w:rsidR="00834462" w:rsidRPr="005A5612" w:rsidRDefault="00834462" w:rsidP="00A50280">
            <w:pPr>
              <w:keepNext/>
              <w:keepLines/>
              <w:jc w:val="center"/>
              <w:rPr>
                <w:lang w:val="en-GB"/>
              </w:rPr>
            </w:pPr>
            <w:r w:rsidRPr="005A5612">
              <w:rPr>
                <w:lang w:val="en-GB"/>
              </w:rPr>
              <w:t>0,12**</w:t>
            </w:r>
          </w:p>
        </w:tc>
      </w:tr>
    </w:tbl>
    <w:p w14:paraId="0A2160B8" w14:textId="77777777" w:rsidR="00834462" w:rsidRPr="00F30AB8" w:rsidRDefault="00834462" w:rsidP="00A50280">
      <w:pPr>
        <w:keepNext/>
        <w:keepLines/>
        <w:rPr>
          <w:sz w:val="18"/>
          <w:szCs w:val="18"/>
          <w:lang w:val="es-ES_tradnl"/>
        </w:rPr>
      </w:pPr>
      <w:r w:rsidRPr="00F30AB8">
        <w:rPr>
          <w:sz w:val="18"/>
          <w:szCs w:val="18"/>
          <w:lang w:val="es-ES_tradnl"/>
        </w:rPr>
        <w:t>PBO</w:t>
      </w:r>
      <w:r w:rsidRPr="00F30AB8">
        <w:rPr>
          <w:sz w:val="18"/>
          <w:szCs w:val="18"/>
          <w:lang w:val="es-ES_tradnl"/>
        </w:rPr>
        <w:tab/>
        <w:t>-Placebo</w:t>
      </w:r>
    </w:p>
    <w:p w14:paraId="3D881B88" w14:textId="77777777" w:rsidR="00834462" w:rsidRPr="00267243" w:rsidRDefault="00834462" w:rsidP="00A50280">
      <w:pPr>
        <w:keepNext/>
        <w:keepLines/>
        <w:rPr>
          <w:lang w:val="es-ES"/>
        </w:rPr>
      </w:pPr>
      <w:r w:rsidRPr="00F30AB8">
        <w:rPr>
          <w:sz w:val="18"/>
          <w:szCs w:val="18"/>
          <w:lang w:val="es-ES_tradnl"/>
        </w:rPr>
        <w:t>MTX</w:t>
      </w:r>
      <w:r w:rsidRPr="00F30AB8">
        <w:rPr>
          <w:sz w:val="18"/>
          <w:szCs w:val="18"/>
          <w:lang w:val="es-ES"/>
        </w:rPr>
        <w:tab/>
      </w:r>
      <w:r w:rsidRPr="00F30AB8">
        <w:rPr>
          <w:sz w:val="18"/>
          <w:szCs w:val="18"/>
          <w:lang w:val="es-ES_tradnl"/>
        </w:rPr>
        <w:t>- Metotrexato</w:t>
      </w:r>
    </w:p>
    <w:p w14:paraId="2994FC16" w14:textId="77777777" w:rsidR="00834462" w:rsidRPr="00267243" w:rsidRDefault="00834462" w:rsidP="00A50280">
      <w:pPr>
        <w:keepNext/>
        <w:keepLines/>
        <w:rPr>
          <w:lang w:val="es-ES"/>
        </w:rPr>
      </w:pPr>
      <w:r w:rsidRPr="00F30AB8">
        <w:rPr>
          <w:sz w:val="18"/>
          <w:szCs w:val="18"/>
          <w:lang w:val="es-ES_tradnl"/>
        </w:rPr>
        <w:t>TCZ</w:t>
      </w:r>
      <w:r w:rsidRPr="00F30AB8">
        <w:rPr>
          <w:sz w:val="18"/>
          <w:szCs w:val="18"/>
          <w:lang w:val="es-ES"/>
        </w:rPr>
        <w:tab/>
      </w:r>
      <w:r w:rsidRPr="00F30AB8">
        <w:rPr>
          <w:sz w:val="18"/>
          <w:szCs w:val="18"/>
          <w:lang w:val="es-ES_tradnl"/>
        </w:rPr>
        <w:t>- Tocilizumab</w:t>
      </w:r>
    </w:p>
    <w:p w14:paraId="53979D00" w14:textId="77777777" w:rsidR="00834462" w:rsidRPr="00267243" w:rsidRDefault="00834462" w:rsidP="00A50280">
      <w:pPr>
        <w:keepNext/>
        <w:keepLines/>
        <w:rPr>
          <w:lang w:val="es-ES"/>
        </w:rPr>
      </w:pPr>
      <w:r w:rsidRPr="00F30AB8">
        <w:rPr>
          <w:sz w:val="18"/>
          <w:szCs w:val="18"/>
          <w:lang w:val="es-ES_tradnl"/>
        </w:rPr>
        <w:t>EEA</w:t>
      </w:r>
      <w:r w:rsidRPr="00F30AB8">
        <w:rPr>
          <w:sz w:val="18"/>
          <w:szCs w:val="18"/>
          <w:lang w:val="es-ES"/>
        </w:rPr>
        <w:tab/>
      </w:r>
      <w:r w:rsidRPr="00F30AB8">
        <w:rPr>
          <w:sz w:val="18"/>
          <w:szCs w:val="18"/>
          <w:lang w:val="es-ES_tradnl"/>
        </w:rPr>
        <w:t>- Estrechamiento del espacio articular</w:t>
      </w:r>
    </w:p>
    <w:p w14:paraId="7A6EEE00" w14:textId="77777777" w:rsidR="00834462" w:rsidRPr="00F30AB8" w:rsidRDefault="00834462" w:rsidP="00834462">
      <w:pPr>
        <w:numPr>
          <w:ilvl w:val="12"/>
          <w:numId w:val="0"/>
        </w:numPr>
        <w:ind w:right="-2"/>
        <w:rPr>
          <w:sz w:val="18"/>
          <w:szCs w:val="18"/>
          <w:lang w:val="es-ES"/>
        </w:rPr>
      </w:pPr>
      <w:r w:rsidRPr="00F30AB8">
        <w:rPr>
          <w:sz w:val="18"/>
          <w:szCs w:val="18"/>
          <w:lang w:val="es-ES"/>
        </w:rPr>
        <w:t>*</w:t>
      </w:r>
      <w:r w:rsidRPr="00F30AB8">
        <w:rPr>
          <w:sz w:val="18"/>
          <w:szCs w:val="18"/>
          <w:lang w:val="es-ES"/>
        </w:rPr>
        <w:tab/>
      </w:r>
      <w:r w:rsidRPr="00F30AB8">
        <w:rPr>
          <w:sz w:val="18"/>
          <w:szCs w:val="18"/>
          <w:lang w:val="es-ES_tradnl"/>
        </w:rPr>
        <w:t>- p≤0,0001, TCZ vs PBO + MTX</w:t>
      </w:r>
    </w:p>
    <w:p w14:paraId="0CAD7083" w14:textId="77777777" w:rsidR="00834462" w:rsidRPr="00F30AB8" w:rsidRDefault="00834462" w:rsidP="00834462">
      <w:pPr>
        <w:numPr>
          <w:ilvl w:val="12"/>
          <w:numId w:val="0"/>
        </w:numPr>
        <w:ind w:right="-2"/>
        <w:rPr>
          <w:sz w:val="18"/>
          <w:szCs w:val="18"/>
          <w:lang w:val="es-ES"/>
        </w:rPr>
      </w:pPr>
      <w:r w:rsidRPr="00F30AB8">
        <w:rPr>
          <w:sz w:val="18"/>
          <w:szCs w:val="18"/>
          <w:lang w:val="es-ES"/>
        </w:rPr>
        <w:t xml:space="preserve">** </w:t>
      </w:r>
      <w:r w:rsidRPr="00F30AB8">
        <w:rPr>
          <w:sz w:val="18"/>
          <w:szCs w:val="18"/>
          <w:lang w:val="es-ES"/>
        </w:rPr>
        <w:tab/>
      </w:r>
      <w:r w:rsidRPr="00F30AB8">
        <w:rPr>
          <w:sz w:val="18"/>
          <w:szCs w:val="18"/>
          <w:lang w:val="es-ES_tradnl"/>
        </w:rPr>
        <w:t>- p&lt;0,005, TCZ vs PBO + MTX</w:t>
      </w:r>
    </w:p>
    <w:p w14:paraId="74C20477" w14:textId="77777777" w:rsidR="00834462" w:rsidRPr="008A106B" w:rsidRDefault="00834462" w:rsidP="00834462">
      <w:pPr>
        <w:rPr>
          <w:b/>
          <w:i/>
          <w:lang w:val="es-ES"/>
        </w:rPr>
      </w:pPr>
    </w:p>
    <w:p w14:paraId="52322FE2" w14:textId="3C381663" w:rsidR="00834462" w:rsidRPr="008A106B" w:rsidRDefault="00834462" w:rsidP="00834462">
      <w:pPr>
        <w:keepNext/>
        <w:keepLines/>
        <w:rPr>
          <w:lang w:val="es-ES"/>
        </w:rPr>
      </w:pPr>
      <w:r w:rsidRPr="008A106B">
        <w:rPr>
          <w:lang w:val="es-ES"/>
        </w:rPr>
        <w:t>Tras 1 añ</w:t>
      </w:r>
      <w:r w:rsidR="00C57BA0">
        <w:rPr>
          <w:lang w:val="es-ES"/>
        </w:rPr>
        <w:t xml:space="preserve">o de tratamiento con </w:t>
      </w:r>
      <w:r w:rsidR="00AC558B">
        <w:rPr>
          <w:szCs w:val="22"/>
          <w:lang w:val="es-ES"/>
        </w:rPr>
        <w:t>tocilizumab</w:t>
      </w:r>
      <w:r w:rsidR="00AC558B" w:rsidRPr="006868F5">
        <w:rPr>
          <w:szCs w:val="22"/>
          <w:lang w:val="es-ES"/>
        </w:rPr>
        <w:t xml:space="preserve"> </w:t>
      </w:r>
      <w:r w:rsidRPr="008A106B">
        <w:rPr>
          <w:lang w:val="es-ES"/>
        </w:rPr>
        <w:t>más MTX, el 85</w:t>
      </w:r>
      <w:r w:rsidR="00BA73E0">
        <w:rPr>
          <w:lang w:val="es-ES"/>
        </w:rPr>
        <w:t xml:space="preserve"> </w:t>
      </w:r>
      <w:r w:rsidRPr="008A106B">
        <w:rPr>
          <w:lang w:val="es-ES"/>
        </w:rPr>
        <w:t>% de los pacientes (n=348) no presentaron progresión del daño estructural, definido por un cambio en el índice total de Sharp de cero o menos, comparado con el 67</w:t>
      </w:r>
      <w:r w:rsidR="00BA73E0">
        <w:rPr>
          <w:lang w:val="es-ES"/>
        </w:rPr>
        <w:t xml:space="preserve"> </w:t>
      </w:r>
      <w:r w:rsidRPr="008A106B">
        <w:rPr>
          <w:lang w:val="es-ES"/>
        </w:rPr>
        <w:t>% de los pacientes tratados con placebo más MTX (n=290) (p</w:t>
      </w:r>
      <w:r w:rsidR="00267243" w:rsidRPr="00F30AB8">
        <w:rPr>
          <w:szCs w:val="22"/>
          <w:lang w:val="es-ES"/>
        </w:rPr>
        <w:t> ≤ </w:t>
      </w:r>
      <w:r w:rsidR="0020159F">
        <w:rPr>
          <w:lang w:val="es-ES"/>
        </w:rPr>
        <w:t>0,</w:t>
      </w:r>
      <w:r w:rsidRPr="008A106B">
        <w:rPr>
          <w:lang w:val="es-ES"/>
        </w:rPr>
        <w:t>0001). Esto se mantuvo consistente tras 2</w:t>
      </w:r>
      <w:r w:rsidR="00267243" w:rsidRPr="00F30AB8">
        <w:rPr>
          <w:szCs w:val="22"/>
          <w:lang w:val="es-ES"/>
        </w:rPr>
        <w:t> </w:t>
      </w:r>
      <w:r w:rsidRPr="008A106B">
        <w:rPr>
          <w:lang w:val="es-ES"/>
        </w:rPr>
        <w:t>años de tratamiento (83</w:t>
      </w:r>
      <w:r w:rsidR="00BA73E0">
        <w:rPr>
          <w:lang w:val="es-ES"/>
        </w:rPr>
        <w:t xml:space="preserve"> </w:t>
      </w:r>
      <w:r w:rsidRPr="008A106B">
        <w:rPr>
          <w:lang w:val="es-ES"/>
        </w:rPr>
        <w:t>%; n= 353). El noventa y tres por ciento (93</w:t>
      </w:r>
      <w:r w:rsidR="00BA73E0">
        <w:rPr>
          <w:lang w:val="es-ES"/>
        </w:rPr>
        <w:t xml:space="preserve"> </w:t>
      </w:r>
      <w:r w:rsidRPr="008A106B">
        <w:rPr>
          <w:lang w:val="es-ES"/>
        </w:rPr>
        <w:t>%; n=271) de los pacientes no presentaron progresión entre la semana</w:t>
      </w:r>
      <w:r w:rsidR="00267243" w:rsidRPr="00F30AB8">
        <w:rPr>
          <w:szCs w:val="22"/>
          <w:lang w:val="es-ES"/>
        </w:rPr>
        <w:t> </w:t>
      </w:r>
      <w:r w:rsidRPr="008A106B">
        <w:rPr>
          <w:lang w:val="es-ES"/>
        </w:rPr>
        <w:t>52 y la semana</w:t>
      </w:r>
      <w:r w:rsidR="00267243" w:rsidRPr="00F30AB8">
        <w:rPr>
          <w:szCs w:val="22"/>
          <w:lang w:val="es-ES"/>
        </w:rPr>
        <w:t> </w:t>
      </w:r>
      <w:r w:rsidRPr="008A106B">
        <w:rPr>
          <w:lang w:val="es-ES"/>
        </w:rPr>
        <w:t>104.</w:t>
      </w:r>
    </w:p>
    <w:p w14:paraId="6A63C53E" w14:textId="77777777" w:rsidR="00834462" w:rsidRPr="008A106B" w:rsidRDefault="00834462" w:rsidP="00F30AB8">
      <w:pPr>
        <w:spacing w:line="160" w:lineRule="exact"/>
        <w:rPr>
          <w:lang w:val="es-ES"/>
        </w:rPr>
      </w:pPr>
    </w:p>
    <w:p w14:paraId="1092DB0E" w14:textId="77777777" w:rsidR="00834462" w:rsidRPr="00F30AB8" w:rsidRDefault="00834462" w:rsidP="00834462">
      <w:pPr>
        <w:rPr>
          <w:i/>
          <w:iCs/>
          <w:u w:val="single"/>
          <w:lang w:val="es-ES"/>
        </w:rPr>
      </w:pPr>
      <w:r w:rsidRPr="00F30AB8">
        <w:rPr>
          <w:i/>
          <w:iCs/>
          <w:u w:val="single"/>
          <w:lang w:val="es-ES_tradnl"/>
        </w:rPr>
        <w:t>Resultados relacionados con la salud y la calidad de vida</w:t>
      </w:r>
    </w:p>
    <w:p w14:paraId="6CEA6167" w14:textId="5AFFE887" w:rsidR="00834462" w:rsidRPr="008A106B" w:rsidRDefault="00834462" w:rsidP="00834462">
      <w:pPr>
        <w:rPr>
          <w:lang w:val="es-ES"/>
        </w:rPr>
      </w:pPr>
      <w:r w:rsidRPr="008A106B">
        <w:rPr>
          <w:lang w:val="es-ES_tradnl"/>
        </w:rPr>
        <w:t xml:space="preserve">Los pacientes tratados con </w:t>
      </w:r>
      <w:r w:rsidR="00AC558B">
        <w:rPr>
          <w:szCs w:val="22"/>
          <w:lang w:val="es-ES"/>
        </w:rPr>
        <w:t>tocilizumab</w:t>
      </w:r>
      <w:r w:rsidR="00AC558B" w:rsidRPr="006868F5">
        <w:rPr>
          <w:szCs w:val="22"/>
          <w:lang w:val="es-ES"/>
        </w:rPr>
        <w:t xml:space="preserve"> </w:t>
      </w:r>
      <w:r w:rsidRPr="008A106B">
        <w:rPr>
          <w:lang w:val="es-ES_tradnl"/>
        </w:rPr>
        <w:t>comunicaron una mejora en todos los resultados notificados (Cuestionario de evaluación de la salud. Índice de Discapacidad (HAQ-DI), Formulario corto 36 (SF-36) y Evaluación funcional del tratamiento de enfermedades crónicas.</w:t>
      </w:r>
      <w:r w:rsidRPr="008A106B">
        <w:rPr>
          <w:lang w:val="es-ES"/>
        </w:rPr>
        <w:t xml:space="preserve"> </w:t>
      </w:r>
      <w:r w:rsidRPr="008A106B">
        <w:rPr>
          <w:lang w:val="es-ES_tradnl"/>
        </w:rPr>
        <w:t>Se observaron mejoras estadísticamente significativas en las puntuaciones de</w:t>
      </w:r>
      <w:r>
        <w:rPr>
          <w:lang w:val="es-ES_tradnl"/>
        </w:rPr>
        <w:t xml:space="preserve"> </w:t>
      </w:r>
      <w:r w:rsidRPr="008A106B">
        <w:rPr>
          <w:lang w:val="es-ES_tradnl"/>
        </w:rPr>
        <w:t xml:space="preserve">HAQ-DI en pacientes tratados con </w:t>
      </w:r>
      <w:r w:rsidR="00AC558B">
        <w:rPr>
          <w:szCs w:val="22"/>
          <w:lang w:val="es-ES"/>
        </w:rPr>
        <w:t>tocilizumab</w:t>
      </w:r>
      <w:r w:rsidRPr="008A106B">
        <w:rPr>
          <w:lang w:val="es-ES_tradnl"/>
        </w:rPr>
        <w:t xml:space="preserve"> en comparación con los pacientes tratados con FAMEs. Durante el periodo abierto del e</w:t>
      </w:r>
      <w:r w:rsidR="00C434A4">
        <w:rPr>
          <w:lang w:val="es-ES_tradnl"/>
        </w:rPr>
        <w:t>nsay</w:t>
      </w:r>
      <w:r w:rsidRPr="008A106B">
        <w:rPr>
          <w:lang w:val="es-ES_tradnl"/>
        </w:rPr>
        <w:t>o II, la mejora de la función física se ha mantenido hasta los 2</w:t>
      </w:r>
      <w:r w:rsidR="00267243" w:rsidRPr="00F30AB8">
        <w:rPr>
          <w:szCs w:val="22"/>
          <w:lang w:val="es-ES"/>
        </w:rPr>
        <w:t> </w:t>
      </w:r>
      <w:r w:rsidRPr="008A106B">
        <w:rPr>
          <w:lang w:val="es-ES_tradnl"/>
        </w:rPr>
        <w:t>años. En la semana</w:t>
      </w:r>
      <w:r w:rsidR="00267243" w:rsidRPr="00F30AB8">
        <w:rPr>
          <w:szCs w:val="22"/>
          <w:lang w:val="es-ES"/>
        </w:rPr>
        <w:t> </w:t>
      </w:r>
      <w:r w:rsidRPr="008A106B">
        <w:rPr>
          <w:lang w:val="es-ES_tradnl"/>
        </w:rPr>
        <w:t>52, el c</w:t>
      </w:r>
      <w:r w:rsidR="0020159F">
        <w:rPr>
          <w:lang w:val="es-ES_tradnl"/>
        </w:rPr>
        <w:t>ambio medio en HAQ-DI fue de -0,</w:t>
      </w:r>
      <w:r w:rsidRPr="008A106B">
        <w:rPr>
          <w:lang w:val="es-ES_tradnl"/>
        </w:rPr>
        <w:t xml:space="preserve">58 en el grupo </w:t>
      </w:r>
      <w:proofErr w:type="gramStart"/>
      <w:r w:rsidRPr="008A106B">
        <w:rPr>
          <w:lang w:val="es-ES_tradnl"/>
        </w:rPr>
        <w:t xml:space="preserve">de </w:t>
      </w:r>
      <w:r w:rsidR="000C13E2" w:rsidRPr="000C13E2">
        <w:rPr>
          <w:szCs w:val="22"/>
          <w:lang w:val="es-ES"/>
        </w:rPr>
        <w:t xml:space="preserve"> </w:t>
      </w:r>
      <w:r w:rsidR="000C13E2">
        <w:rPr>
          <w:szCs w:val="22"/>
          <w:lang w:val="es-ES"/>
        </w:rPr>
        <w:t>tocilizumab</w:t>
      </w:r>
      <w:proofErr w:type="gramEnd"/>
      <w:r w:rsidR="00390733" w:rsidRPr="006868F5">
        <w:rPr>
          <w:szCs w:val="22"/>
          <w:lang w:val="es-ES"/>
        </w:rPr>
        <w:t xml:space="preserve"> </w:t>
      </w:r>
      <w:r w:rsidRPr="008A106B">
        <w:rPr>
          <w:lang w:val="es-ES_tradnl"/>
        </w:rPr>
        <w:t>8</w:t>
      </w:r>
      <w:r w:rsidR="00267243" w:rsidRPr="00F30AB8">
        <w:rPr>
          <w:szCs w:val="22"/>
          <w:lang w:val="es-ES"/>
        </w:rPr>
        <w:t> </w:t>
      </w:r>
      <w:r w:rsidRPr="008A106B">
        <w:rPr>
          <w:lang w:val="es-ES_tradnl"/>
        </w:rPr>
        <w:t>mg/kg más MTX comparado con -0</w:t>
      </w:r>
      <w:r w:rsidR="0020159F">
        <w:rPr>
          <w:lang w:val="es-ES_tradnl"/>
        </w:rPr>
        <w:t>,</w:t>
      </w:r>
      <w:r w:rsidRPr="008A106B">
        <w:rPr>
          <w:lang w:val="es-ES_tradnl"/>
        </w:rPr>
        <w:t>39 del grupo placebo más MTX.</w:t>
      </w:r>
      <w:r w:rsidRPr="008A106B">
        <w:rPr>
          <w:lang w:val="es-ES"/>
        </w:rPr>
        <w:t xml:space="preserve"> El cambio medio en HAQ-DI se mantuvo a la semana</w:t>
      </w:r>
      <w:r w:rsidR="00267243" w:rsidRPr="00F30AB8">
        <w:rPr>
          <w:szCs w:val="22"/>
          <w:lang w:val="es-ES"/>
        </w:rPr>
        <w:t> </w:t>
      </w:r>
      <w:r w:rsidRPr="008A106B">
        <w:rPr>
          <w:lang w:val="es-ES"/>
        </w:rPr>
        <w:t xml:space="preserve">104 en el grupo </w:t>
      </w:r>
      <w:r w:rsidR="00267243">
        <w:rPr>
          <w:szCs w:val="22"/>
          <w:lang w:val="es-ES"/>
        </w:rPr>
        <w:t>tocilizumab</w:t>
      </w:r>
      <w:r w:rsidR="00390733" w:rsidRPr="006868F5">
        <w:rPr>
          <w:szCs w:val="22"/>
          <w:lang w:val="es-ES"/>
        </w:rPr>
        <w:t xml:space="preserve"> </w:t>
      </w:r>
      <w:r w:rsidR="0020159F">
        <w:rPr>
          <w:lang w:val="es-ES"/>
        </w:rPr>
        <w:t>8 mg/kg más MTX (-0,</w:t>
      </w:r>
      <w:r w:rsidRPr="008A106B">
        <w:rPr>
          <w:lang w:val="es-ES"/>
        </w:rPr>
        <w:t>61).</w:t>
      </w:r>
    </w:p>
    <w:p w14:paraId="76A7AAE5" w14:textId="77777777" w:rsidR="00834462" w:rsidRPr="008A106B" w:rsidRDefault="00834462" w:rsidP="00F30AB8">
      <w:pPr>
        <w:numPr>
          <w:ilvl w:val="12"/>
          <w:numId w:val="0"/>
        </w:numPr>
        <w:spacing w:line="220" w:lineRule="atLeast"/>
        <w:rPr>
          <w:i/>
          <w:sz w:val="18"/>
          <w:szCs w:val="18"/>
          <w:lang w:val="es-ES"/>
        </w:rPr>
      </w:pPr>
    </w:p>
    <w:p w14:paraId="19540469" w14:textId="77777777" w:rsidR="00834462" w:rsidRPr="00F30AB8" w:rsidRDefault="00834462" w:rsidP="00834462">
      <w:pPr>
        <w:keepNext/>
        <w:numPr>
          <w:ilvl w:val="12"/>
          <w:numId w:val="0"/>
        </w:numPr>
        <w:rPr>
          <w:u w:val="single"/>
          <w:lang w:val="es-ES"/>
        </w:rPr>
      </w:pPr>
      <w:r w:rsidRPr="00F30AB8">
        <w:rPr>
          <w:i/>
          <w:iCs/>
          <w:u w:val="single"/>
          <w:lang w:val="es-ES_tradnl"/>
        </w:rPr>
        <w:t>Niveles de hemoglobina</w:t>
      </w:r>
      <w:r w:rsidRPr="00F30AB8">
        <w:rPr>
          <w:i/>
          <w:iCs/>
          <w:u w:val="single"/>
          <w:lang w:val="es-ES"/>
        </w:rPr>
        <w:t xml:space="preserve"> </w:t>
      </w:r>
    </w:p>
    <w:p w14:paraId="4739F54E" w14:textId="61C28499" w:rsidR="00834462" w:rsidRPr="008A106B" w:rsidRDefault="00834462" w:rsidP="00834462">
      <w:pPr>
        <w:numPr>
          <w:ilvl w:val="12"/>
          <w:numId w:val="0"/>
        </w:numPr>
        <w:ind w:right="-2"/>
        <w:rPr>
          <w:lang w:val="es-ES"/>
        </w:rPr>
      </w:pPr>
      <w:r w:rsidRPr="008A106B">
        <w:rPr>
          <w:lang w:val="es-ES_tradnl"/>
        </w:rPr>
        <w:t xml:space="preserve">Se observaron mejoras estadísticamente significativas en los niveles de hemoglobina con </w:t>
      </w:r>
      <w:r w:rsidR="004E5573">
        <w:rPr>
          <w:szCs w:val="22"/>
          <w:lang w:val="es-ES"/>
        </w:rPr>
        <w:t>tocilizumab</w:t>
      </w:r>
      <w:r w:rsidR="004E5573" w:rsidRPr="006868F5">
        <w:rPr>
          <w:szCs w:val="22"/>
          <w:lang w:val="es-ES"/>
        </w:rPr>
        <w:t xml:space="preserve"> </w:t>
      </w:r>
      <w:r w:rsidRPr="008A106B">
        <w:rPr>
          <w:lang w:val="es-ES_tradnl"/>
        </w:rPr>
        <w:t>en comparación con los FAMEs (p &lt;</w:t>
      </w:r>
      <w:r w:rsidR="00267243" w:rsidRPr="00F30AB8">
        <w:rPr>
          <w:szCs w:val="22"/>
          <w:lang w:val="es-ES"/>
        </w:rPr>
        <w:t> </w:t>
      </w:r>
      <w:r w:rsidRPr="008A106B">
        <w:rPr>
          <w:lang w:val="es-ES_tradnl"/>
        </w:rPr>
        <w:t>0,0001) en la semana</w:t>
      </w:r>
      <w:r w:rsidR="00267243" w:rsidRPr="00F30AB8">
        <w:rPr>
          <w:szCs w:val="22"/>
          <w:lang w:val="es-ES"/>
        </w:rPr>
        <w:t> </w:t>
      </w:r>
      <w:r w:rsidRPr="008A106B">
        <w:rPr>
          <w:lang w:val="es-ES_tradnl"/>
        </w:rPr>
        <w:t>24. Los niveles medios de hemoglobina aumentaron la semana</w:t>
      </w:r>
      <w:r w:rsidR="00267243" w:rsidRPr="00F30AB8">
        <w:rPr>
          <w:szCs w:val="22"/>
          <w:lang w:val="es-ES"/>
        </w:rPr>
        <w:t> </w:t>
      </w:r>
      <w:r w:rsidRPr="008A106B">
        <w:rPr>
          <w:lang w:val="es-ES_tradnl"/>
        </w:rPr>
        <w:t>2 y permanecieron dentro del intervalo normal hasta la semana</w:t>
      </w:r>
      <w:r w:rsidR="00267243" w:rsidRPr="00F30AB8">
        <w:rPr>
          <w:szCs w:val="22"/>
          <w:lang w:val="es-ES"/>
        </w:rPr>
        <w:t> </w:t>
      </w:r>
      <w:r w:rsidRPr="008A106B">
        <w:rPr>
          <w:lang w:val="es-ES_tradnl"/>
        </w:rPr>
        <w:t>24.</w:t>
      </w:r>
      <w:r w:rsidRPr="008A106B">
        <w:rPr>
          <w:lang w:val="es-ES"/>
        </w:rPr>
        <w:t xml:space="preserve"> </w:t>
      </w:r>
    </w:p>
    <w:p w14:paraId="15847DEA" w14:textId="77777777" w:rsidR="00834462" w:rsidRPr="00265742" w:rsidRDefault="00834462" w:rsidP="00F30AB8">
      <w:pPr>
        <w:spacing w:line="180" w:lineRule="exact"/>
        <w:rPr>
          <w:i/>
          <w:iCs/>
          <w:lang w:val="es-ES"/>
        </w:rPr>
      </w:pPr>
    </w:p>
    <w:p w14:paraId="16DF45EA" w14:textId="247FBA1C" w:rsidR="00834462" w:rsidRPr="00F30AB8" w:rsidRDefault="004E5573" w:rsidP="003569D6">
      <w:pPr>
        <w:keepNext/>
        <w:keepLines/>
        <w:rPr>
          <w:i/>
          <w:u w:val="single"/>
          <w:lang w:val="es-ES"/>
        </w:rPr>
      </w:pPr>
      <w:r w:rsidRPr="00467FFD">
        <w:rPr>
          <w:i/>
          <w:iCs/>
          <w:szCs w:val="22"/>
          <w:u w:val="single"/>
          <w:lang w:val="es-ES"/>
          <w:rPrChange w:id="1216" w:author="AUTHOR">
            <w:rPr>
              <w:szCs w:val="22"/>
              <w:u w:val="single"/>
              <w:lang w:val="es-ES"/>
            </w:rPr>
          </w:rPrChange>
        </w:rPr>
        <w:t>Tocilizumab</w:t>
      </w:r>
      <w:r w:rsidRPr="00F30AB8">
        <w:rPr>
          <w:szCs w:val="22"/>
          <w:u w:val="single"/>
          <w:lang w:val="es-ES"/>
        </w:rPr>
        <w:t xml:space="preserve"> </w:t>
      </w:r>
      <w:r w:rsidR="00834462" w:rsidRPr="00F30AB8">
        <w:rPr>
          <w:i/>
          <w:u w:val="single"/>
          <w:lang w:val="es-ES"/>
        </w:rPr>
        <w:t>versus adalimumab en monoterapia</w:t>
      </w:r>
    </w:p>
    <w:p w14:paraId="0E89D590" w14:textId="0E1D9643" w:rsidR="00834462" w:rsidRDefault="00834462" w:rsidP="003569D6">
      <w:pPr>
        <w:keepNext/>
        <w:keepLines/>
        <w:rPr>
          <w:lang w:val="es-ES"/>
        </w:rPr>
      </w:pPr>
      <w:r w:rsidRPr="008A106B">
        <w:rPr>
          <w:lang w:val="es-ES"/>
        </w:rPr>
        <w:t>E</w:t>
      </w:r>
      <w:r w:rsidR="00E6704E">
        <w:rPr>
          <w:lang w:val="es-ES"/>
        </w:rPr>
        <w:t>n e</w:t>
      </w:r>
      <w:r w:rsidRPr="008A106B">
        <w:rPr>
          <w:lang w:val="es-ES"/>
        </w:rPr>
        <w:t xml:space="preserve">l </w:t>
      </w:r>
      <w:r w:rsidRPr="000911DD">
        <w:rPr>
          <w:lang w:val="es-ES"/>
        </w:rPr>
        <w:t xml:space="preserve">ensayo </w:t>
      </w:r>
      <w:r w:rsidR="00576CC6" w:rsidRPr="009216F0">
        <w:rPr>
          <w:lang w:val="es-ES"/>
        </w:rPr>
        <w:t>VI (</w:t>
      </w:r>
      <w:r w:rsidRPr="009216F0">
        <w:rPr>
          <w:lang w:val="es-ES"/>
        </w:rPr>
        <w:t>WA19924</w:t>
      </w:r>
      <w:r w:rsidR="00576CC6" w:rsidRPr="00D20200">
        <w:rPr>
          <w:lang w:val="es-ES"/>
        </w:rPr>
        <w:t>)</w:t>
      </w:r>
      <w:r w:rsidRPr="00EB73CE">
        <w:rPr>
          <w:lang w:val="es-ES"/>
        </w:rPr>
        <w:t>,</w:t>
      </w:r>
      <w:r w:rsidRPr="008A106B">
        <w:rPr>
          <w:lang w:val="es-ES"/>
        </w:rPr>
        <w:t xml:space="preserve"> un ensayo doble ciego de 24</w:t>
      </w:r>
      <w:r w:rsidR="00267243" w:rsidRPr="00F30AB8">
        <w:rPr>
          <w:szCs w:val="22"/>
          <w:lang w:val="es-ES"/>
        </w:rPr>
        <w:t> </w:t>
      </w:r>
      <w:r w:rsidRPr="008A106B">
        <w:rPr>
          <w:lang w:val="es-ES"/>
        </w:rPr>
        <w:t xml:space="preserve">semanas que comparó </w:t>
      </w:r>
      <w:r w:rsidR="004E5573">
        <w:rPr>
          <w:szCs w:val="22"/>
          <w:lang w:val="es-ES"/>
        </w:rPr>
        <w:t>tocilizumab</w:t>
      </w:r>
      <w:r w:rsidR="004E5573" w:rsidRPr="006868F5">
        <w:rPr>
          <w:szCs w:val="22"/>
          <w:lang w:val="es-ES"/>
        </w:rPr>
        <w:t xml:space="preserve"> </w:t>
      </w:r>
      <w:r w:rsidRPr="008A106B">
        <w:rPr>
          <w:lang w:val="es-ES"/>
        </w:rPr>
        <w:t>en monoterapia con adalimumab en monoterapia,</w:t>
      </w:r>
      <w:r>
        <w:rPr>
          <w:lang w:val="es-ES"/>
        </w:rPr>
        <w:t xml:space="preserve"> </w:t>
      </w:r>
      <w:r w:rsidRPr="008A106B">
        <w:rPr>
          <w:lang w:val="es-ES"/>
        </w:rPr>
        <w:t>se evaluó a 326</w:t>
      </w:r>
      <w:r w:rsidR="00267243" w:rsidRPr="00F30AB8">
        <w:rPr>
          <w:szCs w:val="22"/>
          <w:lang w:val="es-ES"/>
        </w:rPr>
        <w:t> </w:t>
      </w:r>
      <w:r w:rsidRPr="008A106B">
        <w:rPr>
          <w:lang w:val="es-ES"/>
        </w:rPr>
        <w:t xml:space="preserve">pacientes con AR que eran intolerantes a MTX o dónde el tratamiento continuado con MTX se consideraba inapropiado (incluyendo respondedores inadecuados a MTX). Los pacientes en el </w:t>
      </w:r>
      <w:del w:id="1217" w:author="AUTHOR">
        <w:r w:rsidRPr="008A106B" w:rsidDel="004E273B">
          <w:rPr>
            <w:lang w:val="es-ES"/>
          </w:rPr>
          <w:delText>brazo</w:delText>
        </w:r>
      </w:del>
      <w:ins w:id="1218" w:author="AUTHOR">
        <w:r w:rsidR="004E273B">
          <w:rPr>
            <w:lang w:val="es-ES"/>
          </w:rPr>
          <w:t>grupo</w:t>
        </w:r>
      </w:ins>
      <w:r w:rsidRPr="008A106B">
        <w:rPr>
          <w:lang w:val="es-ES"/>
        </w:rPr>
        <w:t xml:space="preserve"> de </w:t>
      </w:r>
      <w:r w:rsidR="004E5573">
        <w:rPr>
          <w:szCs w:val="22"/>
          <w:lang w:val="es-ES"/>
        </w:rPr>
        <w:t>tocilizumab</w:t>
      </w:r>
      <w:r w:rsidR="004E5573" w:rsidRPr="006868F5">
        <w:rPr>
          <w:szCs w:val="22"/>
          <w:lang w:val="es-ES"/>
        </w:rPr>
        <w:t xml:space="preserve"> </w:t>
      </w:r>
      <w:r w:rsidRPr="008A106B">
        <w:rPr>
          <w:lang w:val="es-ES"/>
        </w:rPr>
        <w:t xml:space="preserve">recibieron </w:t>
      </w:r>
      <w:r w:rsidR="004E5573">
        <w:rPr>
          <w:lang w:val="es-ES"/>
        </w:rPr>
        <w:t xml:space="preserve">un tratamiento de </w:t>
      </w:r>
      <w:r w:rsidRPr="008A106B">
        <w:rPr>
          <w:lang w:val="es-ES"/>
        </w:rPr>
        <w:t xml:space="preserve">una perfusión intravenosa  de </w:t>
      </w:r>
      <w:r w:rsidR="00390733" w:rsidRPr="006868F5">
        <w:rPr>
          <w:szCs w:val="22"/>
          <w:lang w:val="es-ES"/>
        </w:rPr>
        <w:t xml:space="preserve"> </w:t>
      </w:r>
      <w:r w:rsidRPr="008A106B">
        <w:rPr>
          <w:lang w:val="es-ES"/>
        </w:rPr>
        <w:t>(8</w:t>
      </w:r>
      <w:r w:rsidR="00267243" w:rsidRPr="00F30AB8">
        <w:rPr>
          <w:szCs w:val="22"/>
          <w:lang w:val="es-ES"/>
        </w:rPr>
        <w:t> </w:t>
      </w:r>
      <w:r w:rsidRPr="008A106B">
        <w:rPr>
          <w:lang w:val="es-ES"/>
        </w:rPr>
        <w:t>mg/kg) cada 4</w:t>
      </w:r>
      <w:r w:rsidR="00267243" w:rsidRPr="00F30AB8">
        <w:rPr>
          <w:szCs w:val="22"/>
          <w:lang w:val="es-ES"/>
        </w:rPr>
        <w:t> </w:t>
      </w:r>
      <w:r w:rsidRPr="008A106B">
        <w:rPr>
          <w:lang w:val="es-ES"/>
        </w:rPr>
        <w:t>semanas (q4w) y una inyección subcutánea (SC) de placebo cada 2</w:t>
      </w:r>
      <w:r w:rsidR="00267243" w:rsidRPr="00F30AB8">
        <w:rPr>
          <w:szCs w:val="22"/>
          <w:lang w:val="es-ES"/>
        </w:rPr>
        <w:t> </w:t>
      </w:r>
      <w:r w:rsidRPr="008A106B">
        <w:rPr>
          <w:lang w:val="es-ES"/>
        </w:rPr>
        <w:t xml:space="preserve">semanas (q2w). Los pacientes en el </w:t>
      </w:r>
      <w:del w:id="1219" w:author="AUTHOR">
        <w:r w:rsidRPr="008A106B" w:rsidDel="004E273B">
          <w:rPr>
            <w:lang w:val="es-ES"/>
          </w:rPr>
          <w:delText>brazo</w:delText>
        </w:r>
      </w:del>
      <w:ins w:id="1220" w:author="AUTHOR">
        <w:r w:rsidR="004E273B">
          <w:rPr>
            <w:lang w:val="es-ES"/>
          </w:rPr>
          <w:t>grupo</w:t>
        </w:r>
      </w:ins>
      <w:r w:rsidRPr="008A106B">
        <w:rPr>
          <w:lang w:val="es-ES"/>
        </w:rPr>
        <w:t xml:space="preserve"> de adalimumab recibieron una inyección </w:t>
      </w:r>
      <w:r w:rsidR="00267243">
        <w:rPr>
          <w:lang w:val="es-ES"/>
        </w:rPr>
        <w:t>subcutánea</w:t>
      </w:r>
      <w:r w:rsidR="00267243" w:rsidRPr="008A106B">
        <w:rPr>
          <w:lang w:val="es-ES"/>
        </w:rPr>
        <w:t xml:space="preserve"> </w:t>
      </w:r>
      <w:r w:rsidRPr="008A106B">
        <w:rPr>
          <w:lang w:val="es-ES"/>
        </w:rPr>
        <w:t>de adalimumab (40 mg) cada 2</w:t>
      </w:r>
      <w:r w:rsidR="00267243" w:rsidRPr="00F30AB8">
        <w:rPr>
          <w:szCs w:val="22"/>
          <w:lang w:val="es-ES"/>
        </w:rPr>
        <w:t> </w:t>
      </w:r>
      <w:r w:rsidRPr="008A106B">
        <w:rPr>
          <w:lang w:val="es-ES"/>
        </w:rPr>
        <w:t xml:space="preserve">semanas (q2w) más una perfusión </w:t>
      </w:r>
      <w:r w:rsidR="004E5573">
        <w:rPr>
          <w:lang w:val="es-ES"/>
        </w:rPr>
        <w:t>intravenosa</w:t>
      </w:r>
      <w:r w:rsidRPr="008A106B">
        <w:rPr>
          <w:lang w:val="es-ES"/>
        </w:rPr>
        <w:t xml:space="preserve"> de placebo cada 4</w:t>
      </w:r>
      <w:r w:rsidR="00267243" w:rsidRPr="00F30AB8">
        <w:rPr>
          <w:szCs w:val="22"/>
          <w:lang w:val="es-ES"/>
        </w:rPr>
        <w:t> </w:t>
      </w:r>
      <w:r w:rsidRPr="008A106B">
        <w:rPr>
          <w:lang w:val="es-ES"/>
        </w:rPr>
        <w:t>semanas (q4w).</w:t>
      </w:r>
    </w:p>
    <w:p w14:paraId="58D2A797" w14:textId="77777777" w:rsidR="000E0876" w:rsidRPr="008A106B" w:rsidRDefault="000E0876" w:rsidP="00F30AB8">
      <w:pPr>
        <w:spacing w:line="180" w:lineRule="exact"/>
        <w:rPr>
          <w:lang w:val="es-ES"/>
        </w:rPr>
      </w:pPr>
    </w:p>
    <w:p w14:paraId="24742120" w14:textId="5148BD4E" w:rsidR="00834462" w:rsidRPr="008A106B" w:rsidRDefault="00834462" w:rsidP="00834462">
      <w:pPr>
        <w:rPr>
          <w:lang w:val="es-ES"/>
        </w:rPr>
      </w:pPr>
      <w:r w:rsidRPr="008A106B">
        <w:rPr>
          <w:lang w:val="es-ES"/>
        </w:rPr>
        <w:t xml:space="preserve">Se observó un efecto de tratamiento superior, estadísticamente significativo de </w:t>
      </w:r>
      <w:r w:rsidR="004E5573">
        <w:rPr>
          <w:szCs w:val="22"/>
          <w:lang w:val="es-ES"/>
        </w:rPr>
        <w:t>tocilizumab</w:t>
      </w:r>
      <w:r w:rsidR="004E5573" w:rsidRPr="006868F5">
        <w:rPr>
          <w:szCs w:val="22"/>
          <w:lang w:val="es-ES"/>
        </w:rPr>
        <w:t xml:space="preserve"> </w:t>
      </w:r>
      <w:r w:rsidRPr="008A106B">
        <w:rPr>
          <w:lang w:val="es-ES"/>
        </w:rPr>
        <w:t>sobre adalimumab, en el control de la actividad de la enfermedad, desde el valor basal a la semana</w:t>
      </w:r>
      <w:r w:rsidR="00267243" w:rsidRPr="00F30AB8">
        <w:rPr>
          <w:szCs w:val="22"/>
          <w:lang w:val="es-ES"/>
        </w:rPr>
        <w:t> </w:t>
      </w:r>
      <w:r w:rsidRPr="008A106B">
        <w:rPr>
          <w:lang w:val="es-ES"/>
        </w:rPr>
        <w:t xml:space="preserve">24, para la variable </w:t>
      </w:r>
      <w:del w:id="1221" w:author="AUTHOR">
        <w:r w:rsidRPr="008A106B" w:rsidDel="00613A5B">
          <w:rPr>
            <w:lang w:val="es-ES"/>
          </w:rPr>
          <w:delText xml:space="preserve">primaria </w:delText>
        </w:r>
      </w:del>
      <w:ins w:id="1222" w:author="AUTHOR">
        <w:r w:rsidR="00613A5B">
          <w:rPr>
            <w:lang w:val="es-ES"/>
          </w:rPr>
          <w:t>principal</w:t>
        </w:r>
        <w:r w:rsidR="00613A5B" w:rsidRPr="008A106B">
          <w:rPr>
            <w:lang w:val="es-ES"/>
          </w:rPr>
          <w:t xml:space="preserve"> </w:t>
        </w:r>
      </w:ins>
      <w:r w:rsidRPr="008A106B">
        <w:rPr>
          <w:lang w:val="es-ES"/>
        </w:rPr>
        <w:t>cambio en DAS28 y para todas las variables secundarias (</w:t>
      </w:r>
      <w:r w:rsidR="00852BE8">
        <w:rPr>
          <w:lang w:val="es-ES"/>
        </w:rPr>
        <w:t xml:space="preserve">ver </w:t>
      </w:r>
      <w:r w:rsidRPr="008A106B">
        <w:rPr>
          <w:lang w:val="es-ES"/>
        </w:rPr>
        <w:t>Tabla</w:t>
      </w:r>
      <w:r w:rsidR="00267243" w:rsidRPr="00F30AB8">
        <w:rPr>
          <w:szCs w:val="22"/>
          <w:lang w:val="es-ES"/>
        </w:rPr>
        <w:t> </w:t>
      </w:r>
      <w:r w:rsidR="00513DDB">
        <w:rPr>
          <w:lang w:val="es-ES"/>
        </w:rPr>
        <w:t>7</w:t>
      </w:r>
      <w:r w:rsidRPr="008A106B">
        <w:rPr>
          <w:lang w:val="es-ES"/>
        </w:rPr>
        <w:t>).</w:t>
      </w:r>
    </w:p>
    <w:p w14:paraId="1627973A" w14:textId="77777777" w:rsidR="00834462" w:rsidRPr="008A106B" w:rsidRDefault="00834462" w:rsidP="00F30AB8">
      <w:pPr>
        <w:numPr>
          <w:ilvl w:val="12"/>
          <w:numId w:val="0"/>
        </w:numPr>
        <w:spacing w:line="160" w:lineRule="exact"/>
        <w:rPr>
          <w:lang w:val="es-ES"/>
        </w:rPr>
      </w:pPr>
    </w:p>
    <w:p w14:paraId="07E1544E" w14:textId="77777777" w:rsidR="00834462" w:rsidRDefault="00834462">
      <w:pPr>
        <w:keepNext/>
        <w:keepLines/>
        <w:widowControl w:val="0"/>
        <w:rPr>
          <w:bCs/>
          <w:i/>
          <w:lang w:val="es-ES"/>
        </w:rPr>
        <w:pPrChange w:id="1223" w:author="tcs" w:date="2026-02-26T11:03:00Z">
          <w:pPr>
            <w:keepNext/>
            <w:keepLines/>
          </w:pPr>
        </w:pPrChange>
      </w:pPr>
      <w:r w:rsidRPr="008A106B">
        <w:rPr>
          <w:i/>
          <w:lang w:val="es-ES"/>
        </w:rPr>
        <w:lastRenderedPageBreak/>
        <w:t>Tabla</w:t>
      </w:r>
      <w:r w:rsidR="00D54DB5">
        <w:rPr>
          <w:i/>
          <w:lang w:val="es-ES"/>
        </w:rPr>
        <w:t xml:space="preserve"> </w:t>
      </w:r>
      <w:r w:rsidR="00513DDB">
        <w:rPr>
          <w:i/>
          <w:lang w:val="es-ES"/>
        </w:rPr>
        <w:t>7</w:t>
      </w:r>
      <w:r w:rsidRPr="008A106B">
        <w:rPr>
          <w:i/>
          <w:lang w:val="es-ES"/>
        </w:rPr>
        <w:t xml:space="preserve">: Resultados de eficacia para el ensayo </w:t>
      </w:r>
      <w:r w:rsidR="00762815">
        <w:rPr>
          <w:i/>
          <w:lang w:val="es-ES"/>
        </w:rPr>
        <w:t>VI (</w:t>
      </w:r>
      <w:r w:rsidRPr="008A106B">
        <w:rPr>
          <w:bCs/>
          <w:i/>
          <w:lang w:val="es-ES"/>
        </w:rPr>
        <w:t>WA19924</w:t>
      </w:r>
      <w:r w:rsidR="00762815">
        <w:rPr>
          <w:bCs/>
          <w:i/>
          <w:lang w:val="es-ES"/>
        </w:rPr>
        <w:t>)</w:t>
      </w:r>
    </w:p>
    <w:p w14:paraId="6A6BEBB5" w14:textId="77777777" w:rsidR="000F0DA6" w:rsidRPr="008A106B" w:rsidRDefault="000F0DA6">
      <w:pPr>
        <w:keepNext/>
        <w:keepLines/>
        <w:widowControl w:val="0"/>
        <w:spacing w:line="200" w:lineRule="exact"/>
        <w:rPr>
          <w:bCs/>
          <w:i/>
          <w:lang w:val="es-ES"/>
        </w:rPr>
        <w:pPrChange w:id="1224" w:author="tcs" w:date="2026-02-26T11:03:00Z">
          <w:pPr>
            <w:keepNext/>
            <w:keepLines/>
            <w:spacing w:line="200" w:lineRule="exact"/>
          </w:pPr>
        </w:pPrChange>
      </w:pPr>
    </w:p>
    <w:tbl>
      <w:tblPr>
        <w:tblW w:w="7951" w:type="dxa"/>
        <w:tblInd w:w="57" w:type="dxa"/>
        <w:tblLayout w:type="fixed"/>
        <w:tblCellMar>
          <w:left w:w="0" w:type="dxa"/>
          <w:right w:w="0" w:type="dxa"/>
        </w:tblCellMar>
        <w:tblLook w:val="04A0" w:firstRow="1" w:lastRow="0" w:firstColumn="1" w:lastColumn="0" w:noHBand="0" w:noVBand="1"/>
      </w:tblPr>
      <w:tblGrid>
        <w:gridCol w:w="3351"/>
        <w:gridCol w:w="1610"/>
        <w:gridCol w:w="1701"/>
        <w:gridCol w:w="1275"/>
        <w:gridCol w:w="14"/>
      </w:tblGrid>
      <w:tr w:rsidR="00834462" w:rsidRPr="008A106B" w14:paraId="58828178" w14:textId="77777777" w:rsidTr="001F7A68">
        <w:trPr>
          <w:gridAfter w:val="1"/>
          <w:wAfter w:w="14" w:type="dxa"/>
          <w:cantSplit/>
        </w:trPr>
        <w:tc>
          <w:tcPr>
            <w:tcW w:w="335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493E6182" w14:textId="77777777" w:rsidR="00834462" w:rsidRPr="005A5612" w:rsidRDefault="00834462">
            <w:pPr>
              <w:keepNext/>
              <w:keepLines/>
              <w:widowControl w:val="0"/>
              <w:spacing w:line="220" w:lineRule="exact"/>
              <w:rPr>
                <w:sz w:val="20"/>
                <w:lang w:val="es-ES" w:eastAsia="zh-TW"/>
              </w:rPr>
              <w:pPrChange w:id="1225" w:author="tcs" w:date="2026-02-26T11:03:00Z">
                <w:pPr>
                  <w:keepNext/>
                  <w:keepLines/>
                  <w:spacing w:line="220" w:lineRule="exact"/>
                </w:pPr>
              </w:pPrChange>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792FA17F" w14:textId="77777777" w:rsidR="00834462" w:rsidRPr="008A106B" w:rsidRDefault="00834462">
            <w:pPr>
              <w:keepNext/>
              <w:keepLines/>
              <w:widowControl w:val="0"/>
              <w:spacing w:before="50" w:after="50" w:line="220" w:lineRule="exact"/>
              <w:jc w:val="center"/>
              <w:rPr>
                <w:rFonts w:eastAsia="SimSun"/>
                <w:b/>
                <w:sz w:val="16"/>
                <w:lang w:eastAsia="zh-CN"/>
              </w:rPr>
              <w:pPrChange w:id="1226" w:author="tcs" w:date="2026-02-26T11:03:00Z">
                <w:pPr>
                  <w:keepNext/>
                  <w:keepLines/>
                  <w:spacing w:before="50" w:after="50" w:line="220" w:lineRule="exact"/>
                  <w:jc w:val="center"/>
                </w:pPr>
              </w:pPrChange>
            </w:pPr>
            <w:r w:rsidRPr="008A106B">
              <w:rPr>
                <w:rFonts w:eastAsia="SimSun"/>
                <w:b/>
                <w:sz w:val="16"/>
                <w:lang w:eastAsia="zh-CN"/>
              </w:rPr>
              <w:t>ADA + Placebo (IV)</w:t>
            </w:r>
          </w:p>
          <w:p w14:paraId="33538D35" w14:textId="31E1537B" w:rsidR="00834462" w:rsidRPr="008A106B" w:rsidRDefault="00834462">
            <w:pPr>
              <w:keepNext/>
              <w:keepLines/>
              <w:widowControl w:val="0"/>
              <w:spacing w:before="50" w:after="50" w:line="220" w:lineRule="exact"/>
              <w:jc w:val="center"/>
              <w:rPr>
                <w:rFonts w:eastAsia="SimSun"/>
                <w:b/>
                <w:sz w:val="16"/>
                <w:lang w:eastAsia="zh-CN"/>
              </w:rPr>
              <w:pPrChange w:id="1227" w:author="tcs" w:date="2026-02-26T11:03:00Z">
                <w:pPr>
                  <w:keepNext/>
                  <w:keepLines/>
                  <w:spacing w:before="50" w:after="50" w:line="220" w:lineRule="exact"/>
                  <w:jc w:val="center"/>
                </w:pPr>
              </w:pPrChange>
            </w:pPr>
            <w:del w:id="1228" w:author="AUTHOR">
              <w:r w:rsidRPr="008A106B" w:rsidDel="000228E7">
                <w:rPr>
                  <w:rFonts w:eastAsia="SimSun"/>
                  <w:b/>
                  <w:sz w:val="16"/>
                  <w:lang w:eastAsia="zh-CN"/>
                </w:rPr>
                <w:delText xml:space="preserve">N </w:delText>
              </w:r>
            </w:del>
            <w:ins w:id="1229" w:author="AUTHOR">
              <w:r w:rsidR="000228E7">
                <w:rPr>
                  <w:rFonts w:eastAsia="SimSun"/>
                  <w:b/>
                  <w:sz w:val="16"/>
                  <w:lang w:eastAsia="zh-CN"/>
                </w:rPr>
                <w:t>n</w:t>
              </w:r>
              <w:r w:rsidR="000228E7" w:rsidRPr="008A106B">
                <w:rPr>
                  <w:rFonts w:eastAsia="SimSun"/>
                  <w:b/>
                  <w:sz w:val="16"/>
                  <w:lang w:eastAsia="zh-CN"/>
                </w:rPr>
                <w:t xml:space="preserve"> </w:t>
              </w:r>
            </w:ins>
            <w:r w:rsidRPr="008A106B">
              <w:rPr>
                <w:rFonts w:eastAsia="SimSun"/>
                <w:b/>
                <w:sz w:val="16"/>
                <w:lang w:eastAsia="zh-CN"/>
              </w:rPr>
              <w:t>=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275CFEB3" w14:textId="77777777" w:rsidR="00834462" w:rsidRPr="008A106B" w:rsidRDefault="00834462">
            <w:pPr>
              <w:keepNext/>
              <w:keepLines/>
              <w:widowControl w:val="0"/>
              <w:spacing w:before="50" w:after="50" w:line="220" w:lineRule="exact"/>
              <w:jc w:val="center"/>
              <w:rPr>
                <w:rFonts w:eastAsia="SimSun"/>
                <w:b/>
                <w:sz w:val="16"/>
                <w:lang w:eastAsia="zh-CN"/>
              </w:rPr>
              <w:pPrChange w:id="1230" w:author="tcs" w:date="2026-02-26T11:03:00Z">
                <w:pPr>
                  <w:keepNext/>
                  <w:keepLines/>
                  <w:spacing w:before="50" w:after="50" w:line="220" w:lineRule="exact"/>
                  <w:jc w:val="center"/>
                </w:pPr>
              </w:pPrChange>
            </w:pPr>
            <w:r w:rsidRPr="008A106B">
              <w:rPr>
                <w:rFonts w:eastAsia="SimSun"/>
                <w:b/>
                <w:sz w:val="16"/>
                <w:lang w:eastAsia="zh-CN"/>
              </w:rPr>
              <w:t>TCZ + Placebo (SC)</w:t>
            </w:r>
          </w:p>
          <w:p w14:paraId="35A3E7B4" w14:textId="4BB6F00E" w:rsidR="00834462" w:rsidRPr="008A106B" w:rsidRDefault="00834462">
            <w:pPr>
              <w:keepNext/>
              <w:keepLines/>
              <w:widowControl w:val="0"/>
              <w:spacing w:before="50" w:after="50" w:line="220" w:lineRule="exact"/>
              <w:jc w:val="center"/>
              <w:rPr>
                <w:rFonts w:eastAsia="SimSun"/>
                <w:b/>
                <w:sz w:val="16"/>
                <w:lang w:eastAsia="zh-CN"/>
              </w:rPr>
              <w:pPrChange w:id="1231" w:author="tcs" w:date="2026-02-26T11:03:00Z">
                <w:pPr>
                  <w:keepNext/>
                  <w:keepLines/>
                  <w:spacing w:before="50" w:after="50" w:line="220" w:lineRule="exact"/>
                  <w:jc w:val="center"/>
                </w:pPr>
              </w:pPrChange>
            </w:pPr>
            <w:del w:id="1232" w:author="AUTHOR">
              <w:r w:rsidRPr="008A106B" w:rsidDel="000228E7">
                <w:rPr>
                  <w:rFonts w:eastAsia="SimSun"/>
                  <w:b/>
                  <w:sz w:val="16"/>
                  <w:lang w:eastAsia="zh-CN"/>
                </w:rPr>
                <w:delText xml:space="preserve">N </w:delText>
              </w:r>
            </w:del>
            <w:ins w:id="1233" w:author="AUTHOR">
              <w:r w:rsidR="000228E7">
                <w:rPr>
                  <w:rFonts w:eastAsia="SimSun"/>
                  <w:b/>
                  <w:sz w:val="16"/>
                  <w:lang w:eastAsia="zh-CN"/>
                </w:rPr>
                <w:t>n</w:t>
              </w:r>
              <w:r w:rsidR="000228E7" w:rsidRPr="008A106B">
                <w:rPr>
                  <w:rFonts w:eastAsia="SimSun"/>
                  <w:b/>
                  <w:sz w:val="16"/>
                  <w:lang w:eastAsia="zh-CN"/>
                </w:rPr>
                <w:t xml:space="preserve"> </w:t>
              </w:r>
            </w:ins>
            <w:r w:rsidRPr="008A106B">
              <w:rPr>
                <w:rFonts w:eastAsia="SimSun"/>
                <w:b/>
                <w:sz w:val="16"/>
                <w:lang w:eastAsia="zh-CN"/>
              </w:rPr>
              <w:t>=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6BFCB396" w14:textId="77777777" w:rsidR="00834462" w:rsidRPr="008A106B" w:rsidRDefault="00834462">
            <w:pPr>
              <w:keepNext/>
              <w:keepLines/>
              <w:widowControl w:val="0"/>
              <w:spacing w:before="50" w:after="50" w:line="220" w:lineRule="exact"/>
              <w:jc w:val="center"/>
              <w:rPr>
                <w:rFonts w:eastAsia="SimSun"/>
                <w:sz w:val="16"/>
                <w:lang w:eastAsia="zh-CN"/>
              </w:rPr>
              <w:pPrChange w:id="1234" w:author="tcs" w:date="2026-02-26T11:03:00Z">
                <w:pPr>
                  <w:keepNext/>
                  <w:keepLines/>
                  <w:spacing w:before="50" w:after="50" w:line="220" w:lineRule="exact"/>
                  <w:jc w:val="center"/>
                </w:pPr>
              </w:pPrChange>
            </w:pPr>
            <w:r w:rsidRPr="008A106B">
              <w:rPr>
                <w:rFonts w:eastAsia="SimSun"/>
                <w:sz w:val="16"/>
                <w:lang w:eastAsia="zh-CN"/>
              </w:rPr>
              <w:t>Valor-p</w:t>
            </w:r>
            <w:r w:rsidRPr="008A106B">
              <w:rPr>
                <w:rFonts w:eastAsia="SimSun"/>
                <w:b/>
                <w:sz w:val="16"/>
                <w:vertAlign w:val="superscript"/>
                <w:lang w:eastAsia="zh-CN"/>
              </w:rPr>
              <w:t>(a)</w:t>
            </w:r>
          </w:p>
        </w:tc>
      </w:tr>
      <w:tr w:rsidR="00834462" w:rsidRPr="00541248" w14:paraId="21078DF6" w14:textId="77777777" w:rsidTr="001F7A68">
        <w:trPr>
          <w:cantSplit/>
        </w:trPr>
        <w:tc>
          <w:tcPr>
            <w:tcW w:w="7951" w:type="dxa"/>
            <w:gridSpan w:val="5"/>
            <w:tcBorders>
              <w:top w:val="nil"/>
              <w:left w:val="single" w:sz="4" w:space="0" w:color="auto"/>
              <w:bottom w:val="nil"/>
              <w:right w:val="single" w:sz="8" w:space="0" w:color="auto"/>
            </w:tcBorders>
            <w:tcMar>
              <w:top w:w="0" w:type="dxa"/>
              <w:left w:w="57" w:type="dxa"/>
              <w:bottom w:w="0" w:type="dxa"/>
              <w:right w:w="57" w:type="dxa"/>
            </w:tcMar>
          </w:tcPr>
          <w:p w14:paraId="21ADBBBA" w14:textId="2F30A50B" w:rsidR="00834462" w:rsidRPr="008A106B" w:rsidRDefault="00834462">
            <w:pPr>
              <w:keepNext/>
              <w:keepLines/>
              <w:widowControl w:val="0"/>
              <w:spacing w:before="50" w:after="50" w:line="240" w:lineRule="exact"/>
              <w:rPr>
                <w:rFonts w:eastAsia="SimSun"/>
                <w:sz w:val="16"/>
                <w:lang w:val="es-ES" w:eastAsia="zh-CN"/>
              </w:rPr>
              <w:pPrChange w:id="1235" w:author="tcs" w:date="2026-02-26T11:03:00Z">
                <w:pPr>
                  <w:keepNext/>
                  <w:keepLines/>
                  <w:spacing w:before="50" w:after="50" w:line="240" w:lineRule="exact"/>
                </w:pPr>
              </w:pPrChange>
            </w:pPr>
            <w:r w:rsidRPr="008A106B">
              <w:rPr>
                <w:rFonts w:eastAsia="SimSun"/>
                <w:b/>
                <w:sz w:val="16"/>
                <w:lang w:val="es-ES" w:eastAsia="zh-CN"/>
              </w:rPr>
              <w:t xml:space="preserve">Variable </w:t>
            </w:r>
            <w:ins w:id="1236" w:author="AUTHOR">
              <w:r w:rsidR="00613A5B" w:rsidRPr="00467FFD">
                <w:rPr>
                  <w:rFonts w:eastAsia="SimSun"/>
                  <w:b/>
                  <w:sz w:val="16"/>
                  <w:lang w:val="es-ES" w:eastAsia="zh-CN"/>
                  <w:rPrChange w:id="1237" w:author="AUTHOR">
                    <w:rPr>
                      <w:lang w:val="es-ES"/>
                    </w:rPr>
                  </w:rPrChange>
                </w:rPr>
                <w:t>principal</w:t>
              </w:r>
            </w:ins>
            <w:del w:id="1238" w:author="AUTHOR">
              <w:r w:rsidRPr="008A106B" w:rsidDel="00613A5B">
                <w:rPr>
                  <w:rFonts w:eastAsia="SimSun"/>
                  <w:b/>
                  <w:sz w:val="16"/>
                  <w:lang w:val="es-ES" w:eastAsia="zh-CN"/>
                </w:rPr>
                <w:delText>primaria</w:delText>
              </w:r>
            </w:del>
            <w:r w:rsidRPr="008A106B">
              <w:rPr>
                <w:rFonts w:eastAsia="SimSun"/>
                <w:b/>
                <w:sz w:val="16"/>
                <w:lang w:val="es-ES" w:eastAsia="zh-CN"/>
              </w:rPr>
              <w:t xml:space="preserve"> – Media ajustada desde el valor basal a la semana 24</w:t>
            </w:r>
          </w:p>
        </w:tc>
      </w:tr>
      <w:tr w:rsidR="00834462" w:rsidRPr="008A106B" w14:paraId="5C7BB83D" w14:textId="77777777" w:rsidTr="001F7A68">
        <w:trPr>
          <w:gridAfter w:val="1"/>
          <w:wAfter w:w="14" w:type="dxa"/>
          <w:cantSplit/>
        </w:trPr>
        <w:tc>
          <w:tcPr>
            <w:tcW w:w="3351" w:type="dxa"/>
            <w:tcBorders>
              <w:top w:val="single" w:sz="4" w:space="0" w:color="auto"/>
              <w:left w:val="single" w:sz="4" w:space="0" w:color="auto"/>
              <w:bottom w:val="nil"/>
              <w:right w:val="nil"/>
            </w:tcBorders>
            <w:tcMar>
              <w:top w:w="0" w:type="dxa"/>
              <w:left w:w="57" w:type="dxa"/>
              <w:bottom w:w="0" w:type="dxa"/>
              <w:right w:w="57" w:type="dxa"/>
            </w:tcMar>
          </w:tcPr>
          <w:p w14:paraId="39DDE378" w14:textId="77777777" w:rsidR="00834462" w:rsidRPr="008A106B" w:rsidRDefault="00834462">
            <w:pPr>
              <w:keepNext/>
              <w:keepLines/>
              <w:widowControl w:val="0"/>
              <w:spacing w:before="50" w:after="50" w:line="220" w:lineRule="exact"/>
              <w:jc w:val="right"/>
              <w:rPr>
                <w:rFonts w:eastAsia="SimSun"/>
                <w:b/>
                <w:sz w:val="16"/>
                <w:lang w:eastAsia="zh-CN"/>
              </w:rPr>
              <w:pPrChange w:id="1239" w:author="tcs" w:date="2026-02-26T11:03:00Z">
                <w:pPr>
                  <w:keepNext/>
                  <w:keepLines/>
                  <w:spacing w:before="50" w:after="50" w:line="220" w:lineRule="exact"/>
                  <w:jc w:val="right"/>
                </w:pPr>
              </w:pPrChange>
            </w:pPr>
            <w:r w:rsidRPr="008A106B">
              <w:rPr>
                <w:rFonts w:eastAsia="SimSun"/>
                <w:b/>
                <w:sz w:val="16"/>
                <w:lang w:eastAsia="zh-CN"/>
              </w:rPr>
              <w:t xml:space="preserve">DAS28 (media ajustada) </w:t>
            </w:r>
          </w:p>
        </w:tc>
        <w:tc>
          <w:tcPr>
            <w:tcW w:w="1610" w:type="dxa"/>
            <w:tcBorders>
              <w:top w:val="single" w:sz="4" w:space="0" w:color="auto"/>
              <w:left w:val="nil"/>
              <w:bottom w:val="nil"/>
              <w:right w:val="nil"/>
            </w:tcBorders>
            <w:tcMar>
              <w:top w:w="0" w:type="dxa"/>
              <w:left w:w="57" w:type="dxa"/>
              <w:bottom w:w="0" w:type="dxa"/>
              <w:right w:w="57" w:type="dxa"/>
            </w:tcMar>
          </w:tcPr>
          <w:p w14:paraId="106C48EA" w14:textId="77777777" w:rsidR="00834462" w:rsidRPr="008A106B" w:rsidRDefault="00834462">
            <w:pPr>
              <w:keepNext/>
              <w:keepLines/>
              <w:widowControl w:val="0"/>
              <w:spacing w:before="50" w:after="50" w:line="220" w:lineRule="exact"/>
              <w:jc w:val="center"/>
              <w:rPr>
                <w:rFonts w:eastAsia="SimSun"/>
                <w:b/>
                <w:sz w:val="16"/>
                <w:lang w:val="de-CH" w:eastAsia="zh-CN"/>
              </w:rPr>
              <w:pPrChange w:id="1240" w:author="tcs" w:date="2026-02-26T11:03:00Z">
                <w:pPr>
                  <w:keepNext/>
                  <w:keepLines/>
                  <w:spacing w:before="50" w:after="50" w:line="220" w:lineRule="exact"/>
                  <w:jc w:val="center"/>
                </w:pPr>
              </w:pPrChange>
            </w:pPr>
            <w:r w:rsidRPr="008A106B">
              <w:rPr>
                <w:rFonts w:eastAsia="SimSun"/>
                <w:b/>
                <w:sz w:val="16"/>
                <w:lang w:val="de-CH" w:eastAsia="zh-CN"/>
              </w:rPr>
              <w:t>-1</w:t>
            </w:r>
            <w:r w:rsidRPr="009E7727">
              <w:rPr>
                <w:rFonts w:eastAsia="SimSun"/>
                <w:b/>
                <w:sz w:val="16"/>
                <w:lang w:val="de-CH" w:eastAsia="zh-CN"/>
              </w:rPr>
              <w:t>,8</w:t>
            </w:r>
          </w:p>
        </w:tc>
        <w:tc>
          <w:tcPr>
            <w:tcW w:w="1701" w:type="dxa"/>
            <w:tcBorders>
              <w:top w:val="single" w:sz="4" w:space="0" w:color="auto"/>
              <w:left w:val="nil"/>
              <w:bottom w:val="nil"/>
              <w:right w:val="nil"/>
            </w:tcBorders>
            <w:tcMar>
              <w:top w:w="0" w:type="dxa"/>
              <w:left w:w="57" w:type="dxa"/>
              <w:bottom w:w="0" w:type="dxa"/>
              <w:right w:w="57" w:type="dxa"/>
            </w:tcMar>
          </w:tcPr>
          <w:p w14:paraId="2535F614" w14:textId="77777777" w:rsidR="00834462" w:rsidRPr="008A106B" w:rsidRDefault="00834462">
            <w:pPr>
              <w:keepNext/>
              <w:keepLines/>
              <w:widowControl w:val="0"/>
              <w:spacing w:before="50" w:after="50" w:line="220" w:lineRule="exact"/>
              <w:jc w:val="center"/>
              <w:rPr>
                <w:rFonts w:eastAsia="SimSun"/>
                <w:b/>
                <w:sz w:val="16"/>
                <w:lang w:val="de-CH" w:eastAsia="zh-CN"/>
              </w:rPr>
              <w:pPrChange w:id="1241" w:author="tcs" w:date="2026-02-26T11:03:00Z">
                <w:pPr>
                  <w:keepNext/>
                  <w:keepLines/>
                  <w:spacing w:before="50" w:after="50" w:line="220" w:lineRule="exact"/>
                  <w:jc w:val="center"/>
                </w:pPr>
              </w:pPrChange>
            </w:pPr>
            <w:r w:rsidRPr="008A106B">
              <w:rPr>
                <w:rFonts w:eastAsia="SimSun"/>
                <w:b/>
                <w:sz w:val="16"/>
                <w:lang w:val="de-CH"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222E122B" w14:textId="77777777" w:rsidR="00834462" w:rsidRPr="008A106B" w:rsidRDefault="00834462">
            <w:pPr>
              <w:keepNext/>
              <w:keepLines/>
              <w:widowControl w:val="0"/>
              <w:spacing w:before="50" w:after="50" w:line="220" w:lineRule="exact"/>
              <w:jc w:val="center"/>
              <w:rPr>
                <w:rFonts w:eastAsia="SimSun"/>
                <w:b/>
                <w:sz w:val="16"/>
                <w:lang w:val="de-CH" w:eastAsia="zh-CN"/>
              </w:rPr>
              <w:pPrChange w:id="1242" w:author="tcs" w:date="2026-02-26T11:03:00Z">
                <w:pPr>
                  <w:keepNext/>
                  <w:keepLines/>
                  <w:spacing w:before="50" w:after="50" w:line="220" w:lineRule="exact"/>
                  <w:jc w:val="center"/>
                </w:pPr>
              </w:pPrChange>
            </w:pPr>
          </w:p>
        </w:tc>
      </w:tr>
      <w:tr w:rsidR="00834462" w:rsidRPr="008A106B" w14:paraId="5507F446" w14:textId="77777777" w:rsidTr="001F7A68">
        <w:trPr>
          <w:gridAfter w:val="1"/>
          <w:wAfter w:w="14" w:type="dxa"/>
          <w:cantSplit/>
        </w:trPr>
        <w:tc>
          <w:tcPr>
            <w:tcW w:w="3351" w:type="dxa"/>
            <w:tcBorders>
              <w:top w:val="nil"/>
              <w:left w:val="single" w:sz="4" w:space="0" w:color="auto"/>
              <w:bottom w:val="single" w:sz="4" w:space="0" w:color="auto"/>
              <w:right w:val="nil"/>
            </w:tcBorders>
            <w:tcMar>
              <w:top w:w="0" w:type="dxa"/>
              <w:left w:w="57" w:type="dxa"/>
              <w:bottom w:w="0" w:type="dxa"/>
              <w:right w:w="57" w:type="dxa"/>
            </w:tcMar>
          </w:tcPr>
          <w:p w14:paraId="1157D3FB" w14:textId="77777777" w:rsidR="00834462" w:rsidRPr="008A106B" w:rsidRDefault="00834462">
            <w:pPr>
              <w:keepNext/>
              <w:keepLines/>
              <w:widowControl w:val="0"/>
              <w:spacing w:before="50" w:after="50" w:line="240" w:lineRule="exact"/>
              <w:jc w:val="right"/>
              <w:rPr>
                <w:rFonts w:eastAsia="SimSun"/>
                <w:b/>
                <w:sz w:val="16"/>
                <w:lang w:val="es-ES" w:eastAsia="zh-CN"/>
              </w:rPr>
              <w:pPrChange w:id="1243" w:author="tcs" w:date="2026-02-26T11:03:00Z">
                <w:pPr>
                  <w:keepNext/>
                  <w:keepLines/>
                  <w:spacing w:before="50" w:after="50" w:line="240" w:lineRule="exact"/>
                  <w:jc w:val="right"/>
                </w:pPr>
              </w:pPrChange>
            </w:pPr>
            <w:r w:rsidRPr="008A106B">
              <w:rPr>
                <w:rFonts w:eastAsia="SimSun"/>
                <w:b/>
                <w:sz w:val="16"/>
                <w:lang w:val="es-ES" w:eastAsia="zh-CN"/>
              </w:rPr>
              <w:t>Diferencia en la media ajustada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716BF329" w14:textId="77777777" w:rsidR="00834462" w:rsidRPr="008A106B" w:rsidRDefault="00834462">
            <w:pPr>
              <w:keepNext/>
              <w:keepLines/>
              <w:widowControl w:val="0"/>
              <w:spacing w:before="50" w:after="50" w:line="240" w:lineRule="exact"/>
              <w:jc w:val="center"/>
              <w:rPr>
                <w:rFonts w:eastAsia="SimSun"/>
                <w:b/>
                <w:sz w:val="16"/>
                <w:lang w:eastAsia="zh-CN"/>
              </w:rPr>
              <w:pPrChange w:id="1244" w:author="tcs" w:date="2026-02-26T11:03:00Z">
                <w:pPr>
                  <w:keepNext/>
                  <w:keepLines/>
                  <w:spacing w:before="50" w:after="50" w:line="240" w:lineRule="exact"/>
                  <w:jc w:val="center"/>
                </w:pPr>
              </w:pPrChange>
            </w:pPr>
            <w:r w:rsidRPr="008A106B">
              <w:rPr>
                <w:rFonts w:eastAsia="SimSun"/>
                <w:b/>
                <w:sz w:val="16"/>
                <w:lang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555C67D3" w14:textId="77777777" w:rsidR="00834462" w:rsidRPr="008A106B" w:rsidRDefault="00834462">
            <w:pPr>
              <w:keepNext/>
              <w:keepLines/>
              <w:widowControl w:val="0"/>
              <w:spacing w:before="50" w:after="50" w:line="240" w:lineRule="exact"/>
              <w:jc w:val="center"/>
              <w:rPr>
                <w:rFonts w:eastAsia="SimSun"/>
                <w:b/>
                <w:sz w:val="16"/>
                <w:lang w:eastAsia="zh-CN"/>
              </w:rPr>
              <w:pPrChange w:id="1245" w:author="tcs" w:date="2026-02-26T11:03:00Z">
                <w:pPr>
                  <w:keepNext/>
                  <w:keepLines/>
                  <w:spacing w:before="50" w:after="50" w:line="240" w:lineRule="exact"/>
                  <w:jc w:val="center"/>
                </w:pPr>
              </w:pPrChange>
            </w:pPr>
            <w:r w:rsidRPr="008A106B">
              <w:rPr>
                <w:rFonts w:eastAsia="SimSun"/>
                <w:b/>
                <w:sz w:val="16"/>
                <w:lang w:eastAsia="zh-CN"/>
              </w:rPr>
              <w:t>&lt;0,0001</w:t>
            </w:r>
          </w:p>
        </w:tc>
      </w:tr>
      <w:tr w:rsidR="00834462" w:rsidRPr="00541248" w14:paraId="1A98D851" w14:textId="77777777" w:rsidTr="001F7A68">
        <w:trPr>
          <w:gridAfter w:val="1"/>
          <w:wAfter w:w="14" w:type="dxa"/>
          <w:cantSplit/>
        </w:trPr>
        <w:tc>
          <w:tcPr>
            <w:tcW w:w="793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2D330D7A" w14:textId="77777777" w:rsidR="00834462" w:rsidRPr="008A106B" w:rsidRDefault="00834462">
            <w:pPr>
              <w:keepNext/>
              <w:keepLines/>
              <w:widowControl w:val="0"/>
              <w:spacing w:before="50" w:after="50" w:line="240" w:lineRule="exact"/>
              <w:rPr>
                <w:rFonts w:eastAsia="SimSun"/>
                <w:sz w:val="16"/>
                <w:lang w:val="es-ES" w:eastAsia="zh-CN"/>
              </w:rPr>
              <w:pPrChange w:id="1246" w:author="tcs" w:date="2026-02-26T11:03:00Z">
                <w:pPr>
                  <w:keepNext/>
                  <w:keepLines/>
                  <w:spacing w:before="50" w:after="50" w:line="240" w:lineRule="exact"/>
                </w:pPr>
              </w:pPrChange>
            </w:pPr>
            <w:r w:rsidRPr="008A106B">
              <w:rPr>
                <w:rFonts w:eastAsia="SimSun"/>
                <w:b/>
                <w:sz w:val="16"/>
                <w:lang w:val="es-ES" w:eastAsia="zh-CN"/>
              </w:rPr>
              <w:t xml:space="preserve">Variables secundarias - Porcentaje de Respondedores en la semana 24 </w:t>
            </w:r>
            <w:r w:rsidRPr="008A106B">
              <w:rPr>
                <w:rFonts w:eastAsia="SimSun"/>
                <w:b/>
                <w:sz w:val="16"/>
                <w:vertAlign w:val="superscript"/>
                <w:lang w:val="es-ES" w:eastAsia="zh-CN"/>
              </w:rPr>
              <w:t>(b)</w:t>
            </w:r>
          </w:p>
        </w:tc>
      </w:tr>
      <w:tr w:rsidR="00834462" w:rsidRPr="008A106B" w14:paraId="4BC77168" w14:textId="77777777" w:rsidTr="001F7A68">
        <w:trPr>
          <w:gridAfter w:val="1"/>
          <w:wAfter w:w="14" w:type="dxa"/>
          <w:cantSplit/>
        </w:trPr>
        <w:tc>
          <w:tcPr>
            <w:tcW w:w="3351" w:type="dxa"/>
            <w:tcBorders>
              <w:top w:val="single" w:sz="4" w:space="0" w:color="auto"/>
              <w:left w:val="single" w:sz="4" w:space="0" w:color="auto"/>
              <w:bottom w:val="nil"/>
              <w:right w:val="nil"/>
            </w:tcBorders>
            <w:tcMar>
              <w:top w:w="0" w:type="dxa"/>
              <w:left w:w="57" w:type="dxa"/>
              <w:bottom w:w="0" w:type="dxa"/>
              <w:right w:w="57" w:type="dxa"/>
            </w:tcMar>
          </w:tcPr>
          <w:p w14:paraId="74AF4A7A" w14:textId="77777777" w:rsidR="00834462" w:rsidRPr="008A106B" w:rsidRDefault="00834462">
            <w:pPr>
              <w:keepNext/>
              <w:keepLines/>
              <w:widowControl w:val="0"/>
              <w:spacing w:before="50" w:after="50" w:line="240" w:lineRule="exact"/>
              <w:jc w:val="right"/>
              <w:rPr>
                <w:rFonts w:eastAsia="SimSun"/>
                <w:sz w:val="16"/>
                <w:lang w:eastAsia="zh-CN"/>
              </w:rPr>
              <w:pPrChange w:id="1247" w:author="tcs" w:date="2026-02-26T11:03:00Z">
                <w:pPr>
                  <w:keepNext/>
                  <w:keepLines/>
                  <w:spacing w:before="50" w:after="50" w:line="240" w:lineRule="exact"/>
                  <w:jc w:val="right"/>
                </w:pPr>
              </w:pPrChange>
            </w:pPr>
            <w:r w:rsidRPr="008A106B">
              <w:rPr>
                <w:rFonts w:eastAsia="SimSun"/>
                <w:sz w:val="16"/>
                <w:lang w:eastAsia="zh-CN"/>
              </w:rPr>
              <w:t>DAS28 &lt; 2</w:t>
            </w:r>
            <w:proofErr w:type="gramStart"/>
            <w:r w:rsidRPr="008A106B">
              <w:rPr>
                <w:rFonts w:eastAsia="SimSun"/>
                <w:sz w:val="16"/>
                <w:lang w:eastAsia="zh-CN"/>
              </w:rPr>
              <w:t>,6</w:t>
            </w:r>
            <w:proofErr w:type="gramEnd"/>
            <w:r w:rsidR="000B2E31">
              <w:rPr>
                <w:rFonts w:eastAsia="SimSun"/>
                <w:sz w:val="16"/>
                <w:lang w:eastAsia="zh-CN"/>
              </w:rPr>
              <w:t>;</w:t>
            </w:r>
            <w:r w:rsidRPr="008A106B">
              <w:rPr>
                <w:rFonts w:eastAsia="SimSun"/>
                <w:sz w:val="16"/>
                <w:lang w:eastAsia="zh-CN"/>
              </w:rPr>
              <w:t xml:space="preserve"> n (%)</w:t>
            </w:r>
          </w:p>
        </w:tc>
        <w:tc>
          <w:tcPr>
            <w:tcW w:w="1610" w:type="dxa"/>
            <w:tcBorders>
              <w:top w:val="single" w:sz="4" w:space="0" w:color="auto"/>
              <w:left w:val="nil"/>
              <w:bottom w:val="nil"/>
              <w:right w:val="nil"/>
            </w:tcBorders>
            <w:tcMar>
              <w:top w:w="0" w:type="dxa"/>
              <w:left w:w="57" w:type="dxa"/>
              <w:bottom w:w="0" w:type="dxa"/>
              <w:right w:w="57" w:type="dxa"/>
            </w:tcMar>
          </w:tcPr>
          <w:p w14:paraId="03C92D39" w14:textId="77777777" w:rsidR="00834462" w:rsidRPr="008A106B" w:rsidRDefault="00834462">
            <w:pPr>
              <w:keepNext/>
              <w:keepLines/>
              <w:widowControl w:val="0"/>
              <w:spacing w:before="50" w:after="50" w:line="240" w:lineRule="exact"/>
              <w:jc w:val="center"/>
              <w:rPr>
                <w:rFonts w:eastAsia="SimSun"/>
                <w:sz w:val="16"/>
                <w:lang w:eastAsia="zh-CN"/>
              </w:rPr>
              <w:pPrChange w:id="1248" w:author="tcs" w:date="2026-02-26T11:03:00Z">
                <w:pPr>
                  <w:keepNext/>
                  <w:keepLines/>
                  <w:spacing w:before="50" w:after="50" w:line="240" w:lineRule="exact"/>
                  <w:jc w:val="center"/>
                </w:pPr>
              </w:pPrChange>
            </w:pPr>
            <w:r w:rsidRPr="008A106B">
              <w:rPr>
                <w:rFonts w:eastAsia="SimSun"/>
                <w:sz w:val="16"/>
                <w:lan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57D8A3C5" w14:textId="77777777" w:rsidR="00834462" w:rsidRPr="008A106B" w:rsidRDefault="00834462">
            <w:pPr>
              <w:keepNext/>
              <w:keepLines/>
              <w:widowControl w:val="0"/>
              <w:spacing w:before="50" w:after="50" w:line="240" w:lineRule="exact"/>
              <w:jc w:val="center"/>
              <w:rPr>
                <w:rFonts w:eastAsia="SimSun"/>
                <w:sz w:val="16"/>
                <w:lang w:eastAsia="zh-CN"/>
              </w:rPr>
              <w:pPrChange w:id="1249" w:author="tcs" w:date="2026-02-26T11:03:00Z">
                <w:pPr>
                  <w:keepNext/>
                  <w:keepLines/>
                  <w:spacing w:before="50" w:after="50" w:line="240" w:lineRule="exact"/>
                  <w:jc w:val="center"/>
                </w:pPr>
              </w:pPrChange>
            </w:pPr>
            <w:r w:rsidRPr="008A106B">
              <w:rPr>
                <w:rFonts w:eastAsia="SimSun"/>
                <w:sz w:val="16"/>
                <w:lang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2D0FA205" w14:textId="77777777" w:rsidR="00834462" w:rsidRPr="008A106B" w:rsidRDefault="00834462">
            <w:pPr>
              <w:keepNext/>
              <w:keepLines/>
              <w:widowControl w:val="0"/>
              <w:spacing w:before="50" w:after="50" w:line="240" w:lineRule="exact"/>
              <w:jc w:val="center"/>
              <w:rPr>
                <w:rFonts w:eastAsia="SimSun"/>
                <w:sz w:val="16"/>
                <w:lang w:eastAsia="zh-CN"/>
              </w:rPr>
              <w:pPrChange w:id="1250" w:author="tcs" w:date="2026-02-26T11:03:00Z">
                <w:pPr>
                  <w:keepNext/>
                  <w:keepLines/>
                  <w:spacing w:before="50" w:after="50" w:line="240" w:lineRule="exact"/>
                  <w:jc w:val="center"/>
                </w:pPr>
              </w:pPrChange>
            </w:pPr>
            <w:r w:rsidRPr="008A106B">
              <w:rPr>
                <w:rFonts w:eastAsia="SimSun"/>
                <w:sz w:val="16"/>
                <w:lang w:eastAsia="zh-CN"/>
              </w:rPr>
              <w:t>&lt;0,0001</w:t>
            </w:r>
          </w:p>
        </w:tc>
      </w:tr>
      <w:tr w:rsidR="00834462" w:rsidRPr="008A106B" w14:paraId="4625906B"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3D568995" w14:textId="77777777" w:rsidR="00834462" w:rsidRPr="008A106B" w:rsidRDefault="00834462">
            <w:pPr>
              <w:keepNext/>
              <w:keepLines/>
              <w:widowControl w:val="0"/>
              <w:spacing w:before="50" w:after="50" w:line="240" w:lineRule="exact"/>
              <w:jc w:val="right"/>
              <w:rPr>
                <w:rFonts w:eastAsia="SimSun"/>
                <w:sz w:val="16"/>
                <w:lang w:eastAsia="zh-CN"/>
              </w:rPr>
              <w:pPrChange w:id="1251" w:author="tcs" w:date="2026-02-26T11:03:00Z">
                <w:pPr>
                  <w:widowControl w:val="0"/>
                  <w:spacing w:before="50" w:after="50" w:line="240" w:lineRule="exact"/>
                  <w:jc w:val="right"/>
                </w:pPr>
              </w:pPrChange>
            </w:pPr>
            <w:r w:rsidRPr="008A106B">
              <w:rPr>
                <w:rFonts w:eastAsia="SimSun"/>
                <w:sz w:val="16"/>
                <w:lang w:eastAsia="zh-CN"/>
              </w:rPr>
              <w:t>DAS28 ≤ 3</w:t>
            </w:r>
            <w:proofErr w:type="gramStart"/>
            <w:r w:rsidRPr="008A106B">
              <w:rPr>
                <w:rFonts w:eastAsia="SimSun"/>
                <w:sz w:val="16"/>
                <w:lang w:eastAsia="zh-CN"/>
              </w:rPr>
              <w:t>,2</w:t>
            </w:r>
            <w:proofErr w:type="gramEnd"/>
            <w:r w:rsidR="000B2E31">
              <w:rPr>
                <w:rFonts w:eastAsia="SimSun"/>
                <w:sz w:val="16"/>
                <w:lang w:eastAsia="zh-CN"/>
              </w:rPr>
              <w:t>;</w:t>
            </w:r>
            <w:r w:rsidRPr="008A106B">
              <w:rPr>
                <w:rFonts w:eastAsia="SimSun"/>
                <w:sz w:val="16"/>
                <w:lang w:eastAsia="zh-CN"/>
              </w:rPr>
              <w:t xml:space="preserve"> n (%) </w:t>
            </w:r>
          </w:p>
        </w:tc>
        <w:tc>
          <w:tcPr>
            <w:tcW w:w="1610" w:type="dxa"/>
            <w:tcMar>
              <w:top w:w="0" w:type="dxa"/>
              <w:left w:w="57" w:type="dxa"/>
              <w:bottom w:w="0" w:type="dxa"/>
              <w:right w:w="57" w:type="dxa"/>
            </w:tcMar>
          </w:tcPr>
          <w:p w14:paraId="3BE8FB10" w14:textId="77777777" w:rsidR="00834462" w:rsidRPr="008A106B" w:rsidRDefault="00834462">
            <w:pPr>
              <w:keepNext/>
              <w:keepLines/>
              <w:widowControl w:val="0"/>
              <w:spacing w:before="50" w:after="50" w:line="240" w:lineRule="exact"/>
              <w:jc w:val="center"/>
              <w:rPr>
                <w:rFonts w:eastAsia="SimSun"/>
                <w:sz w:val="16"/>
                <w:lang w:eastAsia="zh-CN"/>
              </w:rPr>
              <w:pPrChange w:id="1252" w:author="tcs" w:date="2026-02-26T11:03:00Z">
                <w:pPr>
                  <w:widowControl w:val="0"/>
                  <w:spacing w:before="50" w:after="50" w:line="240" w:lineRule="exact"/>
                  <w:jc w:val="center"/>
                </w:pPr>
              </w:pPrChange>
            </w:pPr>
            <w:r w:rsidRPr="008A106B">
              <w:rPr>
                <w:rFonts w:eastAsia="SimSun"/>
                <w:sz w:val="16"/>
                <w:lang w:eastAsia="zh-CN"/>
              </w:rPr>
              <w:t xml:space="preserve">32 (19,8) </w:t>
            </w:r>
          </w:p>
        </w:tc>
        <w:tc>
          <w:tcPr>
            <w:tcW w:w="1701" w:type="dxa"/>
            <w:tcMar>
              <w:top w:w="0" w:type="dxa"/>
              <w:left w:w="57" w:type="dxa"/>
              <w:bottom w:w="0" w:type="dxa"/>
              <w:right w:w="57" w:type="dxa"/>
            </w:tcMar>
          </w:tcPr>
          <w:p w14:paraId="73F457CC" w14:textId="77777777" w:rsidR="00834462" w:rsidRPr="008A106B" w:rsidRDefault="00834462">
            <w:pPr>
              <w:keepNext/>
              <w:keepLines/>
              <w:widowControl w:val="0"/>
              <w:spacing w:before="50" w:after="50" w:line="240" w:lineRule="exact"/>
              <w:jc w:val="center"/>
              <w:rPr>
                <w:rFonts w:eastAsia="SimSun"/>
                <w:sz w:val="16"/>
                <w:lang w:eastAsia="zh-CN"/>
              </w:rPr>
              <w:pPrChange w:id="1253" w:author="tcs" w:date="2026-02-26T11:03:00Z">
                <w:pPr>
                  <w:widowControl w:val="0"/>
                  <w:spacing w:before="50" w:after="50" w:line="240" w:lineRule="exact"/>
                  <w:jc w:val="center"/>
                </w:pPr>
              </w:pPrChange>
            </w:pPr>
            <w:r w:rsidRPr="008A106B">
              <w:rPr>
                <w:rFonts w:eastAsia="SimSun"/>
                <w:sz w:val="16"/>
                <w:lang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7FD915C8" w14:textId="77777777" w:rsidR="00834462" w:rsidRPr="008A106B" w:rsidRDefault="00834462">
            <w:pPr>
              <w:keepNext/>
              <w:keepLines/>
              <w:widowControl w:val="0"/>
              <w:spacing w:before="50" w:after="50" w:line="240" w:lineRule="exact"/>
              <w:jc w:val="center"/>
              <w:rPr>
                <w:rFonts w:eastAsia="SimSun"/>
                <w:sz w:val="16"/>
                <w:lang w:eastAsia="zh-CN"/>
              </w:rPr>
              <w:pPrChange w:id="1254" w:author="tcs" w:date="2026-02-26T11:03:00Z">
                <w:pPr>
                  <w:widowControl w:val="0"/>
                  <w:spacing w:before="50" w:after="50" w:line="240" w:lineRule="exact"/>
                  <w:jc w:val="center"/>
                </w:pPr>
              </w:pPrChange>
            </w:pPr>
            <w:r w:rsidRPr="008A106B">
              <w:rPr>
                <w:rFonts w:eastAsia="SimSun"/>
                <w:sz w:val="16"/>
                <w:lang w:eastAsia="zh-CN"/>
              </w:rPr>
              <w:t>&lt;0,0001</w:t>
            </w:r>
          </w:p>
        </w:tc>
      </w:tr>
      <w:tr w:rsidR="00834462" w:rsidRPr="008A106B" w14:paraId="3EFFBEB4"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2A222EF7" w14:textId="77777777" w:rsidR="00834462" w:rsidRPr="008A106B" w:rsidRDefault="00834462">
            <w:pPr>
              <w:keepNext/>
              <w:keepLines/>
              <w:widowControl w:val="0"/>
              <w:spacing w:before="50" w:after="50" w:line="240" w:lineRule="exact"/>
              <w:jc w:val="right"/>
              <w:rPr>
                <w:rFonts w:eastAsia="SimSun"/>
                <w:sz w:val="16"/>
                <w:lang w:eastAsia="zh-CN"/>
              </w:rPr>
              <w:pPrChange w:id="1255" w:author="tcs" w:date="2026-02-26T11:03:00Z">
                <w:pPr>
                  <w:widowControl w:val="0"/>
                  <w:spacing w:before="50" w:after="50" w:line="240" w:lineRule="exact"/>
                  <w:jc w:val="right"/>
                </w:pPr>
              </w:pPrChange>
            </w:pPr>
            <w:r>
              <w:rPr>
                <w:rFonts w:eastAsia="SimSun"/>
                <w:sz w:val="16"/>
                <w:lang w:eastAsia="zh-CN"/>
              </w:rPr>
              <w:t xml:space="preserve">Respuesta </w:t>
            </w:r>
            <w:r w:rsidRPr="008A106B">
              <w:rPr>
                <w:rFonts w:eastAsia="SimSun"/>
                <w:sz w:val="16"/>
                <w:lang w:eastAsia="zh-CN"/>
              </w:rPr>
              <w:t>ACR20</w:t>
            </w:r>
            <w:r w:rsidR="000B2E31">
              <w:rPr>
                <w:rFonts w:eastAsia="SimSun"/>
                <w:sz w:val="16"/>
                <w:lang w:eastAsia="zh-CN"/>
              </w:rPr>
              <w:t>,</w:t>
            </w:r>
            <w:r w:rsidRPr="008A106B">
              <w:rPr>
                <w:rFonts w:eastAsia="SimSun"/>
                <w:sz w:val="16"/>
                <w:lang w:eastAsia="zh-CN"/>
              </w:rPr>
              <w:t xml:space="preserve"> n (%)</w:t>
            </w:r>
          </w:p>
        </w:tc>
        <w:tc>
          <w:tcPr>
            <w:tcW w:w="1610" w:type="dxa"/>
            <w:tcMar>
              <w:top w:w="0" w:type="dxa"/>
              <w:left w:w="57" w:type="dxa"/>
              <w:bottom w:w="0" w:type="dxa"/>
              <w:right w:w="57" w:type="dxa"/>
            </w:tcMar>
          </w:tcPr>
          <w:p w14:paraId="7C708841" w14:textId="77777777" w:rsidR="00834462" w:rsidRPr="008A106B" w:rsidRDefault="00834462">
            <w:pPr>
              <w:keepNext/>
              <w:keepLines/>
              <w:widowControl w:val="0"/>
              <w:spacing w:before="50" w:after="50" w:line="240" w:lineRule="exact"/>
              <w:jc w:val="center"/>
              <w:rPr>
                <w:rFonts w:eastAsia="SimSun"/>
                <w:sz w:val="16"/>
                <w:lang w:eastAsia="zh-CN"/>
              </w:rPr>
              <w:pPrChange w:id="1256" w:author="tcs" w:date="2026-02-26T11:03:00Z">
                <w:pPr>
                  <w:widowControl w:val="0"/>
                  <w:spacing w:before="50" w:after="50" w:line="240" w:lineRule="exact"/>
                  <w:jc w:val="center"/>
                </w:pPr>
              </w:pPrChange>
            </w:pPr>
            <w:r w:rsidRPr="008A106B">
              <w:rPr>
                <w:rFonts w:eastAsia="SimSun"/>
                <w:sz w:val="16"/>
                <w:lang w:eastAsia="zh-CN"/>
              </w:rPr>
              <w:t>80 (49,4)</w:t>
            </w:r>
          </w:p>
        </w:tc>
        <w:tc>
          <w:tcPr>
            <w:tcW w:w="1701" w:type="dxa"/>
            <w:tcMar>
              <w:top w:w="0" w:type="dxa"/>
              <w:left w:w="57" w:type="dxa"/>
              <w:bottom w:w="0" w:type="dxa"/>
              <w:right w:w="57" w:type="dxa"/>
            </w:tcMar>
          </w:tcPr>
          <w:p w14:paraId="04280D3E" w14:textId="77777777" w:rsidR="00834462" w:rsidRPr="008A106B" w:rsidRDefault="00834462">
            <w:pPr>
              <w:keepNext/>
              <w:keepLines/>
              <w:widowControl w:val="0"/>
              <w:spacing w:before="50" w:after="50" w:line="240" w:lineRule="exact"/>
              <w:jc w:val="center"/>
              <w:rPr>
                <w:rFonts w:eastAsia="SimSun"/>
                <w:sz w:val="16"/>
                <w:lang w:eastAsia="zh-CN"/>
              </w:rPr>
              <w:pPrChange w:id="1257" w:author="tcs" w:date="2026-02-26T11:03:00Z">
                <w:pPr>
                  <w:widowControl w:val="0"/>
                  <w:spacing w:before="50" w:after="50" w:line="240" w:lineRule="exact"/>
                  <w:jc w:val="center"/>
                </w:pPr>
              </w:pPrChange>
            </w:pPr>
            <w:r w:rsidRPr="008A106B">
              <w:rPr>
                <w:rFonts w:eastAsia="SimSun"/>
                <w:sz w:val="16"/>
                <w:lang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0F90BF18" w14:textId="77777777" w:rsidR="00834462" w:rsidRPr="008A106B" w:rsidRDefault="00834462">
            <w:pPr>
              <w:keepNext/>
              <w:keepLines/>
              <w:widowControl w:val="0"/>
              <w:spacing w:before="50" w:after="50" w:line="240" w:lineRule="exact"/>
              <w:jc w:val="center"/>
              <w:rPr>
                <w:rFonts w:eastAsia="SimSun"/>
                <w:sz w:val="16"/>
                <w:lang w:eastAsia="zh-CN"/>
              </w:rPr>
              <w:pPrChange w:id="1258" w:author="tcs" w:date="2026-02-26T11:03:00Z">
                <w:pPr>
                  <w:widowControl w:val="0"/>
                  <w:spacing w:before="50" w:after="50" w:line="240" w:lineRule="exact"/>
                  <w:jc w:val="center"/>
                </w:pPr>
              </w:pPrChange>
            </w:pPr>
            <w:r w:rsidRPr="008A106B">
              <w:rPr>
                <w:rFonts w:eastAsia="SimSun"/>
                <w:sz w:val="16"/>
                <w:lang w:eastAsia="zh-CN"/>
              </w:rPr>
              <w:t>0,0038</w:t>
            </w:r>
          </w:p>
        </w:tc>
      </w:tr>
      <w:tr w:rsidR="00834462" w:rsidRPr="008A106B" w14:paraId="4568D7CC"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7443E810" w14:textId="77777777" w:rsidR="00834462" w:rsidRPr="008A106B" w:rsidRDefault="00834462">
            <w:pPr>
              <w:keepNext/>
              <w:keepLines/>
              <w:widowControl w:val="0"/>
              <w:spacing w:before="50" w:after="50" w:line="240" w:lineRule="exact"/>
              <w:jc w:val="right"/>
              <w:rPr>
                <w:rFonts w:eastAsia="SimSun"/>
                <w:sz w:val="16"/>
                <w:lang w:eastAsia="zh-CN"/>
              </w:rPr>
              <w:pPrChange w:id="1259" w:author="tcs" w:date="2026-02-26T11:03:00Z">
                <w:pPr>
                  <w:widowControl w:val="0"/>
                  <w:spacing w:before="50" w:after="50" w:line="240" w:lineRule="exact"/>
                  <w:jc w:val="right"/>
                </w:pPr>
              </w:pPrChange>
            </w:pPr>
            <w:r>
              <w:rPr>
                <w:rFonts w:eastAsia="SimSun"/>
                <w:sz w:val="16"/>
                <w:lang w:eastAsia="zh-CN"/>
              </w:rPr>
              <w:t xml:space="preserve">Respuesta </w:t>
            </w:r>
            <w:r w:rsidRPr="008A106B">
              <w:rPr>
                <w:rFonts w:eastAsia="SimSun"/>
                <w:sz w:val="16"/>
                <w:lang w:eastAsia="zh-CN"/>
              </w:rPr>
              <w:t>ACR50, n (%)</w:t>
            </w:r>
          </w:p>
        </w:tc>
        <w:tc>
          <w:tcPr>
            <w:tcW w:w="1610" w:type="dxa"/>
            <w:tcMar>
              <w:top w:w="0" w:type="dxa"/>
              <w:left w:w="57" w:type="dxa"/>
              <w:bottom w:w="0" w:type="dxa"/>
              <w:right w:w="57" w:type="dxa"/>
            </w:tcMar>
          </w:tcPr>
          <w:p w14:paraId="6C2AA47F" w14:textId="77777777" w:rsidR="00834462" w:rsidRPr="008A106B" w:rsidRDefault="00834462">
            <w:pPr>
              <w:keepNext/>
              <w:keepLines/>
              <w:widowControl w:val="0"/>
              <w:spacing w:before="50" w:after="50" w:line="240" w:lineRule="exact"/>
              <w:jc w:val="center"/>
              <w:rPr>
                <w:rFonts w:eastAsia="SimSun"/>
                <w:sz w:val="16"/>
                <w:lang w:eastAsia="zh-CN"/>
              </w:rPr>
              <w:pPrChange w:id="1260" w:author="tcs" w:date="2026-02-26T11:03:00Z">
                <w:pPr>
                  <w:widowControl w:val="0"/>
                  <w:spacing w:before="50" w:after="50" w:line="240" w:lineRule="exact"/>
                  <w:jc w:val="center"/>
                </w:pPr>
              </w:pPrChange>
            </w:pPr>
            <w:r w:rsidRPr="008A106B">
              <w:rPr>
                <w:rFonts w:eastAsia="SimSun"/>
                <w:sz w:val="16"/>
                <w:lang w:eastAsia="zh-CN"/>
              </w:rPr>
              <w:t>45 (27,8)</w:t>
            </w:r>
          </w:p>
        </w:tc>
        <w:tc>
          <w:tcPr>
            <w:tcW w:w="1701" w:type="dxa"/>
            <w:tcMar>
              <w:top w:w="0" w:type="dxa"/>
              <w:left w:w="57" w:type="dxa"/>
              <w:bottom w:w="0" w:type="dxa"/>
              <w:right w:w="57" w:type="dxa"/>
            </w:tcMar>
          </w:tcPr>
          <w:p w14:paraId="3AF5918D" w14:textId="77777777" w:rsidR="00834462" w:rsidRPr="008A106B" w:rsidRDefault="00834462">
            <w:pPr>
              <w:keepNext/>
              <w:keepLines/>
              <w:widowControl w:val="0"/>
              <w:spacing w:before="50" w:after="50" w:line="240" w:lineRule="exact"/>
              <w:jc w:val="center"/>
              <w:rPr>
                <w:rFonts w:eastAsia="SimSun"/>
                <w:sz w:val="16"/>
                <w:lang w:eastAsia="zh-CN"/>
              </w:rPr>
              <w:pPrChange w:id="1261" w:author="tcs" w:date="2026-02-26T11:03:00Z">
                <w:pPr>
                  <w:widowControl w:val="0"/>
                  <w:spacing w:before="50" w:after="50" w:line="240" w:lineRule="exact"/>
                  <w:jc w:val="center"/>
                </w:pPr>
              </w:pPrChange>
            </w:pPr>
            <w:r w:rsidRPr="008A106B">
              <w:rPr>
                <w:rFonts w:eastAsia="SimSun"/>
                <w:sz w:val="16"/>
                <w:lang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79DD99F9" w14:textId="77777777" w:rsidR="00834462" w:rsidRPr="008A106B" w:rsidRDefault="00834462">
            <w:pPr>
              <w:keepNext/>
              <w:keepLines/>
              <w:widowControl w:val="0"/>
              <w:spacing w:before="50" w:after="50" w:line="240" w:lineRule="exact"/>
              <w:jc w:val="center"/>
              <w:rPr>
                <w:rFonts w:eastAsia="SimSun"/>
                <w:sz w:val="16"/>
                <w:lang w:eastAsia="zh-CN"/>
              </w:rPr>
              <w:pPrChange w:id="1262" w:author="tcs" w:date="2026-02-26T11:03:00Z">
                <w:pPr>
                  <w:widowControl w:val="0"/>
                  <w:spacing w:before="50" w:after="50" w:line="240" w:lineRule="exact"/>
                  <w:jc w:val="center"/>
                </w:pPr>
              </w:pPrChange>
            </w:pPr>
            <w:r w:rsidRPr="008A106B">
              <w:rPr>
                <w:rFonts w:eastAsia="SimSun"/>
                <w:sz w:val="16"/>
                <w:lang w:eastAsia="zh-CN"/>
              </w:rPr>
              <w:t>0,0002</w:t>
            </w:r>
          </w:p>
        </w:tc>
      </w:tr>
      <w:tr w:rsidR="00834462" w:rsidRPr="008A106B" w14:paraId="655A0382" w14:textId="77777777" w:rsidTr="001F7A68">
        <w:trPr>
          <w:gridAfter w:val="1"/>
          <w:wAfter w:w="14" w:type="dxa"/>
          <w:cantSplit/>
        </w:trPr>
        <w:tc>
          <w:tcPr>
            <w:tcW w:w="3351" w:type="dxa"/>
            <w:tcBorders>
              <w:top w:val="nil"/>
              <w:left w:val="single" w:sz="4" w:space="0" w:color="auto"/>
              <w:bottom w:val="single" w:sz="4" w:space="0" w:color="auto"/>
              <w:right w:val="nil"/>
            </w:tcBorders>
            <w:tcMar>
              <w:top w:w="0" w:type="dxa"/>
              <w:left w:w="57" w:type="dxa"/>
              <w:bottom w:w="0" w:type="dxa"/>
              <w:right w:w="57" w:type="dxa"/>
            </w:tcMar>
          </w:tcPr>
          <w:p w14:paraId="622B8E24" w14:textId="77777777" w:rsidR="00834462" w:rsidRPr="008A106B" w:rsidRDefault="00834462">
            <w:pPr>
              <w:keepNext/>
              <w:keepLines/>
              <w:widowControl w:val="0"/>
              <w:spacing w:before="50" w:after="50" w:line="240" w:lineRule="exact"/>
              <w:jc w:val="right"/>
              <w:rPr>
                <w:rFonts w:eastAsia="SimSun"/>
                <w:sz w:val="16"/>
                <w:lang w:eastAsia="zh-CN"/>
              </w:rPr>
              <w:pPrChange w:id="1263" w:author="tcs" w:date="2026-02-26T11:03:00Z">
                <w:pPr>
                  <w:widowControl w:val="0"/>
                  <w:spacing w:before="50" w:after="50" w:line="240" w:lineRule="exact"/>
                  <w:jc w:val="right"/>
                </w:pPr>
              </w:pPrChange>
            </w:pPr>
            <w:r>
              <w:rPr>
                <w:rFonts w:eastAsia="SimSun"/>
                <w:sz w:val="16"/>
                <w:lang w:eastAsia="zh-CN"/>
              </w:rPr>
              <w:t xml:space="preserve">Respuesta </w:t>
            </w:r>
            <w:proofErr w:type="gramStart"/>
            <w:r w:rsidRPr="008A106B">
              <w:rPr>
                <w:rFonts w:eastAsia="SimSun"/>
                <w:sz w:val="16"/>
                <w:lang w:eastAsia="zh-CN"/>
              </w:rPr>
              <w:t>ACR70 ,</w:t>
            </w:r>
            <w:proofErr w:type="gramEnd"/>
            <w:r w:rsidRPr="008A106B">
              <w:rPr>
                <w:rFonts w:eastAsia="SimSun"/>
                <w:sz w:val="16"/>
                <w:lang w:eastAsia="zh-CN"/>
              </w:rPr>
              <w:t xml:space="preserve"> n (%)</w:t>
            </w:r>
          </w:p>
        </w:tc>
        <w:tc>
          <w:tcPr>
            <w:tcW w:w="1610" w:type="dxa"/>
            <w:tcBorders>
              <w:top w:val="nil"/>
              <w:left w:val="nil"/>
              <w:bottom w:val="single" w:sz="4" w:space="0" w:color="auto"/>
              <w:right w:val="nil"/>
            </w:tcBorders>
            <w:tcMar>
              <w:top w:w="0" w:type="dxa"/>
              <w:left w:w="57" w:type="dxa"/>
              <w:bottom w:w="0" w:type="dxa"/>
              <w:right w:w="57" w:type="dxa"/>
            </w:tcMar>
          </w:tcPr>
          <w:p w14:paraId="3BF8DD89" w14:textId="77777777" w:rsidR="00834462" w:rsidRPr="008A106B" w:rsidRDefault="00834462">
            <w:pPr>
              <w:keepNext/>
              <w:keepLines/>
              <w:widowControl w:val="0"/>
              <w:spacing w:before="50" w:after="50" w:line="240" w:lineRule="exact"/>
              <w:jc w:val="center"/>
              <w:rPr>
                <w:rFonts w:eastAsia="SimSun"/>
                <w:sz w:val="16"/>
                <w:lang w:eastAsia="zh-CN"/>
              </w:rPr>
              <w:pPrChange w:id="1264" w:author="tcs" w:date="2026-02-26T11:03:00Z">
                <w:pPr>
                  <w:widowControl w:val="0"/>
                  <w:spacing w:before="50" w:after="50" w:line="240" w:lineRule="exact"/>
                  <w:jc w:val="center"/>
                </w:pPr>
              </w:pPrChange>
            </w:pPr>
            <w:r w:rsidRPr="008A106B">
              <w:rPr>
                <w:rFonts w:eastAsia="SimSun"/>
                <w:sz w:val="16"/>
                <w:lan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55579E2B" w14:textId="77777777" w:rsidR="00834462" w:rsidRPr="008A106B" w:rsidRDefault="00834462">
            <w:pPr>
              <w:keepNext/>
              <w:keepLines/>
              <w:widowControl w:val="0"/>
              <w:spacing w:before="50" w:after="50" w:line="240" w:lineRule="exact"/>
              <w:jc w:val="center"/>
              <w:rPr>
                <w:rFonts w:eastAsia="SimSun"/>
                <w:sz w:val="16"/>
                <w:lang w:eastAsia="zh-CN"/>
              </w:rPr>
              <w:pPrChange w:id="1265" w:author="tcs" w:date="2026-02-26T11:03:00Z">
                <w:pPr>
                  <w:widowControl w:val="0"/>
                  <w:spacing w:before="50" w:after="50" w:line="240" w:lineRule="exact"/>
                  <w:jc w:val="center"/>
                </w:pPr>
              </w:pPrChange>
            </w:pPr>
            <w:r w:rsidRPr="008A106B">
              <w:rPr>
                <w:rFonts w:eastAsia="SimSun"/>
                <w:sz w:val="16"/>
                <w:lang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1D5BC9D0" w14:textId="77777777" w:rsidR="00834462" w:rsidRPr="008A106B" w:rsidRDefault="00834462">
            <w:pPr>
              <w:keepNext/>
              <w:keepLines/>
              <w:widowControl w:val="0"/>
              <w:spacing w:before="50" w:after="50" w:line="240" w:lineRule="exact"/>
              <w:jc w:val="center"/>
              <w:rPr>
                <w:rFonts w:eastAsia="SimSun"/>
                <w:sz w:val="16"/>
                <w:lang w:eastAsia="zh-CN"/>
              </w:rPr>
              <w:pPrChange w:id="1266" w:author="tcs" w:date="2026-02-26T11:03:00Z">
                <w:pPr>
                  <w:widowControl w:val="0"/>
                  <w:spacing w:before="50" w:after="50" w:line="240" w:lineRule="exact"/>
                  <w:jc w:val="center"/>
                </w:pPr>
              </w:pPrChange>
            </w:pPr>
            <w:r w:rsidRPr="008A106B">
              <w:rPr>
                <w:rFonts w:eastAsia="SimSun"/>
                <w:sz w:val="16"/>
                <w:lang w:eastAsia="zh-CN"/>
              </w:rPr>
              <w:t>0,0023</w:t>
            </w:r>
          </w:p>
        </w:tc>
      </w:tr>
    </w:tbl>
    <w:p w14:paraId="49456EFD" w14:textId="77777777" w:rsidR="00834462" w:rsidRPr="008A106B" w:rsidRDefault="00834462">
      <w:pPr>
        <w:keepNext/>
        <w:keepLines/>
        <w:widowControl w:val="0"/>
        <w:rPr>
          <w:rFonts w:eastAsia="SimSun"/>
          <w:bCs/>
          <w:i/>
          <w:sz w:val="18"/>
          <w:szCs w:val="18"/>
          <w:lang w:val="es-ES" w:eastAsia="zh-CN"/>
        </w:rPr>
        <w:pPrChange w:id="1267" w:author="tcs" w:date="2026-02-26T11:03:00Z">
          <w:pPr>
            <w:widowControl w:val="0"/>
          </w:pPr>
        </w:pPrChange>
      </w:pPr>
      <w:r w:rsidRPr="008A106B">
        <w:rPr>
          <w:rFonts w:eastAsia="SimSun"/>
          <w:bCs/>
          <w:i/>
          <w:sz w:val="18"/>
          <w:szCs w:val="18"/>
          <w:vertAlign w:val="superscript"/>
          <w:lang w:val="es-ES" w:eastAsia="zh-CN"/>
        </w:rPr>
        <w:t xml:space="preserve">a </w:t>
      </w:r>
      <w:r w:rsidRPr="008A106B">
        <w:rPr>
          <w:rFonts w:eastAsia="SimSun"/>
          <w:bCs/>
          <w:i/>
          <w:sz w:val="18"/>
          <w:szCs w:val="18"/>
          <w:lang w:val="es-ES" w:eastAsia="zh-CN"/>
        </w:rPr>
        <w:t>El valor de p está ajustado por región y duración de AR para todas las variables y adicionalmente todos los valores basales para todas las variables.</w:t>
      </w:r>
    </w:p>
    <w:p w14:paraId="07BFB4CF" w14:textId="77777777" w:rsidR="00834462" w:rsidRPr="008A106B" w:rsidRDefault="00834462">
      <w:pPr>
        <w:keepNext/>
        <w:keepLines/>
        <w:widowControl w:val="0"/>
        <w:rPr>
          <w:rFonts w:eastAsia="SimSun"/>
          <w:bCs/>
          <w:i/>
          <w:sz w:val="18"/>
          <w:szCs w:val="18"/>
          <w:lang w:val="es-ES" w:eastAsia="zh-CN"/>
        </w:rPr>
        <w:pPrChange w:id="1268" w:author="tcs" w:date="2026-02-26T11:03:00Z">
          <w:pPr>
            <w:widowControl w:val="0"/>
          </w:pPr>
        </w:pPrChange>
      </w:pPr>
      <w:r w:rsidRPr="008A106B">
        <w:rPr>
          <w:rFonts w:eastAsia="SimSun"/>
          <w:bCs/>
          <w:i/>
          <w:sz w:val="18"/>
          <w:szCs w:val="18"/>
          <w:vertAlign w:val="superscript"/>
          <w:lang w:val="es-ES" w:eastAsia="zh-CN"/>
        </w:rPr>
        <w:t xml:space="preserve">b </w:t>
      </w:r>
      <w:r w:rsidRPr="008A106B">
        <w:rPr>
          <w:rFonts w:eastAsia="SimSun"/>
          <w:bCs/>
          <w:i/>
          <w:sz w:val="18"/>
          <w:szCs w:val="18"/>
          <w:lang w:val="es-ES" w:eastAsia="zh-CN"/>
        </w:rPr>
        <w:t>Imputación de no respondedores usado para datos que faltan. Multiplicidad controlada usando el procedimiento de Bonferroni-Holm.</w:t>
      </w:r>
    </w:p>
    <w:p w14:paraId="608814F5" w14:textId="4F82DEDF" w:rsidR="00FA1740" w:rsidRPr="00F30AB8" w:rsidRDefault="00FA1740">
      <w:pPr>
        <w:pStyle w:val="Standard1"/>
        <w:keepNext/>
        <w:keepLines/>
        <w:widowControl w:val="0"/>
        <w:rPr>
          <w:rFonts w:ascii="Times New Roman" w:eastAsia="SimSun" w:hAnsi="Times New Roman"/>
          <w:bCs/>
          <w:i/>
          <w:sz w:val="18"/>
          <w:szCs w:val="18"/>
          <w:lang w:val="es-ES" w:eastAsia="zh-CN"/>
        </w:rPr>
        <w:pPrChange w:id="1269" w:author="tcs" w:date="2026-02-26T11:03:00Z">
          <w:pPr>
            <w:pStyle w:val="Standard1"/>
            <w:widowControl w:val="0"/>
          </w:pPr>
        </w:pPrChange>
      </w:pPr>
      <w:r w:rsidRPr="00F30AB8">
        <w:rPr>
          <w:rFonts w:ascii="Times New Roman" w:eastAsia="SimSun" w:hAnsi="Times New Roman"/>
          <w:bCs/>
          <w:i/>
          <w:sz w:val="18"/>
          <w:szCs w:val="18"/>
          <w:lang w:val="es-ES" w:eastAsia="zh-CN"/>
        </w:rPr>
        <w:t>IV = intravenos</w:t>
      </w:r>
      <w:r w:rsidR="00267243">
        <w:rPr>
          <w:rFonts w:ascii="Times New Roman" w:eastAsia="SimSun" w:hAnsi="Times New Roman"/>
          <w:bCs/>
          <w:i/>
          <w:sz w:val="18"/>
          <w:szCs w:val="18"/>
          <w:lang w:val="es-ES" w:eastAsia="zh-CN"/>
        </w:rPr>
        <w:t>o</w:t>
      </w:r>
    </w:p>
    <w:p w14:paraId="5F98D7D7" w14:textId="77777777" w:rsidR="00FA1740" w:rsidRPr="00F30AB8" w:rsidRDefault="00FA1740">
      <w:pPr>
        <w:pStyle w:val="Standard1"/>
        <w:keepNext/>
        <w:keepLines/>
        <w:widowControl w:val="0"/>
        <w:rPr>
          <w:rFonts w:ascii="Times New Roman" w:eastAsia="SimSun" w:hAnsi="Times New Roman"/>
          <w:bCs/>
          <w:i/>
          <w:sz w:val="18"/>
          <w:szCs w:val="18"/>
          <w:lang w:val="es-ES" w:eastAsia="zh-CN"/>
        </w:rPr>
        <w:pPrChange w:id="1270" w:author="tcs" w:date="2026-02-26T11:03:00Z">
          <w:pPr>
            <w:pStyle w:val="Standard1"/>
            <w:widowControl w:val="0"/>
          </w:pPr>
        </w:pPrChange>
      </w:pPr>
      <w:r w:rsidRPr="00F30AB8">
        <w:rPr>
          <w:rFonts w:ascii="Times New Roman" w:eastAsia="SimSun" w:hAnsi="Times New Roman"/>
          <w:bCs/>
          <w:i/>
          <w:sz w:val="18"/>
          <w:szCs w:val="18"/>
          <w:lang w:val="es-ES" w:eastAsia="zh-CN"/>
        </w:rPr>
        <w:t>SC = subcutáneo</w:t>
      </w:r>
    </w:p>
    <w:p w14:paraId="059D2EF9" w14:textId="77777777" w:rsidR="00FA1740" w:rsidRPr="00F30AB8" w:rsidRDefault="00FA1740">
      <w:pPr>
        <w:pStyle w:val="Standard1"/>
        <w:keepNext/>
        <w:keepLines/>
        <w:widowControl w:val="0"/>
        <w:rPr>
          <w:rFonts w:ascii="Times New Roman" w:eastAsia="SimSun" w:hAnsi="Times New Roman"/>
          <w:bCs/>
          <w:i/>
          <w:sz w:val="18"/>
          <w:szCs w:val="18"/>
          <w:lang w:val="es-ES" w:eastAsia="zh-CN"/>
        </w:rPr>
        <w:pPrChange w:id="1271" w:author="tcs" w:date="2026-02-26T11:03:00Z">
          <w:pPr>
            <w:pStyle w:val="Standard1"/>
            <w:widowControl w:val="0"/>
          </w:pPr>
        </w:pPrChange>
      </w:pPr>
      <w:r w:rsidRPr="00F30AB8">
        <w:rPr>
          <w:rFonts w:ascii="Times New Roman" w:eastAsia="SimSun" w:hAnsi="Times New Roman"/>
          <w:bCs/>
          <w:i/>
          <w:sz w:val="18"/>
          <w:szCs w:val="18"/>
          <w:lang w:val="es-ES" w:eastAsia="zh-CN"/>
        </w:rPr>
        <w:t>ADA = adalimumab</w:t>
      </w:r>
    </w:p>
    <w:p w14:paraId="7A1FAE17" w14:textId="77777777" w:rsidR="00FA1740" w:rsidRPr="00F30AB8" w:rsidRDefault="00FA1740" w:rsidP="00F30AB8">
      <w:pPr>
        <w:pStyle w:val="Standard1"/>
        <w:widowControl w:val="0"/>
        <w:rPr>
          <w:rFonts w:ascii="Times New Roman" w:eastAsia="SimSun" w:hAnsi="Times New Roman"/>
          <w:bCs/>
          <w:i/>
          <w:sz w:val="18"/>
          <w:szCs w:val="18"/>
          <w:lang w:val="es-ES" w:eastAsia="zh-CN"/>
        </w:rPr>
      </w:pPr>
      <w:r w:rsidRPr="00F30AB8">
        <w:rPr>
          <w:rFonts w:ascii="Times New Roman" w:eastAsia="SimSun" w:hAnsi="Times New Roman"/>
          <w:bCs/>
          <w:i/>
          <w:sz w:val="18"/>
          <w:szCs w:val="18"/>
          <w:lang w:val="es-ES" w:eastAsia="zh-CN"/>
        </w:rPr>
        <w:t>TCZ = tocilizumab</w:t>
      </w:r>
    </w:p>
    <w:p w14:paraId="2C66ABEE" w14:textId="77777777" w:rsidR="00834462" w:rsidRPr="008A106B" w:rsidRDefault="00834462" w:rsidP="00F30AB8">
      <w:pPr>
        <w:widowControl w:val="0"/>
        <w:rPr>
          <w:rFonts w:eastAsia="SimSun"/>
          <w:bCs/>
          <w:i/>
          <w:sz w:val="18"/>
          <w:szCs w:val="18"/>
          <w:lang w:val="es-ES" w:eastAsia="zh-CN"/>
        </w:rPr>
      </w:pPr>
    </w:p>
    <w:p w14:paraId="79DEA1CC" w14:textId="2C932B14" w:rsidR="00834462" w:rsidRDefault="00834462">
      <w:pPr>
        <w:widowControl w:val="0"/>
        <w:numPr>
          <w:ilvl w:val="12"/>
          <w:numId w:val="0"/>
        </w:numPr>
        <w:ind w:right="-2"/>
        <w:rPr>
          <w:lang w:val="es-ES"/>
        </w:rPr>
      </w:pPr>
      <w:r w:rsidRPr="00BC7276">
        <w:rPr>
          <w:lang w:val="es-ES"/>
        </w:rPr>
        <w:t>El perfil clínico global de acontecimientos advers</w:t>
      </w:r>
      <w:r w:rsidR="00C57BA0">
        <w:rPr>
          <w:lang w:val="es-ES"/>
        </w:rPr>
        <w:t xml:space="preserve">os fue similar entre </w:t>
      </w:r>
      <w:r w:rsidR="00267243">
        <w:rPr>
          <w:lang w:val="es-ES"/>
        </w:rPr>
        <w:t>t</w:t>
      </w:r>
      <w:r w:rsidR="00FA1740">
        <w:rPr>
          <w:lang w:val="es-ES"/>
        </w:rPr>
        <w:t>ocilizumab</w:t>
      </w:r>
      <w:r w:rsidR="00FA1740" w:rsidRPr="00BC7276">
        <w:rPr>
          <w:lang w:val="es-ES"/>
        </w:rPr>
        <w:t xml:space="preserve"> </w:t>
      </w:r>
      <w:r w:rsidRPr="00BC7276">
        <w:rPr>
          <w:lang w:val="es-ES"/>
        </w:rPr>
        <w:t>y adalimumab. La proporción de pacientes con acontecimientos adversos graves fue equilibrad</w:t>
      </w:r>
      <w:r w:rsidR="0072754F">
        <w:rPr>
          <w:lang w:val="es-ES"/>
        </w:rPr>
        <w:t>a</w:t>
      </w:r>
      <w:r w:rsidRPr="00BC7276">
        <w:rPr>
          <w:lang w:val="es-ES"/>
        </w:rPr>
        <w:t xml:space="preserve"> entre los grupos de tratamiento (</w:t>
      </w:r>
      <w:r w:rsidR="00FA1740">
        <w:rPr>
          <w:szCs w:val="22"/>
          <w:lang w:val="es-ES"/>
        </w:rPr>
        <w:t>tocilizumab</w:t>
      </w:r>
      <w:r w:rsidR="00FA1740" w:rsidRPr="006868F5">
        <w:rPr>
          <w:szCs w:val="22"/>
          <w:lang w:val="es-ES"/>
        </w:rPr>
        <w:t xml:space="preserve"> </w:t>
      </w:r>
      <w:r w:rsidRPr="00376697">
        <w:rPr>
          <w:lang w:val="es-ES"/>
        </w:rPr>
        <w:t>11,7</w:t>
      </w:r>
      <w:r w:rsidR="00224336" w:rsidRPr="00376697">
        <w:rPr>
          <w:lang w:val="es-ES"/>
        </w:rPr>
        <w:t xml:space="preserve"> </w:t>
      </w:r>
      <w:r w:rsidRPr="00376697">
        <w:rPr>
          <w:lang w:val="es-ES"/>
        </w:rPr>
        <w:t xml:space="preserve">% vs. </w:t>
      </w:r>
      <w:r w:rsidR="00267243">
        <w:rPr>
          <w:lang w:val="es-ES"/>
        </w:rPr>
        <w:t>a</w:t>
      </w:r>
      <w:r w:rsidR="00267243" w:rsidRPr="00376697">
        <w:rPr>
          <w:lang w:val="es-ES"/>
        </w:rPr>
        <w:t xml:space="preserve">dalimumab </w:t>
      </w:r>
      <w:r w:rsidRPr="00376697">
        <w:rPr>
          <w:lang w:val="es-ES"/>
        </w:rPr>
        <w:t>9,9</w:t>
      </w:r>
      <w:r w:rsidR="00224336" w:rsidRPr="00376697">
        <w:rPr>
          <w:lang w:val="es-ES"/>
        </w:rPr>
        <w:t xml:space="preserve"> </w:t>
      </w:r>
      <w:r w:rsidRPr="00376697">
        <w:rPr>
          <w:lang w:val="es-ES"/>
        </w:rPr>
        <w:t xml:space="preserve">%). </w:t>
      </w:r>
      <w:r w:rsidRPr="00BC7276">
        <w:rPr>
          <w:lang w:val="es-ES"/>
        </w:rPr>
        <w:t>Las reacciones adversas a medicamentos en el</w:t>
      </w:r>
      <w:r w:rsidRPr="008A106B">
        <w:rPr>
          <w:lang w:val="es-ES"/>
        </w:rPr>
        <w:t xml:space="preserve"> </w:t>
      </w:r>
      <w:del w:id="1272" w:author="AUTHOR">
        <w:r w:rsidRPr="00BC7276" w:rsidDel="004E273B">
          <w:rPr>
            <w:lang w:val="es-ES"/>
          </w:rPr>
          <w:delText>brazo</w:delText>
        </w:r>
      </w:del>
      <w:ins w:id="1273" w:author="AUTHOR">
        <w:r w:rsidR="004E273B">
          <w:rPr>
            <w:lang w:val="es-ES"/>
          </w:rPr>
          <w:t>grupo</w:t>
        </w:r>
      </w:ins>
      <w:r w:rsidRPr="00BC7276">
        <w:rPr>
          <w:lang w:val="es-ES"/>
        </w:rPr>
        <w:t xml:space="preserve"> de tocilizumab fueron consistentes con el perfil de seguridad conocido de </w:t>
      </w:r>
      <w:r w:rsidR="00AC6075">
        <w:rPr>
          <w:szCs w:val="22"/>
          <w:lang w:val="es-ES"/>
        </w:rPr>
        <w:t>tocilizumab</w:t>
      </w:r>
      <w:r w:rsidR="00AC6075" w:rsidRPr="006868F5">
        <w:rPr>
          <w:szCs w:val="22"/>
          <w:lang w:val="es-ES"/>
        </w:rPr>
        <w:t xml:space="preserve"> </w:t>
      </w:r>
      <w:r w:rsidRPr="00BC7276">
        <w:rPr>
          <w:lang w:val="es-ES"/>
        </w:rPr>
        <w:t>y la frecuencia de las reacciones adversas notificadas fue similar en comparación con la Tabla</w:t>
      </w:r>
      <w:r w:rsidR="00267243" w:rsidRPr="00F30AB8">
        <w:rPr>
          <w:szCs w:val="22"/>
          <w:lang w:val="es-ES"/>
        </w:rPr>
        <w:t> </w:t>
      </w:r>
      <w:r w:rsidRPr="00BC7276">
        <w:rPr>
          <w:lang w:val="es-ES"/>
        </w:rPr>
        <w:t xml:space="preserve">1. Se notificó en el </w:t>
      </w:r>
      <w:del w:id="1274" w:author="AUTHOR">
        <w:r w:rsidRPr="00BC7276" w:rsidDel="004E273B">
          <w:rPr>
            <w:lang w:val="es-ES"/>
          </w:rPr>
          <w:delText>brazo</w:delText>
        </w:r>
      </w:del>
      <w:ins w:id="1275" w:author="AUTHOR">
        <w:r w:rsidR="004E273B">
          <w:rPr>
            <w:lang w:val="es-ES"/>
          </w:rPr>
          <w:t>grupo</w:t>
        </w:r>
      </w:ins>
      <w:r w:rsidRPr="00BC7276">
        <w:rPr>
          <w:lang w:val="es-ES"/>
        </w:rPr>
        <w:t xml:space="preserve"> de </w:t>
      </w:r>
      <w:r w:rsidR="00AC6075">
        <w:rPr>
          <w:szCs w:val="22"/>
          <w:lang w:val="es-ES"/>
        </w:rPr>
        <w:t>tocilizumab</w:t>
      </w:r>
      <w:r w:rsidR="00AC6075" w:rsidRPr="006868F5">
        <w:rPr>
          <w:szCs w:val="22"/>
          <w:lang w:val="es-ES"/>
        </w:rPr>
        <w:t xml:space="preserve"> </w:t>
      </w:r>
      <w:r w:rsidRPr="00BC7276">
        <w:rPr>
          <w:lang w:val="es-ES"/>
        </w:rPr>
        <w:t>una mayor incidencia de infecciones e infestaciones (48</w:t>
      </w:r>
      <w:r w:rsidR="00224336">
        <w:rPr>
          <w:lang w:val="es-ES"/>
        </w:rPr>
        <w:t xml:space="preserve"> </w:t>
      </w:r>
      <w:r w:rsidRPr="00BC7276">
        <w:rPr>
          <w:lang w:val="es-ES"/>
        </w:rPr>
        <w:t>% vs 42</w:t>
      </w:r>
      <w:r w:rsidR="00224336">
        <w:rPr>
          <w:lang w:val="es-ES"/>
        </w:rPr>
        <w:t xml:space="preserve"> </w:t>
      </w:r>
      <w:r w:rsidRPr="00BC7276">
        <w:rPr>
          <w:lang w:val="es-ES"/>
        </w:rPr>
        <w:t>%), sin diferencias en la incidencia de infecciones graves (3,1</w:t>
      </w:r>
      <w:r w:rsidR="00224336">
        <w:rPr>
          <w:lang w:val="es-ES"/>
        </w:rPr>
        <w:t xml:space="preserve"> </w:t>
      </w:r>
      <w:r w:rsidRPr="00BC7276">
        <w:rPr>
          <w:lang w:val="es-ES"/>
        </w:rPr>
        <w:t>%). Ambos tratamientos en e</w:t>
      </w:r>
      <w:r w:rsidR="00C434A4">
        <w:rPr>
          <w:lang w:val="es-ES"/>
        </w:rPr>
        <w:t>nsayo</w:t>
      </w:r>
      <w:r w:rsidRPr="00BC7276">
        <w:rPr>
          <w:lang w:val="es-ES"/>
        </w:rPr>
        <w:t xml:space="preserve"> indujeron el mismo patrón de cambios en los parámetros de seguridad del laboratorio (disminución en neutrófilos y recuento de plaquetas, aumento en ALT, AST y lípidos), sin embargo, la magnitud del cambio y la frecuencia de fuertes anomalías fue superior con </w:t>
      </w:r>
      <w:r w:rsidR="00AC6075">
        <w:rPr>
          <w:szCs w:val="22"/>
          <w:lang w:val="es-ES"/>
        </w:rPr>
        <w:t>tocilizumab</w:t>
      </w:r>
      <w:r w:rsidR="00AC6075" w:rsidRPr="006868F5">
        <w:rPr>
          <w:szCs w:val="22"/>
          <w:lang w:val="es-ES"/>
        </w:rPr>
        <w:t xml:space="preserve"> </w:t>
      </w:r>
      <w:r w:rsidRPr="00BC7276">
        <w:rPr>
          <w:lang w:val="es-ES"/>
        </w:rPr>
        <w:t>en comparación con adalimumab. Cuatro pacientes (2,5</w:t>
      </w:r>
      <w:r w:rsidR="00224336">
        <w:rPr>
          <w:lang w:val="es-ES"/>
        </w:rPr>
        <w:t xml:space="preserve"> </w:t>
      </w:r>
      <w:r w:rsidRPr="00BC7276">
        <w:rPr>
          <w:lang w:val="es-ES"/>
        </w:rPr>
        <w:t xml:space="preserve">%) en el </w:t>
      </w:r>
      <w:del w:id="1276" w:author="AUTHOR">
        <w:r w:rsidRPr="00BC7276" w:rsidDel="004E273B">
          <w:rPr>
            <w:lang w:val="es-ES"/>
          </w:rPr>
          <w:delText>brazo</w:delText>
        </w:r>
      </w:del>
      <w:ins w:id="1277" w:author="AUTHOR">
        <w:r w:rsidR="004E273B">
          <w:rPr>
            <w:lang w:val="es-ES"/>
          </w:rPr>
          <w:t>grupo</w:t>
        </w:r>
      </w:ins>
      <w:r w:rsidRPr="00BC7276">
        <w:rPr>
          <w:lang w:val="es-ES"/>
        </w:rPr>
        <w:t xml:space="preserve"> de </w:t>
      </w:r>
      <w:r w:rsidR="00AC6075">
        <w:rPr>
          <w:szCs w:val="22"/>
          <w:lang w:val="es-ES"/>
        </w:rPr>
        <w:t>tocilizumab</w:t>
      </w:r>
      <w:r w:rsidR="00AC6075" w:rsidRPr="006868F5">
        <w:rPr>
          <w:szCs w:val="22"/>
          <w:lang w:val="es-ES"/>
        </w:rPr>
        <w:t xml:space="preserve"> </w:t>
      </w:r>
      <w:r w:rsidRPr="00BC7276">
        <w:rPr>
          <w:lang w:val="es-ES"/>
        </w:rPr>
        <w:t>y dos pacientes (1,2</w:t>
      </w:r>
      <w:r w:rsidR="00224336">
        <w:rPr>
          <w:lang w:val="es-ES"/>
        </w:rPr>
        <w:t xml:space="preserve"> </w:t>
      </w:r>
      <w:r w:rsidRPr="00BC7276">
        <w:rPr>
          <w:lang w:val="es-ES"/>
        </w:rPr>
        <w:t xml:space="preserve">%) en el </w:t>
      </w:r>
      <w:del w:id="1278" w:author="AUTHOR">
        <w:r w:rsidRPr="00BC7276" w:rsidDel="004E273B">
          <w:rPr>
            <w:lang w:val="es-ES"/>
          </w:rPr>
          <w:delText>brazo</w:delText>
        </w:r>
      </w:del>
      <w:ins w:id="1279" w:author="AUTHOR">
        <w:r w:rsidR="004E273B">
          <w:rPr>
            <w:lang w:val="es-ES"/>
          </w:rPr>
          <w:t>grupo</w:t>
        </w:r>
      </w:ins>
      <w:r w:rsidRPr="00BC7276">
        <w:rPr>
          <w:lang w:val="es-ES"/>
        </w:rPr>
        <w:t xml:space="preserve"> de adalimumab experimentaron una disminución en el recuento de neutrófilos de grado 3 ó 4 según los Criterios </w:t>
      </w:r>
      <w:ins w:id="1280" w:author="AUTHOR">
        <w:r w:rsidR="00EB1877">
          <w:rPr>
            <w:lang w:val="es-ES"/>
          </w:rPr>
          <w:t>Comunes de Toxicidad</w:t>
        </w:r>
      </w:ins>
      <w:del w:id="1281" w:author="AUTHOR">
        <w:r w:rsidRPr="00BC7276" w:rsidDel="00EB1877">
          <w:rPr>
            <w:lang w:val="es-ES"/>
          </w:rPr>
          <w:delText>de Toxicidad Común</w:delText>
        </w:r>
      </w:del>
      <w:r w:rsidRPr="00BC7276">
        <w:rPr>
          <w:lang w:val="es-ES"/>
        </w:rPr>
        <w:t xml:space="preserve"> (CTC). Once pacientes (6,8</w:t>
      </w:r>
      <w:r w:rsidR="00224336">
        <w:rPr>
          <w:lang w:val="es-ES"/>
        </w:rPr>
        <w:t xml:space="preserve"> </w:t>
      </w:r>
      <w:r w:rsidRPr="00BC7276">
        <w:rPr>
          <w:lang w:val="es-ES"/>
        </w:rPr>
        <w:t xml:space="preserve">%) en el </w:t>
      </w:r>
      <w:del w:id="1282" w:author="AUTHOR">
        <w:r w:rsidRPr="00BC7276" w:rsidDel="004E273B">
          <w:rPr>
            <w:lang w:val="es-ES"/>
          </w:rPr>
          <w:delText>brazo</w:delText>
        </w:r>
      </w:del>
      <w:ins w:id="1283" w:author="AUTHOR">
        <w:r w:rsidR="004E273B">
          <w:rPr>
            <w:lang w:val="es-ES"/>
          </w:rPr>
          <w:t>grupo</w:t>
        </w:r>
      </w:ins>
      <w:r w:rsidRPr="00BC7276">
        <w:rPr>
          <w:lang w:val="es-ES"/>
        </w:rPr>
        <w:t xml:space="preserve"> de </w:t>
      </w:r>
      <w:r w:rsidR="00AC6075">
        <w:rPr>
          <w:szCs w:val="22"/>
          <w:lang w:val="es-ES"/>
        </w:rPr>
        <w:t>tocilizumab</w:t>
      </w:r>
      <w:r w:rsidR="00AC6075" w:rsidRPr="006868F5">
        <w:rPr>
          <w:szCs w:val="22"/>
          <w:lang w:val="es-ES"/>
        </w:rPr>
        <w:t xml:space="preserve"> </w:t>
      </w:r>
      <w:r w:rsidRPr="00BC7276">
        <w:rPr>
          <w:lang w:val="es-ES"/>
        </w:rPr>
        <w:t>y cinco pacientes (3,1</w:t>
      </w:r>
      <w:r w:rsidR="00224336">
        <w:rPr>
          <w:lang w:val="es-ES"/>
        </w:rPr>
        <w:t xml:space="preserve"> </w:t>
      </w:r>
      <w:r w:rsidRPr="00BC7276">
        <w:rPr>
          <w:lang w:val="es-ES"/>
        </w:rPr>
        <w:t xml:space="preserve">%) en el </w:t>
      </w:r>
      <w:del w:id="1284" w:author="AUTHOR">
        <w:r w:rsidRPr="00BC7276" w:rsidDel="004E273B">
          <w:rPr>
            <w:lang w:val="es-ES"/>
          </w:rPr>
          <w:delText>brazo</w:delText>
        </w:r>
      </w:del>
      <w:ins w:id="1285" w:author="AUTHOR">
        <w:r w:rsidR="004E273B">
          <w:rPr>
            <w:lang w:val="es-ES"/>
          </w:rPr>
          <w:t>grupo</w:t>
        </w:r>
      </w:ins>
      <w:r w:rsidRPr="00BC7276">
        <w:rPr>
          <w:lang w:val="es-ES"/>
        </w:rPr>
        <w:t xml:space="preserve"> de adalimumab experimentaron un incremento de las ALT de grado 2 o superior según CTC. El incremento medio de LDL desde el valor basal fue 0,64 mmol/</w:t>
      </w:r>
      <w:r w:rsidR="00262103">
        <w:rPr>
          <w:lang w:val="es-ES"/>
        </w:rPr>
        <w:t>l</w:t>
      </w:r>
      <w:r w:rsidRPr="00BC7276">
        <w:rPr>
          <w:lang w:val="es-ES"/>
        </w:rPr>
        <w:t xml:space="preserve"> (25 mg/d</w:t>
      </w:r>
      <w:r w:rsidR="00262103">
        <w:rPr>
          <w:lang w:val="es-ES"/>
        </w:rPr>
        <w:t>l</w:t>
      </w:r>
      <w:r w:rsidRPr="00BC7276">
        <w:rPr>
          <w:lang w:val="es-ES"/>
        </w:rPr>
        <w:t xml:space="preserve">) para pacientes en el </w:t>
      </w:r>
      <w:del w:id="1286" w:author="AUTHOR">
        <w:r w:rsidRPr="00BC7276" w:rsidDel="004E273B">
          <w:rPr>
            <w:lang w:val="es-ES"/>
          </w:rPr>
          <w:delText>brazo</w:delText>
        </w:r>
      </w:del>
      <w:ins w:id="1287" w:author="AUTHOR">
        <w:r w:rsidR="004E273B">
          <w:rPr>
            <w:lang w:val="es-ES"/>
          </w:rPr>
          <w:t>grupo</w:t>
        </w:r>
      </w:ins>
      <w:r w:rsidRPr="00BC7276">
        <w:rPr>
          <w:lang w:val="es-ES"/>
        </w:rPr>
        <w:t xml:space="preserve"> de </w:t>
      </w:r>
      <w:r w:rsidR="00AC6075">
        <w:rPr>
          <w:szCs w:val="22"/>
          <w:lang w:val="es-ES"/>
        </w:rPr>
        <w:t>tocilizumab</w:t>
      </w:r>
      <w:r w:rsidR="00AC6075" w:rsidRPr="006868F5">
        <w:rPr>
          <w:szCs w:val="22"/>
          <w:lang w:val="es-ES"/>
        </w:rPr>
        <w:t xml:space="preserve"> </w:t>
      </w:r>
      <w:r w:rsidRPr="00BC7276">
        <w:rPr>
          <w:lang w:val="es-ES"/>
        </w:rPr>
        <w:t>y 0,19 mmol/</w:t>
      </w:r>
      <w:r w:rsidR="00262103">
        <w:rPr>
          <w:lang w:val="es-ES"/>
        </w:rPr>
        <w:t>l</w:t>
      </w:r>
      <w:r w:rsidRPr="00BC7276">
        <w:rPr>
          <w:lang w:val="es-ES"/>
        </w:rPr>
        <w:t xml:space="preserve"> (7 mg/d</w:t>
      </w:r>
      <w:r w:rsidR="00262103">
        <w:rPr>
          <w:lang w:val="es-ES"/>
        </w:rPr>
        <w:t>l</w:t>
      </w:r>
      <w:r w:rsidRPr="00BC7276">
        <w:rPr>
          <w:lang w:val="es-ES"/>
        </w:rPr>
        <w:t xml:space="preserve">) para pacientes en el </w:t>
      </w:r>
      <w:del w:id="1288" w:author="AUTHOR">
        <w:r w:rsidRPr="00BC7276" w:rsidDel="004E273B">
          <w:rPr>
            <w:lang w:val="es-ES"/>
          </w:rPr>
          <w:delText>brazo</w:delText>
        </w:r>
      </w:del>
      <w:ins w:id="1289" w:author="AUTHOR">
        <w:r w:rsidR="004E273B">
          <w:rPr>
            <w:lang w:val="es-ES"/>
          </w:rPr>
          <w:t>grupo</w:t>
        </w:r>
      </w:ins>
      <w:r w:rsidRPr="00BC7276">
        <w:rPr>
          <w:lang w:val="es-ES"/>
        </w:rPr>
        <w:t xml:space="preserve"> de adalimumab. La seguridad observada en el </w:t>
      </w:r>
      <w:del w:id="1290" w:author="AUTHOR">
        <w:r w:rsidRPr="00BC7276" w:rsidDel="004E273B">
          <w:rPr>
            <w:lang w:val="es-ES"/>
          </w:rPr>
          <w:delText>brazo</w:delText>
        </w:r>
      </w:del>
      <w:ins w:id="1291" w:author="AUTHOR">
        <w:r w:rsidR="004E273B">
          <w:rPr>
            <w:lang w:val="es-ES"/>
          </w:rPr>
          <w:t>grupo</w:t>
        </w:r>
      </w:ins>
      <w:r w:rsidRPr="00BC7276">
        <w:rPr>
          <w:lang w:val="es-ES"/>
        </w:rPr>
        <w:t xml:space="preserve"> de tocilizumab fue consistente con el perfil de seguridad conocido de </w:t>
      </w:r>
      <w:r w:rsidR="00AC6075">
        <w:rPr>
          <w:szCs w:val="22"/>
          <w:lang w:val="es-ES"/>
        </w:rPr>
        <w:t>tocilizumab</w:t>
      </w:r>
      <w:r w:rsidR="00AC6075" w:rsidRPr="006868F5">
        <w:rPr>
          <w:szCs w:val="22"/>
          <w:lang w:val="es-ES"/>
        </w:rPr>
        <w:t xml:space="preserve"> </w:t>
      </w:r>
      <w:r w:rsidRPr="00BC7276">
        <w:rPr>
          <w:lang w:val="es-ES"/>
        </w:rPr>
        <w:t xml:space="preserve">y no se observaron reacciones adversas al medicamento nuevas ni inesperadas (ver </w:t>
      </w:r>
      <w:r w:rsidR="008C4333">
        <w:rPr>
          <w:lang w:val="es-ES"/>
        </w:rPr>
        <w:t>T</w:t>
      </w:r>
      <w:r w:rsidRPr="00BC7276">
        <w:rPr>
          <w:lang w:val="es-ES"/>
        </w:rPr>
        <w:t>abla</w:t>
      </w:r>
      <w:r w:rsidR="00267243" w:rsidRPr="00F30AB8">
        <w:rPr>
          <w:szCs w:val="22"/>
          <w:lang w:val="es-ES"/>
        </w:rPr>
        <w:t> </w:t>
      </w:r>
      <w:r w:rsidRPr="00BC7276">
        <w:rPr>
          <w:lang w:val="es-ES"/>
        </w:rPr>
        <w:t>1).</w:t>
      </w:r>
    </w:p>
    <w:p w14:paraId="6CF2153B" w14:textId="77777777" w:rsidR="00C57BA0" w:rsidRPr="00BC7276" w:rsidRDefault="00C57BA0">
      <w:pPr>
        <w:widowControl w:val="0"/>
        <w:numPr>
          <w:ilvl w:val="12"/>
          <w:numId w:val="0"/>
        </w:numPr>
        <w:ind w:right="-2"/>
        <w:rPr>
          <w:lang w:val="es-ES"/>
        </w:rPr>
        <w:pPrChange w:id="1292" w:author="tcs" w:date="2026-02-26T11:04:00Z">
          <w:pPr>
            <w:numPr>
              <w:ilvl w:val="12"/>
            </w:numPr>
            <w:ind w:right="-2"/>
          </w:pPr>
        </w:pPrChange>
      </w:pPr>
    </w:p>
    <w:p w14:paraId="1E2557AB" w14:textId="77777777" w:rsidR="00834462" w:rsidRDefault="00834462">
      <w:pPr>
        <w:widowControl w:val="0"/>
        <w:ind w:left="567" w:hanging="567"/>
        <w:outlineLvl w:val="0"/>
        <w:rPr>
          <w:b/>
          <w:bCs/>
          <w:lang w:val="es-ES_tradnl"/>
        </w:rPr>
        <w:pPrChange w:id="1293" w:author="tcs" w:date="2026-02-26T11:04:00Z">
          <w:pPr>
            <w:keepNext/>
            <w:keepLines/>
            <w:ind w:left="567" w:hanging="567"/>
            <w:outlineLvl w:val="0"/>
          </w:pPr>
        </w:pPrChange>
      </w:pPr>
      <w:r w:rsidRPr="008A106B">
        <w:rPr>
          <w:b/>
          <w:bCs/>
          <w:lang w:val="es-ES"/>
        </w:rPr>
        <w:t>5.2</w:t>
      </w:r>
      <w:r w:rsidRPr="008A106B">
        <w:rPr>
          <w:b/>
          <w:bCs/>
          <w:lang w:val="es-ES"/>
        </w:rPr>
        <w:tab/>
      </w:r>
      <w:r w:rsidRPr="008A106B">
        <w:rPr>
          <w:b/>
          <w:bCs/>
          <w:lang w:val="es-ES_tradnl"/>
        </w:rPr>
        <w:t>Propiedades farmacocinéticas</w:t>
      </w:r>
    </w:p>
    <w:p w14:paraId="19A10FDE" w14:textId="77777777" w:rsidR="007E0AC5" w:rsidRDefault="007E0AC5">
      <w:pPr>
        <w:widowControl w:val="0"/>
        <w:ind w:left="567" w:hanging="567"/>
        <w:outlineLvl w:val="0"/>
        <w:rPr>
          <w:b/>
          <w:bCs/>
          <w:lang w:val="es-ES_tradnl"/>
        </w:rPr>
        <w:pPrChange w:id="1294" w:author="tcs" w:date="2026-02-26T11:04:00Z">
          <w:pPr>
            <w:keepNext/>
            <w:keepLines/>
            <w:ind w:left="567" w:hanging="567"/>
            <w:outlineLvl w:val="0"/>
          </w:pPr>
        </w:pPrChange>
      </w:pPr>
    </w:p>
    <w:p w14:paraId="52EA7BD5" w14:textId="51E7A91F" w:rsidR="007E0AC5" w:rsidRDefault="0038402A">
      <w:pPr>
        <w:widowControl w:val="0"/>
        <w:rPr>
          <w:ins w:id="1295" w:author="AUTHOR"/>
          <w:color w:val="000000"/>
          <w:lang w:val="es-ES" w:eastAsia="de-DE"/>
        </w:rPr>
        <w:pPrChange w:id="1296" w:author="tcs" w:date="2026-02-26T11:04:00Z">
          <w:pPr>
            <w:keepNext/>
            <w:keepLines/>
          </w:pPr>
        </w:pPrChange>
      </w:pPr>
      <w:r w:rsidRPr="00EC0387">
        <w:rPr>
          <w:lang w:val="es-ES" w:eastAsia="de-DE"/>
        </w:rPr>
        <w:t xml:space="preserve">La farmacocinética de </w:t>
      </w:r>
      <w:r w:rsidR="00AC6075">
        <w:rPr>
          <w:szCs w:val="22"/>
          <w:lang w:val="es-ES"/>
        </w:rPr>
        <w:t>tocilizumab</w:t>
      </w:r>
      <w:r w:rsidR="00AC6075" w:rsidRPr="006868F5">
        <w:rPr>
          <w:szCs w:val="22"/>
          <w:lang w:val="es-ES"/>
        </w:rPr>
        <w:t xml:space="preserve"> </w:t>
      </w:r>
      <w:r w:rsidRPr="00EC0387">
        <w:rPr>
          <w:lang w:val="es-ES" w:eastAsia="de-DE"/>
        </w:rPr>
        <w:t>se c</w:t>
      </w:r>
      <w:r w:rsidR="00F72F48" w:rsidRPr="002837E4">
        <w:rPr>
          <w:lang w:val="es-ES" w:eastAsia="de-DE"/>
        </w:rPr>
        <w:t>aracteriza por una eliminación no lineal que es una combinaci</w:t>
      </w:r>
      <w:r w:rsidR="00F72F48" w:rsidRPr="006C05BA">
        <w:rPr>
          <w:lang w:val="es-ES" w:eastAsia="de-DE"/>
        </w:rPr>
        <w:t xml:space="preserve">ón de eliminación lineal y eliminación de </w:t>
      </w:r>
      <w:r w:rsidR="00F72F48" w:rsidRPr="00C22F3F">
        <w:rPr>
          <w:color w:val="000000"/>
          <w:lang w:val="es-ES" w:eastAsia="de-DE"/>
        </w:rPr>
        <w:t>Michaelis-Menten.</w:t>
      </w:r>
      <w:r w:rsidR="00F72F48" w:rsidRPr="00C22F3F">
        <w:rPr>
          <w:lang w:val="es-ES" w:eastAsia="de-DE"/>
        </w:rPr>
        <w:t xml:space="preserve"> </w:t>
      </w:r>
      <w:r w:rsidR="007E0AC5" w:rsidRPr="00C22F3F">
        <w:rPr>
          <w:lang w:val="es-ES" w:eastAsia="de-DE"/>
        </w:rPr>
        <w:t xml:space="preserve">La parte no lineal de la eliminación de </w:t>
      </w:r>
      <w:r w:rsidR="00AC6075">
        <w:rPr>
          <w:szCs w:val="22"/>
          <w:lang w:val="es-ES"/>
        </w:rPr>
        <w:t>tocilizumab</w:t>
      </w:r>
      <w:r w:rsidR="00AC6075" w:rsidRPr="006868F5">
        <w:rPr>
          <w:szCs w:val="22"/>
          <w:lang w:val="es-ES"/>
        </w:rPr>
        <w:t xml:space="preserve"> </w:t>
      </w:r>
      <w:r w:rsidR="007E0AC5" w:rsidRPr="00C22F3F">
        <w:rPr>
          <w:lang w:val="es-ES" w:eastAsia="de-DE"/>
        </w:rPr>
        <w:t xml:space="preserve">conduce a un aumento de la exposición que es más que proporcional a la dosis. </w:t>
      </w:r>
      <w:r w:rsidR="007E0AC5" w:rsidRPr="006868F5">
        <w:rPr>
          <w:color w:val="000000"/>
          <w:lang w:val="es-ES" w:eastAsia="de-DE"/>
        </w:rPr>
        <w:t xml:space="preserve">Los parámetros farmacocinéticos de </w:t>
      </w:r>
      <w:r w:rsidR="00AC6075">
        <w:rPr>
          <w:szCs w:val="22"/>
          <w:lang w:val="es-ES"/>
        </w:rPr>
        <w:t>tocilizumab</w:t>
      </w:r>
      <w:r w:rsidR="00AC6075" w:rsidRPr="006868F5">
        <w:rPr>
          <w:szCs w:val="22"/>
          <w:lang w:val="es-ES"/>
        </w:rPr>
        <w:t xml:space="preserve"> </w:t>
      </w:r>
      <w:r w:rsidR="007E0AC5" w:rsidRPr="006868F5">
        <w:rPr>
          <w:color w:val="000000"/>
          <w:lang w:val="es-ES" w:eastAsia="de-DE"/>
        </w:rPr>
        <w:t>no cambian con el tiempo.</w:t>
      </w:r>
      <w:r w:rsidR="007E0AC5" w:rsidRPr="00EC0387">
        <w:rPr>
          <w:color w:val="000000"/>
          <w:lang w:val="es-ES" w:eastAsia="de-DE"/>
        </w:rPr>
        <w:t xml:space="preserve"> Debido a la dependencia del aclaramiento to</w:t>
      </w:r>
      <w:r w:rsidR="007E0AC5" w:rsidRPr="006C05BA">
        <w:rPr>
          <w:color w:val="000000"/>
          <w:lang w:val="es-ES" w:eastAsia="de-DE"/>
        </w:rPr>
        <w:t xml:space="preserve">tal en las concentraciones séricas de </w:t>
      </w:r>
      <w:r w:rsidR="00AC6075">
        <w:rPr>
          <w:szCs w:val="22"/>
          <w:lang w:val="es-ES"/>
        </w:rPr>
        <w:t>tocilizumab</w:t>
      </w:r>
      <w:r w:rsidR="007E0AC5" w:rsidRPr="006C05BA">
        <w:rPr>
          <w:color w:val="000000"/>
          <w:lang w:val="es-ES" w:eastAsia="de-DE"/>
        </w:rPr>
        <w:t xml:space="preserve">, la vida media de </w:t>
      </w:r>
      <w:r w:rsidR="00AC6075">
        <w:rPr>
          <w:szCs w:val="22"/>
          <w:lang w:val="es-ES"/>
        </w:rPr>
        <w:t>tocilizumab</w:t>
      </w:r>
      <w:r w:rsidR="00AC6075" w:rsidRPr="006868F5">
        <w:rPr>
          <w:szCs w:val="22"/>
          <w:lang w:val="es-ES"/>
        </w:rPr>
        <w:t xml:space="preserve"> </w:t>
      </w:r>
      <w:r w:rsidR="007E0AC5" w:rsidRPr="006C05BA">
        <w:rPr>
          <w:color w:val="000000"/>
          <w:lang w:val="es-ES" w:eastAsia="de-DE"/>
        </w:rPr>
        <w:t>también depende de la concentración y varía dependiendo del nivel de concentración sérica. Los análisis farmacocinéticos poblacionales en cualquier</w:t>
      </w:r>
      <w:r w:rsidR="009F19E8" w:rsidRPr="006C05BA">
        <w:rPr>
          <w:color w:val="000000"/>
          <w:lang w:val="es-ES" w:eastAsia="de-DE"/>
        </w:rPr>
        <w:t>a</w:t>
      </w:r>
      <w:r w:rsidR="007E0AC5" w:rsidRPr="00C22F3F">
        <w:rPr>
          <w:color w:val="000000"/>
          <w:lang w:val="es-ES" w:eastAsia="de-DE"/>
        </w:rPr>
        <w:t xml:space="preserve"> </w:t>
      </w:r>
      <w:r w:rsidR="009F19E8" w:rsidRPr="00C22F3F">
        <w:rPr>
          <w:color w:val="000000"/>
          <w:lang w:val="es-ES" w:eastAsia="de-DE"/>
        </w:rPr>
        <w:t>de las poblacio</w:t>
      </w:r>
      <w:r w:rsidR="007E0AC5" w:rsidRPr="00C22F3F">
        <w:rPr>
          <w:color w:val="000000"/>
          <w:lang w:val="es-ES" w:eastAsia="de-DE"/>
        </w:rPr>
        <w:t>n</w:t>
      </w:r>
      <w:r w:rsidR="009F19E8" w:rsidRPr="00C22F3F">
        <w:rPr>
          <w:color w:val="000000"/>
          <w:lang w:val="es-ES" w:eastAsia="de-DE"/>
        </w:rPr>
        <w:t>es</w:t>
      </w:r>
      <w:r w:rsidR="007E0AC5" w:rsidRPr="00C22F3F">
        <w:rPr>
          <w:color w:val="000000"/>
          <w:lang w:val="es-ES" w:eastAsia="de-DE"/>
        </w:rPr>
        <w:t xml:space="preserve"> de pacientes </w:t>
      </w:r>
      <w:r w:rsidR="00915BB4" w:rsidRPr="006868F5">
        <w:rPr>
          <w:color w:val="000000"/>
          <w:lang w:val="es-ES" w:eastAsia="de-DE"/>
        </w:rPr>
        <w:t>analizada</w:t>
      </w:r>
      <w:r w:rsidR="007E0AC5" w:rsidRPr="00EC0387">
        <w:rPr>
          <w:color w:val="000000"/>
          <w:lang w:val="es-ES" w:eastAsia="de-DE"/>
        </w:rPr>
        <w:t>s</w:t>
      </w:r>
      <w:r w:rsidR="00915BB4" w:rsidRPr="006C05BA">
        <w:rPr>
          <w:color w:val="000000"/>
          <w:lang w:val="es-ES" w:eastAsia="de-DE"/>
        </w:rPr>
        <w:t xml:space="preserve"> h</w:t>
      </w:r>
      <w:r w:rsidR="007E0AC5" w:rsidRPr="006C05BA">
        <w:rPr>
          <w:color w:val="000000"/>
          <w:lang w:val="es-ES" w:eastAsia="de-DE"/>
        </w:rPr>
        <w:t>asta ahora</w:t>
      </w:r>
      <w:r w:rsidR="00BF1E37">
        <w:rPr>
          <w:color w:val="000000"/>
          <w:lang w:val="es-ES" w:eastAsia="de-DE"/>
        </w:rPr>
        <w:t>,</w:t>
      </w:r>
      <w:r w:rsidR="007E0AC5" w:rsidRPr="006C05BA">
        <w:rPr>
          <w:color w:val="000000"/>
          <w:lang w:val="es-ES" w:eastAsia="de-DE"/>
        </w:rPr>
        <w:t xml:space="preserve"> indican que no hay relación entre el aclaramiento aparente y la presencia de anticuerpos anti-fármaco.</w:t>
      </w:r>
    </w:p>
    <w:p w14:paraId="0062C71B" w14:textId="77777777" w:rsidR="000228E7" w:rsidRPr="006868F5" w:rsidRDefault="000228E7">
      <w:pPr>
        <w:widowControl w:val="0"/>
        <w:rPr>
          <w:lang w:val="es-ES" w:eastAsia="de-DE"/>
        </w:rPr>
        <w:pPrChange w:id="1297" w:author="tcs" w:date="2026-02-26T11:04:00Z">
          <w:pPr>
            <w:keepNext/>
            <w:keepLines/>
          </w:pPr>
        </w:pPrChange>
      </w:pPr>
    </w:p>
    <w:p w14:paraId="34BB4584" w14:textId="77777777" w:rsidR="000228E7" w:rsidRPr="00467FFD" w:rsidRDefault="000228E7">
      <w:pPr>
        <w:keepNext/>
        <w:keepLines/>
        <w:widowControl w:val="0"/>
        <w:ind w:left="567" w:hanging="567"/>
        <w:outlineLvl w:val="0"/>
        <w:rPr>
          <w:ins w:id="1298" w:author="AUTHOR"/>
          <w:u w:val="single"/>
          <w:lang w:val="es-ES"/>
          <w:rPrChange w:id="1299" w:author="AUTHOR">
            <w:rPr>
              <w:ins w:id="1300" w:author="AUTHOR"/>
              <w:i/>
              <w:iCs/>
              <w:lang w:val="es-ES"/>
            </w:rPr>
          </w:rPrChange>
        </w:rPr>
        <w:pPrChange w:id="1301" w:author="tcs" w:date="2026-02-26T11:04:00Z">
          <w:pPr>
            <w:ind w:left="567" w:hanging="567"/>
            <w:outlineLvl w:val="0"/>
          </w:pPr>
        </w:pPrChange>
      </w:pPr>
      <w:ins w:id="1302" w:author="AUTHOR">
        <w:r w:rsidRPr="00467FFD">
          <w:rPr>
            <w:u w:val="single"/>
            <w:lang w:val="es-ES"/>
            <w:rPrChange w:id="1303" w:author="AUTHOR">
              <w:rPr>
                <w:i/>
                <w:iCs/>
                <w:lang w:val="es-ES"/>
              </w:rPr>
            </w:rPrChange>
          </w:rPr>
          <w:lastRenderedPageBreak/>
          <w:t>Vía intravenosa</w:t>
        </w:r>
      </w:ins>
    </w:p>
    <w:p w14:paraId="089D7F76" w14:textId="77777777" w:rsidR="007E0AC5" w:rsidRDefault="007E0AC5">
      <w:pPr>
        <w:keepNext/>
        <w:keepLines/>
        <w:widowControl w:val="0"/>
        <w:rPr>
          <w:color w:val="000000"/>
          <w:lang w:val="es-ES" w:eastAsia="de-DE"/>
        </w:rPr>
        <w:pPrChange w:id="1304" w:author="tcs" w:date="2026-02-26T11:04:00Z">
          <w:pPr/>
        </w:pPrChange>
      </w:pPr>
    </w:p>
    <w:p w14:paraId="1D2F869F" w14:textId="20E52028" w:rsidR="00CB3DF8" w:rsidRPr="00467FFD" w:rsidRDefault="00431AD6">
      <w:pPr>
        <w:keepNext/>
        <w:keepLines/>
        <w:widowControl w:val="0"/>
        <w:ind w:left="567" w:hanging="567"/>
        <w:outlineLvl w:val="0"/>
        <w:rPr>
          <w:i/>
          <w:iCs/>
          <w:u w:val="single"/>
          <w:lang w:val="es-ES"/>
          <w:rPrChange w:id="1305" w:author="AUTHOR">
            <w:rPr>
              <w:u w:val="single"/>
              <w:lang w:val="es-ES"/>
            </w:rPr>
          </w:rPrChange>
        </w:rPr>
        <w:pPrChange w:id="1306" w:author="tcs" w:date="2026-02-26T11:04:00Z">
          <w:pPr>
            <w:ind w:left="567" w:hanging="567"/>
            <w:outlineLvl w:val="0"/>
          </w:pPr>
        </w:pPrChange>
      </w:pPr>
      <w:ins w:id="1307" w:author="AUTHOR">
        <w:r w:rsidRPr="00467FFD">
          <w:rPr>
            <w:i/>
            <w:iCs/>
            <w:u w:val="single"/>
            <w:lang w:val="es-ES"/>
            <w:rPrChange w:id="1308" w:author="AUTHOR">
              <w:rPr>
                <w:u w:val="single"/>
                <w:lang w:val="es-ES"/>
              </w:rPr>
            </w:rPrChange>
          </w:rPr>
          <w:t xml:space="preserve">Pacientes con </w:t>
        </w:r>
      </w:ins>
      <w:r w:rsidR="00CB3DF8" w:rsidRPr="00467FFD">
        <w:rPr>
          <w:i/>
          <w:iCs/>
          <w:u w:val="single"/>
          <w:lang w:val="es-ES"/>
          <w:rPrChange w:id="1309" w:author="AUTHOR">
            <w:rPr>
              <w:u w:val="single"/>
              <w:lang w:val="es-ES"/>
            </w:rPr>
          </w:rPrChange>
        </w:rPr>
        <w:t>AR</w:t>
      </w:r>
    </w:p>
    <w:p w14:paraId="434C3071" w14:textId="37060CBF" w:rsidR="00834462" w:rsidRPr="00F30AB8" w:rsidDel="000228E7" w:rsidRDefault="005B5620" w:rsidP="00834462">
      <w:pPr>
        <w:ind w:left="567" w:hanging="567"/>
        <w:outlineLvl w:val="0"/>
        <w:rPr>
          <w:del w:id="1310" w:author="AUTHOR"/>
          <w:i/>
          <w:iCs/>
          <w:lang w:val="es-ES"/>
        </w:rPr>
      </w:pPr>
      <w:del w:id="1311" w:author="AUTHOR">
        <w:r w:rsidRPr="00F30AB8" w:rsidDel="000228E7">
          <w:rPr>
            <w:i/>
            <w:iCs/>
            <w:lang w:val="es-ES"/>
          </w:rPr>
          <w:delText xml:space="preserve">Vía </w:delText>
        </w:r>
        <w:r w:rsidR="005B7E73" w:rsidRPr="00F30AB8" w:rsidDel="000228E7">
          <w:rPr>
            <w:i/>
            <w:iCs/>
            <w:lang w:val="es-ES"/>
          </w:rPr>
          <w:delText>intravenos</w:delText>
        </w:r>
        <w:r w:rsidRPr="00F30AB8" w:rsidDel="000228E7">
          <w:rPr>
            <w:i/>
            <w:iCs/>
            <w:lang w:val="es-ES"/>
          </w:rPr>
          <w:delText>a</w:delText>
        </w:r>
      </w:del>
    </w:p>
    <w:p w14:paraId="5CEB3F1B" w14:textId="77777777" w:rsidR="00AC6075" w:rsidRPr="00F30AB8" w:rsidRDefault="00AC6075" w:rsidP="00834462">
      <w:pPr>
        <w:ind w:left="567" w:hanging="567"/>
        <w:outlineLvl w:val="0"/>
        <w:rPr>
          <w:lang w:val="es-ES"/>
        </w:rPr>
      </w:pPr>
    </w:p>
    <w:p w14:paraId="47E0E9C4" w14:textId="509271DD" w:rsidR="00834462" w:rsidRPr="008A106B" w:rsidRDefault="00834462" w:rsidP="00834462">
      <w:pPr>
        <w:numPr>
          <w:ilvl w:val="12"/>
          <w:numId w:val="0"/>
        </w:numPr>
        <w:ind w:right="-2"/>
        <w:rPr>
          <w:lang w:val="es-ES"/>
        </w:rPr>
      </w:pPr>
      <w:r w:rsidRPr="008A106B">
        <w:rPr>
          <w:lang w:val="es-ES_tradnl"/>
        </w:rPr>
        <w:t xml:space="preserve">Se determinó la farmacocinética de </w:t>
      </w:r>
      <w:r w:rsidR="00AC6075">
        <w:rPr>
          <w:szCs w:val="22"/>
          <w:lang w:val="es-ES"/>
        </w:rPr>
        <w:t>tocilizumab</w:t>
      </w:r>
      <w:r w:rsidR="00AC6075" w:rsidRPr="006868F5">
        <w:rPr>
          <w:szCs w:val="22"/>
          <w:lang w:val="es-ES"/>
        </w:rPr>
        <w:t xml:space="preserve"> </w:t>
      </w:r>
      <w:r w:rsidRPr="008A106B">
        <w:rPr>
          <w:lang w:val="es-ES_tradnl"/>
        </w:rPr>
        <w:t xml:space="preserve">usando un análisis de farmacocinética de poblaciones en una base de datos compuesta por </w:t>
      </w:r>
      <w:r w:rsidR="00582B7E">
        <w:rPr>
          <w:lang w:val="es-ES_tradnl"/>
        </w:rPr>
        <w:t>3</w:t>
      </w:r>
      <w:r w:rsidR="005E7BFE">
        <w:rPr>
          <w:lang w:val="es-ES_tradnl"/>
        </w:rPr>
        <w:t>.</w:t>
      </w:r>
      <w:r w:rsidR="00582B7E">
        <w:rPr>
          <w:lang w:val="es-ES_tradnl"/>
        </w:rPr>
        <w:t>552</w:t>
      </w:r>
      <w:r w:rsidRPr="008A106B">
        <w:rPr>
          <w:lang w:val="es-ES_tradnl"/>
        </w:rPr>
        <w:t xml:space="preserve"> pacientes con artritis reumatoide tratados con una perfusión de una hora de 4 </w:t>
      </w:r>
      <w:r w:rsidR="00644AB5">
        <w:rPr>
          <w:lang w:val="es-ES_tradnl"/>
        </w:rPr>
        <w:t>u</w:t>
      </w:r>
      <w:r w:rsidR="00644AB5" w:rsidRPr="008A106B">
        <w:rPr>
          <w:lang w:val="es-ES_tradnl"/>
        </w:rPr>
        <w:t xml:space="preserve"> </w:t>
      </w:r>
      <w:r w:rsidRPr="008A106B">
        <w:rPr>
          <w:lang w:val="es-ES_tradnl"/>
        </w:rPr>
        <w:t xml:space="preserve">8 mg/kg de </w:t>
      </w:r>
      <w:r w:rsidR="00AC6075">
        <w:rPr>
          <w:iCs/>
          <w:szCs w:val="22"/>
          <w:lang w:val="es-ES"/>
        </w:rPr>
        <w:t>tocilizumab</w:t>
      </w:r>
      <w:ins w:id="1312" w:author="AUTHOR">
        <w:r w:rsidR="00ED2F9D">
          <w:rPr>
            <w:iCs/>
            <w:szCs w:val="22"/>
            <w:lang w:val="es-ES"/>
          </w:rPr>
          <w:t xml:space="preserve"> </w:t>
        </w:r>
      </w:ins>
      <w:r w:rsidRPr="008A106B">
        <w:rPr>
          <w:lang w:val="es-ES_tradnl"/>
        </w:rPr>
        <w:t>cada 4</w:t>
      </w:r>
      <w:r w:rsidR="00267243" w:rsidRPr="00F30AB8">
        <w:rPr>
          <w:szCs w:val="22"/>
          <w:lang w:val="es-ES"/>
        </w:rPr>
        <w:t> </w:t>
      </w:r>
      <w:r w:rsidRPr="008A106B">
        <w:rPr>
          <w:lang w:val="es-ES_tradnl"/>
        </w:rPr>
        <w:t>semanas durante 24</w:t>
      </w:r>
      <w:r w:rsidR="00267243" w:rsidRPr="00F30AB8">
        <w:rPr>
          <w:szCs w:val="22"/>
          <w:lang w:val="es-ES"/>
        </w:rPr>
        <w:t> </w:t>
      </w:r>
      <w:r w:rsidRPr="008A106B">
        <w:rPr>
          <w:lang w:val="es-ES_tradnl"/>
        </w:rPr>
        <w:t>semanas</w:t>
      </w:r>
      <w:r w:rsidR="00582B7E">
        <w:rPr>
          <w:lang w:val="es-ES_tradnl"/>
        </w:rPr>
        <w:t xml:space="preserve"> o con 162 mg de tocilizumab administrados </w:t>
      </w:r>
      <w:r w:rsidR="005E7BFE">
        <w:rPr>
          <w:lang w:val="es-ES_tradnl"/>
        </w:rPr>
        <w:t xml:space="preserve">por </w:t>
      </w:r>
      <w:r w:rsidR="00582B7E">
        <w:rPr>
          <w:lang w:val="es-ES_tradnl"/>
        </w:rPr>
        <w:t>vía subcutánea una vez por semana o cada dos semanas durante 24</w:t>
      </w:r>
      <w:r w:rsidR="00267243" w:rsidRPr="00F30AB8">
        <w:rPr>
          <w:szCs w:val="22"/>
          <w:lang w:val="es-ES"/>
        </w:rPr>
        <w:t> </w:t>
      </w:r>
      <w:r w:rsidR="00582B7E">
        <w:rPr>
          <w:lang w:val="es-ES_tradnl"/>
        </w:rPr>
        <w:t>semanas</w:t>
      </w:r>
      <w:r w:rsidRPr="008A106B">
        <w:rPr>
          <w:lang w:val="es-ES_tradnl"/>
        </w:rPr>
        <w:t>.</w:t>
      </w:r>
      <w:r w:rsidRPr="008A106B">
        <w:rPr>
          <w:lang w:val="es-ES"/>
        </w:rPr>
        <w:t xml:space="preserve"> </w:t>
      </w:r>
    </w:p>
    <w:p w14:paraId="1A74E0D1" w14:textId="77777777" w:rsidR="00834462" w:rsidRPr="008A106B" w:rsidRDefault="00834462" w:rsidP="00834462">
      <w:pPr>
        <w:numPr>
          <w:ilvl w:val="12"/>
          <w:numId w:val="0"/>
        </w:numPr>
        <w:ind w:right="-2"/>
        <w:rPr>
          <w:iCs/>
          <w:lang w:val="es-ES"/>
        </w:rPr>
      </w:pPr>
    </w:p>
    <w:p w14:paraId="10E178E3" w14:textId="29C3A70E" w:rsidR="00834462" w:rsidRDefault="00834462" w:rsidP="00834462">
      <w:pPr>
        <w:rPr>
          <w:rFonts w:eastAsia="SimSun"/>
          <w:lang w:val="es-ES" w:eastAsia="zh-CN"/>
        </w:rPr>
      </w:pPr>
      <w:r w:rsidRPr="008A106B">
        <w:rPr>
          <w:lang w:val="es-ES_tradnl"/>
        </w:rPr>
        <w:t xml:space="preserve">Los siguientes parámetros son válidos para una dosis de 8 mg/kg de </w:t>
      </w:r>
      <w:r w:rsidR="00AC6075">
        <w:rPr>
          <w:iCs/>
          <w:szCs w:val="22"/>
          <w:lang w:val="es-ES"/>
        </w:rPr>
        <w:t>tocilizumab</w:t>
      </w:r>
      <w:r w:rsidRPr="008A106B">
        <w:rPr>
          <w:lang w:val="es-ES_tradnl"/>
        </w:rPr>
        <w:t>administrados cada 4 semanas:</w:t>
      </w:r>
      <w:r w:rsidRPr="008A106B">
        <w:rPr>
          <w:lang w:val="es-ES"/>
        </w:rPr>
        <w:t xml:space="preserve"> </w:t>
      </w:r>
      <w:r w:rsidR="00E3084C">
        <w:rPr>
          <w:lang w:val="es-ES"/>
        </w:rPr>
        <w:t>l</w:t>
      </w:r>
      <w:r w:rsidRPr="008A106B">
        <w:rPr>
          <w:lang w:val="es-ES_tradnl"/>
        </w:rPr>
        <w:t>os valores medios previstos (</w:t>
      </w:r>
      <w:r w:rsidRPr="008A106B">
        <w:rPr>
          <w:lang w:val="es-ES_tradnl"/>
        </w:rPr>
        <w:sym w:font="Symbol" w:char="F0B1"/>
      </w:r>
      <w:r w:rsidRPr="008A106B">
        <w:rPr>
          <w:lang w:val="es-ES_tradnl"/>
        </w:rPr>
        <w:t xml:space="preserve"> DE) en equilibrio fueron </w:t>
      </w:r>
      <w:r w:rsidR="0011102B">
        <w:rPr>
          <w:lang w:val="es-ES_tradnl"/>
        </w:rPr>
        <w:t xml:space="preserve">de </w:t>
      </w:r>
      <w:r w:rsidR="00E3084C">
        <w:rPr>
          <w:lang w:val="es-ES_tradnl"/>
        </w:rPr>
        <w:t>Á</w:t>
      </w:r>
      <w:r w:rsidR="0011102B">
        <w:rPr>
          <w:lang w:val="es-ES_tradnl"/>
        </w:rPr>
        <w:t>rea bajo la curva (AUC) =</w:t>
      </w:r>
      <w:r w:rsidR="00582B7E">
        <w:rPr>
          <w:lang w:val="es-ES_tradnl"/>
        </w:rPr>
        <w:t>38.0</w:t>
      </w:r>
      <w:r w:rsidR="00553B56">
        <w:rPr>
          <w:lang w:val="es-ES_tradnl"/>
        </w:rPr>
        <w:t>00</w:t>
      </w:r>
      <w:r w:rsidRPr="008A106B">
        <w:rPr>
          <w:lang w:val="es-ES_tradnl"/>
        </w:rPr>
        <w:t> </w:t>
      </w:r>
      <w:r w:rsidRPr="008A106B">
        <w:rPr>
          <w:lang w:val="es-ES_tradnl"/>
        </w:rPr>
        <w:sym w:font="Symbol" w:char="F0B1"/>
      </w:r>
      <w:r w:rsidR="0011102B">
        <w:rPr>
          <w:lang w:val="es-ES_tradnl"/>
        </w:rPr>
        <w:t> </w:t>
      </w:r>
      <w:r w:rsidR="00553B56">
        <w:rPr>
          <w:lang w:val="es-ES_tradnl"/>
        </w:rPr>
        <w:t>1</w:t>
      </w:r>
      <w:r w:rsidR="00582B7E">
        <w:rPr>
          <w:lang w:val="es-ES_tradnl"/>
        </w:rPr>
        <w:t>3.0</w:t>
      </w:r>
      <w:r w:rsidR="00553B56">
        <w:rPr>
          <w:lang w:val="es-ES_tradnl"/>
        </w:rPr>
        <w:t>00</w:t>
      </w:r>
      <w:r w:rsidRPr="008A106B">
        <w:rPr>
          <w:lang w:val="es-ES_tradnl"/>
        </w:rPr>
        <w:t> h</w:t>
      </w:r>
      <w:r w:rsidR="00B64329" w:rsidRPr="006868F5">
        <w:rPr>
          <w:lang w:val="es-ES"/>
        </w:rPr>
        <w:t>•</w:t>
      </w:r>
      <w:r w:rsidRPr="008A106B">
        <w:rPr>
          <w:lang w:val="es-ES_tradnl"/>
        </w:rPr>
        <w:t>µg/ml, Concentración m</w:t>
      </w:r>
      <w:r w:rsidR="005C4DF0">
        <w:rPr>
          <w:lang w:val="es-ES_tradnl"/>
        </w:rPr>
        <w:t>í</w:t>
      </w:r>
      <w:r w:rsidRPr="008A106B">
        <w:rPr>
          <w:lang w:val="es-ES_tradnl"/>
        </w:rPr>
        <w:t>nima (C</w:t>
      </w:r>
      <w:r w:rsidRPr="008A106B">
        <w:rPr>
          <w:vertAlign w:val="subscript"/>
          <w:lang w:val="es-ES_tradnl"/>
        </w:rPr>
        <w:t>min)</w:t>
      </w:r>
      <w:r w:rsidRPr="008A106B">
        <w:rPr>
          <w:lang w:val="es-ES_tradnl"/>
        </w:rPr>
        <w:t xml:space="preserve"> = </w:t>
      </w:r>
      <w:r w:rsidR="00582B7E">
        <w:rPr>
          <w:lang w:val="es-ES_tradnl"/>
        </w:rPr>
        <w:t>15,9</w:t>
      </w:r>
      <w:r w:rsidR="00553B56">
        <w:rPr>
          <w:lang w:val="es-ES_tradnl"/>
        </w:rPr>
        <w:t> </w:t>
      </w:r>
      <w:r w:rsidRPr="008A106B">
        <w:rPr>
          <w:lang w:val="es-ES_tradnl"/>
        </w:rPr>
        <w:sym w:font="Symbol" w:char="F0B1"/>
      </w:r>
      <w:r w:rsidRPr="008A106B">
        <w:rPr>
          <w:lang w:val="es-ES_tradnl"/>
        </w:rPr>
        <w:t> </w:t>
      </w:r>
      <w:r w:rsidR="00582B7E">
        <w:rPr>
          <w:lang w:val="es-ES_tradnl"/>
        </w:rPr>
        <w:t>13,1</w:t>
      </w:r>
      <w:r w:rsidR="00553B56">
        <w:rPr>
          <w:lang w:val="es-ES_tradnl"/>
        </w:rPr>
        <w:t> </w:t>
      </w:r>
      <w:r w:rsidRPr="008A106B">
        <w:rPr>
          <w:lang w:val="es-ES_tradnl"/>
        </w:rPr>
        <w:sym w:font="Symbol" w:char="F06D"/>
      </w:r>
      <w:r w:rsidRPr="008A106B">
        <w:rPr>
          <w:lang w:val="es-ES_tradnl"/>
        </w:rPr>
        <w:t>g/ml y Concentración máxima (C</w:t>
      </w:r>
      <w:r w:rsidRPr="008A106B">
        <w:rPr>
          <w:vertAlign w:val="subscript"/>
          <w:lang w:val="es-ES_tradnl"/>
        </w:rPr>
        <w:t>max)</w:t>
      </w:r>
      <w:r w:rsidRPr="008A106B">
        <w:rPr>
          <w:lang w:val="es-ES_tradnl"/>
        </w:rPr>
        <w:t xml:space="preserve"> = </w:t>
      </w:r>
      <w:r w:rsidR="00582B7E">
        <w:rPr>
          <w:lang w:val="es-ES_tradnl"/>
        </w:rPr>
        <w:t>182</w:t>
      </w:r>
      <w:r w:rsidR="00553B56" w:rsidRPr="005A5612">
        <w:rPr>
          <w:lang w:val="es-ES" w:eastAsia="zh-TW"/>
        </w:rPr>
        <w:t> </w:t>
      </w:r>
      <w:r w:rsidRPr="008A106B">
        <w:rPr>
          <w:lang w:val="es-ES_tradnl"/>
        </w:rPr>
        <w:sym w:font="Symbol" w:char="F0B1"/>
      </w:r>
      <w:r w:rsidRPr="008A106B">
        <w:rPr>
          <w:lang w:val="es-ES_tradnl"/>
        </w:rPr>
        <w:t> </w:t>
      </w:r>
      <w:r w:rsidR="00582B7E">
        <w:rPr>
          <w:lang w:val="es-ES_tradnl" w:eastAsia="zh-TW"/>
        </w:rPr>
        <w:t>50</w:t>
      </w:r>
      <w:r w:rsidR="00553B56">
        <w:rPr>
          <w:rFonts w:hint="eastAsia"/>
          <w:lang w:val="es-ES_tradnl" w:eastAsia="zh-TW"/>
        </w:rPr>
        <w:t>,</w:t>
      </w:r>
      <w:r w:rsidR="00582B7E">
        <w:rPr>
          <w:lang w:val="es-ES_tradnl" w:eastAsia="zh-TW"/>
        </w:rPr>
        <w:t>4</w:t>
      </w:r>
      <w:r w:rsidRPr="008A106B">
        <w:rPr>
          <w:lang w:val="es-ES_tradnl"/>
        </w:rPr>
        <w:t> µg/ml de tocilizumab.</w:t>
      </w:r>
      <w:r w:rsidRPr="008A106B">
        <w:rPr>
          <w:lang w:val="es-ES"/>
        </w:rPr>
        <w:t xml:space="preserve"> </w:t>
      </w:r>
      <w:r w:rsidRPr="008A106B">
        <w:rPr>
          <w:lang w:val="es-ES_tradnl"/>
        </w:rPr>
        <w:t>Los cocientes de acumulación para AUC y C</w:t>
      </w:r>
      <w:r w:rsidRPr="008A106B">
        <w:rPr>
          <w:vertAlign w:val="subscript"/>
          <w:lang w:val="es-ES_tradnl"/>
        </w:rPr>
        <w:t>máx</w:t>
      </w:r>
      <w:r w:rsidRPr="008A106B">
        <w:rPr>
          <w:lang w:val="es-ES_tradnl"/>
        </w:rPr>
        <w:t xml:space="preserve"> fueron pequeños, de 1,</w:t>
      </w:r>
      <w:r w:rsidR="00553B56">
        <w:rPr>
          <w:rFonts w:hint="eastAsia"/>
          <w:lang w:val="es-ES_tradnl" w:eastAsia="zh-TW"/>
        </w:rPr>
        <w:t>3</w:t>
      </w:r>
      <w:r w:rsidR="00582B7E">
        <w:rPr>
          <w:lang w:val="es-ES_tradnl" w:eastAsia="zh-TW"/>
        </w:rPr>
        <w:t>2</w:t>
      </w:r>
      <w:r w:rsidRPr="008A106B">
        <w:rPr>
          <w:lang w:val="es-ES_tradnl"/>
        </w:rPr>
        <w:t xml:space="preserve"> y 1,</w:t>
      </w:r>
      <w:r w:rsidR="00582B7E">
        <w:rPr>
          <w:lang w:val="es-ES_tradnl" w:eastAsia="zh-TW"/>
        </w:rPr>
        <w:t>09</w:t>
      </w:r>
      <w:r w:rsidRPr="008A106B">
        <w:rPr>
          <w:lang w:val="es-ES_tradnl"/>
        </w:rPr>
        <w:t>, respectivamente.</w:t>
      </w:r>
      <w:r w:rsidRPr="008A106B">
        <w:rPr>
          <w:lang w:val="es-ES"/>
        </w:rPr>
        <w:t xml:space="preserve"> </w:t>
      </w:r>
      <w:r w:rsidRPr="008A106B">
        <w:rPr>
          <w:lang w:val="es-ES_tradnl"/>
        </w:rPr>
        <w:t>El cociente de acumulación fue mayor para la C</w:t>
      </w:r>
      <w:r w:rsidRPr="008A106B">
        <w:rPr>
          <w:vertAlign w:val="subscript"/>
          <w:lang w:val="es-ES_tradnl"/>
        </w:rPr>
        <w:t>mín</w:t>
      </w:r>
      <w:r w:rsidRPr="008A106B">
        <w:rPr>
          <w:lang w:val="es-ES_tradnl"/>
        </w:rPr>
        <w:t xml:space="preserve"> (2,</w:t>
      </w:r>
      <w:r w:rsidR="00DD0FF0">
        <w:rPr>
          <w:lang w:val="es-ES_tradnl" w:eastAsia="zh-TW"/>
        </w:rPr>
        <w:t>49</w:t>
      </w:r>
      <w:r w:rsidRPr="008A106B">
        <w:rPr>
          <w:lang w:val="es-ES_tradnl"/>
        </w:rPr>
        <w:t>), lo que era esperado de ac</w:t>
      </w:r>
      <w:r w:rsidR="0011102B">
        <w:rPr>
          <w:lang w:val="es-ES_tradnl"/>
        </w:rPr>
        <w:t xml:space="preserve">uerdo con la contribución del </w:t>
      </w:r>
      <w:r w:rsidRPr="008A106B">
        <w:rPr>
          <w:lang w:val="es-ES_tradnl"/>
        </w:rPr>
        <w:t>aclaramiento no lineal a concentraciones menores.</w:t>
      </w:r>
      <w:r w:rsidRPr="008A106B">
        <w:rPr>
          <w:lang w:val="es-ES"/>
        </w:rPr>
        <w:t xml:space="preserve"> </w:t>
      </w:r>
      <w:r w:rsidRPr="008A106B">
        <w:rPr>
          <w:lang w:val="es-ES_tradnl"/>
        </w:rPr>
        <w:t>Se alcanzó el equilibrio después de la primera administración para la C</w:t>
      </w:r>
      <w:r w:rsidRPr="008A106B">
        <w:rPr>
          <w:vertAlign w:val="subscript"/>
          <w:lang w:val="es-ES_tradnl"/>
        </w:rPr>
        <w:t>max</w:t>
      </w:r>
      <w:r w:rsidRPr="008A106B">
        <w:rPr>
          <w:lang w:val="es-ES_tradnl"/>
        </w:rPr>
        <w:t xml:space="preserve"> y después de 8 y 20</w:t>
      </w:r>
      <w:r w:rsidR="00553D9B" w:rsidRPr="00F30AB8">
        <w:rPr>
          <w:iCs/>
          <w:szCs w:val="22"/>
          <w:lang w:val="es-ES"/>
        </w:rPr>
        <w:t> </w:t>
      </w:r>
      <w:r w:rsidRPr="008A106B">
        <w:rPr>
          <w:lang w:val="es-ES_tradnl"/>
        </w:rPr>
        <w:t>semanas para el AUC y la C</w:t>
      </w:r>
      <w:r w:rsidRPr="008A106B">
        <w:rPr>
          <w:vertAlign w:val="subscript"/>
          <w:lang w:val="es-ES_tradnl"/>
        </w:rPr>
        <w:t>mín</w:t>
      </w:r>
      <w:r w:rsidRPr="008A106B">
        <w:rPr>
          <w:lang w:val="es-ES_tradnl"/>
        </w:rPr>
        <w:t>, respectivamente.</w:t>
      </w:r>
      <w:r w:rsidRPr="008A106B">
        <w:rPr>
          <w:lang w:val="es-ES"/>
        </w:rPr>
        <w:t xml:space="preserve"> El área bajo la curva (AUC), C</w:t>
      </w:r>
      <w:r w:rsidRPr="008A106B">
        <w:rPr>
          <w:vertAlign w:val="subscript"/>
          <w:lang w:val="es-ES"/>
        </w:rPr>
        <w:t>min</w:t>
      </w:r>
      <w:r w:rsidRPr="008A106B">
        <w:rPr>
          <w:lang w:val="es-ES"/>
        </w:rPr>
        <w:t xml:space="preserve"> y C</w:t>
      </w:r>
      <w:r w:rsidRPr="008A106B">
        <w:rPr>
          <w:vertAlign w:val="subscript"/>
          <w:lang w:val="es-ES"/>
        </w:rPr>
        <w:t xml:space="preserve">max </w:t>
      </w:r>
      <w:r w:rsidRPr="008A106B">
        <w:rPr>
          <w:lang w:val="es-ES"/>
        </w:rPr>
        <w:t xml:space="preserve">de </w:t>
      </w:r>
      <w:r w:rsidR="00AC6075">
        <w:rPr>
          <w:iCs/>
          <w:szCs w:val="22"/>
          <w:lang w:val="es-ES"/>
        </w:rPr>
        <w:t>tocilizumab</w:t>
      </w:r>
      <w:ins w:id="1313" w:author="AUTHOR">
        <w:r w:rsidR="00ED2F9D">
          <w:rPr>
            <w:iCs/>
            <w:szCs w:val="22"/>
            <w:lang w:val="es-ES"/>
          </w:rPr>
          <w:t xml:space="preserve"> </w:t>
        </w:r>
      </w:ins>
      <w:r w:rsidRPr="008A106B">
        <w:rPr>
          <w:lang w:val="es-ES"/>
        </w:rPr>
        <w:t>aumentó con el aumento del peso corporal. En un peso corporal ≥ 100 kg,</w:t>
      </w:r>
      <w:r w:rsidRPr="008A106B">
        <w:rPr>
          <w:lang w:val="es-ES" w:eastAsia="zh-CN"/>
        </w:rPr>
        <w:t xml:space="preserve"> los valores medios previstos (± DE) en equilibrio de AUC,</w:t>
      </w:r>
      <w:r w:rsidRPr="008A106B">
        <w:rPr>
          <w:lang w:val="es-ES"/>
        </w:rPr>
        <w:t xml:space="preserve"> C</w:t>
      </w:r>
      <w:r w:rsidRPr="008A106B">
        <w:rPr>
          <w:vertAlign w:val="subscript"/>
          <w:lang w:val="es-ES"/>
        </w:rPr>
        <w:t>min</w:t>
      </w:r>
      <w:r w:rsidRPr="008A106B">
        <w:rPr>
          <w:lang w:val="es-ES"/>
        </w:rPr>
        <w:t xml:space="preserve"> y C</w:t>
      </w:r>
      <w:r w:rsidRPr="008A106B">
        <w:rPr>
          <w:vertAlign w:val="subscript"/>
          <w:lang w:val="es-ES"/>
        </w:rPr>
        <w:t>max</w:t>
      </w:r>
      <w:r w:rsidRPr="008A106B">
        <w:rPr>
          <w:lang w:val="es-ES"/>
        </w:rPr>
        <w:t xml:space="preserve"> de </w:t>
      </w:r>
      <w:r w:rsidR="00AC6075">
        <w:rPr>
          <w:iCs/>
          <w:szCs w:val="22"/>
          <w:lang w:val="es-ES"/>
        </w:rPr>
        <w:t xml:space="preserve">tocilizumab </w:t>
      </w:r>
      <w:r w:rsidRPr="008A106B">
        <w:rPr>
          <w:lang w:val="es-ES"/>
        </w:rPr>
        <w:t xml:space="preserve">fueron </w:t>
      </w:r>
      <w:r w:rsidR="00DD0FF0">
        <w:rPr>
          <w:rFonts w:hint="eastAsia"/>
          <w:lang w:val="es-ES" w:eastAsia="zh-TW"/>
        </w:rPr>
        <w:t>5</w:t>
      </w:r>
      <w:r w:rsidR="00DD0FF0">
        <w:rPr>
          <w:lang w:val="es-ES" w:eastAsia="zh-TW"/>
        </w:rPr>
        <w:t>0</w:t>
      </w:r>
      <w:r w:rsidR="00DD0FF0">
        <w:rPr>
          <w:rFonts w:hint="eastAsia"/>
          <w:lang w:val="es-ES" w:eastAsia="zh-TW"/>
        </w:rPr>
        <w:t>.</w:t>
      </w:r>
      <w:r w:rsidR="00DD0FF0">
        <w:rPr>
          <w:lang w:val="es-ES" w:eastAsia="zh-TW"/>
        </w:rPr>
        <w:t>0</w:t>
      </w:r>
      <w:r w:rsidR="00553B56">
        <w:rPr>
          <w:rFonts w:hint="eastAsia"/>
          <w:lang w:val="es-ES" w:eastAsia="zh-TW"/>
        </w:rPr>
        <w:t>00 </w:t>
      </w:r>
      <w:r w:rsidRPr="008A106B">
        <w:rPr>
          <w:lang w:val="es-ES"/>
        </w:rPr>
        <w:t>±</w:t>
      </w:r>
      <w:r w:rsidR="00644AB5">
        <w:rPr>
          <w:lang w:val="es-ES"/>
        </w:rPr>
        <w:t> </w:t>
      </w:r>
      <w:r w:rsidR="00DD0FF0">
        <w:rPr>
          <w:lang w:val="es-ES"/>
        </w:rPr>
        <w:t>16</w:t>
      </w:r>
      <w:r w:rsidR="00DD0FF0" w:rsidRPr="00DD0FF0">
        <w:rPr>
          <w:rFonts w:hint="eastAsia"/>
          <w:lang w:val="es-ES" w:eastAsia="zh-TW"/>
        </w:rPr>
        <w:t>.</w:t>
      </w:r>
      <w:r w:rsidR="00DD0FF0">
        <w:rPr>
          <w:lang w:val="es-ES" w:eastAsia="zh-TW"/>
        </w:rPr>
        <w:t>8</w:t>
      </w:r>
      <w:r w:rsidR="00553B56" w:rsidRPr="00553B56">
        <w:rPr>
          <w:rFonts w:hint="eastAsia"/>
          <w:lang w:val="es-ES" w:eastAsia="zh-TW"/>
        </w:rPr>
        <w:t>00 </w:t>
      </w:r>
      <w:r w:rsidRPr="008A106B">
        <w:t>μ</w:t>
      </w:r>
      <w:r w:rsidR="0011102B">
        <w:rPr>
          <w:lang w:val="es-ES"/>
        </w:rPr>
        <w:t>g•h/m</w:t>
      </w:r>
      <w:r w:rsidR="00B936A6">
        <w:rPr>
          <w:lang w:val="es-ES"/>
        </w:rPr>
        <w:t>l</w:t>
      </w:r>
      <w:r w:rsidR="0011102B">
        <w:rPr>
          <w:lang w:val="es-ES"/>
        </w:rPr>
        <w:t xml:space="preserve">, </w:t>
      </w:r>
      <w:r w:rsidR="00DD0FF0">
        <w:rPr>
          <w:lang w:val="es-ES"/>
        </w:rPr>
        <w:t>24</w:t>
      </w:r>
      <w:r w:rsidR="00DD0FF0" w:rsidRPr="00DD0FF0">
        <w:rPr>
          <w:rFonts w:hint="eastAsia"/>
          <w:lang w:val="es-ES" w:eastAsia="zh-TW"/>
        </w:rPr>
        <w:t>,</w:t>
      </w:r>
      <w:r w:rsidR="00DD0FF0">
        <w:rPr>
          <w:lang w:val="es-ES" w:eastAsia="zh-TW"/>
        </w:rPr>
        <w:t>4</w:t>
      </w:r>
      <w:r w:rsidR="00553B56" w:rsidRPr="00553B56">
        <w:rPr>
          <w:rFonts w:hint="eastAsia"/>
          <w:lang w:val="es-ES" w:eastAsia="zh-TW"/>
        </w:rPr>
        <w:t> </w:t>
      </w:r>
      <w:r w:rsidR="0011102B">
        <w:rPr>
          <w:lang w:val="es-ES"/>
        </w:rPr>
        <w:t>±</w:t>
      </w:r>
      <w:r w:rsidR="00644AB5">
        <w:rPr>
          <w:lang w:val="es-ES"/>
        </w:rPr>
        <w:t> </w:t>
      </w:r>
      <w:r w:rsidR="00DD0FF0">
        <w:rPr>
          <w:lang w:val="es-ES"/>
        </w:rPr>
        <w:t>17</w:t>
      </w:r>
      <w:r w:rsidR="00553B56" w:rsidRPr="00553B56">
        <w:rPr>
          <w:rFonts w:hint="eastAsia"/>
          <w:lang w:val="es-ES" w:eastAsia="zh-TW"/>
        </w:rPr>
        <w:t>,5 </w:t>
      </w:r>
      <w:r w:rsidRPr="008A106B">
        <w:t>μ</w:t>
      </w:r>
      <w:r w:rsidRPr="008A106B">
        <w:rPr>
          <w:lang w:val="es-ES"/>
        </w:rPr>
        <w:t>g/m</w:t>
      </w:r>
      <w:r w:rsidR="00B936A6">
        <w:rPr>
          <w:lang w:val="es-ES"/>
        </w:rPr>
        <w:t>l</w:t>
      </w:r>
      <w:r w:rsidRPr="008A106B">
        <w:rPr>
          <w:lang w:val="es-ES"/>
        </w:rPr>
        <w:t>, y</w:t>
      </w:r>
      <w:r w:rsidR="005E7BFE">
        <w:rPr>
          <w:lang w:val="es-ES"/>
        </w:rPr>
        <w:t xml:space="preserve"> </w:t>
      </w:r>
      <w:r w:rsidR="00553B56" w:rsidRPr="00553B56">
        <w:rPr>
          <w:lang w:val="es-ES"/>
        </w:rPr>
        <w:t>2</w:t>
      </w:r>
      <w:r w:rsidR="00DD0FF0">
        <w:rPr>
          <w:lang w:val="es-ES" w:eastAsia="zh-TW"/>
        </w:rPr>
        <w:t>26</w:t>
      </w:r>
      <w:r w:rsidR="00553B56" w:rsidRPr="00553B56">
        <w:rPr>
          <w:rFonts w:hint="eastAsia"/>
          <w:lang w:val="es-ES" w:eastAsia="zh-TW"/>
        </w:rPr>
        <w:t> </w:t>
      </w:r>
      <w:r w:rsidRPr="008A106B">
        <w:rPr>
          <w:lang w:val="es-ES"/>
        </w:rPr>
        <w:t>±</w:t>
      </w:r>
      <w:r w:rsidR="00553B56" w:rsidRPr="00553B56">
        <w:rPr>
          <w:lang w:val="es-ES"/>
        </w:rPr>
        <w:t> </w:t>
      </w:r>
      <w:r w:rsidRPr="008A106B">
        <w:rPr>
          <w:lang w:val="es-ES"/>
        </w:rPr>
        <w:t>5</w:t>
      </w:r>
      <w:r w:rsidR="00DD0FF0">
        <w:rPr>
          <w:lang w:val="es-ES" w:eastAsia="zh-TW"/>
        </w:rPr>
        <w:t>0</w:t>
      </w:r>
      <w:r w:rsidR="00DD0FF0">
        <w:rPr>
          <w:rFonts w:hint="eastAsia"/>
          <w:lang w:val="es-ES" w:eastAsia="zh-TW"/>
        </w:rPr>
        <w:t>,</w:t>
      </w:r>
      <w:r w:rsidR="00DD0FF0">
        <w:rPr>
          <w:lang w:val="es-ES" w:eastAsia="zh-TW"/>
        </w:rPr>
        <w:t>3</w:t>
      </w:r>
      <w:r w:rsidR="00553B56">
        <w:rPr>
          <w:rFonts w:hint="eastAsia"/>
          <w:lang w:val="es-ES" w:eastAsia="zh-TW"/>
        </w:rPr>
        <w:t> </w:t>
      </w:r>
      <w:r w:rsidRPr="008A106B">
        <w:t>μ</w:t>
      </w:r>
      <w:r w:rsidRPr="008A106B">
        <w:rPr>
          <w:lang w:val="es-ES"/>
        </w:rPr>
        <w:t>g/m</w:t>
      </w:r>
      <w:r w:rsidR="00B936A6">
        <w:rPr>
          <w:lang w:val="es-ES"/>
        </w:rPr>
        <w:t>l</w:t>
      </w:r>
      <w:r w:rsidRPr="008A106B">
        <w:rPr>
          <w:lang w:val="es-ES"/>
        </w:rPr>
        <w:t>, respectivamente, los cuales son mayores que los valores de exposición media de los pacientes (</w:t>
      </w:r>
      <w:r w:rsidR="00553B56">
        <w:rPr>
          <w:rFonts w:hint="eastAsia"/>
          <w:lang w:val="es-ES" w:eastAsia="zh-TW"/>
        </w:rPr>
        <w:t>es decir, cualquier peso corporal</w:t>
      </w:r>
      <w:r w:rsidRPr="008A106B">
        <w:rPr>
          <w:lang w:val="es-ES"/>
        </w:rPr>
        <w:t>)</w:t>
      </w:r>
      <w:r w:rsidR="00764042">
        <w:rPr>
          <w:rFonts w:hint="eastAsia"/>
          <w:lang w:val="es-ES" w:eastAsia="zh-TW"/>
        </w:rPr>
        <w:t xml:space="preserve"> indicados anteriormente</w:t>
      </w:r>
      <w:r w:rsidRPr="008A106B">
        <w:rPr>
          <w:lang w:val="es-ES"/>
        </w:rPr>
        <w:t>. La curva dosis-respuesta para tocilizumab se allana a mayor exposición, resultando en una menor ganancia de eficacia por cada aumento incremental en la concentración de</w:t>
      </w:r>
      <w:r w:rsidR="005C4DF0">
        <w:rPr>
          <w:lang w:val="es-ES"/>
        </w:rPr>
        <w:t xml:space="preserve"> </w:t>
      </w:r>
      <w:r w:rsidR="00AC6075">
        <w:rPr>
          <w:iCs/>
          <w:szCs w:val="22"/>
          <w:lang w:val="es-ES"/>
        </w:rPr>
        <w:t>tocilizumab</w:t>
      </w:r>
      <w:r w:rsidRPr="008A106B">
        <w:rPr>
          <w:lang w:val="es-ES"/>
        </w:rPr>
        <w:t xml:space="preserve">, de manera que no se demostraron incrementos de eficacia clínicamente significativos en pacientes tratados con &gt; 800 mg de </w:t>
      </w:r>
      <w:ins w:id="1314" w:author="AUTHOR">
        <w:r w:rsidR="00ED2F9D" w:rsidRPr="00ED2F9D">
          <w:rPr>
            <w:iCs/>
            <w:szCs w:val="22"/>
            <w:lang w:val="es-ES"/>
          </w:rPr>
          <w:t>'tocilizumab</w:t>
        </w:r>
      </w:ins>
      <w:del w:id="1315" w:author="AUTHOR">
        <w:r w:rsidR="00B64329" w:rsidRPr="006868F5" w:rsidDel="00ED2F9D">
          <w:rPr>
            <w:iCs/>
            <w:szCs w:val="22"/>
            <w:lang w:val="es-ES"/>
          </w:rPr>
          <w:delText>RoActemra</w:delText>
        </w:r>
      </w:del>
      <w:r w:rsidRPr="008A106B">
        <w:rPr>
          <w:rFonts w:eastAsia="SimSun"/>
          <w:lang w:val="es-ES" w:eastAsia="zh-CN"/>
        </w:rPr>
        <w:t xml:space="preserve">. Por lo tanto, no se recomienda dosis de </w:t>
      </w:r>
      <w:r w:rsidR="00AC6075">
        <w:rPr>
          <w:iCs/>
          <w:szCs w:val="22"/>
          <w:lang w:val="es-ES"/>
        </w:rPr>
        <w:t>tocilizumab</w:t>
      </w:r>
      <w:ins w:id="1316" w:author="AUTHOR">
        <w:r w:rsidR="00ED2F9D">
          <w:rPr>
            <w:iCs/>
            <w:szCs w:val="22"/>
            <w:lang w:val="es-ES"/>
          </w:rPr>
          <w:t xml:space="preserve"> </w:t>
        </w:r>
      </w:ins>
      <w:r w:rsidRPr="008A106B">
        <w:rPr>
          <w:rFonts w:eastAsia="SimSun"/>
          <w:lang w:val="es-ES" w:eastAsia="zh-CN"/>
        </w:rPr>
        <w:t>superiores a 800</w:t>
      </w:r>
      <w:r w:rsidR="005E7BFE">
        <w:rPr>
          <w:rFonts w:eastAsia="SimSun"/>
          <w:lang w:val="es-ES" w:eastAsia="zh-CN"/>
        </w:rPr>
        <w:t> </w:t>
      </w:r>
      <w:r w:rsidRPr="008A106B">
        <w:rPr>
          <w:rFonts w:eastAsia="SimSun"/>
          <w:lang w:val="es-ES" w:eastAsia="zh-CN"/>
        </w:rPr>
        <w:t>mg en perfusión (ver sección</w:t>
      </w:r>
      <w:r w:rsidR="00553D9B" w:rsidRPr="00F30AB8">
        <w:rPr>
          <w:iCs/>
          <w:szCs w:val="22"/>
          <w:lang w:val="es-ES"/>
        </w:rPr>
        <w:t> </w:t>
      </w:r>
      <w:r w:rsidRPr="008A106B">
        <w:rPr>
          <w:rFonts w:eastAsia="SimSun"/>
          <w:lang w:val="es-ES" w:eastAsia="zh-CN"/>
        </w:rPr>
        <w:t>4.2).</w:t>
      </w:r>
    </w:p>
    <w:p w14:paraId="34E75077" w14:textId="77777777" w:rsidR="00D367DE" w:rsidRDefault="00D367DE" w:rsidP="00834462">
      <w:pPr>
        <w:rPr>
          <w:rFonts w:eastAsia="SimSun"/>
          <w:lang w:val="es-ES" w:eastAsia="zh-CN"/>
        </w:rPr>
      </w:pPr>
    </w:p>
    <w:p w14:paraId="2906C152" w14:textId="77777777" w:rsidR="00834462" w:rsidRPr="00F30AB8" w:rsidRDefault="00834462" w:rsidP="006868F5">
      <w:pPr>
        <w:numPr>
          <w:ilvl w:val="12"/>
          <w:numId w:val="0"/>
        </w:numPr>
        <w:rPr>
          <w:i/>
          <w:iCs/>
          <w:u w:val="single"/>
          <w:lang w:val="es-ES"/>
        </w:rPr>
      </w:pPr>
      <w:r w:rsidRPr="00F30AB8">
        <w:rPr>
          <w:i/>
          <w:iCs/>
          <w:u w:val="single"/>
          <w:lang w:val="es-ES"/>
        </w:rPr>
        <w:t>Distribución</w:t>
      </w:r>
    </w:p>
    <w:p w14:paraId="03332356" w14:textId="77777777" w:rsidR="00834462" w:rsidRPr="008A106B" w:rsidRDefault="00834462" w:rsidP="006868F5">
      <w:pPr>
        <w:numPr>
          <w:ilvl w:val="12"/>
          <w:numId w:val="0"/>
        </w:numPr>
        <w:rPr>
          <w:lang w:val="es-ES"/>
        </w:rPr>
      </w:pPr>
      <w:r w:rsidRPr="008A106B">
        <w:rPr>
          <w:lang w:val="es-ES_tradnl"/>
        </w:rPr>
        <w:t>En pacientes con artritis reumatoide, el volumen central de distribución fue de 3,</w:t>
      </w:r>
      <w:r w:rsidR="00DD0FF0">
        <w:rPr>
          <w:lang w:val="es-ES_tradnl"/>
        </w:rPr>
        <w:t>72</w:t>
      </w:r>
      <w:r w:rsidR="003532C2" w:rsidRPr="00F30AB8">
        <w:rPr>
          <w:rFonts w:eastAsia="SimSun"/>
          <w:b/>
          <w:sz w:val="18"/>
          <w:szCs w:val="18"/>
          <w:lang w:val="es-ES" w:eastAsia="zh-CN"/>
        </w:rPr>
        <w:t> </w:t>
      </w:r>
      <w:r w:rsidR="00A57FDD">
        <w:rPr>
          <w:lang w:val="es-ES_tradnl"/>
        </w:rPr>
        <w:t>l</w:t>
      </w:r>
      <w:r w:rsidRPr="008A106B">
        <w:rPr>
          <w:lang w:val="es-ES_tradnl"/>
        </w:rPr>
        <w:t xml:space="preserve"> el volumen periférico de distribución fue de </w:t>
      </w:r>
      <w:r w:rsidR="00DD0FF0">
        <w:rPr>
          <w:lang w:val="es-ES_tradnl"/>
        </w:rPr>
        <w:t>3,35</w:t>
      </w:r>
      <w:r w:rsidR="003532C2" w:rsidRPr="00F30AB8">
        <w:rPr>
          <w:rFonts w:eastAsia="SimSun"/>
          <w:b/>
          <w:sz w:val="18"/>
          <w:szCs w:val="18"/>
          <w:lang w:val="es-ES" w:eastAsia="zh-CN"/>
        </w:rPr>
        <w:t> </w:t>
      </w:r>
      <w:r w:rsidR="00A57FDD">
        <w:rPr>
          <w:lang w:val="es-ES_tradnl"/>
        </w:rPr>
        <w:t>l</w:t>
      </w:r>
      <w:r w:rsidRPr="008A106B">
        <w:rPr>
          <w:lang w:val="es-ES_tradnl"/>
        </w:rPr>
        <w:t xml:space="preserve">, lo que da un volumen de distribución en el equilibrio de </w:t>
      </w:r>
      <w:r w:rsidR="00D97806">
        <w:rPr>
          <w:lang w:val="es-ES_tradnl"/>
        </w:rPr>
        <w:t>7</w:t>
      </w:r>
      <w:r w:rsidRPr="008A106B">
        <w:rPr>
          <w:lang w:val="es-ES_tradnl"/>
        </w:rPr>
        <w:t>,</w:t>
      </w:r>
      <w:r w:rsidR="00D97806">
        <w:rPr>
          <w:lang w:val="es-ES_tradnl"/>
        </w:rPr>
        <w:t>07</w:t>
      </w:r>
      <w:r w:rsidR="003532C2" w:rsidRPr="00F30AB8">
        <w:rPr>
          <w:rFonts w:eastAsia="SimSun"/>
          <w:b/>
          <w:szCs w:val="22"/>
          <w:lang w:val="es-ES" w:eastAsia="zh-CN"/>
        </w:rPr>
        <w:t> </w:t>
      </w:r>
      <w:r w:rsidR="00A57FDD">
        <w:rPr>
          <w:lang w:val="es-ES_tradnl"/>
        </w:rPr>
        <w:t>l</w:t>
      </w:r>
      <w:r w:rsidRPr="008A106B">
        <w:rPr>
          <w:lang w:val="es-ES_tradnl"/>
        </w:rPr>
        <w:t>.</w:t>
      </w:r>
      <w:r w:rsidRPr="008A106B">
        <w:rPr>
          <w:lang w:val="es-ES"/>
        </w:rPr>
        <w:t xml:space="preserve"> </w:t>
      </w:r>
    </w:p>
    <w:p w14:paraId="5BDF44BA" w14:textId="77777777" w:rsidR="00834462" w:rsidRPr="008A106B" w:rsidRDefault="00834462" w:rsidP="006868F5">
      <w:pPr>
        <w:numPr>
          <w:ilvl w:val="12"/>
          <w:numId w:val="0"/>
        </w:numPr>
        <w:rPr>
          <w:iCs/>
          <w:lang w:val="es-ES"/>
        </w:rPr>
      </w:pPr>
    </w:p>
    <w:p w14:paraId="1F5C6D0A" w14:textId="77777777" w:rsidR="00834462" w:rsidRPr="00F30AB8" w:rsidRDefault="00834462" w:rsidP="006868F5">
      <w:pPr>
        <w:keepNext/>
        <w:numPr>
          <w:ilvl w:val="12"/>
          <w:numId w:val="0"/>
        </w:numPr>
        <w:rPr>
          <w:i/>
          <w:iCs/>
          <w:u w:val="single"/>
          <w:lang w:val="es-ES"/>
        </w:rPr>
      </w:pPr>
      <w:r w:rsidRPr="00F30AB8">
        <w:rPr>
          <w:i/>
          <w:iCs/>
          <w:u w:val="single"/>
          <w:lang w:val="es-ES"/>
        </w:rPr>
        <w:t>Eliminación</w:t>
      </w:r>
    </w:p>
    <w:p w14:paraId="37CFDE78" w14:textId="6D99F326" w:rsidR="00834462" w:rsidRDefault="00834462" w:rsidP="00834462">
      <w:pPr>
        <w:numPr>
          <w:ilvl w:val="12"/>
          <w:numId w:val="0"/>
        </w:numPr>
        <w:ind w:right="-2"/>
        <w:rPr>
          <w:lang w:val="es-ES"/>
        </w:rPr>
      </w:pPr>
      <w:r w:rsidRPr="008A106B">
        <w:rPr>
          <w:lang w:val="es-ES_tradnl"/>
        </w:rPr>
        <w:t xml:space="preserve">Después de la administración intravenosa, </w:t>
      </w:r>
      <w:r w:rsidR="00AC6075">
        <w:rPr>
          <w:iCs/>
          <w:szCs w:val="22"/>
          <w:lang w:val="es-ES"/>
        </w:rPr>
        <w:t>tocilizumab</w:t>
      </w:r>
      <w:ins w:id="1317" w:author="AUTHOR">
        <w:r w:rsidR="00ED2F9D">
          <w:rPr>
            <w:iCs/>
            <w:szCs w:val="22"/>
            <w:lang w:val="es-ES"/>
          </w:rPr>
          <w:t xml:space="preserve"> </w:t>
        </w:r>
      </w:ins>
      <w:r w:rsidRPr="008A106B">
        <w:rPr>
          <w:lang w:val="es-ES_tradnl"/>
        </w:rPr>
        <w:t>experimenta una eliminación bifásica de la circulación.</w:t>
      </w:r>
      <w:r w:rsidRPr="008A106B" w:rsidDel="00F63298">
        <w:rPr>
          <w:lang w:val="es-ES_tradnl"/>
        </w:rPr>
        <w:t xml:space="preserve"> </w:t>
      </w:r>
      <w:r w:rsidRPr="008A106B">
        <w:rPr>
          <w:lang w:val="es-ES_tradnl"/>
        </w:rPr>
        <w:t xml:space="preserve">El aclaramiento total de </w:t>
      </w:r>
      <w:r w:rsidR="00AC6075">
        <w:rPr>
          <w:iCs/>
          <w:szCs w:val="22"/>
          <w:lang w:val="es-ES"/>
        </w:rPr>
        <w:t>tocilizumab</w:t>
      </w:r>
      <w:ins w:id="1318" w:author="AUTHOR">
        <w:r w:rsidR="00ED2F9D">
          <w:rPr>
            <w:iCs/>
            <w:szCs w:val="22"/>
            <w:lang w:val="es-ES"/>
          </w:rPr>
          <w:t xml:space="preserve"> </w:t>
        </w:r>
      </w:ins>
      <w:r w:rsidRPr="008A106B">
        <w:rPr>
          <w:lang w:val="es-ES_tradnl"/>
        </w:rPr>
        <w:t>fue dependiente de la concentración y es la suma del aclaramiento lineal y el no lineal.</w:t>
      </w:r>
      <w:r w:rsidRPr="008A106B">
        <w:rPr>
          <w:lang w:val="es-ES"/>
        </w:rPr>
        <w:t xml:space="preserve"> </w:t>
      </w:r>
      <w:r w:rsidRPr="008A106B">
        <w:rPr>
          <w:lang w:val="es-ES_tradnl"/>
        </w:rPr>
        <w:t xml:space="preserve">El aclaramiento lineal se estimó como parámetro en el análisis de farmacocinética de poblaciones y fue de </w:t>
      </w:r>
      <w:r w:rsidR="00D97806">
        <w:rPr>
          <w:lang w:val="es-ES_tradnl"/>
        </w:rPr>
        <w:t>9</w:t>
      </w:r>
      <w:r w:rsidRPr="008A106B">
        <w:rPr>
          <w:lang w:val="es-ES_tradnl"/>
        </w:rPr>
        <w:t xml:space="preserve">,5 ml/h. El aclaramiento no lineal dependiente de la concentración desempeña un papel importante a concentraciones bajas de </w:t>
      </w:r>
      <w:r w:rsidR="00AC6075">
        <w:rPr>
          <w:iCs/>
          <w:szCs w:val="22"/>
          <w:lang w:val="es-ES"/>
        </w:rPr>
        <w:t>tocilizumab</w:t>
      </w:r>
      <w:r w:rsidRPr="008A106B">
        <w:rPr>
          <w:lang w:val="es-ES_tradnl"/>
        </w:rPr>
        <w:t xml:space="preserve">. Una vez saturada la vía de aclaramiento no lineal, a concentraciones mayores de </w:t>
      </w:r>
      <w:r w:rsidR="00AC6075">
        <w:rPr>
          <w:iCs/>
          <w:szCs w:val="22"/>
          <w:lang w:val="es-ES"/>
        </w:rPr>
        <w:t>tocilizumab</w:t>
      </w:r>
      <w:r w:rsidRPr="008A106B">
        <w:rPr>
          <w:lang w:val="es-ES_tradnl"/>
        </w:rPr>
        <w:t>, la eliminación viene determinada fundamentalmente por el aclaramiento lineal.</w:t>
      </w:r>
      <w:r w:rsidRPr="008A106B">
        <w:rPr>
          <w:lang w:val="es-ES"/>
        </w:rPr>
        <w:t xml:space="preserve"> </w:t>
      </w:r>
    </w:p>
    <w:p w14:paraId="3C966029" w14:textId="77777777" w:rsidR="000E6690" w:rsidRPr="008A106B" w:rsidRDefault="000E6690" w:rsidP="00834462">
      <w:pPr>
        <w:numPr>
          <w:ilvl w:val="12"/>
          <w:numId w:val="0"/>
        </w:numPr>
        <w:ind w:right="-2"/>
        <w:rPr>
          <w:lang w:val="es-ES_tradnl"/>
        </w:rPr>
      </w:pPr>
    </w:p>
    <w:p w14:paraId="6FF3D211" w14:textId="064A94E9" w:rsidR="00834462" w:rsidRPr="008A106B" w:rsidRDefault="00834462" w:rsidP="00834462">
      <w:pPr>
        <w:numPr>
          <w:ilvl w:val="12"/>
          <w:numId w:val="0"/>
        </w:numPr>
        <w:ind w:right="-2"/>
        <w:rPr>
          <w:lang w:val="es-ES"/>
        </w:rPr>
      </w:pPr>
      <w:r w:rsidRPr="008A106B">
        <w:rPr>
          <w:lang w:val="es-ES_tradnl"/>
        </w:rPr>
        <w:t>La semivida (t</w:t>
      </w:r>
      <w:r w:rsidRPr="008A106B">
        <w:rPr>
          <w:vertAlign w:val="subscript"/>
          <w:lang w:val="es-ES_tradnl"/>
        </w:rPr>
        <w:t>1/2</w:t>
      </w:r>
      <w:r w:rsidRPr="008A106B">
        <w:rPr>
          <w:lang w:val="es-ES_tradnl"/>
        </w:rPr>
        <w:t xml:space="preserve">) de </w:t>
      </w:r>
      <w:r w:rsidR="00AC6075">
        <w:rPr>
          <w:iCs/>
          <w:szCs w:val="22"/>
          <w:lang w:val="es-ES"/>
        </w:rPr>
        <w:t>tocilizumab</w:t>
      </w:r>
      <w:ins w:id="1319" w:author="AUTHOR">
        <w:r w:rsidR="00ED2F9D">
          <w:rPr>
            <w:iCs/>
            <w:szCs w:val="22"/>
            <w:lang w:val="es-ES"/>
          </w:rPr>
          <w:t xml:space="preserve"> </w:t>
        </w:r>
      </w:ins>
      <w:r w:rsidRPr="008A106B">
        <w:rPr>
          <w:lang w:val="es-ES_tradnl"/>
        </w:rPr>
        <w:t>fue dependiente de la concentración.</w:t>
      </w:r>
      <w:r w:rsidRPr="008A106B">
        <w:rPr>
          <w:lang w:val="es-ES"/>
        </w:rPr>
        <w:t xml:space="preserve"> </w:t>
      </w:r>
      <w:r w:rsidRPr="008A106B">
        <w:rPr>
          <w:lang w:val="es-ES_tradnl"/>
        </w:rPr>
        <w:t>En equilibrio, después de una dosis de 8 mg/kg cada 4</w:t>
      </w:r>
      <w:r w:rsidR="00553D9B" w:rsidRPr="00F30AB8">
        <w:rPr>
          <w:iCs/>
          <w:szCs w:val="22"/>
          <w:lang w:val="es-ES"/>
        </w:rPr>
        <w:t> </w:t>
      </w:r>
      <w:r w:rsidRPr="008A106B">
        <w:rPr>
          <w:lang w:val="es-ES_tradnl"/>
        </w:rPr>
        <w:t>semanas, la t</w:t>
      </w:r>
      <w:r w:rsidRPr="008A106B">
        <w:rPr>
          <w:vertAlign w:val="subscript"/>
          <w:lang w:val="es-ES_tradnl"/>
        </w:rPr>
        <w:t>1/2</w:t>
      </w:r>
      <w:r w:rsidRPr="008A106B">
        <w:rPr>
          <w:lang w:val="es-ES_tradnl"/>
        </w:rPr>
        <w:t xml:space="preserve"> eficaz se redujo con concentraciones descendentes dentro de un intervalo posológico de 1</w:t>
      </w:r>
      <w:r w:rsidR="00D97806">
        <w:rPr>
          <w:lang w:val="es-ES_tradnl"/>
        </w:rPr>
        <w:t>8</w:t>
      </w:r>
      <w:r w:rsidR="00553D9B" w:rsidRPr="00F30AB8">
        <w:rPr>
          <w:iCs/>
          <w:szCs w:val="22"/>
          <w:lang w:val="es-ES"/>
        </w:rPr>
        <w:t> </w:t>
      </w:r>
      <w:r w:rsidRPr="008A106B">
        <w:rPr>
          <w:lang w:val="es-ES_tradnl"/>
        </w:rPr>
        <w:t xml:space="preserve">días a </w:t>
      </w:r>
      <w:r w:rsidR="00D97806">
        <w:rPr>
          <w:lang w:val="es-ES_tradnl"/>
        </w:rPr>
        <w:t>6</w:t>
      </w:r>
      <w:r w:rsidR="00553D9B" w:rsidRPr="00F30AB8">
        <w:rPr>
          <w:iCs/>
          <w:szCs w:val="22"/>
          <w:lang w:val="es-ES"/>
        </w:rPr>
        <w:t> </w:t>
      </w:r>
      <w:r w:rsidRPr="008A106B">
        <w:rPr>
          <w:lang w:val="es-ES_tradnl"/>
        </w:rPr>
        <w:t>días.</w:t>
      </w:r>
    </w:p>
    <w:p w14:paraId="77CED9D2" w14:textId="77777777" w:rsidR="00834462" w:rsidRPr="008A106B" w:rsidRDefault="00834462" w:rsidP="00834462">
      <w:pPr>
        <w:ind w:left="567" w:hanging="567"/>
        <w:outlineLvl w:val="0"/>
        <w:rPr>
          <w:lang w:val="es-ES"/>
        </w:rPr>
      </w:pPr>
    </w:p>
    <w:p w14:paraId="55875309" w14:textId="77777777" w:rsidR="00834462" w:rsidRPr="00F30AB8" w:rsidRDefault="00834462" w:rsidP="00834462">
      <w:pPr>
        <w:keepNext/>
        <w:ind w:left="562" w:hanging="562"/>
        <w:outlineLvl w:val="0"/>
        <w:rPr>
          <w:i/>
          <w:iCs/>
          <w:u w:val="single"/>
          <w:lang w:val="es-ES_tradnl"/>
        </w:rPr>
      </w:pPr>
      <w:r w:rsidRPr="00F30AB8">
        <w:rPr>
          <w:i/>
          <w:iCs/>
          <w:u w:val="single"/>
          <w:lang w:val="es-ES_tradnl"/>
        </w:rPr>
        <w:t>Linealidad</w:t>
      </w:r>
    </w:p>
    <w:p w14:paraId="438962F3" w14:textId="3162A4C8" w:rsidR="00834462" w:rsidRPr="008A106B" w:rsidRDefault="00834462" w:rsidP="00834462">
      <w:pPr>
        <w:numPr>
          <w:ilvl w:val="12"/>
          <w:numId w:val="0"/>
        </w:numPr>
        <w:ind w:right="-2"/>
        <w:rPr>
          <w:lang w:val="es-ES"/>
        </w:rPr>
      </w:pPr>
      <w:r w:rsidRPr="008A106B">
        <w:rPr>
          <w:lang w:val="es-ES_tradnl"/>
        </w:rPr>
        <w:t xml:space="preserve">Los parámetros farmacocinéticos de </w:t>
      </w:r>
      <w:r w:rsidR="00AC6075">
        <w:rPr>
          <w:iCs/>
          <w:szCs w:val="22"/>
          <w:lang w:val="es-ES"/>
        </w:rPr>
        <w:t>tocilizumab</w:t>
      </w:r>
      <w:ins w:id="1320" w:author="AUTHOR">
        <w:r w:rsidR="00ED2F9D">
          <w:rPr>
            <w:iCs/>
            <w:szCs w:val="22"/>
            <w:lang w:val="es-ES"/>
          </w:rPr>
          <w:t xml:space="preserve"> </w:t>
        </w:r>
      </w:ins>
      <w:r w:rsidRPr="008A106B">
        <w:rPr>
          <w:lang w:val="es-ES_tradnl"/>
        </w:rPr>
        <w:t>no cambiaron con el tiempo.</w:t>
      </w:r>
      <w:r w:rsidRPr="008A106B">
        <w:rPr>
          <w:lang w:val="es-ES"/>
        </w:rPr>
        <w:t xml:space="preserve"> </w:t>
      </w:r>
      <w:r w:rsidRPr="008A106B">
        <w:rPr>
          <w:lang w:val="es-ES_tradnl"/>
        </w:rPr>
        <w:t>Se observó un aumento mayor que el proporcional a la dosis en el área bajo la curva (AUC) y la concentración m</w:t>
      </w:r>
      <w:r w:rsidR="005C4DF0">
        <w:rPr>
          <w:lang w:val="es-ES_tradnl"/>
        </w:rPr>
        <w:t>í</w:t>
      </w:r>
      <w:r w:rsidRPr="008A106B">
        <w:rPr>
          <w:lang w:val="es-ES_tradnl"/>
        </w:rPr>
        <w:t>nima (C</w:t>
      </w:r>
      <w:r w:rsidRPr="008A106B">
        <w:rPr>
          <w:vertAlign w:val="subscript"/>
          <w:lang w:val="es-ES_tradnl"/>
        </w:rPr>
        <w:t>mín</w:t>
      </w:r>
      <w:r w:rsidRPr="008A106B">
        <w:rPr>
          <w:lang w:val="es-ES_tradnl"/>
        </w:rPr>
        <w:t>) con las dosis de 4 y 8 mg/kg, cada 4 semanas.</w:t>
      </w:r>
      <w:r w:rsidRPr="008A106B">
        <w:rPr>
          <w:lang w:val="es-ES"/>
        </w:rPr>
        <w:t xml:space="preserve"> </w:t>
      </w:r>
      <w:r w:rsidRPr="008A106B">
        <w:rPr>
          <w:lang w:val="es-ES_tradnl"/>
        </w:rPr>
        <w:t>La concentración máxima (C</w:t>
      </w:r>
      <w:r w:rsidRPr="008A106B">
        <w:rPr>
          <w:vertAlign w:val="subscript"/>
          <w:lang w:val="es-ES_tradnl"/>
        </w:rPr>
        <w:t>máx</w:t>
      </w:r>
      <w:r w:rsidRPr="008A106B">
        <w:rPr>
          <w:lang w:val="es-ES_tradnl"/>
        </w:rPr>
        <w:t>) aumentó de forma proporcional a la dosis.</w:t>
      </w:r>
      <w:r w:rsidRPr="008A106B">
        <w:rPr>
          <w:lang w:val="es-ES"/>
        </w:rPr>
        <w:t xml:space="preserve"> </w:t>
      </w:r>
      <w:r w:rsidRPr="008A106B">
        <w:rPr>
          <w:lang w:val="es-ES_tradnl"/>
        </w:rPr>
        <w:t>En equilibrio, el AUC y la C</w:t>
      </w:r>
      <w:r w:rsidRPr="008A106B">
        <w:rPr>
          <w:vertAlign w:val="subscript"/>
          <w:lang w:val="es-ES_tradnl"/>
        </w:rPr>
        <w:t>mín</w:t>
      </w:r>
      <w:r w:rsidRPr="008A106B">
        <w:rPr>
          <w:lang w:val="es-ES_tradnl"/>
        </w:rPr>
        <w:t xml:space="preserve"> pronosticados fueron </w:t>
      </w:r>
      <w:r w:rsidR="00D97806">
        <w:rPr>
          <w:lang w:val="es-ES_tradnl"/>
        </w:rPr>
        <w:t>3,2</w:t>
      </w:r>
      <w:r w:rsidRPr="008A106B">
        <w:rPr>
          <w:lang w:val="es-ES_tradnl"/>
        </w:rPr>
        <w:t xml:space="preserve"> y </w:t>
      </w:r>
      <w:r w:rsidR="00D97806">
        <w:rPr>
          <w:lang w:val="es-ES_tradnl"/>
        </w:rPr>
        <w:t>30</w:t>
      </w:r>
      <w:r w:rsidRPr="008A106B">
        <w:rPr>
          <w:lang w:val="es-ES_tradnl"/>
        </w:rPr>
        <w:t xml:space="preserve"> veces mayores con 8 mg/kg que con 4 mg/kg, respectivamente.</w:t>
      </w:r>
    </w:p>
    <w:p w14:paraId="08A5E696" w14:textId="77777777" w:rsidR="00CB3DF8" w:rsidRDefault="00CB3DF8" w:rsidP="00834462">
      <w:pPr>
        <w:ind w:left="567" w:hanging="567"/>
        <w:outlineLvl w:val="0"/>
        <w:rPr>
          <w:iCs/>
          <w:u w:val="single"/>
          <w:lang w:val="es-ES_tradnl"/>
        </w:rPr>
      </w:pPr>
    </w:p>
    <w:p w14:paraId="5F8BC7F4" w14:textId="77777777" w:rsidR="00834462" w:rsidRPr="00467FFD" w:rsidRDefault="00834462" w:rsidP="00834462">
      <w:pPr>
        <w:ind w:left="567" w:hanging="567"/>
        <w:outlineLvl w:val="0"/>
        <w:rPr>
          <w:u w:val="single"/>
          <w:lang w:val="es-ES_tradnl"/>
          <w:rPrChange w:id="1321" w:author="AUTHOR">
            <w:rPr>
              <w:i/>
              <w:iCs/>
              <w:lang w:val="es-ES_tradnl"/>
            </w:rPr>
          </w:rPrChange>
        </w:rPr>
      </w:pPr>
      <w:r w:rsidRPr="00467FFD">
        <w:rPr>
          <w:u w:val="single"/>
          <w:lang w:val="es-ES_tradnl"/>
          <w:rPrChange w:id="1322" w:author="AUTHOR">
            <w:rPr>
              <w:i/>
              <w:iCs/>
              <w:lang w:val="es-ES_tradnl"/>
            </w:rPr>
          </w:rPrChange>
        </w:rPr>
        <w:t xml:space="preserve">Uso </w:t>
      </w:r>
      <w:r w:rsidR="005B7E73" w:rsidRPr="00467FFD">
        <w:rPr>
          <w:u w:val="single"/>
          <w:lang w:val="es-ES_tradnl"/>
          <w:rPrChange w:id="1323" w:author="AUTHOR">
            <w:rPr>
              <w:i/>
              <w:iCs/>
              <w:lang w:val="es-ES_tradnl"/>
            </w:rPr>
          </w:rPrChange>
        </w:rPr>
        <w:t>subcutáneo</w:t>
      </w:r>
    </w:p>
    <w:p w14:paraId="1082D614" w14:textId="71F8CB32" w:rsidR="00AC6075" w:rsidRPr="000228E7" w:rsidRDefault="000228E7" w:rsidP="00834462">
      <w:pPr>
        <w:ind w:left="567" w:hanging="567"/>
        <w:outlineLvl w:val="0"/>
        <w:rPr>
          <w:ins w:id="1324" w:author="AUTHOR"/>
          <w:i/>
          <w:iCs/>
          <w:lang w:val="es-ES_tradnl"/>
        </w:rPr>
      </w:pPr>
      <w:ins w:id="1325" w:author="AUTHOR">
        <w:r w:rsidRPr="000228E7">
          <w:rPr>
            <w:i/>
            <w:iCs/>
            <w:lang w:val="es-ES_tradnl"/>
          </w:rPr>
          <w:t>Pacientes con RA</w:t>
        </w:r>
      </w:ins>
    </w:p>
    <w:p w14:paraId="5AA8A948" w14:textId="77777777" w:rsidR="000228E7" w:rsidRPr="00F30AB8" w:rsidRDefault="000228E7" w:rsidP="00834462">
      <w:pPr>
        <w:ind w:left="567" w:hanging="567"/>
        <w:outlineLvl w:val="0"/>
        <w:rPr>
          <w:i/>
          <w:iCs/>
          <w:lang w:val="es-ES_tradnl"/>
        </w:rPr>
      </w:pPr>
    </w:p>
    <w:p w14:paraId="065B691A" w14:textId="5426AD64" w:rsidR="00834462" w:rsidRDefault="00834462" w:rsidP="00B970C1">
      <w:pPr>
        <w:outlineLvl w:val="0"/>
        <w:rPr>
          <w:iCs/>
          <w:lang w:val="es-ES_tradnl"/>
        </w:rPr>
      </w:pPr>
      <w:r>
        <w:rPr>
          <w:iCs/>
          <w:lang w:val="es-ES_tradnl"/>
        </w:rPr>
        <w:lastRenderedPageBreak/>
        <w:t xml:space="preserve">La farmacocinética de </w:t>
      </w:r>
      <w:r w:rsidR="00AC6075">
        <w:rPr>
          <w:iCs/>
          <w:szCs w:val="22"/>
          <w:lang w:val="es-ES"/>
        </w:rPr>
        <w:t>tocilizumab</w:t>
      </w:r>
      <w:ins w:id="1326" w:author="AUTHOR">
        <w:r w:rsidR="00F67CA2">
          <w:rPr>
            <w:iCs/>
            <w:szCs w:val="22"/>
            <w:lang w:val="es-ES"/>
          </w:rPr>
          <w:t xml:space="preserve"> </w:t>
        </w:r>
      </w:ins>
      <w:r>
        <w:rPr>
          <w:iCs/>
          <w:lang w:val="es-ES_tradnl"/>
        </w:rPr>
        <w:t>se determinó usando un análisis farmacocinético poblacional de</w:t>
      </w:r>
      <w:r w:rsidR="00166607">
        <w:rPr>
          <w:iCs/>
          <w:lang w:val="es-ES_tradnl"/>
        </w:rPr>
        <w:t xml:space="preserve"> </w:t>
      </w:r>
      <w:r>
        <w:rPr>
          <w:iCs/>
          <w:lang w:val="es-ES_tradnl"/>
        </w:rPr>
        <w:t xml:space="preserve">una base de datos compuesta de </w:t>
      </w:r>
      <w:r w:rsidR="00D97806">
        <w:rPr>
          <w:iCs/>
          <w:lang w:val="es-ES_tradnl"/>
        </w:rPr>
        <w:t>3</w:t>
      </w:r>
      <w:r w:rsidR="00B970C1">
        <w:rPr>
          <w:iCs/>
          <w:lang w:val="es-ES_tradnl"/>
        </w:rPr>
        <w:t>.</w:t>
      </w:r>
      <w:r w:rsidR="00D97806">
        <w:rPr>
          <w:iCs/>
          <w:lang w:val="es-ES_tradnl"/>
        </w:rPr>
        <w:t>552</w:t>
      </w:r>
      <w:r w:rsidR="00553D9B" w:rsidRPr="00F30AB8">
        <w:rPr>
          <w:iCs/>
          <w:szCs w:val="22"/>
          <w:lang w:val="es-ES"/>
        </w:rPr>
        <w:t> </w:t>
      </w:r>
      <w:r>
        <w:rPr>
          <w:iCs/>
          <w:lang w:val="es-ES_tradnl"/>
        </w:rPr>
        <w:t>pacientes con AR tratados con 162</w:t>
      </w:r>
      <w:r w:rsidR="00553D9B" w:rsidRPr="00F30AB8">
        <w:rPr>
          <w:iCs/>
          <w:szCs w:val="22"/>
          <w:lang w:val="es-ES"/>
        </w:rPr>
        <w:t> </w:t>
      </w:r>
      <w:r>
        <w:rPr>
          <w:iCs/>
          <w:lang w:val="es-ES_tradnl"/>
        </w:rPr>
        <w:t>mg vía subcutánea cada semana, 162</w:t>
      </w:r>
      <w:r w:rsidR="00553D9B" w:rsidRPr="00F30AB8">
        <w:rPr>
          <w:iCs/>
          <w:szCs w:val="22"/>
          <w:lang w:val="es-ES"/>
        </w:rPr>
        <w:t> </w:t>
      </w:r>
      <w:r>
        <w:rPr>
          <w:iCs/>
          <w:lang w:val="es-ES_tradnl"/>
        </w:rPr>
        <w:t>mg vía subcutánea cada dos semanas, y</w:t>
      </w:r>
      <w:r w:rsidR="000D5414">
        <w:rPr>
          <w:iCs/>
          <w:lang w:val="es-ES_tradnl"/>
        </w:rPr>
        <w:t xml:space="preserve"> ó</w:t>
      </w:r>
      <w:r>
        <w:rPr>
          <w:iCs/>
          <w:lang w:val="es-ES_tradnl"/>
        </w:rPr>
        <w:t xml:space="preserve"> </w:t>
      </w:r>
      <w:r w:rsidR="00D97806">
        <w:rPr>
          <w:iCs/>
          <w:lang w:val="es-ES_tradnl"/>
        </w:rPr>
        <w:t xml:space="preserve">4 u </w:t>
      </w:r>
      <w:r>
        <w:rPr>
          <w:iCs/>
          <w:lang w:val="es-ES_tradnl"/>
        </w:rPr>
        <w:t>8</w:t>
      </w:r>
      <w:r w:rsidR="00B970C1">
        <w:rPr>
          <w:iCs/>
          <w:lang w:val="es-ES_tradnl"/>
        </w:rPr>
        <w:t> </w:t>
      </w:r>
      <w:r>
        <w:rPr>
          <w:iCs/>
          <w:lang w:val="es-ES_tradnl"/>
        </w:rPr>
        <w:t>mg/kg vía intravenosa cada 4</w:t>
      </w:r>
      <w:r w:rsidR="00553D9B" w:rsidRPr="00F30AB8">
        <w:rPr>
          <w:iCs/>
          <w:szCs w:val="22"/>
          <w:lang w:val="es-ES"/>
        </w:rPr>
        <w:t> </w:t>
      </w:r>
      <w:r>
        <w:rPr>
          <w:iCs/>
          <w:lang w:val="es-ES_tradnl"/>
        </w:rPr>
        <w:t>semanas durante 24</w:t>
      </w:r>
      <w:r w:rsidR="00553D9B" w:rsidRPr="00F30AB8">
        <w:rPr>
          <w:iCs/>
          <w:szCs w:val="22"/>
          <w:lang w:val="es-ES"/>
        </w:rPr>
        <w:t> </w:t>
      </w:r>
      <w:r>
        <w:rPr>
          <w:iCs/>
          <w:lang w:val="es-ES_tradnl"/>
        </w:rPr>
        <w:t>semanas.</w:t>
      </w:r>
    </w:p>
    <w:p w14:paraId="7BDBC7E2" w14:textId="77777777" w:rsidR="00834462" w:rsidRDefault="00834462" w:rsidP="00834462">
      <w:pPr>
        <w:ind w:left="567" w:hanging="567"/>
        <w:outlineLvl w:val="0"/>
        <w:rPr>
          <w:iCs/>
          <w:lang w:val="es-ES_tradnl"/>
        </w:rPr>
      </w:pPr>
    </w:p>
    <w:p w14:paraId="39902735" w14:textId="69789867" w:rsidR="00834462" w:rsidRPr="00286CDE" w:rsidRDefault="00834462" w:rsidP="00B970C1">
      <w:pPr>
        <w:outlineLvl w:val="0"/>
        <w:rPr>
          <w:lang w:val="es-ES_tradnl"/>
        </w:rPr>
      </w:pPr>
      <w:r>
        <w:rPr>
          <w:iCs/>
          <w:lang w:val="es-ES_tradnl"/>
        </w:rPr>
        <w:t xml:space="preserve">Los parámetros farmacocinéticos de </w:t>
      </w:r>
      <w:r w:rsidR="00AC6075">
        <w:rPr>
          <w:iCs/>
          <w:szCs w:val="22"/>
          <w:lang w:val="es-ES"/>
        </w:rPr>
        <w:t>tocilizumab</w:t>
      </w:r>
      <w:ins w:id="1327" w:author="AUTHOR">
        <w:r w:rsidR="00ED2F9D">
          <w:rPr>
            <w:iCs/>
            <w:szCs w:val="22"/>
            <w:lang w:val="es-ES"/>
          </w:rPr>
          <w:t xml:space="preserve"> </w:t>
        </w:r>
      </w:ins>
      <w:r>
        <w:rPr>
          <w:iCs/>
          <w:lang w:val="es-ES_tradnl"/>
        </w:rPr>
        <w:t>no cambiaron con el tiempo. Para la dosis de 162</w:t>
      </w:r>
      <w:r w:rsidR="00B970C1">
        <w:rPr>
          <w:iCs/>
          <w:lang w:val="es-ES_tradnl"/>
        </w:rPr>
        <w:t> </w:t>
      </w:r>
      <w:r>
        <w:rPr>
          <w:iCs/>
          <w:lang w:val="es-ES_tradnl"/>
        </w:rPr>
        <w:t xml:space="preserve">mg cada semana, </w:t>
      </w:r>
      <w:r>
        <w:rPr>
          <w:lang w:val="es-ES_tradnl"/>
        </w:rPr>
        <w:t>l</w:t>
      </w:r>
      <w:r w:rsidRPr="008A106B">
        <w:rPr>
          <w:lang w:val="es-ES_tradnl"/>
        </w:rPr>
        <w:t>os valores medios previstos (</w:t>
      </w:r>
      <w:r w:rsidRPr="008A106B">
        <w:rPr>
          <w:lang w:val="es-ES_tradnl"/>
        </w:rPr>
        <w:sym w:font="Symbol" w:char="F0B1"/>
      </w:r>
      <w:r w:rsidRPr="008A106B">
        <w:rPr>
          <w:lang w:val="es-ES_tradnl"/>
        </w:rPr>
        <w:t> DE) en</w:t>
      </w:r>
      <w:r>
        <w:rPr>
          <w:lang w:val="es-ES_tradnl"/>
        </w:rPr>
        <w:t xml:space="preserve"> </w:t>
      </w:r>
      <w:r w:rsidRPr="008A106B">
        <w:rPr>
          <w:lang w:val="es-ES_tradnl"/>
        </w:rPr>
        <w:t>equilibrio</w:t>
      </w:r>
      <w:r>
        <w:rPr>
          <w:lang w:val="es-ES_tradnl"/>
        </w:rPr>
        <w:t xml:space="preserve">, del </w:t>
      </w:r>
      <w:r w:rsidRPr="008A106B">
        <w:rPr>
          <w:lang w:val="es-ES_tradnl"/>
        </w:rPr>
        <w:t>área bajo la curva (AUC)</w:t>
      </w:r>
      <w:r>
        <w:rPr>
          <w:lang w:val="es-ES_tradnl"/>
        </w:rPr>
        <w:t xml:space="preserve"> semana</w:t>
      </w:r>
      <w:r w:rsidR="00B970C1">
        <w:rPr>
          <w:lang w:val="es-ES_tradnl"/>
        </w:rPr>
        <w:t> </w:t>
      </w:r>
      <w:r>
        <w:rPr>
          <w:lang w:val="es-ES_tradnl"/>
        </w:rPr>
        <w:t xml:space="preserve">1, </w:t>
      </w:r>
      <w:r w:rsidRPr="008A106B">
        <w:rPr>
          <w:lang w:val="es-ES_tradnl"/>
        </w:rPr>
        <w:t>C</w:t>
      </w:r>
      <w:r w:rsidRPr="008A106B">
        <w:rPr>
          <w:vertAlign w:val="subscript"/>
          <w:lang w:val="es-ES_tradnl"/>
        </w:rPr>
        <w:t>min</w:t>
      </w:r>
      <w:r>
        <w:rPr>
          <w:vertAlign w:val="subscript"/>
          <w:lang w:val="es-ES_tradnl"/>
        </w:rPr>
        <w:t xml:space="preserve"> </w:t>
      </w:r>
      <w:r w:rsidRPr="008A106B">
        <w:rPr>
          <w:lang w:val="es-ES_tradnl"/>
        </w:rPr>
        <w:t>y C</w:t>
      </w:r>
      <w:r w:rsidRPr="008A106B">
        <w:rPr>
          <w:vertAlign w:val="subscript"/>
          <w:lang w:val="es-ES_tradnl"/>
        </w:rPr>
        <w:t>max</w:t>
      </w:r>
      <w:r>
        <w:rPr>
          <w:vertAlign w:val="subscript"/>
          <w:lang w:val="es-ES_tradnl"/>
        </w:rPr>
        <w:t xml:space="preserve"> </w:t>
      </w:r>
      <w:r w:rsidRPr="00933A32">
        <w:rPr>
          <w:lang w:val="es-ES_tradnl"/>
        </w:rPr>
        <w:t xml:space="preserve">de </w:t>
      </w:r>
      <w:r w:rsidR="00AC6075">
        <w:rPr>
          <w:iCs/>
          <w:szCs w:val="22"/>
          <w:lang w:val="es-ES"/>
        </w:rPr>
        <w:t>tocilizumab</w:t>
      </w:r>
      <w:r>
        <w:rPr>
          <w:lang w:val="es-ES_tradnl"/>
        </w:rPr>
        <w:t xml:space="preserve">fueron </w:t>
      </w:r>
      <w:r w:rsidR="00D97806">
        <w:rPr>
          <w:lang w:val="es-ES"/>
        </w:rPr>
        <w:t>7</w:t>
      </w:r>
      <w:r w:rsidR="00437CE4">
        <w:rPr>
          <w:lang w:val="es-ES"/>
        </w:rPr>
        <w:t>.</w:t>
      </w:r>
      <w:r w:rsidR="00D97806">
        <w:rPr>
          <w:lang w:val="es-ES"/>
        </w:rPr>
        <w:t>970 </w:t>
      </w:r>
      <w:r w:rsidR="00D97806" w:rsidRPr="00933A32">
        <w:rPr>
          <w:lang w:val="es-ES"/>
        </w:rPr>
        <w:t xml:space="preserve"> </w:t>
      </w:r>
      <w:r w:rsidRPr="00286CDE">
        <w:rPr>
          <w:lang w:val="es-ES"/>
        </w:rPr>
        <w:t>± 3</w:t>
      </w:r>
      <w:r w:rsidR="00437CE4">
        <w:rPr>
          <w:lang w:val="es-ES"/>
        </w:rPr>
        <w:t>.</w:t>
      </w:r>
      <w:r w:rsidR="00D97806">
        <w:rPr>
          <w:lang w:val="es-ES"/>
        </w:rPr>
        <w:t>432</w:t>
      </w:r>
      <w:r w:rsidR="000D5414">
        <w:rPr>
          <w:lang w:val="es-ES"/>
        </w:rPr>
        <w:t> </w:t>
      </w:r>
      <w:r w:rsidRPr="00286CDE">
        <w:rPr>
          <w:lang w:val="es-ES"/>
        </w:rPr>
        <w:t xml:space="preserve"> </w:t>
      </w:r>
      <w:r w:rsidR="000E6690" w:rsidRPr="006868F5">
        <w:rPr>
          <w:iCs/>
          <w:szCs w:val="22"/>
          <w:lang w:val="es-ES"/>
        </w:rPr>
        <w:t>µg</w:t>
      </w:r>
      <w:r w:rsidRPr="00286CDE">
        <w:rPr>
          <w:lang w:val="es-ES"/>
        </w:rPr>
        <w:t>•h/m</w:t>
      </w:r>
      <w:r>
        <w:rPr>
          <w:lang w:val="es-ES"/>
        </w:rPr>
        <w:t>l</w:t>
      </w:r>
      <w:r w:rsidRPr="00286CDE">
        <w:rPr>
          <w:lang w:val="es-ES"/>
        </w:rPr>
        <w:t xml:space="preserve">, </w:t>
      </w:r>
      <w:r w:rsidR="00D97806">
        <w:rPr>
          <w:lang w:val="es-ES"/>
        </w:rPr>
        <w:t>43,0 </w:t>
      </w:r>
      <w:r w:rsidRPr="00286CDE">
        <w:rPr>
          <w:lang w:val="es-ES"/>
        </w:rPr>
        <w:t xml:space="preserve">± </w:t>
      </w:r>
      <w:r w:rsidR="00D97806">
        <w:rPr>
          <w:lang w:val="es-ES"/>
        </w:rPr>
        <w:t>19,8 </w:t>
      </w:r>
      <w:r w:rsidR="000E6690" w:rsidRPr="006868F5">
        <w:rPr>
          <w:iCs/>
          <w:szCs w:val="22"/>
          <w:lang w:val="es-ES"/>
        </w:rPr>
        <w:t>µg</w:t>
      </w:r>
      <w:r w:rsidRPr="00286CDE">
        <w:rPr>
          <w:lang w:val="es-ES"/>
        </w:rPr>
        <w:t>/m</w:t>
      </w:r>
      <w:r>
        <w:rPr>
          <w:lang w:val="es-ES"/>
        </w:rPr>
        <w:t>l</w:t>
      </w:r>
      <w:r w:rsidRPr="00286CDE">
        <w:rPr>
          <w:lang w:val="es-ES"/>
        </w:rPr>
        <w:t xml:space="preserve">, y </w:t>
      </w:r>
      <w:r w:rsidR="00D97806">
        <w:rPr>
          <w:lang w:val="es-ES"/>
        </w:rPr>
        <w:t>49,8 </w:t>
      </w:r>
      <w:r w:rsidRPr="00286CDE">
        <w:rPr>
          <w:lang w:val="es-ES"/>
        </w:rPr>
        <w:t>± 21,</w:t>
      </w:r>
      <w:r w:rsidR="00D97806">
        <w:rPr>
          <w:lang w:val="es-ES"/>
        </w:rPr>
        <w:t>0 </w:t>
      </w:r>
      <w:r w:rsidR="000E6690" w:rsidRPr="006868F5">
        <w:rPr>
          <w:iCs/>
          <w:szCs w:val="22"/>
          <w:lang w:val="es-ES"/>
        </w:rPr>
        <w:t>µg</w:t>
      </w:r>
      <w:r w:rsidRPr="00286CDE">
        <w:rPr>
          <w:lang w:val="es-ES"/>
        </w:rPr>
        <w:t>/m</w:t>
      </w:r>
      <w:r>
        <w:rPr>
          <w:lang w:val="es-ES"/>
        </w:rPr>
        <w:t>l</w:t>
      </w:r>
      <w:r w:rsidRPr="00286CDE">
        <w:rPr>
          <w:lang w:val="es-ES"/>
        </w:rPr>
        <w:t xml:space="preserve">, respectivamente. </w:t>
      </w:r>
      <w:r w:rsidR="00D37773">
        <w:rPr>
          <w:lang w:val="es-ES"/>
        </w:rPr>
        <w:t xml:space="preserve">El cociente de </w:t>
      </w:r>
      <w:r>
        <w:rPr>
          <w:lang w:val="es-ES"/>
        </w:rPr>
        <w:t xml:space="preserve">acumulación para AUC, </w:t>
      </w:r>
      <w:r w:rsidRPr="00286CDE">
        <w:rPr>
          <w:lang w:val="es-ES"/>
        </w:rPr>
        <w:t>C</w:t>
      </w:r>
      <w:r w:rsidRPr="00286CDE">
        <w:rPr>
          <w:vertAlign w:val="subscript"/>
          <w:lang w:val="es-ES"/>
        </w:rPr>
        <w:t>min</w:t>
      </w:r>
      <w:r w:rsidRPr="00286CDE">
        <w:rPr>
          <w:lang w:val="es-ES"/>
        </w:rPr>
        <w:t>, y C</w:t>
      </w:r>
      <w:r w:rsidRPr="00286CDE">
        <w:rPr>
          <w:vertAlign w:val="subscript"/>
          <w:lang w:val="es-ES"/>
        </w:rPr>
        <w:t>max</w:t>
      </w:r>
      <w:r w:rsidRPr="00286CDE">
        <w:rPr>
          <w:lang w:val="es-ES"/>
        </w:rPr>
        <w:t xml:space="preserve"> fueron 6</w:t>
      </w:r>
      <w:r w:rsidR="0011102B">
        <w:rPr>
          <w:lang w:val="es-ES"/>
        </w:rPr>
        <w:t>,</w:t>
      </w:r>
      <w:r w:rsidR="00D97806">
        <w:rPr>
          <w:lang w:val="es-ES"/>
        </w:rPr>
        <w:t>32</w:t>
      </w:r>
      <w:r w:rsidR="0011102B">
        <w:rPr>
          <w:lang w:val="es-ES"/>
        </w:rPr>
        <w:t>; 6,3</w:t>
      </w:r>
      <w:r w:rsidR="00D97806">
        <w:rPr>
          <w:lang w:val="es-ES"/>
        </w:rPr>
        <w:t>0</w:t>
      </w:r>
      <w:r w:rsidR="0011102B">
        <w:rPr>
          <w:lang w:val="es-ES"/>
        </w:rPr>
        <w:t>; 5,</w:t>
      </w:r>
      <w:r w:rsidR="00D97806">
        <w:rPr>
          <w:lang w:val="es-ES"/>
        </w:rPr>
        <w:t>2</w:t>
      </w:r>
      <w:r>
        <w:rPr>
          <w:lang w:val="es-ES"/>
        </w:rPr>
        <w:t xml:space="preserve">7, respectivamente. </w:t>
      </w:r>
      <w:r w:rsidRPr="00933A32">
        <w:rPr>
          <w:lang w:val="es-ES"/>
        </w:rPr>
        <w:t>El estado estacionario se alcanzó después de 12</w:t>
      </w:r>
      <w:r w:rsidR="00553D9B" w:rsidRPr="00F30AB8">
        <w:rPr>
          <w:iCs/>
          <w:szCs w:val="22"/>
          <w:lang w:val="es-ES"/>
        </w:rPr>
        <w:t> </w:t>
      </w:r>
      <w:r w:rsidRPr="00933A32">
        <w:rPr>
          <w:lang w:val="es-ES"/>
        </w:rPr>
        <w:t xml:space="preserve">semanas para AUC, </w:t>
      </w:r>
      <w:r w:rsidRPr="00286CDE">
        <w:rPr>
          <w:lang w:val="es-ES"/>
        </w:rPr>
        <w:t>C</w:t>
      </w:r>
      <w:r w:rsidRPr="00286CDE">
        <w:rPr>
          <w:vertAlign w:val="subscript"/>
          <w:lang w:val="es-ES"/>
        </w:rPr>
        <w:t>min</w:t>
      </w:r>
      <w:r w:rsidRPr="00286CDE">
        <w:rPr>
          <w:lang w:val="es-ES"/>
        </w:rPr>
        <w:t xml:space="preserve"> y C</w:t>
      </w:r>
      <w:r w:rsidRPr="00286CDE">
        <w:rPr>
          <w:vertAlign w:val="subscript"/>
          <w:lang w:val="es-ES"/>
        </w:rPr>
        <w:t>max</w:t>
      </w:r>
      <w:r w:rsidRPr="00933A32">
        <w:rPr>
          <w:lang w:val="es-ES"/>
        </w:rPr>
        <w:t>.</w:t>
      </w:r>
    </w:p>
    <w:p w14:paraId="6A3CEAB4" w14:textId="77777777" w:rsidR="00834462" w:rsidRPr="00D37773" w:rsidRDefault="00834462" w:rsidP="00834462">
      <w:pPr>
        <w:ind w:left="567" w:hanging="567"/>
        <w:outlineLvl w:val="0"/>
        <w:rPr>
          <w:lang w:val="es-ES_tradnl"/>
        </w:rPr>
      </w:pPr>
    </w:p>
    <w:p w14:paraId="3E04DC0C" w14:textId="4AF1EE7F" w:rsidR="00834462" w:rsidRPr="00D56944" w:rsidRDefault="00834462" w:rsidP="00B970C1">
      <w:pPr>
        <w:outlineLvl w:val="0"/>
        <w:rPr>
          <w:lang w:val="es-ES_tradnl"/>
        </w:rPr>
      </w:pPr>
      <w:r>
        <w:rPr>
          <w:iCs/>
          <w:lang w:val="es-ES"/>
        </w:rPr>
        <w:t>Para la dosis de 162</w:t>
      </w:r>
      <w:ins w:id="1328" w:author="AUTHOR">
        <w:r w:rsidR="00431AD6">
          <w:rPr>
            <w:iCs/>
            <w:lang w:val="es-ES"/>
          </w:rPr>
          <w:t xml:space="preserve"> mg</w:t>
        </w:r>
      </w:ins>
      <w:r w:rsidR="00553D9B" w:rsidRPr="00F30AB8">
        <w:rPr>
          <w:iCs/>
          <w:szCs w:val="22"/>
          <w:lang w:val="es-ES"/>
        </w:rPr>
        <w:t> </w:t>
      </w:r>
      <w:r>
        <w:rPr>
          <w:iCs/>
          <w:lang w:val="es-ES"/>
        </w:rPr>
        <w:t xml:space="preserve">cada dos semanas, </w:t>
      </w:r>
      <w:r>
        <w:rPr>
          <w:lang w:val="es-ES_tradnl"/>
        </w:rPr>
        <w:t>l</w:t>
      </w:r>
      <w:r w:rsidRPr="008A106B">
        <w:rPr>
          <w:lang w:val="es-ES_tradnl"/>
        </w:rPr>
        <w:t>os valores medios previstos (</w:t>
      </w:r>
      <w:r w:rsidRPr="008A106B">
        <w:rPr>
          <w:lang w:val="es-ES_tradnl"/>
        </w:rPr>
        <w:sym w:font="Symbol" w:char="F0B1"/>
      </w:r>
      <w:r>
        <w:rPr>
          <w:lang w:val="es-ES_tradnl"/>
        </w:rPr>
        <w:t xml:space="preserve"> DE) en </w:t>
      </w:r>
      <w:r w:rsidRPr="008A106B">
        <w:rPr>
          <w:lang w:val="es-ES_tradnl"/>
        </w:rPr>
        <w:t>equilibrio</w:t>
      </w:r>
      <w:r>
        <w:rPr>
          <w:lang w:val="es-ES_tradnl"/>
        </w:rPr>
        <w:t xml:space="preserve">, del </w:t>
      </w:r>
      <w:r w:rsidRPr="008A106B">
        <w:rPr>
          <w:lang w:val="es-ES_tradnl"/>
        </w:rPr>
        <w:t>área</w:t>
      </w:r>
      <w:r>
        <w:rPr>
          <w:lang w:val="es-ES_tradnl"/>
        </w:rPr>
        <w:t xml:space="preserve"> </w:t>
      </w:r>
      <w:r w:rsidRPr="008A106B">
        <w:rPr>
          <w:lang w:val="es-ES_tradnl"/>
        </w:rPr>
        <w:t>bajo la curva (AUC)</w:t>
      </w:r>
      <w:r>
        <w:rPr>
          <w:lang w:val="es-ES_tradnl"/>
        </w:rPr>
        <w:t xml:space="preserve"> semana 2,</w:t>
      </w:r>
      <w:r w:rsidR="0082458F">
        <w:rPr>
          <w:lang w:val="es-ES_tradnl"/>
        </w:rPr>
        <w:t xml:space="preserve"> </w:t>
      </w:r>
      <w:r w:rsidRPr="008A106B">
        <w:rPr>
          <w:lang w:val="es-ES_tradnl"/>
        </w:rPr>
        <w:t>C</w:t>
      </w:r>
      <w:r w:rsidRPr="008A106B">
        <w:rPr>
          <w:vertAlign w:val="subscript"/>
          <w:lang w:val="es-ES_tradnl"/>
        </w:rPr>
        <w:t>min</w:t>
      </w:r>
      <w:r>
        <w:rPr>
          <w:vertAlign w:val="subscript"/>
          <w:lang w:val="es-ES_tradnl"/>
        </w:rPr>
        <w:t xml:space="preserve"> </w:t>
      </w:r>
      <w:r w:rsidRPr="008A106B">
        <w:rPr>
          <w:lang w:val="es-ES_tradnl"/>
        </w:rPr>
        <w:t>y C</w:t>
      </w:r>
      <w:r w:rsidRPr="008A106B">
        <w:rPr>
          <w:vertAlign w:val="subscript"/>
          <w:lang w:val="es-ES_tradnl"/>
        </w:rPr>
        <w:t>max</w:t>
      </w:r>
      <w:r>
        <w:rPr>
          <w:vertAlign w:val="subscript"/>
          <w:lang w:val="es-ES_tradnl"/>
        </w:rPr>
        <w:t xml:space="preserve"> </w:t>
      </w:r>
      <w:r w:rsidRPr="002D4EC8">
        <w:rPr>
          <w:lang w:val="es-ES_tradnl"/>
        </w:rPr>
        <w:t xml:space="preserve">de </w:t>
      </w:r>
      <w:r w:rsidR="00AC6075">
        <w:rPr>
          <w:iCs/>
          <w:szCs w:val="22"/>
          <w:lang w:val="es-ES"/>
        </w:rPr>
        <w:t>tocilizumab</w:t>
      </w:r>
      <w:ins w:id="1329" w:author="AUTHOR">
        <w:r w:rsidR="00ED2F9D">
          <w:rPr>
            <w:iCs/>
            <w:szCs w:val="22"/>
            <w:lang w:val="es-ES"/>
          </w:rPr>
          <w:t xml:space="preserve"> </w:t>
        </w:r>
      </w:ins>
      <w:r>
        <w:rPr>
          <w:lang w:val="es-ES_tradnl"/>
        </w:rPr>
        <w:t xml:space="preserve">fueron </w:t>
      </w:r>
      <w:r w:rsidR="00D97806" w:rsidRPr="00286CDE">
        <w:rPr>
          <w:lang w:val="es-ES_tradnl"/>
        </w:rPr>
        <w:t>3</w:t>
      </w:r>
      <w:r w:rsidR="00437CE4">
        <w:rPr>
          <w:lang w:val="es-ES_tradnl"/>
        </w:rPr>
        <w:t>.</w:t>
      </w:r>
      <w:r w:rsidR="00D97806">
        <w:rPr>
          <w:lang w:val="es-ES_tradnl"/>
        </w:rPr>
        <w:t>430 </w:t>
      </w:r>
      <w:r w:rsidRPr="00286CDE">
        <w:rPr>
          <w:lang w:val="es-ES_tradnl"/>
        </w:rPr>
        <w:t xml:space="preserve">± </w:t>
      </w:r>
      <w:r w:rsidR="00D97806" w:rsidRPr="00286CDE">
        <w:rPr>
          <w:lang w:val="es-ES_tradnl"/>
        </w:rPr>
        <w:t>2</w:t>
      </w:r>
      <w:r w:rsidR="00437CE4">
        <w:rPr>
          <w:lang w:val="es-ES_tradnl"/>
        </w:rPr>
        <w:t>.</w:t>
      </w:r>
      <w:r w:rsidR="00D97806">
        <w:rPr>
          <w:lang w:val="es-ES_tradnl"/>
        </w:rPr>
        <w:t>660 </w:t>
      </w:r>
      <w:r w:rsidR="000E6690" w:rsidRPr="006868F5">
        <w:rPr>
          <w:iCs/>
          <w:szCs w:val="22"/>
          <w:lang w:val="es-ES"/>
        </w:rPr>
        <w:t>µg</w:t>
      </w:r>
      <w:ins w:id="1330" w:author="AUTHOR">
        <w:r w:rsidR="00FF4632" w:rsidRPr="00467FFD">
          <w:rPr>
            <w:szCs w:val="22"/>
            <w:lang w:val="es-ES"/>
            <w:rPrChange w:id="1331" w:author="AUTHOR">
              <w:rPr>
                <w:szCs w:val="22"/>
              </w:rPr>
            </w:rPrChange>
          </w:rPr>
          <w:t>×</w:t>
        </w:r>
      </w:ins>
      <w:del w:id="1332" w:author="AUTHOR">
        <w:r w:rsidRPr="00286CDE" w:rsidDel="00FF4632">
          <w:rPr>
            <w:lang w:val="es-ES_tradnl"/>
          </w:rPr>
          <w:delText>•</w:delText>
        </w:r>
      </w:del>
      <w:r w:rsidRPr="00286CDE">
        <w:rPr>
          <w:lang w:val="es-ES_tradnl"/>
        </w:rPr>
        <w:t>h/m</w:t>
      </w:r>
      <w:r>
        <w:rPr>
          <w:lang w:val="es-ES_tradnl"/>
        </w:rPr>
        <w:t>l</w:t>
      </w:r>
      <w:r w:rsidRPr="00286CDE">
        <w:rPr>
          <w:lang w:val="es-ES_tradnl"/>
        </w:rPr>
        <w:t>, 5</w:t>
      </w:r>
      <w:r>
        <w:rPr>
          <w:lang w:val="es-ES_tradnl"/>
        </w:rPr>
        <w:t>,</w:t>
      </w:r>
      <w:r w:rsidR="00D97806">
        <w:rPr>
          <w:lang w:val="es-ES_tradnl"/>
        </w:rPr>
        <w:t>7 </w:t>
      </w:r>
      <w:r w:rsidRPr="00286CDE">
        <w:rPr>
          <w:lang w:val="es-ES_tradnl"/>
        </w:rPr>
        <w:t>±</w:t>
      </w:r>
      <w:r w:rsidR="00272CCF">
        <w:rPr>
          <w:lang w:val="es-ES_tradnl"/>
        </w:rPr>
        <w:t>6,8 </w:t>
      </w:r>
      <w:r w:rsidR="000E6690" w:rsidRPr="006868F5">
        <w:rPr>
          <w:iCs/>
          <w:szCs w:val="22"/>
          <w:lang w:val="es-ES"/>
        </w:rPr>
        <w:t>µg</w:t>
      </w:r>
      <w:r w:rsidRPr="00286CDE">
        <w:rPr>
          <w:lang w:val="es-ES_tradnl"/>
        </w:rPr>
        <w:t>/m</w:t>
      </w:r>
      <w:r>
        <w:rPr>
          <w:lang w:val="es-ES_tradnl"/>
        </w:rPr>
        <w:t>l</w:t>
      </w:r>
      <w:r w:rsidRPr="00286CDE">
        <w:rPr>
          <w:lang w:val="es-ES_tradnl"/>
        </w:rPr>
        <w:t xml:space="preserve">, </w:t>
      </w:r>
      <w:r>
        <w:rPr>
          <w:lang w:val="es-ES_tradnl"/>
        </w:rPr>
        <w:t xml:space="preserve">y </w:t>
      </w:r>
      <w:r w:rsidRPr="00286CDE">
        <w:rPr>
          <w:lang w:val="es-ES_tradnl"/>
        </w:rPr>
        <w:t>1</w:t>
      </w:r>
      <w:r w:rsidR="00272CCF">
        <w:rPr>
          <w:lang w:val="es-ES_tradnl"/>
        </w:rPr>
        <w:t>3</w:t>
      </w:r>
      <w:r>
        <w:rPr>
          <w:lang w:val="es-ES_tradnl"/>
        </w:rPr>
        <w:t>,</w:t>
      </w:r>
      <w:r w:rsidR="000D5414">
        <w:rPr>
          <w:lang w:val="es-ES_tradnl"/>
        </w:rPr>
        <w:t>2</w:t>
      </w:r>
      <w:r w:rsidR="00272CCF">
        <w:rPr>
          <w:lang w:val="es-ES_tradnl"/>
        </w:rPr>
        <w:t> </w:t>
      </w:r>
      <w:r w:rsidRPr="00286CDE">
        <w:rPr>
          <w:lang w:val="es-ES_tradnl"/>
        </w:rPr>
        <w:t>± 8</w:t>
      </w:r>
      <w:r>
        <w:rPr>
          <w:lang w:val="es-ES_tradnl"/>
        </w:rPr>
        <w:t>,</w:t>
      </w:r>
      <w:r w:rsidR="00272CCF">
        <w:rPr>
          <w:lang w:val="es-ES_tradnl"/>
        </w:rPr>
        <w:t>8 </w:t>
      </w:r>
      <w:r w:rsidR="000E6690" w:rsidRPr="006868F5">
        <w:rPr>
          <w:iCs/>
          <w:szCs w:val="22"/>
          <w:lang w:val="es-ES"/>
        </w:rPr>
        <w:t>µg</w:t>
      </w:r>
      <w:r w:rsidRPr="00286CDE">
        <w:rPr>
          <w:lang w:val="es-ES_tradnl"/>
        </w:rPr>
        <w:t>/m</w:t>
      </w:r>
      <w:r>
        <w:rPr>
          <w:lang w:val="es-ES_tradnl"/>
        </w:rPr>
        <w:t>l respectivamente.</w:t>
      </w:r>
      <w:r w:rsidRPr="003944CC">
        <w:rPr>
          <w:lang w:val="es-ES_tradnl"/>
        </w:rPr>
        <w:t xml:space="preserve"> </w:t>
      </w:r>
      <w:r>
        <w:rPr>
          <w:lang w:val="es-ES_tradnl"/>
        </w:rPr>
        <w:t xml:space="preserve">El cociente </w:t>
      </w:r>
      <w:r w:rsidRPr="002D4EC8">
        <w:rPr>
          <w:lang w:val="es-ES_tradnl"/>
        </w:rPr>
        <w:t>de acumulación para AUC</w:t>
      </w:r>
      <w:r>
        <w:rPr>
          <w:lang w:val="es-ES_tradnl"/>
        </w:rPr>
        <w:t xml:space="preserve">, </w:t>
      </w:r>
      <w:r w:rsidR="00651DAA" w:rsidRPr="008A106B">
        <w:rPr>
          <w:lang w:val="es-ES_tradnl"/>
        </w:rPr>
        <w:t>C</w:t>
      </w:r>
      <w:r w:rsidR="00651DAA" w:rsidRPr="008A106B">
        <w:rPr>
          <w:vertAlign w:val="subscript"/>
          <w:lang w:val="es-ES_tradnl"/>
        </w:rPr>
        <w:t>min</w:t>
      </w:r>
      <w:r>
        <w:rPr>
          <w:lang w:val="es-ES_tradnl"/>
        </w:rPr>
        <w:t xml:space="preserve"> y </w:t>
      </w:r>
      <w:r w:rsidR="00651DAA" w:rsidRPr="008A106B">
        <w:rPr>
          <w:lang w:val="es-ES_tradnl"/>
        </w:rPr>
        <w:t>C</w:t>
      </w:r>
      <w:r w:rsidR="00651DAA" w:rsidRPr="008A106B">
        <w:rPr>
          <w:vertAlign w:val="subscript"/>
          <w:lang w:val="es-ES_tradnl"/>
        </w:rPr>
        <w:t>max</w:t>
      </w:r>
      <w:r>
        <w:rPr>
          <w:lang w:val="es-ES_tradnl"/>
        </w:rPr>
        <w:t xml:space="preserve"> fueron</w:t>
      </w:r>
      <w:r w:rsidRPr="00D56944">
        <w:rPr>
          <w:lang w:val="es-ES"/>
        </w:rPr>
        <w:t xml:space="preserve"> 2</w:t>
      </w:r>
      <w:r w:rsidR="0011102B">
        <w:rPr>
          <w:lang w:val="es-ES"/>
        </w:rPr>
        <w:t>,67;</w:t>
      </w:r>
      <w:r w:rsidRPr="00D56944">
        <w:rPr>
          <w:lang w:val="es-ES"/>
        </w:rPr>
        <w:t xml:space="preserve"> </w:t>
      </w:r>
      <w:r w:rsidR="00272CCF">
        <w:rPr>
          <w:lang w:val="es-ES"/>
        </w:rPr>
        <w:t>6,02</w:t>
      </w:r>
      <w:r w:rsidRPr="00D56944">
        <w:rPr>
          <w:lang w:val="es-ES"/>
        </w:rPr>
        <w:t xml:space="preserve"> </w:t>
      </w:r>
      <w:r>
        <w:rPr>
          <w:lang w:val="es-ES"/>
        </w:rPr>
        <w:t xml:space="preserve">y </w:t>
      </w:r>
      <w:r w:rsidRPr="00D56944">
        <w:rPr>
          <w:lang w:val="es-ES"/>
        </w:rPr>
        <w:t>2</w:t>
      </w:r>
      <w:r w:rsidR="0011102B">
        <w:rPr>
          <w:lang w:val="es-ES"/>
        </w:rPr>
        <w:t>,</w:t>
      </w:r>
      <w:r w:rsidRPr="00D56944">
        <w:rPr>
          <w:lang w:val="es-ES"/>
        </w:rPr>
        <w:t>12,</w:t>
      </w:r>
      <w:r>
        <w:rPr>
          <w:lang w:val="es-ES"/>
        </w:rPr>
        <w:t xml:space="preserve"> respectivamente.</w:t>
      </w:r>
      <w:r w:rsidRPr="003944CC">
        <w:rPr>
          <w:lang w:val="es-ES"/>
        </w:rPr>
        <w:t xml:space="preserve"> </w:t>
      </w:r>
      <w:r w:rsidRPr="002D4EC8">
        <w:rPr>
          <w:lang w:val="es-ES"/>
        </w:rPr>
        <w:t>El estado estacionario se alcanzó después de 12</w:t>
      </w:r>
      <w:r w:rsidR="00553D9B" w:rsidRPr="00F30AB8">
        <w:rPr>
          <w:iCs/>
          <w:szCs w:val="22"/>
          <w:lang w:val="es-ES"/>
        </w:rPr>
        <w:t> </w:t>
      </w:r>
      <w:r w:rsidRPr="002D4EC8">
        <w:rPr>
          <w:lang w:val="es-ES"/>
        </w:rPr>
        <w:t xml:space="preserve">semanas para </w:t>
      </w:r>
      <w:r>
        <w:rPr>
          <w:lang w:val="es-ES"/>
        </w:rPr>
        <w:t xml:space="preserve">AUC y </w:t>
      </w:r>
      <w:r w:rsidR="00651DAA" w:rsidRPr="008A106B">
        <w:rPr>
          <w:lang w:val="es-ES_tradnl"/>
        </w:rPr>
        <w:t>C</w:t>
      </w:r>
      <w:r w:rsidR="00651DAA" w:rsidRPr="008A106B">
        <w:rPr>
          <w:vertAlign w:val="subscript"/>
          <w:lang w:val="es-ES_tradnl"/>
        </w:rPr>
        <w:t>min</w:t>
      </w:r>
      <w:r>
        <w:rPr>
          <w:lang w:val="es-ES"/>
        </w:rPr>
        <w:t xml:space="preserve">, y después de 10 semanas para </w:t>
      </w:r>
      <w:r w:rsidR="00651DAA" w:rsidRPr="008A106B">
        <w:rPr>
          <w:lang w:val="es-ES_tradnl"/>
        </w:rPr>
        <w:t>C</w:t>
      </w:r>
      <w:r w:rsidR="00651DAA" w:rsidRPr="008A106B">
        <w:rPr>
          <w:vertAlign w:val="subscript"/>
          <w:lang w:val="es-ES_tradnl"/>
        </w:rPr>
        <w:t>max</w:t>
      </w:r>
      <w:r>
        <w:rPr>
          <w:lang w:val="es-ES"/>
        </w:rPr>
        <w:t>.</w:t>
      </w:r>
    </w:p>
    <w:p w14:paraId="5B7A9E56" w14:textId="77777777" w:rsidR="00834462" w:rsidRPr="00286CDE" w:rsidRDefault="00834462" w:rsidP="00834462">
      <w:pPr>
        <w:ind w:left="567" w:hanging="567"/>
        <w:outlineLvl w:val="0"/>
        <w:rPr>
          <w:iCs/>
          <w:lang w:val="es-ES"/>
        </w:rPr>
      </w:pPr>
    </w:p>
    <w:p w14:paraId="0A192B41" w14:textId="77777777" w:rsidR="00651DAA" w:rsidRPr="00F30AB8" w:rsidRDefault="00834462" w:rsidP="00834462">
      <w:pPr>
        <w:ind w:left="567" w:hanging="567"/>
        <w:outlineLvl w:val="0"/>
        <w:rPr>
          <w:i/>
          <w:iCs/>
          <w:u w:val="single"/>
          <w:lang w:val="es-ES_tradnl"/>
        </w:rPr>
      </w:pPr>
      <w:r w:rsidRPr="00F30AB8">
        <w:rPr>
          <w:i/>
          <w:iCs/>
          <w:u w:val="single"/>
          <w:lang w:val="es-ES_tradnl"/>
        </w:rPr>
        <w:t>Absorción</w:t>
      </w:r>
    </w:p>
    <w:p w14:paraId="029D0035" w14:textId="09B40715" w:rsidR="00834462" w:rsidRDefault="00834462" w:rsidP="00C10DA7">
      <w:pPr>
        <w:outlineLvl w:val="0"/>
        <w:rPr>
          <w:iCs/>
          <w:lang w:val="es-ES_tradnl"/>
        </w:rPr>
      </w:pPr>
      <w:r>
        <w:rPr>
          <w:iCs/>
          <w:lang w:val="es-ES_tradnl"/>
        </w:rPr>
        <w:t xml:space="preserve">Después de la </w:t>
      </w:r>
      <w:ins w:id="1333" w:author="AUTHOR">
        <w:r w:rsidR="00ED2F9D" w:rsidRPr="00ED2F9D">
          <w:rPr>
            <w:iCs/>
            <w:lang w:val="es-ES_tradnl"/>
          </w:rPr>
          <w:t>administración</w:t>
        </w:r>
      </w:ins>
      <w:del w:id="1334" w:author="AUTHOR">
        <w:r w:rsidDel="00ED2F9D">
          <w:rPr>
            <w:iCs/>
            <w:lang w:val="es-ES_tradnl"/>
          </w:rPr>
          <w:delText>dosificación</w:delText>
        </w:r>
      </w:del>
      <w:r>
        <w:rPr>
          <w:iCs/>
          <w:lang w:val="es-ES_tradnl"/>
        </w:rPr>
        <w:t xml:space="preserve"> subcutánea en pacientes con AR, </w:t>
      </w:r>
      <w:r w:rsidR="00F80204">
        <w:rPr>
          <w:iCs/>
          <w:lang w:val="es-ES_tradnl"/>
        </w:rPr>
        <w:t xml:space="preserve">el tiempo para alcanzar las concentraciones séricas de </w:t>
      </w:r>
      <w:r w:rsidR="00AC6075">
        <w:rPr>
          <w:iCs/>
          <w:szCs w:val="22"/>
          <w:lang w:val="es-ES"/>
        </w:rPr>
        <w:t>tocilizumab</w:t>
      </w:r>
      <w:ins w:id="1335" w:author="AUTHOR">
        <w:r w:rsidR="00ED2F9D">
          <w:rPr>
            <w:iCs/>
            <w:szCs w:val="22"/>
            <w:lang w:val="es-ES"/>
          </w:rPr>
          <w:t xml:space="preserve"> </w:t>
        </w:r>
      </w:ins>
      <w:r w:rsidRPr="00286CDE">
        <w:rPr>
          <w:iCs/>
          <w:szCs w:val="22"/>
          <w:lang w:val="es-ES" w:eastAsia="de-DE"/>
        </w:rPr>
        <w:t>t</w:t>
      </w:r>
      <w:r w:rsidRPr="00286CDE">
        <w:rPr>
          <w:iCs/>
          <w:szCs w:val="22"/>
          <w:vertAlign w:val="subscript"/>
          <w:lang w:val="es-ES" w:eastAsia="de-DE"/>
        </w:rPr>
        <w:t xml:space="preserve">max </w:t>
      </w:r>
      <w:r>
        <w:rPr>
          <w:iCs/>
          <w:lang w:val="es-ES_tradnl"/>
        </w:rPr>
        <w:t>fue de 2,8</w:t>
      </w:r>
      <w:r w:rsidR="00553D9B" w:rsidRPr="00F30AB8">
        <w:rPr>
          <w:iCs/>
          <w:szCs w:val="22"/>
          <w:lang w:val="es-ES"/>
        </w:rPr>
        <w:t> </w:t>
      </w:r>
      <w:r>
        <w:rPr>
          <w:iCs/>
          <w:lang w:val="es-ES_tradnl"/>
        </w:rPr>
        <w:t>días. La biodisponibilidad para la</w:t>
      </w:r>
      <w:r w:rsidR="005C4DF0">
        <w:rPr>
          <w:iCs/>
          <w:lang w:val="es-ES_tradnl"/>
        </w:rPr>
        <w:t xml:space="preserve"> </w:t>
      </w:r>
      <w:r>
        <w:rPr>
          <w:iCs/>
          <w:lang w:val="es-ES_tradnl"/>
        </w:rPr>
        <w:t>formulación</w:t>
      </w:r>
      <w:r w:rsidR="000E6690">
        <w:rPr>
          <w:iCs/>
          <w:lang w:val="es-ES_tradnl"/>
        </w:rPr>
        <w:t xml:space="preserve"> </w:t>
      </w:r>
      <w:r>
        <w:rPr>
          <w:iCs/>
          <w:lang w:val="es-ES_tradnl"/>
        </w:rPr>
        <w:t xml:space="preserve">subcutánea fue </w:t>
      </w:r>
      <w:r w:rsidR="00272CCF">
        <w:rPr>
          <w:iCs/>
          <w:lang w:val="es-ES_tradnl"/>
        </w:rPr>
        <w:t>79 </w:t>
      </w:r>
      <w:r>
        <w:rPr>
          <w:iCs/>
          <w:lang w:val="es-ES_tradnl"/>
        </w:rPr>
        <w:t>%.</w:t>
      </w:r>
    </w:p>
    <w:p w14:paraId="5C1DAF71" w14:textId="77777777" w:rsidR="00834462" w:rsidRDefault="00834462" w:rsidP="00273B00">
      <w:pPr>
        <w:outlineLvl w:val="0"/>
        <w:rPr>
          <w:iCs/>
          <w:lang w:val="es-ES_tradnl"/>
        </w:rPr>
      </w:pPr>
    </w:p>
    <w:p w14:paraId="79E0791C" w14:textId="77777777" w:rsidR="00834462" w:rsidRDefault="00834462">
      <w:pPr>
        <w:keepNext/>
        <w:keepLines/>
        <w:ind w:left="567" w:hanging="567"/>
        <w:outlineLvl w:val="0"/>
        <w:rPr>
          <w:iCs/>
          <w:u w:val="single"/>
          <w:lang w:val="es-ES_tradnl"/>
        </w:rPr>
        <w:pPrChange w:id="1336" w:author="AUTHOR">
          <w:pPr>
            <w:ind w:left="567" w:hanging="567"/>
            <w:outlineLvl w:val="0"/>
          </w:pPr>
        </w:pPrChange>
      </w:pPr>
      <w:r w:rsidRPr="00286CDE">
        <w:rPr>
          <w:iCs/>
          <w:u w:val="single"/>
          <w:lang w:val="es-ES_tradnl"/>
        </w:rPr>
        <w:t xml:space="preserve">Eliminación </w:t>
      </w:r>
    </w:p>
    <w:p w14:paraId="33933011" w14:textId="505A5352" w:rsidR="00517607" w:rsidRDefault="00834462">
      <w:pPr>
        <w:keepNext/>
        <w:keepLines/>
        <w:outlineLvl w:val="0"/>
        <w:rPr>
          <w:iCs/>
          <w:lang w:val="es-ES"/>
        </w:rPr>
        <w:pPrChange w:id="1337" w:author="AUTHOR">
          <w:pPr>
            <w:outlineLvl w:val="0"/>
          </w:pPr>
        </w:pPrChange>
      </w:pPr>
      <w:r>
        <w:rPr>
          <w:iCs/>
          <w:lang w:val="es-ES_tradnl"/>
        </w:rPr>
        <w:t>Para la administración subcutánea,</w:t>
      </w:r>
      <w:r w:rsidRPr="00625990">
        <w:rPr>
          <w:lang w:val="es-ES_tradnl"/>
        </w:rPr>
        <w:t xml:space="preserve"> </w:t>
      </w:r>
      <w:r w:rsidR="00437CE4">
        <w:rPr>
          <w:lang w:val="es-ES_tradnl"/>
        </w:rPr>
        <w:t>l</w:t>
      </w:r>
      <w:r w:rsidRPr="008A106B">
        <w:rPr>
          <w:lang w:val="es-ES_tradnl"/>
        </w:rPr>
        <w:t>a semivida (t</w:t>
      </w:r>
      <w:r w:rsidRPr="008A106B">
        <w:rPr>
          <w:vertAlign w:val="subscript"/>
          <w:lang w:val="es-ES_tradnl"/>
        </w:rPr>
        <w:t>1/2</w:t>
      </w:r>
      <w:r w:rsidRPr="008A106B">
        <w:rPr>
          <w:lang w:val="es-ES_tradnl"/>
        </w:rPr>
        <w:t xml:space="preserve">) </w:t>
      </w:r>
      <w:ins w:id="1338" w:author="AUTHOR">
        <w:r w:rsidR="00B46D8D">
          <w:rPr>
            <w:lang w:val="es-ES_tradnl"/>
          </w:rPr>
          <w:t xml:space="preserve">aparente dependiente de la concentración </w:t>
        </w:r>
      </w:ins>
      <w:r>
        <w:rPr>
          <w:iCs/>
          <w:lang w:val="es-ES_tradnl"/>
        </w:rPr>
        <w:t xml:space="preserve">es de </w:t>
      </w:r>
      <w:r>
        <w:rPr>
          <w:iCs/>
          <w:lang w:val="es-ES"/>
        </w:rPr>
        <w:t xml:space="preserve">hasta </w:t>
      </w:r>
      <w:r w:rsidR="009F0106">
        <w:rPr>
          <w:iCs/>
          <w:lang w:val="es-ES"/>
        </w:rPr>
        <w:t>13</w:t>
      </w:r>
      <w:r w:rsidR="00553D9B" w:rsidRPr="00F30AB8">
        <w:rPr>
          <w:iCs/>
          <w:szCs w:val="22"/>
          <w:lang w:val="es-ES"/>
        </w:rPr>
        <w:t> </w:t>
      </w:r>
      <w:r>
        <w:rPr>
          <w:iCs/>
          <w:lang w:val="es-ES"/>
        </w:rPr>
        <w:t>días para 162</w:t>
      </w:r>
      <w:r w:rsidR="00B970C1">
        <w:rPr>
          <w:iCs/>
          <w:lang w:val="es-ES"/>
        </w:rPr>
        <w:t> </w:t>
      </w:r>
      <w:r>
        <w:rPr>
          <w:iCs/>
          <w:lang w:val="es-ES"/>
        </w:rPr>
        <w:t>mg cada semana y 5</w:t>
      </w:r>
      <w:r w:rsidR="00553D9B" w:rsidRPr="00F30AB8">
        <w:rPr>
          <w:iCs/>
          <w:szCs w:val="22"/>
          <w:lang w:val="es-ES"/>
        </w:rPr>
        <w:t> </w:t>
      </w:r>
      <w:r>
        <w:rPr>
          <w:iCs/>
          <w:lang w:val="es-ES"/>
        </w:rPr>
        <w:t>días para 162</w:t>
      </w:r>
      <w:r w:rsidR="00B970C1">
        <w:rPr>
          <w:iCs/>
          <w:lang w:val="es-ES"/>
        </w:rPr>
        <w:t> </w:t>
      </w:r>
      <w:r>
        <w:rPr>
          <w:iCs/>
          <w:lang w:val="es-ES"/>
        </w:rPr>
        <w:t>mg cada dos semanas en pacientes c</w:t>
      </w:r>
      <w:r w:rsidR="00273B00">
        <w:rPr>
          <w:iCs/>
          <w:lang w:val="es-ES"/>
        </w:rPr>
        <w:t>on AR en el estado estacionario.</w:t>
      </w:r>
    </w:p>
    <w:p w14:paraId="30A7D09F" w14:textId="77777777" w:rsidR="00E12B5C" w:rsidRDefault="00E12B5C" w:rsidP="006868F5">
      <w:pPr>
        <w:outlineLvl w:val="0"/>
        <w:rPr>
          <w:iCs/>
          <w:lang w:val="es-ES"/>
        </w:rPr>
      </w:pPr>
    </w:p>
    <w:p w14:paraId="7742932B" w14:textId="77777777" w:rsidR="000228E7" w:rsidRPr="00467FFD" w:rsidRDefault="000228E7" w:rsidP="000228E7">
      <w:pPr>
        <w:outlineLvl w:val="0"/>
        <w:rPr>
          <w:ins w:id="1339" w:author="AUTHOR"/>
          <w:u w:val="single"/>
          <w:lang w:val="es-ES"/>
          <w:rPrChange w:id="1340" w:author="AUTHOR">
            <w:rPr>
              <w:ins w:id="1341" w:author="AUTHOR"/>
              <w:i/>
              <w:iCs/>
              <w:lang w:val="es-ES"/>
            </w:rPr>
          </w:rPrChange>
        </w:rPr>
      </w:pPr>
      <w:ins w:id="1342" w:author="AUTHOR">
        <w:r w:rsidRPr="00467FFD">
          <w:rPr>
            <w:u w:val="single"/>
            <w:lang w:val="es-ES"/>
            <w:rPrChange w:id="1343" w:author="AUTHOR">
              <w:rPr>
                <w:i/>
                <w:iCs/>
                <w:lang w:val="es-ES"/>
              </w:rPr>
            </w:rPrChange>
          </w:rPr>
          <w:t>Uso subcutáneo</w:t>
        </w:r>
      </w:ins>
    </w:p>
    <w:p w14:paraId="30FB3270" w14:textId="77777777" w:rsidR="001103E4" w:rsidRPr="00467FFD" w:rsidRDefault="00AC6075" w:rsidP="00F30AB8">
      <w:pPr>
        <w:keepNext/>
        <w:keepLines/>
        <w:outlineLvl w:val="0"/>
        <w:rPr>
          <w:i/>
          <w:lang w:val="es-ES"/>
          <w:rPrChange w:id="1344" w:author="AUTHOR">
            <w:rPr>
              <w:iCs/>
              <w:u w:val="single"/>
              <w:lang w:val="es-ES"/>
            </w:rPr>
          </w:rPrChange>
        </w:rPr>
      </w:pPr>
      <w:r w:rsidRPr="00467FFD">
        <w:rPr>
          <w:i/>
          <w:lang w:val="es-ES"/>
          <w:rPrChange w:id="1345" w:author="AUTHOR">
            <w:rPr>
              <w:iCs/>
              <w:u w:val="single"/>
              <w:lang w:val="es-ES"/>
            </w:rPr>
          </w:rPrChange>
        </w:rPr>
        <w:t>Pacientes</w:t>
      </w:r>
      <w:r w:rsidR="00553D9B" w:rsidRPr="00467FFD">
        <w:rPr>
          <w:i/>
          <w:lang w:val="es-ES"/>
          <w:rPrChange w:id="1346" w:author="AUTHOR">
            <w:rPr>
              <w:iCs/>
              <w:u w:val="single"/>
              <w:lang w:val="es-ES"/>
            </w:rPr>
          </w:rPrChange>
        </w:rPr>
        <w:t xml:space="preserve"> con</w:t>
      </w:r>
      <w:r w:rsidRPr="00467FFD">
        <w:rPr>
          <w:i/>
          <w:lang w:val="es-ES"/>
          <w:rPrChange w:id="1347" w:author="AUTHOR">
            <w:rPr>
              <w:iCs/>
              <w:u w:val="single"/>
              <w:lang w:val="es-ES"/>
            </w:rPr>
          </w:rPrChange>
        </w:rPr>
        <w:t xml:space="preserve"> </w:t>
      </w:r>
      <w:r w:rsidR="001103E4" w:rsidRPr="00467FFD">
        <w:rPr>
          <w:i/>
          <w:lang w:val="es-ES"/>
          <w:rPrChange w:id="1348" w:author="AUTHOR">
            <w:rPr>
              <w:iCs/>
              <w:u w:val="single"/>
              <w:lang w:val="es-ES"/>
            </w:rPr>
          </w:rPrChange>
        </w:rPr>
        <w:t>AIJs</w:t>
      </w:r>
    </w:p>
    <w:p w14:paraId="2FCAC1E3" w14:textId="77777777" w:rsidR="00AC6075" w:rsidRDefault="00AC6075" w:rsidP="00F30AB8">
      <w:pPr>
        <w:keepNext/>
        <w:keepLines/>
        <w:outlineLvl w:val="0"/>
        <w:rPr>
          <w:iCs/>
          <w:u w:val="single"/>
          <w:lang w:val="es-ES"/>
        </w:rPr>
      </w:pPr>
    </w:p>
    <w:p w14:paraId="107CFB15" w14:textId="4529D9DF" w:rsidR="001103E4" w:rsidRPr="00F30AB8" w:rsidDel="000228E7" w:rsidRDefault="001103E4" w:rsidP="001103E4">
      <w:pPr>
        <w:outlineLvl w:val="0"/>
        <w:rPr>
          <w:del w:id="1349" w:author="AUTHOR"/>
          <w:i/>
          <w:iCs/>
          <w:lang w:val="es-ES"/>
        </w:rPr>
      </w:pPr>
      <w:del w:id="1350" w:author="AUTHOR">
        <w:r w:rsidRPr="00F30AB8" w:rsidDel="000228E7">
          <w:rPr>
            <w:i/>
            <w:iCs/>
            <w:lang w:val="es-ES"/>
          </w:rPr>
          <w:delText>Uso subcutáneo</w:delText>
        </w:r>
      </w:del>
    </w:p>
    <w:p w14:paraId="25B91166" w14:textId="551C2652" w:rsidR="001103E4" w:rsidRDefault="001103E4" w:rsidP="001103E4">
      <w:pPr>
        <w:rPr>
          <w:rFonts w:eastAsia="SimSun"/>
          <w:lang w:val="es-ES" w:eastAsia="zh-CN"/>
        </w:rPr>
      </w:pPr>
      <w:r>
        <w:rPr>
          <w:rFonts w:eastAsia="SimSun"/>
          <w:lang w:val="es-ES" w:eastAsia="zh-CN"/>
        </w:rPr>
        <w:t xml:space="preserve">En pacientes con </w:t>
      </w:r>
      <w:r w:rsidRPr="00D367DE">
        <w:rPr>
          <w:rFonts w:eastAsia="SimSun"/>
          <w:lang w:val="es-ES" w:eastAsia="zh-CN"/>
        </w:rPr>
        <w:t>A</w:t>
      </w:r>
      <w:r>
        <w:rPr>
          <w:rFonts w:eastAsia="SimSun"/>
          <w:lang w:val="es-ES" w:eastAsia="zh-CN"/>
        </w:rPr>
        <w:t>IJs</w:t>
      </w:r>
      <w:r w:rsidRPr="00D367DE">
        <w:rPr>
          <w:rFonts w:eastAsia="SimSun"/>
          <w:lang w:val="es-ES" w:eastAsia="zh-CN"/>
        </w:rPr>
        <w:t xml:space="preserve"> </w:t>
      </w:r>
      <w:r>
        <w:rPr>
          <w:rFonts w:eastAsia="SimSun"/>
          <w:lang w:val="es-ES" w:eastAsia="zh-CN"/>
        </w:rPr>
        <w:t>l</w:t>
      </w:r>
      <w:r w:rsidRPr="00D367DE">
        <w:rPr>
          <w:rFonts w:eastAsia="SimSun"/>
          <w:lang w:val="es-ES" w:eastAsia="zh-CN"/>
        </w:rPr>
        <w:t>a farmacocinética d</w:t>
      </w:r>
      <w:r>
        <w:rPr>
          <w:rFonts w:eastAsia="SimSun"/>
          <w:lang w:val="es-ES" w:eastAsia="zh-CN"/>
        </w:rPr>
        <w:t xml:space="preserve">e </w:t>
      </w:r>
      <w:r w:rsidR="00AC6075">
        <w:rPr>
          <w:iCs/>
          <w:szCs w:val="22"/>
          <w:lang w:val="es-ES"/>
        </w:rPr>
        <w:t>tocilizumab</w:t>
      </w:r>
      <w:ins w:id="1351" w:author="AUTHOR">
        <w:r w:rsidR="00ED2F9D">
          <w:rPr>
            <w:iCs/>
            <w:szCs w:val="22"/>
            <w:lang w:val="es-ES"/>
          </w:rPr>
          <w:t xml:space="preserve"> </w:t>
        </w:r>
      </w:ins>
      <w:r>
        <w:rPr>
          <w:rFonts w:eastAsia="SimSun"/>
          <w:lang w:val="es-ES" w:eastAsia="zh-CN"/>
        </w:rPr>
        <w:t>se caracterizó en</w:t>
      </w:r>
      <w:r w:rsidRPr="00D367DE">
        <w:rPr>
          <w:rFonts w:eastAsia="SimSun"/>
          <w:lang w:val="es-ES" w:eastAsia="zh-CN"/>
        </w:rPr>
        <w:t xml:space="preserve"> un análisis farmacociné</w:t>
      </w:r>
      <w:r>
        <w:rPr>
          <w:rFonts w:eastAsia="SimSun"/>
          <w:lang w:val="es-ES" w:eastAsia="zh-CN"/>
        </w:rPr>
        <w:t>tico poblacional que incluyó 140</w:t>
      </w:r>
      <w:r w:rsidR="00553D9B" w:rsidRPr="00F30AB8">
        <w:rPr>
          <w:iCs/>
          <w:szCs w:val="22"/>
          <w:lang w:val="es-ES"/>
        </w:rPr>
        <w:t> </w:t>
      </w:r>
      <w:r w:rsidRPr="00D367DE">
        <w:rPr>
          <w:rFonts w:eastAsia="SimSun"/>
          <w:lang w:val="es-ES" w:eastAsia="zh-CN"/>
        </w:rPr>
        <w:t>pacientes</w:t>
      </w:r>
      <w:r>
        <w:rPr>
          <w:rFonts w:eastAsia="SimSun"/>
          <w:lang w:val="es-ES" w:eastAsia="zh-CN"/>
        </w:rPr>
        <w:t xml:space="preserve"> que fueron tratados con una dosis de 8</w:t>
      </w:r>
      <w:r w:rsidR="00553D9B" w:rsidRPr="00F30AB8">
        <w:rPr>
          <w:iCs/>
          <w:szCs w:val="22"/>
          <w:lang w:val="es-ES"/>
        </w:rPr>
        <w:t>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AC6075">
        <w:rPr>
          <w:rFonts w:eastAsia="SimSun"/>
          <w:lang w:val="es-ES" w:eastAsia="zh-CN"/>
        </w:rPr>
        <w:t>intravenosa</w:t>
      </w:r>
      <w:r>
        <w:rPr>
          <w:rFonts w:eastAsia="SimSun"/>
          <w:lang w:val="es-ES" w:eastAsia="zh-CN"/>
        </w:rPr>
        <w:t xml:space="preserve"> cada 2</w:t>
      </w:r>
      <w:r w:rsidR="00553D9B" w:rsidRPr="00F30AB8">
        <w:rPr>
          <w:iCs/>
          <w:szCs w:val="22"/>
          <w:lang w:val="es-ES"/>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w:t>
      </w:r>
      <w:r>
        <w:rPr>
          <w:rFonts w:eastAsia="SimSun"/>
          <w:lang w:val="es-ES" w:eastAsia="zh-CN"/>
        </w:rPr>
        <w:t>tes con un peso ≥ 30</w:t>
      </w:r>
      <w:r w:rsidR="00553D9B" w:rsidRPr="00F30AB8">
        <w:rPr>
          <w:iCs/>
          <w:szCs w:val="22"/>
          <w:lang w:val="es-ES"/>
        </w:rPr>
        <w:t> </w:t>
      </w:r>
      <w:r>
        <w:rPr>
          <w:rFonts w:eastAsia="SimSun"/>
          <w:lang w:val="es-ES" w:eastAsia="zh-CN"/>
        </w:rPr>
        <w:t>kg), 12</w:t>
      </w:r>
      <w:r w:rsidR="00553D9B" w:rsidRPr="00F30AB8">
        <w:rPr>
          <w:iCs/>
          <w:szCs w:val="22"/>
          <w:lang w:val="es-ES"/>
        </w:rPr>
        <w:t>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AC6075">
        <w:rPr>
          <w:rFonts w:eastAsia="SimSun"/>
          <w:lang w:val="es-ES" w:eastAsia="zh-CN"/>
        </w:rPr>
        <w:t>intravenosa</w:t>
      </w:r>
      <w:r>
        <w:rPr>
          <w:rFonts w:eastAsia="SimSun"/>
          <w:lang w:val="es-ES" w:eastAsia="zh-CN"/>
        </w:rPr>
        <w:t xml:space="preserve"> cada 2</w:t>
      </w:r>
      <w:r w:rsidR="00553D9B" w:rsidRPr="00F30AB8">
        <w:rPr>
          <w:iCs/>
          <w:szCs w:val="22"/>
          <w:lang w:val="es-ES"/>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pacientes con un peso inferior a 30</w:t>
      </w:r>
      <w:r w:rsidR="00553D9B" w:rsidRPr="00F30AB8">
        <w:rPr>
          <w:iCs/>
          <w:szCs w:val="22"/>
          <w:lang w:val="es-ES"/>
        </w:rPr>
        <w:t> </w:t>
      </w:r>
      <w:r w:rsidRPr="00D367DE">
        <w:rPr>
          <w:rFonts w:eastAsia="SimSun"/>
          <w:lang w:val="es-ES" w:eastAsia="zh-CN"/>
        </w:rPr>
        <w:t>kg), 162</w:t>
      </w:r>
      <w:r w:rsidR="00553D9B" w:rsidRPr="00F30AB8">
        <w:rPr>
          <w:iCs/>
          <w:szCs w:val="22"/>
          <w:lang w:val="es-ES"/>
        </w:rPr>
        <w:t> </w:t>
      </w:r>
      <w:r w:rsidRPr="00D367DE">
        <w:rPr>
          <w:rFonts w:eastAsia="SimSun"/>
          <w:lang w:val="es-ES" w:eastAsia="zh-CN"/>
        </w:rPr>
        <w:t xml:space="preserve">mg </w:t>
      </w:r>
      <w:r>
        <w:rPr>
          <w:rFonts w:eastAsia="SimSun"/>
          <w:lang w:val="es-ES" w:eastAsia="zh-CN"/>
        </w:rPr>
        <w:t xml:space="preserve">por vía </w:t>
      </w:r>
      <w:r w:rsidR="00AC6075">
        <w:rPr>
          <w:rFonts w:eastAsia="SimSun"/>
          <w:lang w:val="es-ES" w:eastAsia="zh-CN"/>
        </w:rPr>
        <w:t>subcutánea</w:t>
      </w:r>
      <w:r w:rsidRPr="00D367DE">
        <w:rPr>
          <w:rFonts w:eastAsia="SimSun"/>
          <w:lang w:val="es-ES" w:eastAsia="zh-CN"/>
        </w:rPr>
        <w:t xml:space="preserve"> </w:t>
      </w:r>
      <w:r>
        <w:rPr>
          <w:iCs/>
          <w:lang w:val="es-ES"/>
        </w:rPr>
        <w:t xml:space="preserve">cada semana (pacientes con un peso corporal </w:t>
      </w:r>
      <w:r w:rsidRPr="008A106B">
        <w:rPr>
          <w:iCs/>
          <w:lang w:val="es-ES"/>
        </w:rPr>
        <w:t>≥ 30</w:t>
      </w:r>
      <w:r w:rsidR="00553D9B" w:rsidRPr="00F30AB8">
        <w:rPr>
          <w:iCs/>
          <w:szCs w:val="22"/>
          <w:lang w:val="es-ES"/>
        </w:rPr>
        <w:t> </w:t>
      </w:r>
      <w:r w:rsidRPr="008A106B">
        <w:rPr>
          <w:iCs/>
          <w:lang w:val="es-ES"/>
        </w:rPr>
        <w:t>kg</w:t>
      </w:r>
      <w:r>
        <w:rPr>
          <w:iCs/>
          <w:lang w:val="es-ES"/>
        </w:rPr>
        <w:t>), 162</w:t>
      </w:r>
      <w:r w:rsidR="00553D9B" w:rsidRPr="00F30AB8">
        <w:rPr>
          <w:iCs/>
          <w:szCs w:val="22"/>
          <w:lang w:val="es-ES"/>
        </w:rPr>
        <w:t> </w:t>
      </w:r>
      <w:r>
        <w:rPr>
          <w:iCs/>
          <w:lang w:val="es-ES"/>
        </w:rPr>
        <w:t xml:space="preserve">mg </w:t>
      </w:r>
      <w:r w:rsidR="00553D9B">
        <w:rPr>
          <w:iCs/>
          <w:lang w:val="es-ES"/>
        </w:rPr>
        <w:t xml:space="preserve">vía </w:t>
      </w:r>
      <w:r w:rsidR="00AC6075">
        <w:rPr>
          <w:rFonts w:eastAsia="SimSun"/>
          <w:lang w:val="es-ES" w:eastAsia="zh-CN"/>
        </w:rPr>
        <w:t>subcutánea</w:t>
      </w:r>
      <w:ins w:id="1352" w:author="AUTHOR">
        <w:r w:rsidR="00ED2F9D">
          <w:rPr>
            <w:rFonts w:eastAsia="SimSun"/>
            <w:lang w:val="es-ES" w:eastAsia="zh-CN"/>
          </w:rPr>
          <w:t xml:space="preserve"> </w:t>
        </w:r>
      </w:ins>
      <w:r w:rsidRPr="00D367DE">
        <w:rPr>
          <w:rFonts w:eastAsia="SimSun"/>
          <w:lang w:val="es-ES" w:eastAsia="zh-CN"/>
        </w:rPr>
        <w:t>cada</w:t>
      </w:r>
      <w:r>
        <w:rPr>
          <w:rFonts w:eastAsia="SimSun"/>
          <w:lang w:val="es-ES" w:eastAsia="zh-CN"/>
        </w:rPr>
        <w:t xml:space="preserve"> 10</w:t>
      </w:r>
      <w:r w:rsidR="00553D9B" w:rsidRPr="00F30AB8">
        <w:rPr>
          <w:iCs/>
          <w:szCs w:val="22"/>
          <w:lang w:val="es-ES"/>
        </w:rPr>
        <w:t> </w:t>
      </w:r>
      <w:r>
        <w:rPr>
          <w:rFonts w:eastAsia="SimSun"/>
          <w:lang w:val="es-ES" w:eastAsia="zh-CN"/>
        </w:rPr>
        <w:t>días o cada</w:t>
      </w:r>
      <w:r w:rsidRPr="00D367DE">
        <w:rPr>
          <w:rFonts w:eastAsia="SimSun"/>
          <w:lang w:val="es-ES" w:eastAsia="zh-CN"/>
        </w:rPr>
        <w:t xml:space="preserve"> 2</w:t>
      </w:r>
      <w:r w:rsidR="00553D9B" w:rsidRPr="00F30AB8">
        <w:rPr>
          <w:iCs/>
          <w:szCs w:val="22"/>
          <w:lang w:val="es-ES"/>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 xml:space="preserve">pacientes </w:t>
      </w:r>
      <w:r>
        <w:rPr>
          <w:rFonts w:eastAsia="SimSun"/>
          <w:lang w:val="es-ES" w:eastAsia="zh-CN"/>
        </w:rPr>
        <w:t>con un peso inferior</w:t>
      </w:r>
      <w:r w:rsidRPr="00D367DE">
        <w:rPr>
          <w:rFonts w:eastAsia="SimSun"/>
          <w:lang w:val="es-ES" w:eastAsia="zh-CN"/>
        </w:rPr>
        <w:t xml:space="preserve"> </w:t>
      </w:r>
      <w:r>
        <w:rPr>
          <w:rFonts w:eastAsia="SimSun"/>
          <w:lang w:val="es-ES" w:eastAsia="zh-CN"/>
        </w:rPr>
        <w:t>a</w:t>
      </w:r>
      <w:r w:rsidRPr="00D367DE">
        <w:rPr>
          <w:rFonts w:eastAsia="SimSun"/>
          <w:lang w:val="es-ES" w:eastAsia="zh-CN"/>
        </w:rPr>
        <w:t xml:space="preserve"> 30</w:t>
      </w:r>
      <w:r w:rsidR="00553D9B" w:rsidRPr="00F30AB8">
        <w:rPr>
          <w:iCs/>
          <w:szCs w:val="22"/>
          <w:lang w:val="es-ES"/>
        </w:rPr>
        <w:t> </w:t>
      </w:r>
      <w:r w:rsidRPr="00D367DE">
        <w:rPr>
          <w:rFonts w:eastAsia="SimSun"/>
          <w:lang w:val="es-ES" w:eastAsia="zh-CN"/>
        </w:rPr>
        <w:t>kg).</w:t>
      </w:r>
      <w:r>
        <w:rPr>
          <w:rFonts w:eastAsia="SimSun"/>
          <w:lang w:val="es-ES" w:eastAsia="zh-CN"/>
        </w:rPr>
        <w:t xml:space="preserve"> </w:t>
      </w:r>
    </w:p>
    <w:p w14:paraId="47DD3572" w14:textId="77777777" w:rsidR="00AC6075" w:rsidRDefault="00AC6075" w:rsidP="001103E4">
      <w:pPr>
        <w:rPr>
          <w:rFonts w:eastAsia="SimSun"/>
          <w:lang w:val="es-ES" w:eastAsia="zh-CN"/>
        </w:rPr>
      </w:pPr>
    </w:p>
    <w:p w14:paraId="0C582385" w14:textId="4EA1D510" w:rsidR="001103E4" w:rsidRDefault="001103E4" w:rsidP="001103E4">
      <w:pPr>
        <w:rPr>
          <w:rFonts w:eastAsia="SimSun"/>
          <w:lang w:val="es-ES" w:eastAsia="zh-CN"/>
        </w:rPr>
      </w:pPr>
      <w:r>
        <w:rPr>
          <w:rFonts w:eastAsia="SimSun"/>
          <w:lang w:val="es-ES" w:eastAsia="zh-CN"/>
        </w:rPr>
        <w:t>No se disponen de datos suficientes</w:t>
      </w:r>
      <w:r w:rsidRPr="00D5589A">
        <w:rPr>
          <w:rFonts w:eastAsia="SimSun"/>
          <w:lang w:val="es-ES" w:eastAsia="zh-CN"/>
        </w:rPr>
        <w:t xml:space="preserve"> sobre las exposiciones posteriores a la administración subcutánea de</w:t>
      </w:r>
      <w:r>
        <w:rPr>
          <w:rFonts w:eastAsia="SimSun"/>
          <w:lang w:val="es-ES" w:eastAsia="zh-CN"/>
        </w:rPr>
        <w:t xml:space="preserve"> </w:t>
      </w:r>
      <w:r w:rsidR="00AC6075">
        <w:rPr>
          <w:rFonts w:eastAsia="SimSun"/>
          <w:lang w:val="es-ES" w:eastAsia="zh-CN"/>
        </w:rPr>
        <w:t>tocilizumab</w:t>
      </w:r>
      <w:r>
        <w:rPr>
          <w:rFonts w:eastAsia="SimSun"/>
          <w:lang w:val="es-ES" w:eastAsia="zh-CN"/>
        </w:rPr>
        <w:t xml:space="preserve"> en pacientes con AIJs</w:t>
      </w:r>
      <w:r w:rsidRPr="00D5589A">
        <w:rPr>
          <w:rFonts w:eastAsia="SimSun"/>
          <w:lang w:val="es-ES" w:eastAsia="zh-CN"/>
        </w:rPr>
        <w:t xml:space="preserve"> menores de 2</w:t>
      </w:r>
      <w:r w:rsidR="00553D9B" w:rsidRPr="00F30AB8">
        <w:rPr>
          <w:iCs/>
          <w:szCs w:val="22"/>
          <w:lang w:val="es-ES"/>
        </w:rPr>
        <w:t> </w:t>
      </w:r>
      <w:r w:rsidRPr="00D5589A">
        <w:rPr>
          <w:rFonts w:eastAsia="SimSun"/>
          <w:lang w:val="es-ES" w:eastAsia="zh-CN"/>
        </w:rPr>
        <w:t>años de edad con un peso corporal inferior a 10</w:t>
      </w:r>
      <w:r w:rsidR="00553D9B" w:rsidRPr="00F30AB8">
        <w:rPr>
          <w:iCs/>
          <w:szCs w:val="22"/>
          <w:lang w:val="es-ES"/>
        </w:rPr>
        <w:t> </w:t>
      </w:r>
      <w:r w:rsidRPr="00D5589A">
        <w:rPr>
          <w:rFonts w:eastAsia="SimSun"/>
          <w:lang w:val="es-ES" w:eastAsia="zh-CN"/>
        </w:rPr>
        <w:t xml:space="preserve">kg. Los pacientes </w:t>
      </w:r>
      <w:r>
        <w:rPr>
          <w:rFonts w:eastAsia="SimSun"/>
          <w:lang w:val="es-ES" w:eastAsia="zh-CN"/>
        </w:rPr>
        <w:t xml:space="preserve">con AIJs </w:t>
      </w:r>
      <w:r w:rsidRPr="00D5589A">
        <w:rPr>
          <w:rFonts w:eastAsia="SimSun"/>
          <w:lang w:val="es-ES" w:eastAsia="zh-CN"/>
        </w:rPr>
        <w:t>deben tener un peso corporal mínimo de 10</w:t>
      </w:r>
      <w:r w:rsidR="00553D9B" w:rsidRPr="00F30AB8">
        <w:rPr>
          <w:iCs/>
          <w:szCs w:val="22"/>
          <w:lang w:val="es-ES"/>
        </w:rPr>
        <w:t> </w:t>
      </w:r>
      <w:r w:rsidRPr="00D5589A">
        <w:rPr>
          <w:rFonts w:eastAsia="SimSun"/>
          <w:lang w:val="es-ES" w:eastAsia="zh-CN"/>
        </w:rPr>
        <w:t xml:space="preserve">kg cuando reciben </w:t>
      </w:r>
      <w:r w:rsidR="00AC6075">
        <w:rPr>
          <w:rFonts w:eastAsia="SimSun"/>
          <w:lang w:val="es-ES" w:eastAsia="zh-CN"/>
        </w:rPr>
        <w:t>tocilizumab</w:t>
      </w:r>
      <w:r>
        <w:rPr>
          <w:rFonts w:eastAsia="SimSun"/>
          <w:lang w:val="es-ES" w:eastAsia="zh-CN"/>
        </w:rPr>
        <w:t xml:space="preserve"> subcutáne</w:t>
      </w:r>
      <w:r w:rsidR="00553D9B">
        <w:rPr>
          <w:rFonts w:eastAsia="SimSun"/>
          <w:lang w:val="es-ES" w:eastAsia="zh-CN"/>
        </w:rPr>
        <w:t>o</w:t>
      </w:r>
      <w:r w:rsidRPr="00D5589A">
        <w:rPr>
          <w:rFonts w:eastAsia="SimSun"/>
          <w:lang w:val="es-ES" w:eastAsia="zh-CN"/>
        </w:rPr>
        <w:t xml:space="preserve"> (ver sección</w:t>
      </w:r>
      <w:r w:rsidR="00553D9B" w:rsidRPr="00F30AB8">
        <w:rPr>
          <w:iCs/>
          <w:szCs w:val="22"/>
          <w:lang w:val="es-ES"/>
        </w:rPr>
        <w:t> </w:t>
      </w:r>
      <w:r w:rsidRPr="00D5589A">
        <w:rPr>
          <w:rFonts w:eastAsia="SimSun"/>
          <w:lang w:val="es-ES" w:eastAsia="zh-CN"/>
        </w:rPr>
        <w:t>4.2).</w:t>
      </w:r>
    </w:p>
    <w:p w14:paraId="2C575546" w14:textId="77777777" w:rsidR="001103E4" w:rsidRDefault="001103E4" w:rsidP="001103E4">
      <w:pPr>
        <w:rPr>
          <w:rFonts w:eastAsia="SimSun"/>
          <w:lang w:val="es-ES" w:eastAsia="zh-CN"/>
        </w:rPr>
      </w:pPr>
    </w:p>
    <w:p w14:paraId="2D6F1B7F" w14:textId="3177AD64" w:rsidR="001103E4" w:rsidRDefault="001103E4" w:rsidP="001103E4">
      <w:pPr>
        <w:keepNext/>
        <w:keepLines/>
        <w:numPr>
          <w:ilvl w:val="12"/>
          <w:numId w:val="0"/>
        </w:numPr>
        <w:ind w:right="-2"/>
        <w:rPr>
          <w:bCs/>
          <w:i/>
          <w:szCs w:val="22"/>
          <w:lang w:val="es-ES"/>
        </w:rPr>
      </w:pPr>
      <w:r w:rsidRPr="000D2A86">
        <w:rPr>
          <w:bCs/>
          <w:i/>
          <w:szCs w:val="22"/>
          <w:lang w:val="es-ES"/>
        </w:rPr>
        <w:lastRenderedPageBreak/>
        <w:t>Tabla 8</w:t>
      </w:r>
      <w:r w:rsidRPr="003B58FB">
        <w:rPr>
          <w:bCs/>
          <w:i/>
          <w:szCs w:val="22"/>
          <w:lang w:val="es-ES"/>
        </w:rPr>
        <w:t xml:space="preserve">. Valores medios previstos ± DE de los parámetros </w:t>
      </w:r>
      <w:r>
        <w:rPr>
          <w:bCs/>
          <w:i/>
          <w:szCs w:val="22"/>
          <w:lang w:val="es-ES"/>
        </w:rPr>
        <w:t>PK</w:t>
      </w:r>
      <w:r w:rsidRPr="003B58FB">
        <w:rPr>
          <w:bCs/>
          <w:i/>
          <w:szCs w:val="22"/>
          <w:lang w:val="es-ES"/>
        </w:rPr>
        <w:t xml:space="preserve"> en estado estacionario después de la administración de la dosis </w:t>
      </w:r>
      <w:r w:rsidR="00AC6075">
        <w:rPr>
          <w:bCs/>
          <w:i/>
          <w:szCs w:val="22"/>
          <w:lang w:val="es-ES"/>
        </w:rPr>
        <w:t>subcutánea</w:t>
      </w:r>
      <w:r w:rsidRPr="003B58FB">
        <w:rPr>
          <w:bCs/>
          <w:i/>
          <w:szCs w:val="22"/>
          <w:lang w:val="es-ES"/>
        </w:rPr>
        <w:t xml:space="preserve"> en pacientes con AIJ</w:t>
      </w:r>
      <w:r>
        <w:rPr>
          <w:bCs/>
          <w:i/>
          <w:szCs w:val="22"/>
          <w:lang w:val="es-ES"/>
        </w:rPr>
        <w:t>s</w:t>
      </w:r>
    </w:p>
    <w:p w14:paraId="1A7EB267" w14:textId="77777777" w:rsidR="000F0DA6" w:rsidRPr="000D2A86" w:rsidRDefault="000F0DA6" w:rsidP="001103E4">
      <w:pPr>
        <w:keepNext/>
        <w:keepLines/>
        <w:numPr>
          <w:ilvl w:val="12"/>
          <w:numId w:val="0"/>
        </w:numPr>
        <w:ind w:right="-2"/>
        <w:rPr>
          <w:bCs/>
          <w:i/>
          <w:szCs w:val="22"/>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1103E4" w:rsidRPr="003B58FB" w14:paraId="45275CCF" w14:textId="77777777" w:rsidTr="00496144">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098ED60A" w14:textId="5743A25A" w:rsidR="001103E4" w:rsidRPr="003B58FB" w:rsidRDefault="001103E4" w:rsidP="00496144">
            <w:pPr>
              <w:keepNext/>
              <w:spacing w:after="120"/>
              <w:rPr>
                <w:sz w:val="20"/>
                <w:lang w:eastAsia="zh-TW"/>
              </w:rPr>
            </w:pPr>
            <w:r w:rsidRPr="00457985">
              <w:rPr>
                <w:b/>
                <w:sz w:val="20"/>
              </w:rPr>
              <w:t xml:space="preserve">Parámetros </w:t>
            </w:r>
            <w:r>
              <w:rPr>
                <w:b/>
                <w:sz w:val="20"/>
              </w:rPr>
              <w:t>PK</w:t>
            </w:r>
            <w:r w:rsidRPr="00457985">
              <w:rPr>
                <w:b/>
                <w:sz w:val="20"/>
              </w:rPr>
              <w:t xml:space="preserve"> de </w:t>
            </w:r>
            <w:r w:rsidR="003563F3">
              <w:rPr>
                <w:b/>
                <w:sz w:val="20"/>
              </w:rPr>
              <w:t>Tocilizumab</w:t>
            </w:r>
          </w:p>
        </w:tc>
        <w:tc>
          <w:tcPr>
            <w:tcW w:w="2977" w:type="dxa"/>
            <w:tcBorders>
              <w:top w:val="single" w:sz="4" w:space="0" w:color="auto"/>
              <w:left w:val="single" w:sz="4" w:space="0" w:color="auto"/>
              <w:bottom w:val="single" w:sz="4" w:space="0" w:color="auto"/>
              <w:right w:val="single" w:sz="4" w:space="0" w:color="auto"/>
            </w:tcBorders>
            <w:hideMark/>
          </w:tcPr>
          <w:p w14:paraId="47B5EF16" w14:textId="58B84C68" w:rsidR="001103E4" w:rsidRPr="003B58FB" w:rsidRDefault="001103E4" w:rsidP="00496144">
            <w:pPr>
              <w:keepNext/>
              <w:spacing w:after="120"/>
              <w:jc w:val="center"/>
              <w:rPr>
                <w:b/>
                <w:sz w:val="20"/>
                <w:lang w:eastAsia="zh-TW"/>
              </w:rPr>
            </w:pPr>
            <w:r w:rsidRPr="003B58FB">
              <w:rPr>
                <w:b/>
                <w:sz w:val="20"/>
                <w:lang w:eastAsia="zh-TW"/>
              </w:rPr>
              <w:t>162</w:t>
            </w:r>
            <w:r w:rsidR="003532C2" w:rsidRPr="00F30AB8">
              <w:rPr>
                <w:b/>
                <w:sz w:val="18"/>
                <w:szCs w:val="18"/>
                <w:lang w:val="en-GB"/>
              </w:rPr>
              <w:t> </w:t>
            </w:r>
            <w:r w:rsidRPr="003B58FB">
              <w:rPr>
                <w:b/>
                <w:sz w:val="20"/>
                <w:lang w:eastAsia="zh-TW"/>
              </w:rPr>
              <w:t>mg QW ≥ 30 kg</w:t>
            </w:r>
          </w:p>
        </w:tc>
        <w:tc>
          <w:tcPr>
            <w:tcW w:w="2977" w:type="dxa"/>
            <w:tcBorders>
              <w:top w:val="single" w:sz="4" w:space="0" w:color="auto"/>
              <w:left w:val="single" w:sz="4" w:space="0" w:color="auto"/>
              <w:bottom w:val="single" w:sz="4" w:space="0" w:color="auto"/>
              <w:right w:val="single" w:sz="4" w:space="0" w:color="auto"/>
            </w:tcBorders>
            <w:hideMark/>
          </w:tcPr>
          <w:p w14:paraId="29A1F456" w14:textId="31581955" w:rsidR="001103E4" w:rsidRPr="003B58FB" w:rsidRDefault="001103E4" w:rsidP="00496144">
            <w:pPr>
              <w:keepNext/>
              <w:spacing w:after="120"/>
              <w:jc w:val="center"/>
              <w:rPr>
                <w:b/>
                <w:sz w:val="20"/>
                <w:lang w:eastAsia="zh-TW"/>
              </w:rPr>
            </w:pPr>
            <w:r w:rsidRPr="003B58FB">
              <w:rPr>
                <w:b/>
                <w:sz w:val="20"/>
                <w:lang w:eastAsia="zh-TW"/>
              </w:rPr>
              <w:t>162</w:t>
            </w:r>
            <w:r w:rsidR="003532C2" w:rsidRPr="00F30AB8">
              <w:rPr>
                <w:b/>
                <w:sz w:val="18"/>
                <w:szCs w:val="18"/>
                <w:lang w:val="en-GB"/>
              </w:rPr>
              <w:t> </w:t>
            </w:r>
            <w:r w:rsidRPr="003B58FB">
              <w:rPr>
                <w:b/>
                <w:sz w:val="20"/>
                <w:lang w:eastAsia="zh-TW"/>
              </w:rPr>
              <w:t xml:space="preserve">mg Q2W </w:t>
            </w:r>
            <w:r>
              <w:rPr>
                <w:b/>
                <w:sz w:val="20"/>
                <w:lang w:eastAsia="zh-TW"/>
              </w:rPr>
              <w:t>inferior a</w:t>
            </w:r>
            <w:r w:rsidRPr="003B58FB">
              <w:rPr>
                <w:b/>
                <w:sz w:val="20"/>
                <w:lang w:eastAsia="zh-TW"/>
              </w:rPr>
              <w:t xml:space="preserve"> 30 kg</w:t>
            </w:r>
          </w:p>
        </w:tc>
      </w:tr>
      <w:tr w:rsidR="001103E4" w:rsidRPr="003B58FB" w14:paraId="18DA0FE3" w14:textId="77777777" w:rsidTr="00496144">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12205BAD" w14:textId="77777777" w:rsidR="001103E4" w:rsidRPr="003B58FB" w:rsidRDefault="001103E4" w:rsidP="00496144">
            <w:pPr>
              <w:keepNext/>
              <w:spacing w:after="120"/>
              <w:rPr>
                <w:sz w:val="20"/>
                <w:lang w:eastAsia="zh-TW"/>
              </w:rPr>
            </w:pPr>
            <w:r w:rsidRPr="003B58FB">
              <w:rPr>
                <w:sz w:val="20"/>
                <w:lang w:eastAsia="zh-TW"/>
              </w:rPr>
              <w:t>C</w:t>
            </w:r>
            <w:r w:rsidRPr="003B58FB">
              <w:rPr>
                <w:sz w:val="20"/>
                <w:vertAlign w:val="subscript"/>
                <w:lang w:eastAsia="zh-TW"/>
              </w:rPr>
              <w:t>max</w:t>
            </w:r>
            <w:r w:rsidRPr="003B58FB">
              <w:rPr>
                <w:sz w:val="20"/>
                <w:lang w:eastAsia="zh-TW"/>
              </w:rPr>
              <w:t xml:space="preserve"> (µg/m</w:t>
            </w:r>
            <w:r>
              <w:rPr>
                <w:sz w:val="20"/>
                <w:lang w:eastAsia="zh-TW"/>
              </w:rPr>
              <w:t>l</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hideMark/>
          </w:tcPr>
          <w:p w14:paraId="7E69B397" w14:textId="77777777" w:rsidR="001103E4" w:rsidRPr="003B58FB" w:rsidRDefault="001103E4" w:rsidP="00496144">
            <w:pPr>
              <w:keepNext/>
              <w:spacing w:after="120"/>
              <w:jc w:val="center"/>
              <w:rPr>
                <w:sz w:val="20"/>
                <w:lang w:eastAsia="zh-TW"/>
              </w:rPr>
            </w:pPr>
            <w:r w:rsidRPr="003B58FB">
              <w:rPr>
                <w:sz w:val="20"/>
                <w:lang w:val="en-GB" w:eastAsia="zh-TW"/>
              </w:rPr>
              <w:t>99</w:t>
            </w:r>
            <w:r>
              <w:rPr>
                <w:sz w:val="20"/>
                <w:lang w:val="en-GB" w:eastAsia="zh-TW"/>
              </w:rPr>
              <w:t>,</w:t>
            </w:r>
            <w:r w:rsidRPr="003B58FB">
              <w:rPr>
                <w:sz w:val="20"/>
                <w:lang w:val="en-GB" w:eastAsia="zh-TW"/>
              </w:rPr>
              <w:t>8 ± 46</w:t>
            </w:r>
            <w:r>
              <w:rPr>
                <w:sz w:val="20"/>
                <w:lang w:val="en-GB" w:eastAsia="zh-TW"/>
              </w:rPr>
              <w:t>,</w:t>
            </w:r>
            <w:r w:rsidRPr="003B58FB">
              <w:rPr>
                <w:sz w:val="20"/>
                <w:lang w:val="en-GB" w:eastAsia="zh-TW"/>
              </w:rPr>
              <w:t>2</w:t>
            </w:r>
          </w:p>
        </w:tc>
        <w:tc>
          <w:tcPr>
            <w:tcW w:w="2977" w:type="dxa"/>
            <w:tcBorders>
              <w:top w:val="single" w:sz="4" w:space="0" w:color="auto"/>
              <w:left w:val="single" w:sz="4" w:space="0" w:color="auto"/>
              <w:bottom w:val="single" w:sz="4" w:space="0" w:color="auto"/>
              <w:right w:val="single" w:sz="4" w:space="0" w:color="auto"/>
            </w:tcBorders>
            <w:hideMark/>
          </w:tcPr>
          <w:p w14:paraId="381BAD74" w14:textId="77777777" w:rsidR="001103E4" w:rsidRPr="003B58FB" w:rsidRDefault="001103E4" w:rsidP="00496144">
            <w:pPr>
              <w:keepNext/>
              <w:spacing w:after="120"/>
              <w:jc w:val="center"/>
              <w:rPr>
                <w:sz w:val="20"/>
                <w:lang w:eastAsia="zh-TW"/>
              </w:rPr>
            </w:pPr>
            <w:r w:rsidRPr="003B58FB">
              <w:rPr>
                <w:sz w:val="20"/>
                <w:lang w:val="en-GB" w:eastAsia="zh-TW"/>
              </w:rPr>
              <w:t>134 ± 58</w:t>
            </w:r>
            <w:r>
              <w:rPr>
                <w:sz w:val="20"/>
                <w:lang w:val="en-GB" w:eastAsia="zh-TW"/>
              </w:rPr>
              <w:t>,</w:t>
            </w:r>
            <w:r w:rsidRPr="003B58FB">
              <w:rPr>
                <w:sz w:val="20"/>
                <w:lang w:val="en-GB" w:eastAsia="zh-TW"/>
              </w:rPr>
              <w:t>6</w:t>
            </w:r>
          </w:p>
        </w:tc>
      </w:tr>
      <w:tr w:rsidR="001103E4" w:rsidRPr="003B58FB" w14:paraId="0AF74307" w14:textId="77777777" w:rsidTr="00496144">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00A03BA7" w14:textId="77777777" w:rsidR="001103E4" w:rsidRPr="003B58FB" w:rsidRDefault="001103E4" w:rsidP="00496144">
            <w:pPr>
              <w:keepNext/>
              <w:spacing w:after="120"/>
              <w:rPr>
                <w:sz w:val="20"/>
                <w:lang w:eastAsia="zh-TW"/>
              </w:rPr>
            </w:pPr>
            <w:r w:rsidRPr="003B58FB">
              <w:rPr>
                <w:sz w:val="20"/>
                <w:lang w:eastAsia="zh-TW"/>
              </w:rPr>
              <w:t>C</w:t>
            </w:r>
            <w:r w:rsidRPr="003B58FB">
              <w:rPr>
                <w:sz w:val="20"/>
                <w:vertAlign w:val="subscript"/>
                <w:lang w:eastAsia="zh-TW"/>
              </w:rPr>
              <w:t>min</w:t>
            </w:r>
            <w:r w:rsidRPr="003B58FB">
              <w:rPr>
                <w:sz w:val="20"/>
                <w:lang w:eastAsia="zh-TW"/>
              </w:rPr>
              <w:t xml:space="preserve"> (µg/m</w:t>
            </w:r>
            <w:r>
              <w:rPr>
                <w:sz w:val="20"/>
                <w:lang w:eastAsia="zh-TW"/>
              </w:rPr>
              <w:t>l</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hideMark/>
          </w:tcPr>
          <w:p w14:paraId="1E1D3463" w14:textId="77777777" w:rsidR="001103E4" w:rsidRPr="003B58FB" w:rsidRDefault="001103E4" w:rsidP="00496144">
            <w:pPr>
              <w:keepNext/>
              <w:spacing w:after="120"/>
              <w:jc w:val="center"/>
              <w:rPr>
                <w:sz w:val="20"/>
                <w:lang w:eastAsia="zh-TW"/>
              </w:rPr>
            </w:pPr>
            <w:r w:rsidRPr="003B58FB">
              <w:rPr>
                <w:sz w:val="20"/>
                <w:lang w:val="en-GB" w:eastAsia="zh-TW"/>
              </w:rPr>
              <w:t>79</w:t>
            </w:r>
            <w:r>
              <w:rPr>
                <w:sz w:val="20"/>
                <w:lang w:val="en-GB" w:eastAsia="zh-TW"/>
              </w:rPr>
              <w:t>,</w:t>
            </w:r>
            <w:r w:rsidRPr="003B58FB">
              <w:rPr>
                <w:sz w:val="20"/>
                <w:lang w:val="en-GB" w:eastAsia="zh-TW"/>
              </w:rPr>
              <w:t>2 ± 35</w:t>
            </w:r>
            <w:r>
              <w:rPr>
                <w:sz w:val="20"/>
                <w:lang w:val="en-GB" w:eastAsia="zh-TW"/>
              </w:rPr>
              <w:t>,</w:t>
            </w:r>
            <w:r w:rsidRPr="003B58FB">
              <w:rPr>
                <w:sz w:val="20"/>
                <w:lang w:val="en-GB" w:eastAsia="zh-TW"/>
              </w:rPr>
              <w:t>6</w:t>
            </w:r>
          </w:p>
        </w:tc>
        <w:tc>
          <w:tcPr>
            <w:tcW w:w="2977" w:type="dxa"/>
            <w:tcBorders>
              <w:top w:val="single" w:sz="4" w:space="0" w:color="auto"/>
              <w:left w:val="single" w:sz="4" w:space="0" w:color="auto"/>
              <w:bottom w:val="single" w:sz="4" w:space="0" w:color="auto"/>
              <w:right w:val="single" w:sz="4" w:space="0" w:color="auto"/>
            </w:tcBorders>
            <w:hideMark/>
          </w:tcPr>
          <w:p w14:paraId="616F6EB7" w14:textId="77777777" w:rsidR="001103E4" w:rsidRPr="003B58FB" w:rsidRDefault="001103E4" w:rsidP="00496144">
            <w:pPr>
              <w:keepNext/>
              <w:spacing w:after="120"/>
              <w:jc w:val="center"/>
              <w:rPr>
                <w:sz w:val="20"/>
                <w:lang w:eastAsia="zh-TW"/>
              </w:rPr>
            </w:pPr>
            <w:r w:rsidRPr="003B58FB">
              <w:rPr>
                <w:sz w:val="20"/>
                <w:lang w:val="fr-FR" w:eastAsia="zh-TW"/>
              </w:rPr>
              <w:t>65</w:t>
            </w:r>
            <w:r>
              <w:rPr>
                <w:sz w:val="20"/>
                <w:lang w:val="fr-FR" w:eastAsia="zh-TW"/>
              </w:rPr>
              <w:t>,</w:t>
            </w:r>
            <w:r w:rsidRPr="003B58FB">
              <w:rPr>
                <w:sz w:val="20"/>
                <w:lang w:val="fr-FR" w:eastAsia="zh-TW"/>
              </w:rPr>
              <w:t>9 ± 31</w:t>
            </w:r>
            <w:r>
              <w:rPr>
                <w:sz w:val="20"/>
                <w:lang w:val="fr-FR" w:eastAsia="zh-TW"/>
              </w:rPr>
              <w:t>,</w:t>
            </w:r>
            <w:r w:rsidRPr="003B58FB">
              <w:rPr>
                <w:sz w:val="20"/>
                <w:lang w:val="fr-FR" w:eastAsia="zh-TW"/>
              </w:rPr>
              <w:t>3</w:t>
            </w:r>
          </w:p>
        </w:tc>
      </w:tr>
      <w:tr w:rsidR="001103E4" w:rsidRPr="003B58FB" w14:paraId="0392FF46" w14:textId="77777777" w:rsidTr="00496144">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4AD32BEC" w14:textId="77777777" w:rsidR="001103E4" w:rsidRPr="003B58FB" w:rsidRDefault="001103E4" w:rsidP="00496144">
            <w:pPr>
              <w:keepNext/>
              <w:spacing w:after="120"/>
              <w:rPr>
                <w:sz w:val="20"/>
                <w:lang w:eastAsia="zh-TW"/>
              </w:rPr>
            </w:pPr>
            <w:r w:rsidRPr="003B58FB">
              <w:rPr>
                <w:sz w:val="20"/>
                <w:lang w:eastAsia="zh-TW"/>
              </w:rPr>
              <w:t>C</w:t>
            </w:r>
            <w:r>
              <w:rPr>
                <w:sz w:val="20"/>
                <w:vertAlign w:val="subscript"/>
                <w:lang w:eastAsia="zh-TW"/>
              </w:rPr>
              <w:t>media</w:t>
            </w:r>
            <w:r w:rsidRPr="003B58FB">
              <w:rPr>
                <w:sz w:val="20"/>
                <w:lang w:eastAsia="zh-TW"/>
              </w:rPr>
              <w:t xml:space="preserve"> (µg/m</w:t>
            </w:r>
            <w:r>
              <w:rPr>
                <w:sz w:val="20"/>
                <w:lang w:eastAsia="zh-TW"/>
              </w:rPr>
              <w:t>l</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hideMark/>
          </w:tcPr>
          <w:p w14:paraId="2248E869" w14:textId="77777777" w:rsidR="001103E4" w:rsidRPr="003B58FB" w:rsidRDefault="001103E4" w:rsidP="00496144">
            <w:pPr>
              <w:keepNext/>
              <w:spacing w:after="120"/>
              <w:jc w:val="center"/>
              <w:rPr>
                <w:sz w:val="20"/>
                <w:lang w:eastAsia="zh-TW"/>
              </w:rPr>
            </w:pPr>
            <w:r w:rsidRPr="003B58FB">
              <w:rPr>
                <w:sz w:val="20"/>
                <w:lang w:val="fr-FR" w:eastAsia="zh-TW"/>
              </w:rPr>
              <w:t>91</w:t>
            </w:r>
            <w:r>
              <w:rPr>
                <w:sz w:val="20"/>
                <w:lang w:val="fr-FR" w:eastAsia="zh-TW"/>
              </w:rPr>
              <w:t>,</w:t>
            </w:r>
            <w:r w:rsidRPr="003B58FB">
              <w:rPr>
                <w:sz w:val="20"/>
                <w:lang w:val="fr-FR" w:eastAsia="zh-TW"/>
              </w:rPr>
              <w:t>3 ± 40</w:t>
            </w:r>
            <w:r>
              <w:rPr>
                <w:sz w:val="20"/>
                <w:lang w:val="fr-FR" w:eastAsia="zh-TW"/>
              </w:rPr>
              <w:t>,</w:t>
            </w:r>
            <w:r w:rsidRPr="003B58FB">
              <w:rPr>
                <w:sz w:val="20"/>
                <w:lang w:val="fr-FR" w:eastAsia="zh-TW"/>
              </w:rPr>
              <w:t>4</w:t>
            </w:r>
          </w:p>
        </w:tc>
        <w:tc>
          <w:tcPr>
            <w:tcW w:w="2977" w:type="dxa"/>
            <w:tcBorders>
              <w:top w:val="single" w:sz="4" w:space="0" w:color="auto"/>
              <w:left w:val="single" w:sz="4" w:space="0" w:color="auto"/>
              <w:bottom w:val="single" w:sz="4" w:space="0" w:color="auto"/>
              <w:right w:val="single" w:sz="4" w:space="0" w:color="auto"/>
            </w:tcBorders>
            <w:hideMark/>
          </w:tcPr>
          <w:p w14:paraId="6208B84B" w14:textId="77777777" w:rsidR="001103E4" w:rsidRPr="003B58FB" w:rsidRDefault="001103E4" w:rsidP="00496144">
            <w:pPr>
              <w:keepNext/>
              <w:spacing w:after="120"/>
              <w:jc w:val="center"/>
              <w:rPr>
                <w:sz w:val="20"/>
                <w:lang w:eastAsia="zh-TW"/>
              </w:rPr>
            </w:pPr>
            <w:r w:rsidRPr="003B58FB">
              <w:rPr>
                <w:sz w:val="20"/>
                <w:lang w:val="fr-FR" w:eastAsia="zh-TW"/>
              </w:rPr>
              <w:t>101 ± 43</w:t>
            </w:r>
            <w:r>
              <w:rPr>
                <w:sz w:val="20"/>
                <w:lang w:val="fr-FR" w:eastAsia="zh-TW"/>
              </w:rPr>
              <w:t>,</w:t>
            </w:r>
            <w:r w:rsidRPr="003B58FB">
              <w:rPr>
                <w:sz w:val="20"/>
                <w:lang w:val="fr-FR" w:eastAsia="zh-TW"/>
              </w:rPr>
              <w:t>2</w:t>
            </w:r>
          </w:p>
        </w:tc>
      </w:tr>
      <w:tr w:rsidR="001103E4" w:rsidRPr="003B58FB" w14:paraId="3EF1115D" w14:textId="77777777" w:rsidTr="00496144">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3957D4BB" w14:textId="77777777" w:rsidR="001103E4" w:rsidRPr="003B58FB" w:rsidRDefault="001103E4" w:rsidP="00496144">
            <w:pPr>
              <w:keepNext/>
              <w:spacing w:after="120"/>
              <w:rPr>
                <w:sz w:val="20"/>
                <w:lang w:eastAsia="zh-TW"/>
              </w:rPr>
            </w:pPr>
            <w:r w:rsidRPr="003B58FB">
              <w:rPr>
                <w:sz w:val="20"/>
                <w:lang w:eastAsia="zh-TW"/>
              </w:rPr>
              <w:t>C</w:t>
            </w:r>
            <w:r w:rsidRPr="003B58FB">
              <w:rPr>
                <w:sz w:val="20"/>
                <w:vertAlign w:val="subscript"/>
                <w:lang w:eastAsia="zh-TW"/>
              </w:rPr>
              <w:t>max</w:t>
            </w:r>
            <w:r>
              <w:rPr>
                <w:sz w:val="20"/>
                <w:vertAlign w:val="subscript"/>
                <w:lang w:eastAsia="zh-TW"/>
              </w:rPr>
              <w:t xml:space="preserve">  </w:t>
            </w:r>
            <w:r>
              <w:rPr>
                <w:sz w:val="20"/>
                <w:lang w:eastAsia="zh-TW"/>
              </w:rPr>
              <w:t>Acumulada</w:t>
            </w:r>
          </w:p>
        </w:tc>
        <w:tc>
          <w:tcPr>
            <w:tcW w:w="2977" w:type="dxa"/>
            <w:tcBorders>
              <w:top w:val="single" w:sz="4" w:space="0" w:color="auto"/>
              <w:left w:val="single" w:sz="4" w:space="0" w:color="auto"/>
              <w:bottom w:val="single" w:sz="4" w:space="0" w:color="auto"/>
              <w:right w:val="single" w:sz="4" w:space="0" w:color="auto"/>
            </w:tcBorders>
          </w:tcPr>
          <w:p w14:paraId="7988DB87" w14:textId="77777777" w:rsidR="001103E4" w:rsidRPr="003B58FB" w:rsidRDefault="001103E4" w:rsidP="00496144">
            <w:pPr>
              <w:keepNext/>
              <w:spacing w:after="120"/>
              <w:jc w:val="center"/>
              <w:rPr>
                <w:sz w:val="20"/>
                <w:lang w:eastAsia="zh-TW"/>
              </w:rPr>
            </w:pPr>
            <w:r w:rsidRPr="003B58FB">
              <w:rPr>
                <w:sz w:val="20"/>
                <w:lang w:val="fr-FR" w:eastAsia="zh-TW"/>
              </w:rPr>
              <w:t>3</w:t>
            </w:r>
            <w:r>
              <w:rPr>
                <w:sz w:val="20"/>
                <w:lang w:val="fr-FR" w:eastAsia="zh-TW"/>
              </w:rPr>
              <w:t>,</w:t>
            </w:r>
            <w:r w:rsidRPr="003B58FB">
              <w:rPr>
                <w:sz w:val="20"/>
                <w:lang w:val="fr-FR" w:eastAsia="zh-TW"/>
              </w:rPr>
              <w:t>66</w:t>
            </w:r>
          </w:p>
        </w:tc>
        <w:tc>
          <w:tcPr>
            <w:tcW w:w="2977" w:type="dxa"/>
            <w:tcBorders>
              <w:top w:val="single" w:sz="4" w:space="0" w:color="auto"/>
              <w:left w:val="single" w:sz="4" w:space="0" w:color="auto"/>
              <w:bottom w:val="single" w:sz="4" w:space="0" w:color="auto"/>
              <w:right w:val="single" w:sz="4" w:space="0" w:color="auto"/>
            </w:tcBorders>
          </w:tcPr>
          <w:p w14:paraId="125AC2D5" w14:textId="77777777" w:rsidR="001103E4" w:rsidRPr="003B58FB" w:rsidRDefault="001103E4" w:rsidP="00496144">
            <w:pPr>
              <w:keepNext/>
              <w:spacing w:after="120"/>
              <w:jc w:val="center"/>
              <w:rPr>
                <w:sz w:val="20"/>
                <w:lang w:eastAsia="zh-TW"/>
              </w:rPr>
            </w:pPr>
            <w:r w:rsidRPr="003B58FB">
              <w:rPr>
                <w:sz w:val="20"/>
                <w:lang w:val="fr-FR" w:eastAsia="zh-TW"/>
              </w:rPr>
              <w:t>1</w:t>
            </w:r>
            <w:r>
              <w:rPr>
                <w:sz w:val="20"/>
                <w:lang w:val="fr-FR" w:eastAsia="zh-TW"/>
              </w:rPr>
              <w:t>,</w:t>
            </w:r>
            <w:r w:rsidRPr="003B58FB">
              <w:rPr>
                <w:sz w:val="20"/>
                <w:lang w:val="fr-FR" w:eastAsia="zh-TW"/>
              </w:rPr>
              <w:t>88</w:t>
            </w:r>
          </w:p>
        </w:tc>
      </w:tr>
      <w:tr w:rsidR="001103E4" w:rsidRPr="003B58FB" w14:paraId="7E359596" w14:textId="77777777" w:rsidTr="00496144">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4133E82A" w14:textId="77777777" w:rsidR="001103E4" w:rsidRPr="003B58FB" w:rsidRDefault="001103E4" w:rsidP="00496144">
            <w:pPr>
              <w:keepNext/>
              <w:spacing w:after="120"/>
              <w:rPr>
                <w:sz w:val="20"/>
                <w:lang w:eastAsia="zh-TW"/>
              </w:rPr>
            </w:pPr>
            <w:r w:rsidRPr="003B58FB">
              <w:rPr>
                <w:sz w:val="20"/>
                <w:lang w:eastAsia="zh-TW"/>
              </w:rPr>
              <w:t>C</w:t>
            </w:r>
            <w:r w:rsidRPr="003B58FB">
              <w:rPr>
                <w:sz w:val="20"/>
                <w:vertAlign w:val="subscript"/>
                <w:lang w:eastAsia="zh-TW"/>
              </w:rPr>
              <w:t>min</w:t>
            </w:r>
            <w:r>
              <w:rPr>
                <w:sz w:val="20"/>
                <w:vertAlign w:val="subscript"/>
                <w:lang w:eastAsia="zh-TW"/>
              </w:rPr>
              <w:t xml:space="preserve">  </w:t>
            </w:r>
            <w:r>
              <w:rPr>
                <w:sz w:val="20"/>
                <w:lang w:eastAsia="zh-TW"/>
              </w:rPr>
              <w:t>Acumulada</w:t>
            </w:r>
          </w:p>
        </w:tc>
        <w:tc>
          <w:tcPr>
            <w:tcW w:w="2977" w:type="dxa"/>
            <w:tcBorders>
              <w:top w:val="single" w:sz="4" w:space="0" w:color="auto"/>
              <w:left w:val="single" w:sz="4" w:space="0" w:color="auto"/>
              <w:bottom w:val="single" w:sz="4" w:space="0" w:color="auto"/>
              <w:right w:val="single" w:sz="4" w:space="0" w:color="auto"/>
            </w:tcBorders>
          </w:tcPr>
          <w:p w14:paraId="7F5E62C1" w14:textId="77777777" w:rsidR="001103E4" w:rsidRPr="003B58FB" w:rsidRDefault="001103E4" w:rsidP="00496144">
            <w:pPr>
              <w:keepNext/>
              <w:spacing w:after="120"/>
              <w:jc w:val="center"/>
              <w:rPr>
                <w:sz w:val="20"/>
                <w:lang w:eastAsia="zh-TW"/>
              </w:rPr>
            </w:pPr>
            <w:r w:rsidRPr="003B58FB">
              <w:rPr>
                <w:sz w:val="20"/>
                <w:lang w:eastAsia="zh-TW"/>
              </w:rPr>
              <w:t>4</w:t>
            </w:r>
            <w:r>
              <w:rPr>
                <w:sz w:val="20"/>
                <w:lang w:eastAsia="zh-TW"/>
              </w:rPr>
              <w:t>,</w:t>
            </w:r>
            <w:r w:rsidRPr="003B58FB">
              <w:rPr>
                <w:sz w:val="20"/>
                <w:lang w:eastAsia="zh-TW"/>
              </w:rPr>
              <w:t>39</w:t>
            </w:r>
          </w:p>
        </w:tc>
        <w:tc>
          <w:tcPr>
            <w:tcW w:w="2977" w:type="dxa"/>
            <w:tcBorders>
              <w:top w:val="single" w:sz="4" w:space="0" w:color="auto"/>
              <w:left w:val="single" w:sz="4" w:space="0" w:color="auto"/>
              <w:bottom w:val="single" w:sz="4" w:space="0" w:color="auto"/>
              <w:right w:val="single" w:sz="4" w:space="0" w:color="auto"/>
            </w:tcBorders>
          </w:tcPr>
          <w:p w14:paraId="62FF7B99" w14:textId="77777777" w:rsidR="001103E4" w:rsidRPr="003B58FB" w:rsidRDefault="001103E4" w:rsidP="00496144">
            <w:pPr>
              <w:keepNext/>
              <w:spacing w:after="120"/>
              <w:jc w:val="center"/>
              <w:rPr>
                <w:sz w:val="20"/>
                <w:lang w:eastAsia="zh-TW"/>
              </w:rPr>
            </w:pPr>
            <w:r w:rsidRPr="003B58FB">
              <w:rPr>
                <w:sz w:val="20"/>
                <w:lang w:eastAsia="zh-TW"/>
              </w:rPr>
              <w:t>3</w:t>
            </w:r>
            <w:r>
              <w:rPr>
                <w:sz w:val="20"/>
                <w:lang w:eastAsia="zh-TW"/>
              </w:rPr>
              <w:t>,</w:t>
            </w:r>
            <w:r w:rsidRPr="003B58FB">
              <w:rPr>
                <w:sz w:val="20"/>
                <w:lang w:eastAsia="zh-TW"/>
              </w:rPr>
              <w:t>21</w:t>
            </w:r>
          </w:p>
        </w:tc>
      </w:tr>
      <w:tr w:rsidR="001103E4" w:rsidRPr="003B58FB" w14:paraId="720A3E27" w14:textId="77777777" w:rsidTr="00496144">
        <w:trPr>
          <w:cantSplit/>
          <w:trHeight w:val="331"/>
        </w:trPr>
        <w:tc>
          <w:tcPr>
            <w:tcW w:w="2835" w:type="dxa"/>
            <w:tcBorders>
              <w:top w:val="single" w:sz="4" w:space="0" w:color="auto"/>
              <w:left w:val="single" w:sz="4" w:space="0" w:color="auto"/>
              <w:bottom w:val="single" w:sz="4" w:space="0" w:color="auto"/>
              <w:right w:val="single" w:sz="4" w:space="0" w:color="auto"/>
            </w:tcBorders>
          </w:tcPr>
          <w:p w14:paraId="68B8A91B" w14:textId="77777777" w:rsidR="001103E4" w:rsidRPr="003B58FB" w:rsidRDefault="001103E4" w:rsidP="00496144">
            <w:pPr>
              <w:keepNext/>
              <w:spacing w:after="120"/>
              <w:rPr>
                <w:sz w:val="20"/>
                <w:lang w:eastAsia="zh-TW"/>
              </w:rPr>
            </w:pPr>
            <w:r w:rsidRPr="003B58FB">
              <w:rPr>
                <w:sz w:val="20"/>
                <w:lang w:eastAsia="zh-TW"/>
              </w:rPr>
              <w:t>C</w:t>
            </w:r>
            <w:r>
              <w:rPr>
                <w:sz w:val="20"/>
                <w:vertAlign w:val="subscript"/>
                <w:lang w:eastAsia="zh-TW"/>
              </w:rPr>
              <w:t>media</w:t>
            </w:r>
            <w:r>
              <w:rPr>
                <w:sz w:val="20"/>
                <w:lang w:eastAsia="zh-TW"/>
              </w:rPr>
              <w:t xml:space="preserve"> Acumulada o</w:t>
            </w:r>
            <w:r w:rsidRPr="003B58FB">
              <w:rPr>
                <w:sz w:val="20"/>
                <w:lang w:eastAsia="zh-TW"/>
              </w:rPr>
              <w:t xml:space="preserve"> AUC</w:t>
            </w:r>
            <w:r w:rsidRPr="003B58FB">
              <w:rPr>
                <w:sz w:val="20"/>
                <w:vertAlign w:val="subscript"/>
                <w:lang w:eastAsia="zh-TW"/>
              </w:rPr>
              <w:t>τ</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tcPr>
          <w:p w14:paraId="0F3C5657" w14:textId="77777777" w:rsidR="001103E4" w:rsidRPr="003B58FB" w:rsidRDefault="001103E4" w:rsidP="00496144">
            <w:pPr>
              <w:keepNext/>
              <w:spacing w:after="120"/>
              <w:jc w:val="center"/>
              <w:rPr>
                <w:sz w:val="20"/>
                <w:lang w:val="en-GB" w:eastAsia="zh-TW"/>
              </w:rPr>
            </w:pPr>
            <w:r w:rsidRPr="003B58FB">
              <w:rPr>
                <w:sz w:val="20"/>
                <w:lang w:val="en-GB" w:eastAsia="zh-TW"/>
              </w:rPr>
              <w:t>4</w:t>
            </w:r>
            <w:r>
              <w:rPr>
                <w:sz w:val="20"/>
                <w:lang w:val="en-GB" w:eastAsia="zh-TW"/>
              </w:rPr>
              <w:t>,</w:t>
            </w:r>
            <w:r w:rsidRPr="003B58FB">
              <w:rPr>
                <w:sz w:val="20"/>
                <w:lang w:val="en-GB" w:eastAsia="zh-TW"/>
              </w:rPr>
              <w:t>28</w:t>
            </w:r>
          </w:p>
        </w:tc>
        <w:tc>
          <w:tcPr>
            <w:tcW w:w="2977" w:type="dxa"/>
            <w:tcBorders>
              <w:top w:val="single" w:sz="4" w:space="0" w:color="auto"/>
              <w:left w:val="single" w:sz="4" w:space="0" w:color="auto"/>
              <w:bottom w:val="single" w:sz="4" w:space="0" w:color="auto"/>
              <w:right w:val="single" w:sz="4" w:space="0" w:color="auto"/>
            </w:tcBorders>
          </w:tcPr>
          <w:p w14:paraId="18C8FFCE" w14:textId="77777777" w:rsidR="001103E4" w:rsidRPr="003B58FB" w:rsidRDefault="001103E4" w:rsidP="00496144">
            <w:pPr>
              <w:keepNext/>
              <w:spacing w:after="120"/>
              <w:jc w:val="center"/>
              <w:rPr>
                <w:sz w:val="20"/>
                <w:lang w:val="en-GB" w:eastAsia="zh-TW"/>
              </w:rPr>
            </w:pPr>
            <w:r w:rsidRPr="003B58FB">
              <w:rPr>
                <w:sz w:val="20"/>
                <w:lang w:val="en-GB" w:eastAsia="zh-TW"/>
              </w:rPr>
              <w:t>2</w:t>
            </w:r>
            <w:r>
              <w:rPr>
                <w:sz w:val="20"/>
                <w:lang w:val="en-GB" w:eastAsia="zh-TW"/>
              </w:rPr>
              <w:t>,</w:t>
            </w:r>
            <w:r w:rsidRPr="003B58FB">
              <w:rPr>
                <w:sz w:val="20"/>
                <w:lang w:val="en-GB" w:eastAsia="zh-TW"/>
              </w:rPr>
              <w:t>27</w:t>
            </w:r>
          </w:p>
        </w:tc>
      </w:tr>
    </w:tbl>
    <w:p w14:paraId="0DFF407A" w14:textId="2F80C1B5" w:rsidR="001103E4" w:rsidRDefault="001103E4" w:rsidP="001103E4">
      <w:pPr>
        <w:jc w:val="both"/>
        <w:rPr>
          <w:sz w:val="18"/>
          <w:szCs w:val="18"/>
          <w:lang w:val="es-ES" w:eastAsia="en-US"/>
        </w:rPr>
      </w:pPr>
      <w:r w:rsidRPr="00E576A0">
        <w:rPr>
          <w:sz w:val="18"/>
          <w:szCs w:val="18"/>
          <w:lang w:val="es-ES" w:eastAsia="en-US"/>
        </w:rPr>
        <w:t>*</w:t>
      </w:r>
      <w:r w:rsidRPr="003B58FB">
        <w:rPr>
          <w:sz w:val="18"/>
          <w:szCs w:val="18"/>
          <w:lang w:val="en-GB" w:eastAsia="en-US"/>
        </w:rPr>
        <w:t>τ</w:t>
      </w:r>
      <w:r w:rsidRPr="00E576A0">
        <w:rPr>
          <w:sz w:val="18"/>
          <w:szCs w:val="18"/>
          <w:lang w:val="es-ES" w:eastAsia="en-US"/>
        </w:rPr>
        <w:t xml:space="preserve"> = 1</w:t>
      </w:r>
      <w:r w:rsidR="003532C2" w:rsidRPr="00F30AB8">
        <w:rPr>
          <w:b/>
          <w:sz w:val="18"/>
          <w:szCs w:val="18"/>
          <w:lang w:val="es-ES"/>
        </w:rPr>
        <w:t> </w:t>
      </w:r>
      <w:r w:rsidRPr="00E576A0">
        <w:rPr>
          <w:sz w:val="18"/>
          <w:szCs w:val="18"/>
          <w:lang w:val="es-ES" w:eastAsia="en-US"/>
        </w:rPr>
        <w:t xml:space="preserve">semana o 2 semanas para los dos regímenes </w:t>
      </w:r>
      <w:r w:rsidR="003563F3">
        <w:rPr>
          <w:sz w:val="18"/>
          <w:szCs w:val="18"/>
          <w:lang w:val="es-ES" w:eastAsia="en-US"/>
        </w:rPr>
        <w:t>subcutáneos</w:t>
      </w:r>
    </w:p>
    <w:p w14:paraId="145947CA" w14:textId="77777777" w:rsidR="003563F3" w:rsidRPr="00E576A0" w:rsidRDefault="003563F3" w:rsidP="001103E4">
      <w:pPr>
        <w:jc w:val="both"/>
        <w:rPr>
          <w:sz w:val="18"/>
          <w:szCs w:val="18"/>
          <w:lang w:val="es-ES" w:eastAsia="en-US"/>
        </w:rPr>
      </w:pPr>
    </w:p>
    <w:p w14:paraId="4023BE17" w14:textId="3A934F3C" w:rsidR="00376F3E" w:rsidRDefault="00376F3E" w:rsidP="00376F3E">
      <w:pPr>
        <w:rPr>
          <w:rFonts w:eastAsia="SimSun"/>
          <w:lang w:val="es-ES" w:eastAsia="zh-CN"/>
        </w:rPr>
      </w:pPr>
      <w:r w:rsidRPr="00D367DE">
        <w:rPr>
          <w:rFonts w:eastAsia="SimSun"/>
          <w:lang w:val="es-ES" w:eastAsia="zh-CN"/>
        </w:rPr>
        <w:t xml:space="preserve">Después de la dosificación </w:t>
      </w:r>
      <w:r w:rsidR="003563F3">
        <w:rPr>
          <w:rFonts w:eastAsia="SimSun"/>
          <w:lang w:val="es-ES" w:eastAsia="zh-CN"/>
        </w:rPr>
        <w:t>subcutánea</w:t>
      </w:r>
      <w:r w:rsidRPr="00D367DE">
        <w:rPr>
          <w:rFonts w:eastAsia="SimSun"/>
          <w:lang w:val="es-ES" w:eastAsia="zh-CN"/>
        </w:rPr>
        <w:t>, aproximadamente el 90% del estado esta</w:t>
      </w:r>
      <w:r>
        <w:rPr>
          <w:rFonts w:eastAsia="SimSun"/>
          <w:lang w:val="es-ES" w:eastAsia="zh-CN"/>
        </w:rPr>
        <w:t>cionario</w:t>
      </w:r>
      <w:r w:rsidRPr="00D367DE">
        <w:rPr>
          <w:rFonts w:eastAsia="SimSun"/>
          <w:lang w:val="es-ES" w:eastAsia="zh-CN"/>
        </w:rPr>
        <w:t xml:space="preserve"> se alcanzó en la semana</w:t>
      </w:r>
      <w:r w:rsidR="00553D9B" w:rsidRPr="00F30AB8">
        <w:rPr>
          <w:iCs/>
          <w:szCs w:val="22"/>
          <w:lang w:val="es-ES"/>
        </w:rPr>
        <w:t> </w:t>
      </w:r>
      <w:r w:rsidRPr="00D367DE">
        <w:rPr>
          <w:rFonts w:eastAsia="SimSun"/>
          <w:lang w:val="es-ES" w:eastAsia="zh-CN"/>
        </w:rPr>
        <w:t xml:space="preserve">12 para ambos regímenes </w:t>
      </w:r>
      <w:r>
        <w:rPr>
          <w:rFonts w:eastAsia="SimSun"/>
          <w:lang w:val="es-ES" w:eastAsia="zh-CN"/>
        </w:rPr>
        <w:t>QW y Q2</w:t>
      </w:r>
      <w:r w:rsidRPr="00D367DE">
        <w:rPr>
          <w:rFonts w:eastAsia="SimSun"/>
          <w:lang w:val="es-ES" w:eastAsia="zh-CN"/>
        </w:rPr>
        <w:t>W</w:t>
      </w:r>
      <w:r>
        <w:rPr>
          <w:rFonts w:eastAsia="SimSun"/>
          <w:lang w:val="es-ES" w:eastAsia="zh-CN"/>
        </w:rPr>
        <w:t xml:space="preserve"> de </w:t>
      </w:r>
      <w:r w:rsidRPr="00D367DE">
        <w:rPr>
          <w:rFonts w:eastAsia="SimSun"/>
          <w:lang w:val="es-ES" w:eastAsia="zh-CN"/>
        </w:rPr>
        <w:t>162</w:t>
      </w:r>
      <w:r w:rsidR="00553D9B" w:rsidRPr="00F30AB8">
        <w:rPr>
          <w:iCs/>
          <w:szCs w:val="22"/>
          <w:lang w:val="es-ES"/>
        </w:rPr>
        <w:t> </w:t>
      </w:r>
      <w:r w:rsidRPr="00D367DE">
        <w:rPr>
          <w:rFonts w:eastAsia="SimSun"/>
          <w:lang w:val="es-ES" w:eastAsia="zh-CN"/>
        </w:rPr>
        <w:t>mg SC</w:t>
      </w:r>
      <w:r>
        <w:rPr>
          <w:rFonts w:eastAsia="SimSun"/>
          <w:lang w:val="es-ES" w:eastAsia="zh-CN"/>
        </w:rPr>
        <w:t>.</w:t>
      </w:r>
    </w:p>
    <w:p w14:paraId="36404A8D" w14:textId="77777777" w:rsidR="00376F3E" w:rsidRPr="00F30AB8" w:rsidRDefault="00376F3E" w:rsidP="00376F3E">
      <w:pPr>
        <w:rPr>
          <w:rFonts w:eastAsia="SimSun"/>
          <w:i/>
          <w:lang w:val="es-ES" w:eastAsia="zh-CN"/>
        </w:rPr>
      </w:pPr>
    </w:p>
    <w:p w14:paraId="5B78E707" w14:textId="77777777" w:rsidR="00376F3E" w:rsidRPr="00F30AB8" w:rsidRDefault="00376F3E" w:rsidP="00376F3E">
      <w:pPr>
        <w:rPr>
          <w:rFonts w:eastAsia="SimSun"/>
          <w:i/>
          <w:u w:val="single"/>
          <w:lang w:val="es-ES" w:eastAsia="zh-CN"/>
        </w:rPr>
      </w:pPr>
      <w:r w:rsidRPr="00F30AB8">
        <w:rPr>
          <w:rFonts w:eastAsia="SimSun"/>
          <w:i/>
          <w:u w:val="single"/>
          <w:lang w:val="es-ES" w:eastAsia="zh-CN"/>
        </w:rPr>
        <w:t>Absorción</w:t>
      </w:r>
    </w:p>
    <w:p w14:paraId="4843CF49" w14:textId="5D00A328" w:rsidR="00376F3E" w:rsidRDefault="00376F3E" w:rsidP="00376F3E">
      <w:pPr>
        <w:outlineLvl w:val="0"/>
        <w:rPr>
          <w:iCs/>
          <w:lang w:val="es-ES_tradnl"/>
        </w:rPr>
      </w:pPr>
      <w:r>
        <w:rPr>
          <w:iCs/>
          <w:lang w:val="es-ES_tradnl"/>
        </w:rPr>
        <w:t xml:space="preserve">En pacientes con AIJs después de la administración de la dosis </w:t>
      </w:r>
      <w:r w:rsidR="003563F3">
        <w:rPr>
          <w:rFonts w:eastAsia="SimSun"/>
          <w:lang w:val="es-ES" w:eastAsia="zh-CN"/>
        </w:rPr>
        <w:t>subcutánea</w:t>
      </w:r>
      <w:r w:rsidRPr="00D367DE">
        <w:rPr>
          <w:iCs/>
          <w:lang w:val="es-ES_tradnl"/>
        </w:rPr>
        <w:t>, la vida medi</w:t>
      </w:r>
      <w:r>
        <w:rPr>
          <w:iCs/>
          <w:lang w:val="es-ES_tradnl"/>
        </w:rPr>
        <w:t>a de absorción fue de aproximadamente</w:t>
      </w:r>
      <w:r w:rsidRPr="00D367DE">
        <w:rPr>
          <w:iCs/>
          <w:lang w:val="es-ES_tradnl"/>
        </w:rPr>
        <w:t xml:space="preserve"> 2 días, y la biodisponibilidad </w:t>
      </w:r>
      <w:r>
        <w:rPr>
          <w:iCs/>
          <w:lang w:val="es-ES_tradnl"/>
        </w:rPr>
        <w:t>en</w:t>
      </w:r>
      <w:r w:rsidRPr="00D367DE">
        <w:rPr>
          <w:iCs/>
          <w:lang w:val="es-ES_tradnl"/>
        </w:rPr>
        <w:t xml:space="preserve"> la for</w:t>
      </w:r>
      <w:r>
        <w:rPr>
          <w:iCs/>
          <w:lang w:val="es-ES_tradnl"/>
        </w:rPr>
        <w:t xml:space="preserve">mulación </w:t>
      </w:r>
      <w:r w:rsidR="003563F3">
        <w:rPr>
          <w:rFonts w:eastAsia="SimSun"/>
          <w:lang w:val="es-ES" w:eastAsia="zh-CN"/>
        </w:rPr>
        <w:t>subcutánea</w:t>
      </w:r>
      <w:r>
        <w:rPr>
          <w:iCs/>
          <w:lang w:val="es-ES_tradnl"/>
        </w:rPr>
        <w:t xml:space="preserve"> en pacientes con </w:t>
      </w:r>
      <w:r w:rsidRPr="00D367DE">
        <w:rPr>
          <w:iCs/>
          <w:lang w:val="es-ES_tradnl"/>
        </w:rPr>
        <w:t>A</w:t>
      </w:r>
      <w:r>
        <w:rPr>
          <w:iCs/>
          <w:lang w:val="es-ES_tradnl"/>
        </w:rPr>
        <w:t>IJs fue del 95</w:t>
      </w:r>
      <w:r w:rsidRPr="00D367DE">
        <w:rPr>
          <w:iCs/>
          <w:lang w:val="es-ES_tradnl"/>
        </w:rPr>
        <w:t>%.</w:t>
      </w:r>
    </w:p>
    <w:p w14:paraId="6C73F1E4" w14:textId="77777777" w:rsidR="00376F3E" w:rsidRPr="000D2A86" w:rsidRDefault="00376F3E" w:rsidP="00376F3E">
      <w:pPr>
        <w:outlineLvl w:val="0"/>
        <w:rPr>
          <w:iCs/>
          <w:lang w:val="es-ES_tradnl"/>
        </w:rPr>
      </w:pPr>
    </w:p>
    <w:p w14:paraId="3713B7E2" w14:textId="77777777" w:rsidR="00376F3E" w:rsidRPr="00F30AB8" w:rsidRDefault="00376F3E" w:rsidP="00376F3E">
      <w:pPr>
        <w:rPr>
          <w:rFonts w:eastAsia="SimSun"/>
          <w:i/>
          <w:u w:val="single"/>
          <w:lang w:val="es-ES" w:eastAsia="zh-CN"/>
        </w:rPr>
      </w:pPr>
      <w:r w:rsidRPr="00F30AB8">
        <w:rPr>
          <w:rFonts w:eastAsia="SimSun"/>
          <w:i/>
          <w:u w:val="single"/>
          <w:lang w:val="es-ES" w:eastAsia="zh-CN"/>
        </w:rPr>
        <w:t>Distribución</w:t>
      </w:r>
    </w:p>
    <w:p w14:paraId="0A821CEA" w14:textId="77777777" w:rsidR="00376F3E" w:rsidRPr="000D2A86" w:rsidRDefault="00376F3E" w:rsidP="00376F3E">
      <w:pPr>
        <w:outlineLvl w:val="0"/>
        <w:rPr>
          <w:iCs/>
          <w:lang w:val="es-ES_tradnl"/>
        </w:rPr>
      </w:pPr>
      <w:r>
        <w:rPr>
          <w:iCs/>
          <w:lang w:val="es-ES_tradnl"/>
        </w:rPr>
        <w:t>En pacientes pediátricos con AIJs, el volumen central de distribución fue de 1,87 l, el volumen periférico de distribución fue de 2,14 l, resultando en un volumen de distribución en estado estacionario de 4,01 l.</w:t>
      </w:r>
    </w:p>
    <w:p w14:paraId="3C9BFF3F" w14:textId="77777777" w:rsidR="00376F3E" w:rsidRPr="000D2A86" w:rsidRDefault="00376F3E" w:rsidP="00376F3E">
      <w:pPr>
        <w:rPr>
          <w:rFonts w:eastAsia="SimSun"/>
          <w:lang w:val="es-ES_tradnl" w:eastAsia="zh-CN"/>
        </w:rPr>
      </w:pPr>
    </w:p>
    <w:p w14:paraId="479BDD3E" w14:textId="77777777" w:rsidR="00376F3E" w:rsidRPr="00F30AB8" w:rsidRDefault="00376F3E" w:rsidP="003569D6">
      <w:pPr>
        <w:keepNext/>
        <w:rPr>
          <w:rFonts w:eastAsia="SimSun"/>
          <w:i/>
          <w:u w:val="single"/>
          <w:lang w:val="es-ES" w:eastAsia="zh-CN"/>
        </w:rPr>
      </w:pPr>
      <w:r w:rsidRPr="00F30AB8">
        <w:rPr>
          <w:rFonts w:eastAsia="SimSun"/>
          <w:i/>
          <w:u w:val="single"/>
          <w:lang w:val="es-ES" w:eastAsia="zh-CN"/>
        </w:rPr>
        <w:t>Eliminación</w:t>
      </w:r>
    </w:p>
    <w:p w14:paraId="418366B2" w14:textId="5A78430D" w:rsidR="00376F3E" w:rsidRDefault="00376F3E" w:rsidP="00376F3E">
      <w:pPr>
        <w:outlineLvl w:val="0"/>
        <w:rPr>
          <w:lang w:val="es-ES_tradnl"/>
        </w:rPr>
      </w:pPr>
      <w:r w:rsidRPr="00FA0A14">
        <w:rPr>
          <w:lang w:val="es-ES_tradnl"/>
        </w:rPr>
        <w:t>El aclaramiento total de tocilizumab fue dependiente de la concentración y es la suma del aclaramiento lineal y el no lineal.</w:t>
      </w:r>
      <w:r w:rsidRPr="001A33F0">
        <w:rPr>
          <w:lang w:val="es-ES"/>
        </w:rPr>
        <w:t xml:space="preserve"> </w:t>
      </w:r>
      <w:r w:rsidRPr="001A33F0">
        <w:rPr>
          <w:lang w:val="es-ES_tradnl"/>
        </w:rPr>
        <w:t>El aclaramiento lineal se estimó como parámetro en el análisis farmacocinétic</w:t>
      </w:r>
      <w:r>
        <w:rPr>
          <w:lang w:val="es-ES_tradnl"/>
        </w:rPr>
        <w:t>o</w:t>
      </w:r>
      <w:r w:rsidRPr="001A33F0">
        <w:rPr>
          <w:lang w:val="es-ES_tradnl"/>
        </w:rPr>
        <w:t xml:space="preserve"> de poblaciones y fue de </w:t>
      </w:r>
      <w:r>
        <w:rPr>
          <w:lang w:val="es-ES_tradnl"/>
        </w:rPr>
        <w:t>5,7</w:t>
      </w:r>
      <w:r w:rsidRPr="00546572">
        <w:rPr>
          <w:lang w:val="es-ES_tradnl"/>
        </w:rPr>
        <w:t> ml/h</w:t>
      </w:r>
      <w:r>
        <w:rPr>
          <w:lang w:val="es-ES_tradnl"/>
        </w:rPr>
        <w:t xml:space="preserve"> en pacientes pediátricos con artritis idiopática juvenil sistémica. Después de la administración subcutánea, l</w:t>
      </w:r>
      <w:r>
        <w:rPr>
          <w:iCs/>
          <w:lang w:val="es-ES"/>
        </w:rPr>
        <w:t xml:space="preserve">a </w:t>
      </w:r>
      <w:r w:rsidRPr="00B13740">
        <w:rPr>
          <w:lang w:val="es-ES"/>
        </w:rPr>
        <w:t>t</w:t>
      </w:r>
      <w:r w:rsidRPr="00B13740">
        <w:rPr>
          <w:vertAlign w:val="subscript"/>
          <w:lang w:val="es-ES"/>
        </w:rPr>
        <w:t>1/2</w:t>
      </w:r>
      <w:r>
        <w:rPr>
          <w:lang w:val="es-ES"/>
        </w:rPr>
        <w:t xml:space="preserve"> efectiva de </w:t>
      </w:r>
      <w:r w:rsidR="003563F3">
        <w:rPr>
          <w:lang w:val="es-ES"/>
        </w:rPr>
        <w:t xml:space="preserve">tocilizumab </w:t>
      </w:r>
      <w:r>
        <w:rPr>
          <w:lang w:val="es-ES"/>
        </w:rPr>
        <w:t>en pacientes con AIJs es de hasta 14</w:t>
      </w:r>
      <w:r w:rsidR="003532C2" w:rsidRPr="00F30AB8">
        <w:rPr>
          <w:b/>
          <w:szCs w:val="22"/>
          <w:lang w:val="es-ES"/>
        </w:rPr>
        <w:t> </w:t>
      </w:r>
      <w:r>
        <w:rPr>
          <w:lang w:val="es-ES"/>
        </w:rPr>
        <w:t>días para ambos regímenes QW y Q2Q de 162 mg</w:t>
      </w:r>
      <w:r>
        <w:rPr>
          <w:iCs/>
          <w:lang w:val="es-ES"/>
        </w:rPr>
        <w:t xml:space="preserve"> </w:t>
      </w:r>
      <w:r w:rsidRPr="009847A8">
        <w:rPr>
          <w:lang w:val="es-ES"/>
        </w:rPr>
        <w:t>durante un intervalo de dosis en estado estacionario</w:t>
      </w:r>
      <w:r>
        <w:rPr>
          <w:lang w:val="es-ES"/>
        </w:rPr>
        <w:t>.</w:t>
      </w:r>
    </w:p>
    <w:p w14:paraId="690785F7" w14:textId="77777777" w:rsidR="00376F3E" w:rsidRPr="006D15E3" w:rsidRDefault="00376F3E" w:rsidP="00376F3E">
      <w:pPr>
        <w:rPr>
          <w:rFonts w:eastAsia="SimSun"/>
          <w:lang w:val="es-ES" w:eastAsia="zh-CN"/>
        </w:rPr>
      </w:pPr>
    </w:p>
    <w:p w14:paraId="35727D38" w14:textId="77777777" w:rsidR="000228E7" w:rsidRPr="00467FFD" w:rsidRDefault="000228E7" w:rsidP="000228E7">
      <w:pPr>
        <w:keepNext/>
        <w:keepLines/>
        <w:outlineLvl w:val="0"/>
        <w:rPr>
          <w:moveTo w:id="1353" w:author="AUTHOR"/>
          <w:u w:val="single"/>
          <w:lang w:val="es-ES"/>
          <w:rPrChange w:id="1354" w:author="AUTHOR">
            <w:rPr>
              <w:moveTo w:id="1355" w:author="AUTHOR"/>
              <w:i/>
              <w:iCs/>
              <w:lang w:val="es-ES"/>
            </w:rPr>
          </w:rPrChange>
        </w:rPr>
      </w:pPr>
      <w:moveToRangeStart w:id="1356" w:author="AUTHOR" w:name="move221275124"/>
      <w:moveTo w:id="1357" w:author="AUTHOR">
        <w:r w:rsidRPr="00467FFD">
          <w:rPr>
            <w:u w:val="single"/>
            <w:lang w:val="es-ES"/>
            <w:rPrChange w:id="1358" w:author="AUTHOR">
              <w:rPr>
                <w:i/>
                <w:iCs/>
                <w:lang w:val="es-ES"/>
              </w:rPr>
            </w:rPrChange>
          </w:rPr>
          <w:t>Uso subcutáneo</w:t>
        </w:r>
      </w:moveTo>
    </w:p>
    <w:moveToRangeEnd w:id="1356"/>
    <w:p w14:paraId="60AB439F" w14:textId="52B12210" w:rsidR="00376F3E" w:rsidRPr="00467FFD" w:rsidRDefault="003563F3" w:rsidP="00F30AB8">
      <w:pPr>
        <w:keepNext/>
        <w:keepLines/>
        <w:outlineLvl w:val="0"/>
        <w:rPr>
          <w:i/>
          <w:lang w:val="es-ES"/>
          <w:rPrChange w:id="1359" w:author="AUTHOR">
            <w:rPr>
              <w:iCs/>
              <w:u w:val="single"/>
              <w:lang w:val="es-ES"/>
            </w:rPr>
          </w:rPrChange>
        </w:rPr>
      </w:pPr>
      <w:r w:rsidRPr="00467FFD">
        <w:rPr>
          <w:i/>
          <w:lang w:val="es-ES"/>
          <w:rPrChange w:id="1360" w:author="AUTHOR">
            <w:rPr>
              <w:iCs/>
              <w:u w:val="single"/>
              <w:lang w:val="es-ES"/>
            </w:rPr>
          </w:rPrChange>
        </w:rPr>
        <w:t>Pacientes</w:t>
      </w:r>
      <w:r w:rsidR="00553D9B" w:rsidRPr="00467FFD">
        <w:rPr>
          <w:i/>
          <w:lang w:val="es-ES"/>
          <w:rPrChange w:id="1361" w:author="AUTHOR">
            <w:rPr>
              <w:iCs/>
              <w:u w:val="single"/>
              <w:lang w:val="es-ES"/>
            </w:rPr>
          </w:rPrChange>
        </w:rPr>
        <w:t xml:space="preserve"> con </w:t>
      </w:r>
      <w:r w:rsidR="00376F3E" w:rsidRPr="00467FFD">
        <w:rPr>
          <w:i/>
          <w:lang w:val="es-ES"/>
          <w:rPrChange w:id="1362" w:author="AUTHOR">
            <w:rPr>
              <w:iCs/>
              <w:u w:val="single"/>
              <w:lang w:val="es-ES"/>
            </w:rPr>
          </w:rPrChange>
        </w:rPr>
        <w:t>AIJp</w:t>
      </w:r>
    </w:p>
    <w:p w14:paraId="254E245F" w14:textId="77777777" w:rsidR="003563F3" w:rsidRDefault="003563F3" w:rsidP="00F30AB8">
      <w:pPr>
        <w:keepNext/>
        <w:keepLines/>
        <w:outlineLvl w:val="0"/>
        <w:rPr>
          <w:iCs/>
          <w:u w:val="single"/>
          <w:lang w:val="es-ES"/>
        </w:rPr>
      </w:pPr>
    </w:p>
    <w:p w14:paraId="41D622C8" w14:textId="4D9E2E68" w:rsidR="00376F3E" w:rsidDel="000228E7" w:rsidRDefault="00376F3E" w:rsidP="00F30AB8">
      <w:pPr>
        <w:keepNext/>
        <w:keepLines/>
        <w:outlineLvl w:val="0"/>
        <w:rPr>
          <w:moveFrom w:id="1363" w:author="AUTHOR"/>
          <w:i/>
          <w:iCs/>
          <w:lang w:val="es-ES"/>
        </w:rPr>
      </w:pPr>
      <w:moveFromRangeStart w:id="1364" w:author="AUTHOR" w:name="move221275124"/>
      <w:moveFrom w:id="1365" w:author="AUTHOR">
        <w:r w:rsidRPr="00F30AB8" w:rsidDel="000228E7">
          <w:rPr>
            <w:i/>
            <w:iCs/>
            <w:lang w:val="es-ES"/>
          </w:rPr>
          <w:t>Uso subcutáneo</w:t>
        </w:r>
      </w:moveFrom>
    </w:p>
    <w:moveFromRangeEnd w:id="1364"/>
    <w:p w14:paraId="4F013D6E" w14:textId="0155E0DE" w:rsidR="003563F3" w:rsidRPr="00F30AB8" w:rsidDel="00732738" w:rsidRDefault="003563F3" w:rsidP="00F30AB8">
      <w:pPr>
        <w:keepNext/>
        <w:keepLines/>
        <w:outlineLvl w:val="0"/>
        <w:rPr>
          <w:del w:id="1366" w:author="tcs" w:date="2026-02-25T23:54:00Z"/>
          <w:i/>
          <w:iCs/>
          <w:lang w:val="es-ES"/>
        </w:rPr>
      </w:pPr>
    </w:p>
    <w:p w14:paraId="7D9E7894" w14:textId="01CDC687" w:rsidR="00376F3E" w:rsidRDefault="00376F3E" w:rsidP="00F30AB8">
      <w:pPr>
        <w:keepNext/>
        <w:keepLines/>
        <w:rPr>
          <w:rFonts w:eastAsia="SimSun"/>
          <w:lang w:val="es-ES" w:eastAsia="zh-CN"/>
        </w:rPr>
      </w:pPr>
      <w:r>
        <w:rPr>
          <w:rFonts w:eastAsia="SimSun"/>
          <w:lang w:val="es-ES" w:eastAsia="zh-CN"/>
        </w:rPr>
        <w:t xml:space="preserve">En pacientes con </w:t>
      </w:r>
      <w:r w:rsidRPr="00D367DE">
        <w:rPr>
          <w:rFonts w:eastAsia="SimSun"/>
          <w:lang w:val="es-ES" w:eastAsia="zh-CN"/>
        </w:rPr>
        <w:t>A</w:t>
      </w:r>
      <w:r>
        <w:rPr>
          <w:rFonts w:eastAsia="SimSun"/>
          <w:lang w:val="es-ES" w:eastAsia="zh-CN"/>
        </w:rPr>
        <w:t>IJp</w:t>
      </w:r>
      <w:r w:rsidRPr="00D367DE">
        <w:rPr>
          <w:rFonts w:eastAsia="SimSun"/>
          <w:lang w:val="es-ES" w:eastAsia="zh-CN"/>
        </w:rPr>
        <w:t xml:space="preserve"> </w:t>
      </w:r>
      <w:r>
        <w:rPr>
          <w:rFonts w:eastAsia="SimSun"/>
          <w:lang w:val="es-ES" w:eastAsia="zh-CN"/>
        </w:rPr>
        <w:t>l</w:t>
      </w:r>
      <w:r w:rsidRPr="00D367DE">
        <w:rPr>
          <w:rFonts w:eastAsia="SimSun"/>
          <w:lang w:val="es-ES" w:eastAsia="zh-CN"/>
        </w:rPr>
        <w:t>a farmacocinética d</w:t>
      </w:r>
      <w:r>
        <w:rPr>
          <w:rFonts w:eastAsia="SimSun"/>
          <w:lang w:val="es-ES" w:eastAsia="zh-CN"/>
        </w:rPr>
        <w:t xml:space="preserve">e </w:t>
      </w:r>
      <w:r w:rsidR="003563F3">
        <w:rPr>
          <w:rFonts w:eastAsia="SimSun"/>
          <w:lang w:val="es-ES" w:eastAsia="zh-CN"/>
        </w:rPr>
        <w:t xml:space="preserve">tocilizumab </w:t>
      </w:r>
      <w:r>
        <w:rPr>
          <w:rFonts w:eastAsia="SimSun"/>
          <w:lang w:val="es-ES" w:eastAsia="zh-CN"/>
        </w:rPr>
        <w:t>se caracterizó en</w:t>
      </w:r>
      <w:r w:rsidRPr="00D367DE">
        <w:rPr>
          <w:rFonts w:eastAsia="SimSun"/>
          <w:lang w:val="es-ES" w:eastAsia="zh-CN"/>
        </w:rPr>
        <w:t xml:space="preserve"> un análisis farmacocinético poblacional que incluyó 237</w:t>
      </w:r>
      <w:r w:rsidR="00553D9B" w:rsidRPr="00F30AB8">
        <w:rPr>
          <w:iCs/>
          <w:szCs w:val="22"/>
          <w:lang w:val="es-ES"/>
        </w:rPr>
        <w:t> </w:t>
      </w:r>
      <w:r w:rsidRPr="00D367DE">
        <w:rPr>
          <w:rFonts w:eastAsia="SimSun"/>
          <w:lang w:val="es-ES" w:eastAsia="zh-CN"/>
        </w:rPr>
        <w:t>pacientes</w:t>
      </w:r>
      <w:r>
        <w:rPr>
          <w:rFonts w:eastAsia="SimSun"/>
          <w:lang w:val="es-ES" w:eastAsia="zh-CN"/>
        </w:rPr>
        <w:t xml:space="preserve"> que fueron tratados con una dosis de 8</w:t>
      </w:r>
      <w:r w:rsidR="00553D9B" w:rsidRPr="00F30AB8">
        <w:rPr>
          <w:iCs/>
          <w:szCs w:val="22"/>
          <w:lang w:val="es-ES"/>
        </w:rPr>
        <w:t>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3563F3">
        <w:rPr>
          <w:rFonts w:eastAsia="SimSun"/>
          <w:lang w:val="es-ES" w:eastAsia="zh-CN"/>
        </w:rPr>
        <w:t>intraveno</w:t>
      </w:r>
      <w:ins w:id="1367" w:author="AUTHOR">
        <w:r w:rsidR="00ED2F9D">
          <w:rPr>
            <w:rFonts w:eastAsia="SimSun"/>
            <w:lang w:val="es-ES" w:eastAsia="zh-CN"/>
          </w:rPr>
          <w:t>s</w:t>
        </w:r>
      </w:ins>
      <w:r w:rsidR="003563F3">
        <w:rPr>
          <w:rFonts w:eastAsia="SimSun"/>
          <w:lang w:val="es-ES" w:eastAsia="zh-CN"/>
        </w:rPr>
        <w:t>a</w:t>
      </w:r>
      <w:r w:rsidR="003563F3" w:rsidRPr="00D367DE">
        <w:rPr>
          <w:rFonts w:eastAsia="SimSun"/>
          <w:lang w:val="es-ES" w:eastAsia="zh-CN"/>
        </w:rPr>
        <w:t xml:space="preserve"> </w:t>
      </w:r>
      <w:r w:rsidRPr="00D367DE">
        <w:rPr>
          <w:rFonts w:eastAsia="SimSun"/>
          <w:lang w:val="es-ES" w:eastAsia="zh-CN"/>
        </w:rPr>
        <w:t>cada 4</w:t>
      </w:r>
      <w:r w:rsidR="00553D9B" w:rsidRPr="00F30AB8">
        <w:rPr>
          <w:iCs/>
          <w:szCs w:val="22"/>
          <w:lang w:val="es-ES"/>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w:t>
      </w:r>
      <w:r>
        <w:rPr>
          <w:rFonts w:eastAsia="SimSun"/>
          <w:lang w:val="es-ES" w:eastAsia="zh-CN"/>
        </w:rPr>
        <w:t>tes con un peso</w:t>
      </w:r>
      <w:r w:rsidR="00553D9B" w:rsidRPr="00F30AB8">
        <w:rPr>
          <w:szCs w:val="22"/>
          <w:lang w:val="es-ES"/>
        </w:rPr>
        <w:t> ≥ </w:t>
      </w:r>
      <w:r>
        <w:rPr>
          <w:rFonts w:eastAsia="SimSun"/>
          <w:lang w:val="es-ES" w:eastAsia="zh-CN"/>
        </w:rPr>
        <w:t>30</w:t>
      </w:r>
      <w:r w:rsidR="00553D9B" w:rsidRPr="00F30AB8">
        <w:rPr>
          <w:iCs/>
          <w:szCs w:val="22"/>
          <w:lang w:val="es-ES"/>
        </w:rPr>
        <w:t> </w:t>
      </w:r>
      <w:r>
        <w:rPr>
          <w:rFonts w:eastAsia="SimSun"/>
          <w:lang w:val="es-ES" w:eastAsia="zh-CN"/>
        </w:rPr>
        <w:t>kg), 10</w:t>
      </w:r>
      <w:r w:rsidR="00553D9B" w:rsidRPr="002C5491">
        <w:rPr>
          <w:iCs/>
          <w:szCs w:val="22"/>
          <w:lang w:val="es-ES"/>
        </w:rPr>
        <w:t>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3563F3">
        <w:rPr>
          <w:rFonts w:eastAsia="SimSun"/>
          <w:lang w:val="es-ES" w:eastAsia="zh-CN"/>
        </w:rPr>
        <w:t>intraveno</w:t>
      </w:r>
      <w:ins w:id="1368" w:author="AUTHOR">
        <w:r w:rsidR="00ED2F9D">
          <w:rPr>
            <w:rFonts w:eastAsia="SimSun"/>
            <w:lang w:val="es-ES" w:eastAsia="zh-CN"/>
          </w:rPr>
          <w:t>s</w:t>
        </w:r>
      </w:ins>
      <w:r w:rsidR="003563F3">
        <w:rPr>
          <w:rFonts w:eastAsia="SimSun"/>
          <w:lang w:val="es-ES" w:eastAsia="zh-CN"/>
        </w:rPr>
        <w:t>a</w:t>
      </w:r>
      <w:r w:rsidR="003563F3" w:rsidRPr="00D367DE">
        <w:rPr>
          <w:rFonts w:eastAsia="SimSun"/>
          <w:lang w:val="es-ES" w:eastAsia="zh-CN"/>
        </w:rPr>
        <w:t xml:space="preserve"> </w:t>
      </w:r>
      <w:r w:rsidRPr="00D367DE">
        <w:rPr>
          <w:rFonts w:eastAsia="SimSun"/>
          <w:lang w:val="es-ES" w:eastAsia="zh-CN"/>
        </w:rPr>
        <w:t>cada 4</w:t>
      </w:r>
      <w:r w:rsidR="00553D9B" w:rsidRPr="00F30AB8">
        <w:rPr>
          <w:iCs/>
          <w:szCs w:val="22"/>
          <w:lang w:val="es-ES"/>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pacientes con un peso inferior a 30</w:t>
      </w:r>
      <w:r w:rsidR="00553D9B" w:rsidRPr="00F30AB8">
        <w:rPr>
          <w:iCs/>
          <w:szCs w:val="22"/>
          <w:lang w:val="es-ES"/>
        </w:rPr>
        <w:t> </w:t>
      </w:r>
      <w:r w:rsidRPr="00D367DE">
        <w:rPr>
          <w:rFonts w:eastAsia="SimSun"/>
          <w:lang w:val="es-ES" w:eastAsia="zh-CN"/>
        </w:rPr>
        <w:t>kg), 162</w:t>
      </w:r>
      <w:bookmarkStart w:id="1369" w:name="_Hlk175669261"/>
      <w:r w:rsidR="00553D9B" w:rsidRPr="00F30AB8">
        <w:rPr>
          <w:iCs/>
          <w:szCs w:val="22"/>
          <w:lang w:val="es-ES"/>
        </w:rPr>
        <w:t> </w:t>
      </w:r>
      <w:bookmarkEnd w:id="1369"/>
      <w:r w:rsidRPr="00D367DE">
        <w:rPr>
          <w:rFonts w:eastAsia="SimSun"/>
          <w:lang w:val="es-ES" w:eastAsia="zh-CN"/>
        </w:rPr>
        <w:t xml:space="preserve">mg </w:t>
      </w:r>
      <w:r>
        <w:rPr>
          <w:rFonts w:eastAsia="SimSun"/>
          <w:lang w:val="es-ES" w:eastAsia="zh-CN"/>
        </w:rPr>
        <w:t xml:space="preserve">por vía </w:t>
      </w:r>
      <w:r w:rsidR="003563F3">
        <w:rPr>
          <w:rFonts w:eastAsia="SimSun"/>
          <w:lang w:val="es-ES" w:eastAsia="zh-CN"/>
        </w:rPr>
        <w:t>subcutá</w:t>
      </w:r>
      <w:del w:id="1370" w:author="AUTHOR">
        <w:r w:rsidR="003563F3" w:rsidRPr="00D367DE" w:rsidDel="00ED2F9D">
          <w:rPr>
            <w:rFonts w:eastAsia="SimSun"/>
            <w:lang w:val="es-ES" w:eastAsia="zh-CN"/>
          </w:rPr>
          <w:delText xml:space="preserve"> </w:delText>
        </w:r>
      </w:del>
      <w:r w:rsidR="003563F3">
        <w:rPr>
          <w:rFonts w:eastAsia="SimSun"/>
          <w:lang w:val="es-ES" w:eastAsia="zh-CN"/>
        </w:rPr>
        <w:t xml:space="preserve">nea </w:t>
      </w:r>
      <w:r w:rsidRPr="00D367DE">
        <w:rPr>
          <w:rFonts w:eastAsia="SimSun"/>
          <w:lang w:val="es-ES" w:eastAsia="zh-CN"/>
        </w:rPr>
        <w:t>cada 2</w:t>
      </w:r>
      <w:r w:rsidR="00553D9B" w:rsidRPr="00F30AB8">
        <w:rPr>
          <w:iCs/>
          <w:szCs w:val="22"/>
          <w:lang w:val="es-ES"/>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 xml:space="preserve">pacientes </w:t>
      </w:r>
      <w:r>
        <w:rPr>
          <w:rFonts w:eastAsia="SimSun"/>
          <w:lang w:val="es-ES" w:eastAsia="zh-CN"/>
        </w:rPr>
        <w:t>con un peso</w:t>
      </w:r>
      <w:r w:rsidR="00553D9B" w:rsidRPr="00F30AB8">
        <w:rPr>
          <w:szCs w:val="22"/>
          <w:lang w:val="es-ES"/>
        </w:rPr>
        <w:t> ≥ </w:t>
      </w:r>
      <w:r w:rsidRPr="00D367DE">
        <w:rPr>
          <w:rFonts w:eastAsia="SimSun"/>
          <w:lang w:val="es-ES" w:eastAsia="zh-CN"/>
        </w:rPr>
        <w:t>30</w:t>
      </w:r>
      <w:r w:rsidR="00553D9B" w:rsidRPr="00F30AB8">
        <w:rPr>
          <w:iCs/>
          <w:szCs w:val="22"/>
          <w:lang w:val="es-ES"/>
        </w:rPr>
        <w:t> </w:t>
      </w:r>
      <w:r w:rsidRPr="00D367DE">
        <w:rPr>
          <w:rFonts w:eastAsia="SimSun"/>
          <w:lang w:val="es-ES" w:eastAsia="zh-CN"/>
        </w:rPr>
        <w:t>kg) o 162</w:t>
      </w:r>
      <w:r w:rsidR="00553D9B" w:rsidRPr="00F30AB8">
        <w:rPr>
          <w:iCs/>
          <w:szCs w:val="22"/>
          <w:lang w:val="es-ES"/>
        </w:rPr>
        <w:t> </w:t>
      </w:r>
      <w:r w:rsidRPr="00D367DE">
        <w:rPr>
          <w:rFonts w:eastAsia="SimSun"/>
          <w:lang w:val="es-ES" w:eastAsia="zh-CN"/>
        </w:rPr>
        <w:t xml:space="preserve">mg </w:t>
      </w:r>
      <w:r>
        <w:rPr>
          <w:rFonts w:eastAsia="SimSun"/>
          <w:lang w:val="es-ES" w:eastAsia="zh-CN"/>
        </w:rPr>
        <w:t xml:space="preserve">por vía </w:t>
      </w:r>
      <w:r w:rsidR="003563F3">
        <w:rPr>
          <w:rFonts w:eastAsia="SimSun"/>
          <w:lang w:val="es-ES" w:eastAsia="zh-CN"/>
        </w:rPr>
        <w:t>subcutánea</w:t>
      </w:r>
      <w:r w:rsidRPr="00D367DE">
        <w:rPr>
          <w:rFonts w:eastAsia="SimSun"/>
          <w:lang w:val="es-ES" w:eastAsia="zh-CN"/>
        </w:rPr>
        <w:t xml:space="preserve"> cada 3 semanas (</w:t>
      </w:r>
      <w:r>
        <w:rPr>
          <w:rFonts w:eastAsia="SimSun"/>
          <w:lang w:val="es-ES" w:eastAsia="zh-CN"/>
        </w:rPr>
        <w:t xml:space="preserve">en </w:t>
      </w:r>
      <w:r w:rsidRPr="00D367DE">
        <w:rPr>
          <w:rFonts w:eastAsia="SimSun"/>
          <w:lang w:val="es-ES" w:eastAsia="zh-CN"/>
        </w:rPr>
        <w:t xml:space="preserve">pacientes </w:t>
      </w:r>
      <w:r>
        <w:rPr>
          <w:rFonts w:eastAsia="SimSun"/>
          <w:lang w:val="es-ES" w:eastAsia="zh-CN"/>
        </w:rPr>
        <w:t>con un peso inferior</w:t>
      </w:r>
      <w:r w:rsidRPr="00D367DE">
        <w:rPr>
          <w:rFonts w:eastAsia="SimSun"/>
          <w:lang w:val="es-ES" w:eastAsia="zh-CN"/>
        </w:rPr>
        <w:t xml:space="preserve"> </w:t>
      </w:r>
      <w:r>
        <w:rPr>
          <w:rFonts w:eastAsia="SimSun"/>
          <w:lang w:val="es-ES" w:eastAsia="zh-CN"/>
        </w:rPr>
        <w:t>a</w:t>
      </w:r>
      <w:r w:rsidRPr="00D367DE">
        <w:rPr>
          <w:rFonts w:eastAsia="SimSun"/>
          <w:lang w:val="es-ES" w:eastAsia="zh-CN"/>
        </w:rPr>
        <w:t xml:space="preserve"> 30</w:t>
      </w:r>
      <w:r w:rsidR="00553D9B" w:rsidRPr="00F30AB8">
        <w:rPr>
          <w:iCs/>
          <w:szCs w:val="22"/>
          <w:lang w:val="es-ES"/>
        </w:rPr>
        <w:t> </w:t>
      </w:r>
      <w:r w:rsidRPr="00D367DE">
        <w:rPr>
          <w:rFonts w:eastAsia="SimSun"/>
          <w:lang w:val="es-ES" w:eastAsia="zh-CN"/>
        </w:rPr>
        <w:t>kg).</w:t>
      </w:r>
    </w:p>
    <w:p w14:paraId="4384BAE1" w14:textId="77777777" w:rsidR="00376F3E" w:rsidRPr="00D367DE" w:rsidRDefault="00376F3E" w:rsidP="00376F3E">
      <w:pPr>
        <w:rPr>
          <w:rFonts w:eastAsia="SimSun"/>
          <w:lang w:val="es-ES" w:eastAsia="zh-CN"/>
        </w:rPr>
      </w:pPr>
    </w:p>
    <w:p w14:paraId="56021FFB" w14:textId="4131E4B8" w:rsidR="00376F3E" w:rsidRDefault="00376F3E" w:rsidP="00376F3E">
      <w:pPr>
        <w:keepNext/>
        <w:keepLines/>
        <w:rPr>
          <w:rFonts w:eastAsia="SimSun"/>
          <w:i/>
          <w:lang w:val="es-ES" w:eastAsia="zh-CN"/>
        </w:rPr>
      </w:pPr>
      <w:r w:rsidRPr="00E576A0">
        <w:rPr>
          <w:rFonts w:eastAsia="SimSun"/>
          <w:i/>
          <w:lang w:val="es-ES" w:eastAsia="zh-CN"/>
        </w:rPr>
        <w:lastRenderedPageBreak/>
        <w:t xml:space="preserve">Tabla 9. Valores medios previstos ± DE de los parámetros PK en estado estacionario después de la administración de la dosis </w:t>
      </w:r>
      <w:r w:rsidR="003563F3">
        <w:rPr>
          <w:rFonts w:eastAsia="SimSun"/>
          <w:i/>
          <w:lang w:val="es-ES" w:eastAsia="zh-CN"/>
        </w:rPr>
        <w:t>subcutánea</w:t>
      </w:r>
      <w:r w:rsidRPr="00E576A0">
        <w:rPr>
          <w:rFonts w:eastAsia="SimSun"/>
          <w:i/>
          <w:lang w:val="es-ES" w:eastAsia="zh-CN"/>
        </w:rPr>
        <w:t xml:space="preserve"> en pacientes con AIJp</w:t>
      </w:r>
    </w:p>
    <w:p w14:paraId="2A91BCA6" w14:textId="77777777" w:rsidR="00562FDE" w:rsidRDefault="00562FDE" w:rsidP="00376F3E">
      <w:pPr>
        <w:keepNext/>
        <w:keepLines/>
        <w:rPr>
          <w:rFonts w:eastAsia="SimSun"/>
          <w:lang w:val="es-ES" w:eastAsia="zh-C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3402"/>
      </w:tblGrid>
      <w:tr w:rsidR="00376F3E" w:rsidRPr="00FC7261" w14:paraId="7C27583C" w14:textId="77777777" w:rsidTr="00496144">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33FEE554" w14:textId="3220433B" w:rsidR="00376F3E" w:rsidRPr="006616E4" w:rsidRDefault="00376F3E" w:rsidP="00496144">
            <w:pPr>
              <w:pStyle w:val="TextTi9"/>
              <w:keepNext/>
              <w:keepLines/>
              <w:spacing w:after="120"/>
              <w:rPr>
                <w:rFonts w:ascii="Times New Roman" w:hAnsi="Times New Roman"/>
                <w:sz w:val="20"/>
                <w:szCs w:val="20"/>
              </w:rPr>
            </w:pPr>
            <w:r w:rsidRPr="006616E4">
              <w:rPr>
                <w:rFonts w:ascii="Times New Roman" w:hAnsi="Times New Roman"/>
                <w:b/>
                <w:sz w:val="20"/>
                <w:szCs w:val="20"/>
              </w:rPr>
              <w:t xml:space="preserve">Parámetros </w:t>
            </w:r>
            <w:r>
              <w:rPr>
                <w:rFonts w:ascii="Times New Roman" w:hAnsi="Times New Roman"/>
                <w:b/>
                <w:sz w:val="20"/>
                <w:szCs w:val="20"/>
              </w:rPr>
              <w:t>PK</w:t>
            </w:r>
            <w:r w:rsidRPr="006616E4">
              <w:rPr>
                <w:rFonts w:ascii="Times New Roman" w:hAnsi="Times New Roman"/>
                <w:b/>
                <w:sz w:val="20"/>
                <w:szCs w:val="20"/>
              </w:rPr>
              <w:t xml:space="preserve"> de </w:t>
            </w:r>
            <w:r w:rsidR="002C39BB">
              <w:rPr>
                <w:rFonts w:ascii="Times New Roman" w:hAnsi="Times New Roman"/>
                <w:b/>
                <w:sz w:val="20"/>
                <w:szCs w:val="20"/>
              </w:rPr>
              <w:t>Tocilizumab</w:t>
            </w:r>
            <w:r w:rsidRPr="006616E4">
              <w:rPr>
                <w:rFonts w:ascii="Times New Roman" w:hAnsi="Times New Roman"/>
                <w:b/>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4B083C2" w14:textId="1AC006DA" w:rsidR="00376F3E" w:rsidRPr="006616E4" w:rsidRDefault="00376F3E" w:rsidP="00496144">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162</w:t>
            </w:r>
            <w:r w:rsidR="003532C2" w:rsidRPr="00BB710F">
              <w:rPr>
                <w:rFonts w:ascii="Times New Roman" w:hAnsi="Times New Roman"/>
                <w:b/>
                <w:szCs w:val="18"/>
                <w:lang w:val="en-GB"/>
              </w:rPr>
              <w:t> </w:t>
            </w:r>
            <w:r w:rsidRPr="006616E4">
              <w:rPr>
                <w:rFonts w:ascii="Times New Roman" w:hAnsi="Times New Roman"/>
                <w:b/>
                <w:sz w:val="20"/>
                <w:szCs w:val="20"/>
              </w:rPr>
              <w:t>mg Q2W</w:t>
            </w:r>
          </w:p>
          <w:p w14:paraId="12BB84D1" w14:textId="77B6DDE9" w:rsidR="00376F3E" w:rsidRPr="006616E4" w:rsidRDefault="00376F3E" w:rsidP="00496144">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w:t>
            </w:r>
            <w:r w:rsidR="00553D9B" w:rsidRPr="002C5491">
              <w:rPr>
                <w:iCs/>
                <w:lang w:val="es-ES"/>
              </w:rPr>
              <w:t> </w:t>
            </w:r>
            <w:r w:rsidRPr="006616E4">
              <w:rPr>
                <w:rFonts w:ascii="Times New Roman" w:hAnsi="Times New Roman"/>
                <w:b/>
                <w:sz w:val="20"/>
                <w:szCs w:val="20"/>
              </w:rPr>
              <w:t>30</w:t>
            </w:r>
            <w:r w:rsidR="00553D9B" w:rsidRPr="002C5491">
              <w:rPr>
                <w:iCs/>
                <w:lang w:val="es-ES"/>
              </w:rPr>
              <w:t> </w:t>
            </w:r>
            <w:r w:rsidRPr="006616E4">
              <w:rPr>
                <w:rFonts w:ascii="Times New Roman" w:hAnsi="Times New Roman"/>
                <w:b/>
                <w:sz w:val="20"/>
                <w:szCs w:val="20"/>
              </w:rPr>
              <w:t>kg</w:t>
            </w:r>
          </w:p>
        </w:tc>
        <w:tc>
          <w:tcPr>
            <w:tcW w:w="3402" w:type="dxa"/>
            <w:tcBorders>
              <w:top w:val="single" w:sz="4" w:space="0" w:color="auto"/>
              <w:left w:val="single" w:sz="4" w:space="0" w:color="auto"/>
              <w:bottom w:val="single" w:sz="4" w:space="0" w:color="auto"/>
              <w:right w:val="single" w:sz="4" w:space="0" w:color="auto"/>
            </w:tcBorders>
            <w:hideMark/>
          </w:tcPr>
          <w:p w14:paraId="3EE30983" w14:textId="3D6C211E" w:rsidR="00376F3E" w:rsidRPr="006616E4" w:rsidRDefault="00376F3E" w:rsidP="00496144">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162</w:t>
            </w:r>
            <w:r w:rsidR="003532C2" w:rsidRPr="00BB710F">
              <w:rPr>
                <w:rFonts w:ascii="Times New Roman" w:hAnsi="Times New Roman"/>
                <w:b/>
                <w:szCs w:val="18"/>
                <w:lang w:val="en-GB"/>
              </w:rPr>
              <w:t> </w:t>
            </w:r>
            <w:r w:rsidRPr="006616E4">
              <w:rPr>
                <w:rFonts w:ascii="Times New Roman" w:hAnsi="Times New Roman"/>
                <w:b/>
                <w:sz w:val="20"/>
                <w:szCs w:val="20"/>
              </w:rPr>
              <w:t>mg Q3W</w:t>
            </w:r>
          </w:p>
          <w:p w14:paraId="26F0BA49" w14:textId="2D36EE76" w:rsidR="00376F3E" w:rsidRPr="006616E4" w:rsidRDefault="00376F3E" w:rsidP="00496144">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inferior a</w:t>
            </w:r>
            <w:r w:rsidR="00553D9B" w:rsidRPr="002C5491">
              <w:rPr>
                <w:iCs/>
                <w:lang w:val="es-ES"/>
              </w:rPr>
              <w:t> </w:t>
            </w:r>
            <w:r w:rsidRPr="006616E4">
              <w:rPr>
                <w:rFonts w:ascii="Times New Roman" w:hAnsi="Times New Roman"/>
                <w:b/>
                <w:sz w:val="20"/>
                <w:szCs w:val="20"/>
              </w:rPr>
              <w:t>30</w:t>
            </w:r>
            <w:r w:rsidR="00553D9B" w:rsidRPr="002C5491">
              <w:rPr>
                <w:iCs/>
                <w:lang w:val="es-ES"/>
              </w:rPr>
              <w:t> </w:t>
            </w:r>
            <w:r w:rsidRPr="006616E4">
              <w:rPr>
                <w:rFonts w:ascii="Times New Roman" w:hAnsi="Times New Roman"/>
                <w:b/>
                <w:sz w:val="20"/>
                <w:szCs w:val="20"/>
              </w:rPr>
              <w:t>kg</w:t>
            </w:r>
          </w:p>
        </w:tc>
      </w:tr>
      <w:tr w:rsidR="00376F3E" w:rsidRPr="00FC7261" w14:paraId="2DD7DE68" w14:textId="77777777" w:rsidTr="00496144">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0C70EE36" w14:textId="77777777" w:rsidR="00376F3E" w:rsidRPr="006616E4" w:rsidRDefault="00376F3E" w:rsidP="00496144">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max</w:t>
            </w:r>
            <w:r w:rsidRPr="006616E4">
              <w:rPr>
                <w:rFonts w:ascii="Times New Roman" w:hAnsi="Times New Roman"/>
                <w:sz w:val="20"/>
                <w:szCs w:val="20"/>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636F3D32"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29,4 ± 13,5</w:t>
            </w:r>
          </w:p>
        </w:tc>
        <w:tc>
          <w:tcPr>
            <w:tcW w:w="3402" w:type="dxa"/>
            <w:tcBorders>
              <w:top w:val="single" w:sz="4" w:space="0" w:color="auto"/>
              <w:left w:val="single" w:sz="4" w:space="0" w:color="auto"/>
              <w:bottom w:val="single" w:sz="4" w:space="0" w:color="auto"/>
              <w:right w:val="single" w:sz="4" w:space="0" w:color="auto"/>
            </w:tcBorders>
            <w:hideMark/>
          </w:tcPr>
          <w:p w14:paraId="3D8B8E1E"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75,5 ± 24,1</w:t>
            </w:r>
          </w:p>
        </w:tc>
      </w:tr>
      <w:tr w:rsidR="00376F3E" w:rsidRPr="00FC7261" w14:paraId="37D4DB8F" w14:textId="77777777" w:rsidTr="00496144">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4D7BF686" w14:textId="77777777" w:rsidR="00376F3E" w:rsidRPr="006616E4" w:rsidRDefault="00376F3E" w:rsidP="00496144">
            <w:pPr>
              <w:pStyle w:val="TextTi9"/>
              <w:keepNext/>
              <w:keepLines/>
              <w:spacing w:after="120"/>
              <w:rPr>
                <w:rFonts w:ascii="Times New Roman" w:hAnsi="Times New Roman"/>
                <w:sz w:val="20"/>
                <w:szCs w:val="20"/>
              </w:rPr>
            </w:pPr>
            <w:r w:rsidRPr="006616E4">
              <w:rPr>
                <w:rFonts w:ascii="Times New Roman" w:hAnsi="Times New Roman"/>
                <w:sz w:val="20"/>
                <w:szCs w:val="20"/>
              </w:rPr>
              <w:t>C</w:t>
            </w:r>
            <w:r>
              <w:rPr>
                <w:rFonts w:ascii="Times New Roman" w:hAnsi="Times New Roman"/>
                <w:sz w:val="20"/>
                <w:szCs w:val="20"/>
                <w:vertAlign w:val="subscript"/>
              </w:rPr>
              <w:t>min</w:t>
            </w:r>
            <w:r w:rsidRPr="006616E4">
              <w:rPr>
                <w:rFonts w:ascii="Times New Roman" w:hAnsi="Times New Roman"/>
                <w:sz w:val="20"/>
                <w:szCs w:val="20"/>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27AD5C1B"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11,8 ± 7,08</w:t>
            </w:r>
          </w:p>
        </w:tc>
        <w:tc>
          <w:tcPr>
            <w:tcW w:w="3402" w:type="dxa"/>
            <w:tcBorders>
              <w:top w:val="single" w:sz="4" w:space="0" w:color="auto"/>
              <w:left w:val="single" w:sz="4" w:space="0" w:color="auto"/>
              <w:bottom w:val="single" w:sz="4" w:space="0" w:color="auto"/>
              <w:right w:val="single" w:sz="4" w:space="0" w:color="auto"/>
            </w:tcBorders>
            <w:hideMark/>
          </w:tcPr>
          <w:p w14:paraId="40B34117"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18,4 ± 12,9</w:t>
            </w:r>
          </w:p>
        </w:tc>
      </w:tr>
      <w:tr w:rsidR="00376F3E" w:rsidRPr="00FC7261" w14:paraId="17E3914F" w14:textId="77777777" w:rsidTr="00496144">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7BF7CC5F" w14:textId="77777777" w:rsidR="00376F3E" w:rsidRPr="006616E4" w:rsidRDefault="00376F3E" w:rsidP="00496144">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media</w:t>
            </w:r>
            <w:r w:rsidRPr="006616E4">
              <w:rPr>
                <w:rFonts w:ascii="Times New Roman" w:hAnsi="Times New Roman"/>
                <w:sz w:val="20"/>
                <w:szCs w:val="20"/>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6C684707"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21,7 ± 10,4</w:t>
            </w:r>
          </w:p>
        </w:tc>
        <w:tc>
          <w:tcPr>
            <w:tcW w:w="3402" w:type="dxa"/>
            <w:tcBorders>
              <w:top w:val="single" w:sz="4" w:space="0" w:color="auto"/>
              <w:left w:val="single" w:sz="4" w:space="0" w:color="auto"/>
              <w:bottom w:val="single" w:sz="4" w:space="0" w:color="auto"/>
              <w:right w:val="single" w:sz="4" w:space="0" w:color="auto"/>
            </w:tcBorders>
            <w:hideMark/>
          </w:tcPr>
          <w:p w14:paraId="7779D4BF"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45,5 ± 19,8</w:t>
            </w:r>
          </w:p>
        </w:tc>
      </w:tr>
      <w:tr w:rsidR="00376F3E" w:rsidRPr="00FC7261" w14:paraId="505DA824" w14:textId="77777777" w:rsidTr="00496144">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104A4929" w14:textId="77777777" w:rsidR="00376F3E" w:rsidRPr="006616E4" w:rsidRDefault="00376F3E" w:rsidP="00496144">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 xml:space="preserve">max </w:t>
            </w:r>
            <w:r w:rsidRPr="006616E4">
              <w:rPr>
                <w:rFonts w:ascii="Times New Roman" w:hAnsi="Times New Roman"/>
                <w:sz w:val="20"/>
                <w:szCs w:val="20"/>
              </w:rPr>
              <w:t>acumulada</w:t>
            </w:r>
          </w:p>
        </w:tc>
        <w:tc>
          <w:tcPr>
            <w:tcW w:w="3260" w:type="dxa"/>
            <w:tcBorders>
              <w:top w:val="single" w:sz="4" w:space="0" w:color="auto"/>
              <w:left w:val="single" w:sz="4" w:space="0" w:color="auto"/>
              <w:bottom w:val="single" w:sz="4" w:space="0" w:color="auto"/>
              <w:right w:val="single" w:sz="4" w:space="0" w:color="auto"/>
            </w:tcBorders>
          </w:tcPr>
          <w:p w14:paraId="0CE56BFC"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1,72</w:t>
            </w:r>
          </w:p>
        </w:tc>
        <w:tc>
          <w:tcPr>
            <w:tcW w:w="3402" w:type="dxa"/>
            <w:tcBorders>
              <w:top w:val="single" w:sz="4" w:space="0" w:color="auto"/>
              <w:left w:val="single" w:sz="4" w:space="0" w:color="auto"/>
              <w:bottom w:val="single" w:sz="4" w:space="0" w:color="auto"/>
              <w:right w:val="single" w:sz="4" w:space="0" w:color="auto"/>
            </w:tcBorders>
          </w:tcPr>
          <w:p w14:paraId="586C5DF7"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1,32</w:t>
            </w:r>
          </w:p>
        </w:tc>
      </w:tr>
      <w:tr w:rsidR="00376F3E" w:rsidRPr="00FC7261" w14:paraId="413FB4A4" w14:textId="77777777" w:rsidTr="00496144">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34085DFF" w14:textId="77777777" w:rsidR="00376F3E" w:rsidRPr="006616E4" w:rsidRDefault="00376F3E" w:rsidP="00496144">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0D2A86">
              <w:rPr>
                <w:rFonts w:ascii="Times New Roman" w:hAnsi="Times New Roman"/>
                <w:sz w:val="20"/>
                <w:szCs w:val="20"/>
                <w:vertAlign w:val="subscript"/>
              </w:rPr>
              <w:t>min</w:t>
            </w:r>
            <w:r w:rsidRPr="006616E4">
              <w:rPr>
                <w:rFonts w:ascii="Times New Roman" w:hAnsi="Times New Roman"/>
                <w:sz w:val="20"/>
                <w:szCs w:val="20"/>
                <w:vertAlign w:val="subscript"/>
              </w:rPr>
              <w:t xml:space="preserve"> </w:t>
            </w:r>
            <w:r w:rsidRPr="006616E4">
              <w:rPr>
                <w:rFonts w:ascii="Times New Roman" w:hAnsi="Times New Roman"/>
                <w:sz w:val="20"/>
                <w:szCs w:val="20"/>
              </w:rPr>
              <w:t>acumulada</w:t>
            </w:r>
          </w:p>
        </w:tc>
        <w:tc>
          <w:tcPr>
            <w:tcW w:w="3260" w:type="dxa"/>
            <w:tcBorders>
              <w:top w:val="single" w:sz="4" w:space="0" w:color="auto"/>
              <w:left w:val="single" w:sz="4" w:space="0" w:color="auto"/>
              <w:bottom w:val="single" w:sz="4" w:space="0" w:color="auto"/>
              <w:right w:val="single" w:sz="4" w:space="0" w:color="auto"/>
            </w:tcBorders>
          </w:tcPr>
          <w:p w14:paraId="400ACF36"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3,58</w:t>
            </w:r>
          </w:p>
        </w:tc>
        <w:tc>
          <w:tcPr>
            <w:tcW w:w="3402" w:type="dxa"/>
            <w:tcBorders>
              <w:top w:val="single" w:sz="4" w:space="0" w:color="auto"/>
              <w:left w:val="single" w:sz="4" w:space="0" w:color="auto"/>
              <w:bottom w:val="single" w:sz="4" w:space="0" w:color="auto"/>
              <w:right w:val="single" w:sz="4" w:space="0" w:color="auto"/>
            </w:tcBorders>
          </w:tcPr>
          <w:p w14:paraId="79BC20B5" w14:textId="77777777" w:rsidR="00376F3E" w:rsidRPr="006616E4" w:rsidRDefault="00376F3E" w:rsidP="00496144">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2,08</w:t>
            </w:r>
          </w:p>
        </w:tc>
      </w:tr>
      <w:tr w:rsidR="00376F3E" w:rsidRPr="00FC7261" w14:paraId="13DC9001" w14:textId="77777777" w:rsidTr="00496144">
        <w:trPr>
          <w:cantSplit/>
          <w:trHeight w:val="331"/>
        </w:trPr>
        <w:tc>
          <w:tcPr>
            <w:tcW w:w="2518" w:type="dxa"/>
            <w:tcBorders>
              <w:top w:val="single" w:sz="4" w:space="0" w:color="auto"/>
              <w:left w:val="single" w:sz="4" w:space="0" w:color="auto"/>
              <w:bottom w:val="single" w:sz="4" w:space="0" w:color="auto"/>
              <w:right w:val="single" w:sz="4" w:space="0" w:color="auto"/>
            </w:tcBorders>
          </w:tcPr>
          <w:p w14:paraId="4401DF34" w14:textId="77777777" w:rsidR="00376F3E" w:rsidRPr="006616E4" w:rsidRDefault="00376F3E" w:rsidP="00496144">
            <w:pPr>
              <w:pStyle w:val="TextTi9"/>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media</w:t>
            </w:r>
            <w:r w:rsidRPr="006616E4">
              <w:rPr>
                <w:rFonts w:ascii="Times New Roman" w:hAnsi="Times New Roman"/>
                <w:sz w:val="20"/>
                <w:szCs w:val="20"/>
              </w:rPr>
              <w:t xml:space="preserve"> acumulada o AUC</w:t>
            </w:r>
            <w:r w:rsidRPr="006616E4">
              <w:rPr>
                <w:rFonts w:ascii="Times New Roman" w:hAnsi="Times New Roman"/>
                <w:sz w:val="20"/>
                <w:szCs w:val="20"/>
                <w:vertAlign w:val="subscript"/>
              </w:rPr>
              <w:t>τ</w:t>
            </w:r>
            <w:r w:rsidRPr="006616E4">
              <w:rPr>
                <w:rFonts w:ascii="Times New Roman" w:hAnsi="Times New Roman"/>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tcPr>
          <w:p w14:paraId="16DCAFC0" w14:textId="77777777" w:rsidR="00376F3E" w:rsidRPr="006616E4" w:rsidRDefault="00376F3E" w:rsidP="00496144">
            <w:pPr>
              <w:pStyle w:val="TextTi9"/>
              <w:spacing w:after="120"/>
              <w:jc w:val="center"/>
              <w:rPr>
                <w:rFonts w:ascii="Times New Roman" w:hAnsi="Times New Roman"/>
                <w:sz w:val="20"/>
                <w:szCs w:val="20"/>
                <w:lang w:val="en-GB"/>
              </w:rPr>
            </w:pPr>
            <w:r w:rsidRPr="006616E4">
              <w:rPr>
                <w:rFonts w:ascii="Times New Roman" w:hAnsi="Times New Roman"/>
                <w:sz w:val="20"/>
                <w:szCs w:val="20"/>
                <w:lang w:val="en-GB"/>
              </w:rPr>
              <w:t>2,04</w:t>
            </w:r>
          </w:p>
        </w:tc>
        <w:tc>
          <w:tcPr>
            <w:tcW w:w="3402" w:type="dxa"/>
            <w:tcBorders>
              <w:top w:val="single" w:sz="4" w:space="0" w:color="auto"/>
              <w:left w:val="single" w:sz="4" w:space="0" w:color="auto"/>
              <w:bottom w:val="single" w:sz="4" w:space="0" w:color="auto"/>
              <w:right w:val="single" w:sz="4" w:space="0" w:color="auto"/>
            </w:tcBorders>
          </w:tcPr>
          <w:p w14:paraId="2B4F14C5" w14:textId="77777777" w:rsidR="00376F3E" w:rsidRPr="006616E4" w:rsidRDefault="00376F3E" w:rsidP="00496144">
            <w:pPr>
              <w:pStyle w:val="TextTi9"/>
              <w:spacing w:after="120"/>
              <w:jc w:val="center"/>
              <w:rPr>
                <w:rFonts w:ascii="Times New Roman" w:hAnsi="Times New Roman"/>
                <w:sz w:val="20"/>
                <w:szCs w:val="20"/>
                <w:lang w:val="en-GB"/>
              </w:rPr>
            </w:pPr>
            <w:r w:rsidRPr="006616E4">
              <w:rPr>
                <w:rFonts w:ascii="Times New Roman" w:hAnsi="Times New Roman"/>
                <w:sz w:val="20"/>
                <w:szCs w:val="20"/>
                <w:lang w:val="en-GB"/>
              </w:rPr>
              <w:t>1,46</w:t>
            </w:r>
          </w:p>
        </w:tc>
      </w:tr>
    </w:tbl>
    <w:p w14:paraId="0F8D1FF4" w14:textId="2F66DE0A" w:rsidR="00376F3E" w:rsidRDefault="00376F3E" w:rsidP="00376F3E">
      <w:pPr>
        <w:rPr>
          <w:sz w:val="18"/>
          <w:szCs w:val="18"/>
          <w:lang w:val="es-ES"/>
        </w:rPr>
      </w:pPr>
      <w:r w:rsidRPr="006616E4">
        <w:rPr>
          <w:sz w:val="18"/>
          <w:szCs w:val="18"/>
          <w:lang w:val="es-ES"/>
        </w:rPr>
        <w:t xml:space="preserve">* </w:t>
      </w:r>
      <w:r w:rsidRPr="006616E4">
        <w:rPr>
          <w:sz w:val="18"/>
          <w:szCs w:val="18"/>
          <w:lang w:val="en-GB"/>
        </w:rPr>
        <w:t>τ</w:t>
      </w:r>
      <w:r w:rsidRPr="006616E4">
        <w:rPr>
          <w:sz w:val="18"/>
          <w:szCs w:val="18"/>
          <w:lang w:val="es-ES"/>
        </w:rPr>
        <w:t xml:space="preserve"> = 2 semanas o 3 semanas para l</w:t>
      </w:r>
      <w:r>
        <w:rPr>
          <w:sz w:val="18"/>
          <w:szCs w:val="18"/>
          <w:lang w:val="es-ES"/>
        </w:rPr>
        <w:t>a</w:t>
      </w:r>
      <w:r w:rsidRPr="006616E4">
        <w:rPr>
          <w:sz w:val="18"/>
          <w:szCs w:val="18"/>
          <w:lang w:val="es-ES"/>
        </w:rPr>
        <w:t xml:space="preserve">s dos </w:t>
      </w:r>
      <w:r>
        <w:rPr>
          <w:sz w:val="18"/>
          <w:szCs w:val="18"/>
          <w:lang w:val="es-ES"/>
        </w:rPr>
        <w:t>pautas posológicas</w:t>
      </w:r>
      <w:r w:rsidRPr="006616E4">
        <w:rPr>
          <w:sz w:val="18"/>
          <w:szCs w:val="18"/>
          <w:lang w:val="es-ES"/>
        </w:rPr>
        <w:t xml:space="preserve"> </w:t>
      </w:r>
      <w:r w:rsidR="002C39BB">
        <w:rPr>
          <w:sz w:val="18"/>
          <w:szCs w:val="18"/>
          <w:lang w:val="es-ES"/>
        </w:rPr>
        <w:t>subcutánea</w:t>
      </w:r>
      <w:r w:rsidRPr="006616E4">
        <w:rPr>
          <w:sz w:val="18"/>
          <w:szCs w:val="18"/>
          <w:lang w:val="es-ES"/>
        </w:rPr>
        <w:t>, respectivamente</w:t>
      </w:r>
    </w:p>
    <w:p w14:paraId="340F7FD9" w14:textId="77777777" w:rsidR="00376F3E" w:rsidRDefault="00376F3E" w:rsidP="00376F3E">
      <w:pPr>
        <w:rPr>
          <w:rFonts w:eastAsia="SimSun"/>
          <w:lang w:val="es-ES" w:eastAsia="zh-CN"/>
        </w:rPr>
      </w:pPr>
    </w:p>
    <w:p w14:paraId="51A8881D" w14:textId="7B52FDFF" w:rsidR="00376F3E" w:rsidRDefault="00376F3E" w:rsidP="00376F3E">
      <w:pPr>
        <w:rPr>
          <w:rFonts w:eastAsia="SimSun"/>
          <w:lang w:val="es-ES" w:eastAsia="zh-CN"/>
        </w:rPr>
      </w:pPr>
      <w:r>
        <w:rPr>
          <w:rFonts w:eastAsia="SimSun"/>
          <w:lang w:val="es-ES" w:eastAsia="zh-CN"/>
        </w:rPr>
        <w:t>Después de la administración de la dosis</w:t>
      </w:r>
      <w:r w:rsidRPr="00D367DE">
        <w:rPr>
          <w:rFonts w:eastAsia="SimSun"/>
          <w:lang w:val="es-ES" w:eastAsia="zh-CN"/>
        </w:rPr>
        <w:t xml:space="preserve"> </w:t>
      </w:r>
      <w:r w:rsidR="002C39BB">
        <w:rPr>
          <w:rFonts w:eastAsia="SimSun"/>
          <w:lang w:val="es-ES" w:eastAsia="zh-CN"/>
        </w:rPr>
        <w:t>intraveno</w:t>
      </w:r>
      <w:r w:rsidR="00553D9B">
        <w:rPr>
          <w:rFonts w:eastAsia="SimSun"/>
          <w:lang w:val="es-ES" w:eastAsia="zh-CN"/>
        </w:rPr>
        <w:t>s</w:t>
      </w:r>
      <w:r w:rsidR="002C39BB">
        <w:rPr>
          <w:rFonts w:eastAsia="SimSun"/>
          <w:lang w:val="es-ES" w:eastAsia="zh-CN"/>
        </w:rPr>
        <w:t>a</w:t>
      </w:r>
      <w:r>
        <w:rPr>
          <w:rFonts w:eastAsia="SimSun"/>
          <w:lang w:val="es-ES" w:eastAsia="zh-CN"/>
        </w:rPr>
        <w:t xml:space="preserve"> de 10</w:t>
      </w:r>
      <w:r w:rsidR="00553D9B" w:rsidRPr="002C5491">
        <w:rPr>
          <w:iCs/>
          <w:szCs w:val="22"/>
          <w:lang w:val="es-ES"/>
        </w:rPr>
        <w:t> </w:t>
      </w:r>
      <w:r>
        <w:rPr>
          <w:rFonts w:eastAsia="SimSun"/>
          <w:lang w:val="es-ES" w:eastAsia="zh-CN"/>
        </w:rPr>
        <w:t>mg/kg (</w:t>
      </w:r>
      <w:r w:rsidR="003532C2">
        <w:rPr>
          <w:rFonts w:eastAsia="SimSun"/>
          <w:lang w:val="es-ES" w:eastAsia="zh-CN"/>
        </w:rPr>
        <w:t xml:space="preserve">peso corporal </w:t>
      </w:r>
      <w:r w:rsidRPr="00D367DE">
        <w:rPr>
          <w:rFonts w:eastAsia="SimSun"/>
          <w:lang w:val="es-ES" w:eastAsia="zh-CN"/>
        </w:rPr>
        <w:t>&lt;</w:t>
      </w:r>
      <w:r w:rsidR="003532C2" w:rsidRPr="002C5491">
        <w:rPr>
          <w:iCs/>
          <w:szCs w:val="22"/>
          <w:lang w:val="es-ES"/>
        </w:rPr>
        <w:t> </w:t>
      </w:r>
      <w:r w:rsidRPr="00D367DE">
        <w:rPr>
          <w:rFonts w:eastAsia="SimSun"/>
          <w:lang w:val="es-ES" w:eastAsia="zh-CN"/>
        </w:rPr>
        <w:t>30</w:t>
      </w:r>
      <w:r w:rsidR="00553D9B" w:rsidRPr="002C5491">
        <w:rPr>
          <w:iCs/>
          <w:szCs w:val="22"/>
          <w:lang w:val="es-ES"/>
        </w:rPr>
        <w:t> </w:t>
      </w:r>
      <w:r w:rsidRPr="00D367DE">
        <w:rPr>
          <w:rFonts w:eastAsia="SimSun"/>
          <w:lang w:val="es-ES" w:eastAsia="zh-CN"/>
        </w:rPr>
        <w:t>kg</w:t>
      </w:r>
      <w:r>
        <w:rPr>
          <w:rFonts w:eastAsia="SimSun"/>
          <w:lang w:val="es-ES" w:eastAsia="zh-CN"/>
        </w:rPr>
        <w:t>)</w:t>
      </w:r>
      <w:r w:rsidRPr="00D367DE">
        <w:rPr>
          <w:rFonts w:eastAsia="SimSun"/>
          <w:lang w:val="es-ES" w:eastAsia="zh-CN"/>
        </w:rPr>
        <w:t>, aproximadamente el 90% del estado esta</w:t>
      </w:r>
      <w:r>
        <w:rPr>
          <w:rFonts w:eastAsia="SimSun"/>
          <w:lang w:val="es-ES" w:eastAsia="zh-CN"/>
        </w:rPr>
        <w:t>cionario</w:t>
      </w:r>
      <w:r w:rsidRPr="00D367DE">
        <w:rPr>
          <w:rFonts w:eastAsia="SimSun"/>
          <w:lang w:val="es-ES" w:eastAsia="zh-CN"/>
        </w:rPr>
        <w:t xml:space="preserve"> se alcanzó en </w:t>
      </w:r>
      <w:r>
        <w:rPr>
          <w:rFonts w:eastAsia="SimSun"/>
          <w:lang w:val="es-ES" w:eastAsia="zh-CN"/>
        </w:rPr>
        <w:t>la semana</w:t>
      </w:r>
      <w:r w:rsidR="00553D9B" w:rsidRPr="002C5491">
        <w:rPr>
          <w:iCs/>
          <w:szCs w:val="22"/>
          <w:lang w:val="es-ES"/>
        </w:rPr>
        <w:t> </w:t>
      </w:r>
      <w:r>
        <w:rPr>
          <w:rFonts w:eastAsia="SimSun"/>
          <w:lang w:val="es-ES" w:eastAsia="zh-CN"/>
        </w:rPr>
        <w:t xml:space="preserve">12 </w:t>
      </w:r>
      <w:r w:rsidRPr="00D367DE">
        <w:rPr>
          <w:rFonts w:eastAsia="SimSun"/>
          <w:lang w:val="es-ES" w:eastAsia="zh-CN"/>
        </w:rPr>
        <w:t xml:space="preserve">y en la </w:t>
      </w:r>
      <w:r>
        <w:rPr>
          <w:rFonts w:eastAsia="SimSun"/>
          <w:lang w:val="es-ES" w:eastAsia="zh-CN"/>
        </w:rPr>
        <w:t>semana</w:t>
      </w:r>
      <w:r w:rsidR="00553D9B" w:rsidRPr="002C5491">
        <w:rPr>
          <w:iCs/>
          <w:szCs w:val="22"/>
          <w:lang w:val="es-ES"/>
        </w:rPr>
        <w:t> </w:t>
      </w:r>
      <w:r>
        <w:rPr>
          <w:rFonts w:eastAsia="SimSun"/>
          <w:lang w:val="es-ES" w:eastAsia="zh-CN"/>
        </w:rPr>
        <w:t>16 para la dosis de 8</w:t>
      </w:r>
      <w:r w:rsidR="00553D9B" w:rsidRPr="002C5491">
        <w:rPr>
          <w:iCs/>
          <w:szCs w:val="22"/>
          <w:lang w:val="es-ES"/>
        </w:rPr>
        <w:t> </w:t>
      </w:r>
      <w:r>
        <w:rPr>
          <w:rFonts w:eastAsia="SimSun"/>
          <w:lang w:val="es-ES" w:eastAsia="zh-CN"/>
        </w:rPr>
        <w:t>mg/kg (</w:t>
      </w:r>
      <w:r w:rsidR="00553D9B">
        <w:rPr>
          <w:rFonts w:eastAsia="SimSun"/>
          <w:lang w:val="es-ES" w:eastAsia="zh-CN"/>
        </w:rPr>
        <w:t>peso corporal</w:t>
      </w:r>
      <w:r w:rsidR="00553D9B" w:rsidRPr="00D367DE">
        <w:rPr>
          <w:rFonts w:eastAsia="SimSun"/>
          <w:lang w:val="es-ES" w:eastAsia="zh-CN"/>
        </w:rPr>
        <w:t xml:space="preserve"> </w:t>
      </w:r>
      <w:r w:rsidRPr="00D367DE">
        <w:rPr>
          <w:rFonts w:eastAsia="SimSun"/>
          <w:lang w:val="es-ES" w:eastAsia="zh-CN"/>
        </w:rPr>
        <w:t>≥</w:t>
      </w:r>
      <w:r w:rsidR="00553D9B" w:rsidRPr="002C5491">
        <w:rPr>
          <w:iCs/>
          <w:szCs w:val="22"/>
          <w:lang w:val="es-ES"/>
        </w:rPr>
        <w:t> </w:t>
      </w:r>
      <w:r w:rsidRPr="00D367DE">
        <w:rPr>
          <w:rFonts w:eastAsia="SimSun"/>
          <w:lang w:val="es-ES" w:eastAsia="zh-CN"/>
        </w:rPr>
        <w:t>30</w:t>
      </w:r>
      <w:r w:rsidR="00553D9B" w:rsidRPr="002C5491">
        <w:rPr>
          <w:iCs/>
          <w:szCs w:val="22"/>
          <w:lang w:val="es-ES"/>
        </w:rPr>
        <w:t> </w:t>
      </w:r>
      <w:r w:rsidRPr="00D367DE">
        <w:rPr>
          <w:rFonts w:eastAsia="SimSun"/>
          <w:lang w:val="es-ES" w:eastAsia="zh-CN"/>
        </w:rPr>
        <w:t xml:space="preserve">kg). Después de la dosificación </w:t>
      </w:r>
      <w:r w:rsidR="002C39BB">
        <w:rPr>
          <w:rFonts w:eastAsia="SimSun"/>
          <w:lang w:val="es-ES" w:eastAsia="zh-CN"/>
        </w:rPr>
        <w:t>subcutánea</w:t>
      </w:r>
      <w:r w:rsidRPr="00D367DE">
        <w:rPr>
          <w:rFonts w:eastAsia="SimSun"/>
          <w:lang w:val="es-ES" w:eastAsia="zh-CN"/>
        </w:rPr>
        <w:t>, aproximadamente el 90% del estado esta</w:t>
      </w:r>
      <w:r>
        <w:rPr>
          <w:rFonts w:eastAsia="SimSun"/>
          <w:lang w:val="es-ES" w:eastAsia="zh-CN"/>
        </w:rPr>
        <w:t>cionario</w:t>
      </w:r>
      <w:r w:rsidRPr="00D367DE">
        <w:rPr>
          <w:rFonts w:eastAsia="SimSun"/>
          <w:lang w:val="es-ES" w:eastAsia="zh-CN"/>
        </w:rPr>
        <w:t xml:space="preserve"> se alcanzó en la semana</w:t>
      </w:r>
      <w:r w:rsidR="00553D9B" w:rsidRPr="002C5491">
        <w:rPr>
          <w:iCs/>
          <w:szCs w:val="22"/>
          <w:lang w:val="es-ES"/>
        </w:rPr>
        <w:t> </w:t>
      </w:r>
      <w:r w:rsidRPr="00D367DE">
        <w:rPr>
          <w:rFonts w:eastAsia="SimSun"/>
          <w:lang w:val="es-ES" w:eastAsia="zh-CN"/>
        </w:rPr>
        <w:t>12 para amb</w:t>
      </w:r>
      <w:r>
        <w:rPr>
          <w:rFonts w:eastAsia="SimSun"/>
          <w:lang w:val="es-ES" w:eastAsia="zh-CN"/>
        </w:rPr>
        <w:t>a</w:t>
      </w:r>
      <w:r w:rsidRPr="00D367DE">
        <w:rPr>
          <w:rFonts w:eastAsia="SimSun"/>
          <w:lang w:val="es-ES" w:eastAsia="zh-CN"/>
        </w:rPr>
        <w:t xml:space="preserve">s </w:t>
      </w:r>
      <w:r>
        <w:rPr>
          <w:rFonts w:eastAsia="SimSun"/>
          <w:lang w:val="es-ES" w:eastAsia="zh-CN"/>
        </w:rPr>
        <w:t>pautas posológicas</w:t>
      </w:r>
      <w:r w:rsidRPr="00D367DE">
        <w:rPr>
          <w:rFonts w:eastAsia="SimSun"/>
          <w:lang w:val="es-ES" w:eastAsia="zh-CN"/>
        </w:rPr>
        <w:t xml:space="preserve"> Q2W y Q3W</w:t>
      </w:r>
      <w:r>
        <w:rPr>
          <w:rFonts w:eastAsia="SimSun"/>
          <w:lang w:val="es-ES" w:eastAsia="zh-CN"/>
        </w:rPr>
        <w:t xml:space="preserve"> de </w:t>
      </w:r>
      <w:r w:rsidRPr="00D367DE">
        <w:rPr>
          <w:rFonts w:eastAsia="SimSun"/>
          <w:lang w:val="es-ES" w:eastAsia="zh-CN"/>
        </w:rPr>
        <w:t>162</w:t>
      </w:r>
      <w:r w:rsidR="00553D9B" w:rsidRPr="002C5491">
        <w:rPr>
          <w:iCs/>
          <w:szCs w:val="22"/>
          <w:lang w:val="es-ES"/>
        </w:rPr>
        <w:t> </w:t>
      </w:r>
      <w:r w:rsidRPr="00D367DE">
        <w:rPr>
          <w:rFonts w:eastAsia="SimSun"/>
          <w:lang w:val="es-ES" w:eastAsia="zh-CN"/>
        </w:rPr>
        <w:t xml:space="preserve">mg </w:t>
      </w:r>
      <w:r w:rsidR="002C39BB">
        <w:rPr>
          <w:rFonts w:eastAsia="SimSun"/>
          <w:lang w:val="es-ES" w:eastAsia="zh-CN"/>
        </w:rPr>
        <w:t>subcutáne</w:t>
      </w:r>
      <w:r w:rsidR="00553D9B">
        <w:rPr>
          <w:rFonts w:eastAsia="SimSun"/>
          <w:lang w:val="es-ES" w:eastAsia="zh-CN"/>
        </w:rPr>
        <w:t>os</w:t>
      </w:r>
      <w:r w:rsidRPr="00D367DE">
        <w:rPr>
          <w:rFonts w:eastAsia="SimSun"/>
          <w:lang w:val="es-ES" w:eastAsia="zh-CN"/>
        </w:rPr>
        <w:t>.</w:t>
      </w:r>
    </w:p>
    <w:p w14:paraId="497AAA09" w14:textId="77777777" w:rsidR="00376F3E" w:rsidRDefault="00376F3E" w:rsidP="00376F3E">
      <w:pPr>
        <w:rPr>
          <w:rFonts w:eastAsia="SimSun"/>
          <w:lang w:val="es-ES" w:eastAsia="zh-CN"/>
        </w:rPr>
      </w:pPr>
    </w:p>
    <w:p w14:paraId="01D9EB86" w14:textId="77777777" w:rsidR="00376F3E" w:rsidRPr="00F30AB8" w:rsidRDefault="00376F3E" w:rsidP="00376F3E">
      <w:pPr>
        <w:rPr>
          <w:rFonts w:eastAsia="SimSun"/>
          <w:i/>
          <w:u w:val="single"/>
          <w:lang w:val="es-ES" w:eastAsia="zh-CN"/>
        </w:rPr>
      </w:pPr>
      <w:r w:rsidRPr="00F30AB8">
        <w:rPr>
          <w:rFonts w:eastAsia="SimSun"/>
          <w:i/>
          <w:u w:val="single"/>
          <w:lang w:val="es-ES" w:eastAsia="zh-CN"/>
        </w:rPr>
        <w:t>Absorción</w:t>
      </w:r>
    </w:p>
    <w:p w14:paraId="202D1566" w14:textId="4AA375DB" w:rsidR="00376F3E" w:rsidRDefault="00376F3E" w:rsidP="00376F3E">
      <w:pPr>
        <w:outlineLvl w:val="0"/>
        <w:rPr>
          <w:iCs/>
          <w:lang w:val="es-ES_tradnl"/>
        </w:rPr>
      </w:pPr>
      <w:r>
        <w:rPr>
          <w:iCs/>
          <w:lang w:val="es-ES_tradnl"/>
        </w:rPr>
        <w:t xml:space="preserve">En pacientes con AIJp después de la administración de la dosis </w:t>
      </w:r>
      <w:r w:rsidR="002C39BB" w:rsidRPr="002C39BB">
        <w:rPr>
          <w:iCs/>
          <w:lang w:val="es-ES_tradnl"/>
        </w:rPr>
        <w:t>subcutánea</w:t>
      </w:r>
      <w:r w:rsidRPr="00D367DE">
        <w:rPr>
          <w:iCs/>
          <w:lang w:val="es-ES_tradnl"/>
        </w:rPr>
        <w:t>, la vida medi</w:t>
      </w:r>
      <w:r>
        <w:rPr>
          <w:iCs/>
          <w:lang w:val="es-ES_tradnl"/>
        </w:rPr>
        <w:t>a de absorción fue de aproximadamente</w:t>
      </w:r>
      <w:r w:rsidRPr="00D367DE">
        <w:rPr>
          <w:iCs/>
          <w:lang w:val="es-ES_tradnl"/>
        </w:rPr>
        <w:t xml:space="preserve"> 2</w:t>
      </w:r>
      <w:ins w:id="1371" w:author="AUTHOR">
        <w:r w:rsidR="000228E7" w:rsidRPr="00467FFD">
          <w:rPr>
            <w:iCs/>
            <w:szCs w:val="22"/>
            <w:lang w:val="es-ES"/>
            <w:rPrChange w:id="1372" w:author="AUTHOR">
              <w:rPr>
                <w:iCs/>
                <w:szCs w:val="22"/>
              </w:rPr>
            </w:rPrChange>
          </w:rPr>
          <w:t> </w:t>
        </w:r>
      </w:ins>
      <w:del w:id="1373" w:author="AUTHOR">
        <w:r w:rsidRPr="00D367DE" w:rsidDel="000228E7">
          <w:rPr>
            <w:iCs/>
            <w:lang w:val="es-ES_tradnl"/>
          </w:rPr>
          <w:delText xml:space="preserve"> </w:delText>
        </w:r>
      </w:del>
      <w:r w:rsidRPr="00D367DE">
        <w:rPr>
          <w:iCs/>
          <w:lang w:val="es-ES_tradnl"/>
        </w:rPr>
        <w:t xml:space="preserve">días, y la biodisponibilidad </w:t>
      </w:r>
      <w:r>
        <w:rPr>
          <w:iCs/>
          <w:lang w:val="es-ES_tradnl"/>
        </w:rPr>
        <w:t>en</w:t>
      </w:r>
      <w:r w:rsidRPr="00D367DE">
        <w:rPr>
          <w:iCs/>
          <w:lang w:val="es-ES_tradnl"/>
        </w:rPr>
        <w:t xml:space="preserve"> la for</w:t>
      </w:r>
      <w:r>
        <w:rPr>
          <w:iCs/>
          <w:lang w:val="es-ES_tradnl"/>
        </w:rPr>
        <w:t xml:space="preserve">mulación </w:t>
      </w:r>
      <w:r w:rsidR="002C39BB">
        <w:rPr>
          <w:rFonts w:eastAsia="SimSun"/>
          <w:lang w:val="es-ES" w:eastAsia="zh-CN"/>
        </w:rPr>
        <w:t>subcutánea</w:t>
      </w:r>
      <w:r>
        <w:rPr>
          <w:iCs/>
          <w:lang w:val="es-ES_tradnl"/>
        </w:rPr>
        <w:t xml:space="preserve">en pacientes con </w:t>
      </w:r>
      <w:r w:rsidRPr="00D367DE">
        <w:rPr>
          <w:iCs/>
          <w:lang w:val="es-ES_tradnl"/>
        </w:rPr>
        <w:t>A</w:t>
      </w:r>
      <w:r>
        <w:rPr>
          <w:iCs/>
          <w:lang w:val="es-ES_tradnl"/>
        </w:rPr>
        <w:t>IJp</w:t>
      </w:r>
      <w:r w:rsidRPr="00D367DE">
        <w:rPr>
          <w:iCs/>
          <w:lang w:val="es-ES_tradnl"/>
        </w:rPr>
        <w:t xml:space="preserve"> fue del 96</w:t>
      </w:r>
      <w:ins w:id="1374" w:author="AUTHOR">
        <w:r w:rsidR="000228E7" w:rsidRPr="00467FFD">
          <w:rPr>
            <w:iCs/>
            <w:szCs w:val="22"/>
            <w:lang w:val="es-ES"/>
            <w:rPrChange w:id="1375" w:author="AUTHOR">
              <w:rPr>
                <w:iCs/>
                <w:szCs w:val="22"/>
              </w:rPr>
            </w:rPrChange>
          </w:rPr>
          <w:t> </w:t>
        </w:r>
      </w:ins>
      <w:r w:rsidRPr="00D367DE">
        <w:rPr>
          <w:iCs/>
          <w:lang w:val="es-ES_tradnl"/>
        </w:rPr>
        <w:t>%.</w:t>
      </w:r>
    </w:p>
    <w:p w14:paraId="7C9AB9DA" w14:textId="77777777" w:rsidR="002C39BB" w:rsidRPr="000D2A86" w:rsidRDefault="002C39BB" w:rsidP="00376F3E">
      <w:pPr>
        <w:rPr>
          <w:rFonts w:eastAsia="SimSun"/>
          <w:lang w:val="es-ES_tradnl" w:eastAsia="zh-CN"/>
        </w:rPr>
      </w:pPr>
    </w:p>
    <w:p w14:paraId="56D8E232" w14:textId="77777777" w:rsidR="00376F3E" w:rsidRPr="00F30AB8" w:rsidRDefault="00376F3E" w:rsidP="00376F3E">
      <w:pPr>
        <w:rPr>
          <w:rFonts w:eastAsia="SimSun"/>
          <w:i/>
          <w:u w:val="single"/>
          <w:lang w:val="es-ES" w:eastAsia="zh-CN"/>
        </w:rPr>
      </w:pPr>
      <w:r w:rsidRPr="00F30AB8">
        <w:rPr>
          <w:rFonts w:eastAsia="SimSun"/>
          <w:i/>
          <w:u w:val="single"/>
          <w:lang w:val="es-ES" w:eastAsia="zh-CN"/>
        </w:rPr>
        <w:t>Distribución</w:t>
      </w:r>
    </w:p>
    <w:p w14:paraId="596A77B2" w14:textId="52C370BC" w:rsidR="00376F3E" w:rsidRPr="00FC7261" w:rsidRDefault="00376F3E" w:rsidP="00376F3E">
      <w:pPr>
        <w:outlineLvl w:val="0"/>
        <w:rPr>
          <w:iCs/>
          <w:lang w:val="es-ES_tradnl"/>
        </w:rPr>
      </w:pPr>
      <w:r>
        <w:rPr>
          <w:iCs/>
          <w:lang w:val="es-ES_tradnl"/>
        </w:rPr>
        <w:t>En pacientes pediátricos con AIJp, el volumen central de distribución fue de 1,97</w:t>
      </w:r>
      <w:r w:rsidR="00553D9B" w:rsidRPr="002C5491">
        <w:rPr>
          <w:iCs/>
          <w:szCs w:val="22"/>
          <w:lang w:val="es-ES"/>
        </w:rPr>
        <w:t> </w:t>
      </w:r>
      <w:r>
        <w:rPr>
          <w:iCs/>
          <w:lang w:val="es-ES_tradnl"/>
        </w:rPr>
        <w:t>l, el volumen periférico de distribución fue de 2,03</w:t>
      </w:r>
      <w:r w:rsidR="00553D9B" w:rsidRPr="002C5491">
        <w:rPr>
          <w:iCs/>
          <w:szCs w:val="22"/>
          <w:lang w:val="es-ES"/>
        </w:rPr>
        <w:t> </w:t>
      </w:r>
      <w:r>
        <w:rPr>
          <w:iCs/>
          <w:lang w:val="es-ES_tradnl"/>
        </w:rPr>
        <w:t>l, resultando en un volumen de distribución en estado estacionario de 4,0</w:t>
      </w:r>
      <w:r w:rsidR="00553D9B" w:rsidRPr="002C5491">
        <w:rPr>
          <w:iCs/>
          <w:szCs w:val="22"/>
          <w:lang w:val="es-ES"/>
        </w:rPr>
        <w:t> </w:t>
      </w:r>
      <w:r>
        <w:rPr>
          <w:iCs/>
          <w:lang w:val="es-ES_tradnl"/>
        </w:rPr>
        <w:t>l.</w:t>
      </w:r>
    </w:p>
    <w:p w14:paraId="647ED834" w14:textId="77777777" w:rsidR="00376F3E" w:rsidRPr="00467FFD" w:rsidRDefault="00376F3E" w:rsidP="00376F3E">
      <w:pPr>
        <w:rPr>
          <w:rFonts w:eastAsia="SimSun"/>
          <w:i/>
          <w:iCs/>
          <w:lang w:val="es-ES_tradnl" w:eastAsia="zh-CN"/>
          <w:rPrChange w:id="1376" w:author="AUTHOR">
            <w:rPr>
              <w:rFonts w:eastAsia="SimSun"/>
              <w:lang w:val="es-ES_tradnl" w:eastAsia="zh-CN"/>
            </w:rPr>
          </w:rPrChange>
        </w:rPr>
      </w:pPr>
    </w:p>
    <w:p w14:paraId="71393C59" w14:textId="77777777" w:rsidR="00376F3E" w:rsidRPr="00467FFD" w:rsidRDefault="00376F3E" w:rsidP="00376F3E">
      <w:pPr>
        <w:rPr>
          <w:rFonts w:eastAsia="SimSun"/>
          <w:i/>
          <w:iCs/>
          <w:u w:val="single"/>
          <w:lang w:val="es-ES" w:eastAsia="zh-CN"/>
          <w:rPrChange w:id="1377" w:author="AUTHOR">
            <w:rPr>
              <w:rFonts w:eastAsia="SimSun"/>
              <w:u w:val="single"/>
              <w:lang w:val="es-ES" w:eastAsia="zh-CN"/>
            </w:rPr>
          </w:rPrChange>
        </w:rPr>
      </w:pPr>
      <w:r w:rsidRPr="00467FFD">
        <w:rPr>
          <w:rFonts w:eastAsia="SimSun"/>
          <w:i/>
          <w:iCs/>
          <w:u w:val="single"/>
          <w:lang w:val="es-ES" w:eastAsia="zh-CN"/>
          <w:rPrChange w:id="1378" w:author="AUTHOR">
            <w:rPr>
              <w:rFonts w:eastAsia="SimSun"/>
              <w:u w:val="single"/>
              <w:lang w:val="es-ES" w:eastAsia="zh-CN"/>
            </w:rPr>
          </w:rPrChange>
        </w:rPr>
        <w:t>Eliminación</w:t>
      </w:r>
    </w:p>
    <w:p w14:paraId="3BCD0D08" w14:textId="2EC8CF77" w:rsidR="00376F3E" w:rsidRDefault="00376F3E" w:rsidP="00376F3E">
      <w:pPr>
        <w:outlineLvl w:val="0"/>
        <w:rPr>
          <w:iCs/>
          <w:lang w:val="es-ES"/>
        </w:rPr>
      </w:pPr>
      <w:r w:rsidRPr="00BA7893">
        <w:rPr>
          <w:lang w:val="es-ES_tradnl"/>
        </w:rPr>
        <w:t>Los resultados de</w:t>
      </w:r>
      <w:r>
        <w:rPr>
          <w:lang w:val="es-ES_tradnl"/>
        </w:rPr>
        <w:t xml:space="preserve">l análisis PK poblacional en pacientes con </w:t>
      </w:r>
      <w:r w:rsidRPr="00BA7893">
        <w:rPr>
          <w:lang w:val="es-ES_tradnl"/>
        </w:rPr>
        <w:t>A</w:t>
      </w:r>
      <w:r>
        <w:rPr>
          <w:lang w:val="es-ES_tradnl"/>
        </w:rPr>
        <w:t>IJp</w:t>
      </w:r>
      <w:r w:rsidRPr="00BA7893">
        <w:rPr>
          <w:lang w:val="es-ES_tradnl"/>
        </w:rPr>
        <w:t xml:space="preserve"> confi</w:t>
      </w:r>
      <w:r>
        <w:rPr>
          <w:lang w:val="es-ES_tradnl"/>
        </w:rPr>
        <w:t xml:space="preserve">rmaron que el tamaño corporal impacta en el aclaramiento lineal, por lo que debe tenerse en cuenta la dosificación en base al peso corporal </w:t>
      </w:r>
      <w:r w:rsidRPr="009F0106">
        <w:rPr>
          <w:lang w:val="es-ES"/>
        </w:rPr>
        <w:t>(ver Tabla</w:t>
      </w:r>
      <w:r w:rsidR="00553D9B" w:rsidRPr="002C5491">
        <w:rPr>
          <w:iCs/>
          <w:szCs w:val="22"/>
          <w:lang w:val="es-ES"/>
        </w:rPr>
        <w:t> </w:t>
      </w:r>
      <w:r>
        <w:rPr>
          <w:lang w:val="es-ES"/>
        </w:rPr>
        <w:t>9).</w:t>
      </w:r>
    </w:p>
    <w:p w14:paraId="4479B88F" w14:textId="77777777" w:rsidR="00376F3E" w:rsidRDefault="00376F3E" w:rsidP="00376F3E">
      <w:pPr>
        <w:outlineLvl w:val="0"/>
        <w:rPr>
          <w:iCs/>
          <w:lang w:val="es-ES"/>
        </w:rPr>
      </w:pPr>
    </w:p>
    <w:p w14:paraId="0CAA18D3" w14:textId="5A9E2ABF" w:rsidR="00376F3E" w:rsidRDefault="00376F3E" w:rsidP="00376F3E">
      <w:pPr>
        <w:outlineLvl w:val="0"/>
        <w:rPr>
          <w:iCs/>
          <w:lang w:val="es-ES"/>
        </w:rPr>
      </w:pPr>
      <w:r>
        <w:rPr>
          <w:iCs/>
          <w:lang w:val="es-ES"/>
        </w:rPr>
        <w:t xml:space="preserve">La </w:t>
      </w:r>
      <w:r w:rsidRPr="00B13740">
        <w:rPr>
          <w:lang w:val="es-ES"/>
        </w:rPr>
        <w:t>t</w:t>
      </w:r>
      <w:r w:rsidRPr="00B13740">
        <w:rPr>
          <w:vertAlign w:val="subscript"/>
          <w:lang w:val="es-ES"/>
        </w:rPr>
        <w:t>1/2</w:t>
      </w:r>
      <w:r>
        <w:rPr>
          <w:lang w:val="es-ES"/>
        </w:rPr>
        <w:t xml:space="preserve"> efectiva de </w:t>
      </w:r>
      <w:r w:rsidR="002C39BB">
        <w:rPr>
          <w:lang w:val="es-ES"/>
        </w:rPr>
        <w:t xml:space="preserve">tocilizumab </w:t>
      </w:r>
      <w:r>
        <w:rPr>
          <w:iCs/>
          <w:lang w:val="es-ES"/>
        </w:rPr>
        <w:t>después de la administración subcutánea</w:t>
      </w:r>
      <w:r>
        <w:rPr>
          <w:lang w:val="es-ES"/>
        </w:rPr>
        <w:t xml:space="preserve"> en pacientes con AIJp</w:t>
      </w:r>
      <w:r>
        <w:rPr>
          <w:iCs/>
          <w:lang w:val="es-ES"/>
        </w:rPr>
        <w:t xml:space="preserve"> </w:t>
      </w:r>
      <w:r>
        <w:rPr>
          <w:lang w:val="es-ES"/>
        </w:rPr>
        <w:t>es de hasta 10</w:t>
      </w:r>
      <w:r w:rsidR="00553D9B" w:rsidRPr="002C5491">
        <w:rPr>
          <w:iCs/>
          <w:szCs w:val="22"/>
          <w:lang w:val="es-ES"/>
        </w:rPr>
        <w:t> </w:t>
      </w:r>
      <w:r>
        <w:rPr>
          <w:lang w:val="es-ES"/>
        </w:rPr>
        <w:t>días para pacientes</w:t>
      </w:r>
      <w:r w:rsidR="00553D9B" w:rsidRPr="002C5491">
        <w:rPr>
          <w:iCs/>
          <w:szCs w:val="22"/>
          <w:lang w:val="es-ES"/>
        </w:rPr>
        <w:t> </w:t>
      </w:r>
      <w:r>
        <w:rPr>
          <w:lang w:val="es-ES"/>
        </w:rPr>
        <w:t>&lt;</w:t>
      </w:r>
      <w:r w:rsidR="00553D9B" w:rsidRPr="002C5491">
        <w:rPr>
          <w:iCs/>
          <w:szCs w:val="22"/>
          <w:lang w:val="es-ES"/>
        </w:rPr>
        <w:t> </w:t>
      </w:r>
      <w:r>
        <w:rPr>
          <w:lang w:val="es-ES"/>
        </w:rPr>
        <w:t>30</w:t>
      </w:r>
      <w:r w:rsidR="00553D9B" w:rsidRPr="002C5491">
        <w:rPr>
          <w:iCs/>
          <w:szCs w:val="22"/>
          <w:lang w:val="es-ES"/>
        </w:rPr>
        <w:t> </w:t>
      </w:r>
      <w:r>
        <w:rPr>
          <w:lang w:val="es-ES"/>
        </w:rPr>
        <w:t>kg (</w:t>
      </w:r>
      <w:r w:rsidRPr="006616E4">
        <w:rPr>
          <w:color w:val="000000"/>
          <w:szCs w:val="22"/>
          <w:shd w:val="clear" w:color="auto" w:fill="FFFFFF"/>
          <w:lang w:val="es-ES"/>
        </w:rPr>
        <w:t xml:space="preserve">162 mg </w:t>
      </w:r>
      <w:r w:rsidR="00553D9B">
        <w:rPr>
          <w:color w:val="000000"/>
          <w:szCs w:val="22"/>
          <w:shd w:val="clear" w:color="auto" w:fill="FFFFFF"/>
          <w:lang w:val="es-ES"/>
        </w:rPr>
        <w:t>subcutáneos</w:t>
      </w:r>
      <w:r w:rsidR="00553D9B" w:rsidRPr="006616E4">
        <w:rPr>
          <w:color w:val="000000"/>
          <w:szCs w:val="22"/>
          <w:shd w:val="clear" w:color="auto" w:fill="FFFFFF"/>
          <w:lang w:val="es-ES"/>
        </w:rPr>
        <w:t xml:space="preserve"> </w:t>
      </w:r>
      <w:r w:rsidRPr="006616E4">
        <w:rPr>
          <w:color w:val="000000"/>
          <w:szCs w:val="22"/>
          <w:shd w:val="clear" w:color="auto" w:fill="FFFFFF"/>
          <w:lang w:val="es-ES"/>
        </w:rPr>
        <w:t>Q3W) y hasta 7</w:t>
      </w:r>
      <w:r w:rsidR="00553D9B" w:rsidRPr="002C5491">
        <w:rPr>
          <w:iCs/>
          <w:szCs w:val="22"/>
          <w:lang w:val="es-ES"/>
        </w:rPr>
        <w:t> </w:t>
      </w:r>
      <w:r w:rsidRPr="006616E4">
        <w:rPr>
          <w:color w:val="000000"/>
          <w:szCs w:val="22"/>
          <w:shd w:val="clear" w:color="auto" w:fill="FFFFFF"/>
          <w:lang w:val="es-ES"/>
        </w:rPr>
        <w:t>d</w:t>
      </w:r>
      <w:r>
        <w:rPr>
          <w:color w:val="000000"/>
          <w:szCs w:val="22"/>
          <w:shd w:val="clear" w:color="auto" w:fill="FFFFFF"/>
          <w:lang w:val="es-ES"/>
        </w:rPr>
        <w:t>ías para los pacientes</w:t>
      </w:r>
      <w:r w:rsidR="00553D9B" w:rsidRPr="002C5491">
        <w:rPr>
          <w:iCs/>
          <w:szCs w:val="22"/>
          <w:lang w:val="es-ES"/>
        </w:rPr>
        <w:t> </w:t>
      </w:r>
      <w:r w:rsidRPr="00590FA3">
        <w:rPr>
          <w:lang w:val="es-ES"/>
        </w:rPr>
        <w:t>≥</w:t>
      </w:r>
      <w:r>
        <w:rPr>
          <w:lang w:val="es-ES"/>
        </w:rPr>
        <w:t>30</w:t>
      </w:r>
      <w:r w:rsidR="00553D9B" w:rsidRPr="002C5491">
        <w:rPr>
          <w:iCs/>
          <w:szCs w:val="22"/>
          <w:lang w:val="es-ES"/>
        </w:rPr>
        <w:t> </w:t>
      </w:r>
      <w:r>
        <w:rPr>
          <w:lang w:val="es-ES"/>
        </w:rPr>
        <w:t>kg</w:t>
      </w:r>
      <w:r>
        <w:rPr>
          <w:color w:val="000000"/>
          <w:szCs w:val="22"/>
          <w:shd w:val="clear" w:color="auto" w:fill="FFFFFF"/>
          <w:lang w:val="es-ES"/>
        </w:rPr>
        <w:t xml:space="preserve"> (</w:t>
      </w:r>
      <w:r w:rsidRPr="006616E4">
        <w:rPr>
          <w:color w:val="000000"/>
          <w:szCs w:val="22"/>
          <w:shd w:val="clear" w:color="auto" w:fill="FFFFFF"/>
          <w:lang w:val="es-ES"/>
        </w:rPr>
        <w:t xml:space="preserve">162 mg </w:t>
      </w:r>
      <w:r w:rsidR="002C39BB">
        <w:rPr>
          <w:rFonts w:eastAsia="SimSun"/>
          <w:lang w:val="es-ES" w:eastAsia="zh-CN"/>
        </w:rPr>
        <w:t>subcutáne</w:t>
      </w:r>
      <w:r w:rsidR="00553D9B">
        <w:rPr>
          <w:rFonts w:eastAsia="SimSun"/>
          <w:lang w:val="es-ES" w:eastAsia="zh-CN"/>
        </w:rPr>
        <w:t>os</w:t>
      </w:r>
      <w:r w:rsidRPr="006616E4">
        <w:rPr>
          <w:color w:val="000000"/>
          <w:szCs w:val="22"/>
          <w:shd w:val="clear" w:color="auto" w:fill="FFFFFF"/>
          <w:lang w:val="es-ES"/>
        </w:rPr>
        <w:t>Q2W</w:t>
      </w:r>
      <w:r>
        <w:rPr>
          <w:lang w:val="es-ES"/>
        </w:rPr>
        <w:t>)</w:t>
      </w:r>
      <w:r w:rsidRPr="009646B1">
        <w:rPr>
          <w:lang w:val="es-ES"/>
        </w:rPr>
        <w:t xml:space="preserve"> </w:t>
      </w:r>
      <w:r w:rsidRPr="009847A8">
        <w:rPr>
          <w:lang w:val="es-ES"/>
        </w:rPr>
        <w:t>durante un intervalo de dosis en estado estacionario.</w:t>
      </w:r>
      <w:r>
        <w:rPr>
          <w:lang w:val="es-ES"/>
        </w:rPr>
        <w:t xml:space="preserve"> </w:t>
      </w:r>
      <w:r w:rsidRPr="00546572">
        <w:rPr>
          <w:lang w:val="es-ES_tradnl"/>
        </w:rPr>
        <w:t>Después de la administración intravenosa, tocilizumab experimenta una eliminación bifásica de la circulación.</w:t>
      </w:r>
      <w:r w:rsidRPr="00FA0A14">
        <w:rPr>
          <w:lang w:val="es-ES_tradnl"/>
        </w:rPr>
        <w:t xml:space="preserve"> El aclaramiento total de tocilizumab fue dependiente de la concentración y es la suma del aclaramiento lineal y el no lineal.</w:t>
      </w:r>
      <w:r w:rsidRPr="001A33F0">
        <w:rPr>
          <w:lang w:val="es-ES"/>
        </w:rPr>
        <w:t xml:space="preserve"> </w:t>
      </w:r>
      <w:r w:rsidRPr="001A33F0">
        <w:rPr>
          <w:lang w:val="es-ES_tradnl"/>
        </w:rPr>
        <w:t>El aclaramiento lineal se estimó como parámetro en el análisis farmacocinétic</w:t>
      </w:r>
      <w:r>
        <w:rPr>
          <w:lang w:val="es-ES_tradnl"/>
        </w:rPr>
        <w:t>o</w:t>
      </w:r>
      <w:r w:rsidRPr="001A33F0">
        <w:rPr>
          <w:lang w:val="es-ES_tradnl"/>
        </w:rPr>
        <w:t xml:space="preserve"> de poblaciones y fue de </w:t>
      </w:r>
      <w:r w:rsidRPr="006616E4">
        <w:rPr>
          <w:lang w:val="es-ES_tradnl"/>
        </w:rPr>
        <w:t>6,2</w:t>
      </w:r>
      <w:r w:rsidRPr="00546572">
        <w:rPr>
          <w:lang w:val="es-ES_tradnl"/>
        </w:rPr>
        <w:t>5 ml/h. El aclaramiento no lineal dependiente de la concentración desempeña un papel importante a concentraciones bajas de tocilizumab. Una vez saturada la vía de aclaramiento no lineal, a concentracione</w:t>
      </w:r>
      <w:r w:rsidRPr="00FA0A14">
        <w:rPr>
          <w:lang w:val="es-ES_tradnl"/>
        </w:rPr>
        <w:t>s mayores de tocilizumab, la eliminación viene determinada fundamentalmente por el aclaramiento lineal.</w:t>
      </w:r>
      <w:r w:rsidRPr="008A106B">
        <w:rPr>
          <w:lang w:val="es-ES"/>
        </w:rPr>
        <w:t xml:space="preserve"> </w:t>
      </w:r>
    </w:p>
    <w:p w14:paraId="74870614" w14:textId="77777777" w:rsidR="001103E4" w:rsidRPr="00273B00" w:rsidRDefault="001103E4" w:rsidP="006868F5">
      <w:pPr>
        <w:outlineLvl w:val="0"/>
        <w:rPr>
          <w:iCs/>
          <w:lang w:val="es-ES"/>
        </w:rPr>
      </w:pPr>
    </w:p>
    <w:p w14:paraId="2DE085CA" w14:textId="77777777" w:rsidR="000228E7" w:rsidRPr="00467FFD" w:rsidRDefault="000228E7" w:rsidP="000228E7">
      <w:pPr>
        <w:outlineLvl w:val="0"/>
        <w:rPr>
          <w:moveTo w:id="1379" w:author="AUTHOR"/>
          <w:u w:val="single"/>
          <w:lang w:val="es-ES"/>
          <w:rPrChange w:id="1380" w:author="AUTHOR">
            <w:rPr>
              <w:moveTo w:id="1381" w:author="AUTHOR"/>
              <w:i/>
              <w:iCs/>
              <w:lang w:val="es-ES"/>
            </w:rPr>
          </w:rPrChange>
        </w:rPr>
      </w:pPr>
      <w:moveToRangeStart w:id="1382" w:author="AUTHOR" w:name="move221275205"/>
      <w:moveTo w:id="1383" w:author="AUTHOR">
        <w:r w:rsidRPr="00467FFD">
          <w:rPr>
            <w:u w:val="single"/>
            <w:lang w:val="es-ES"/>
            <w:rPrChange w:id="1384" w:author="AUTHOR">
              <w:rPr>
                <w:i/>
                <w:iCs/>
                <w:lang w:val="es-ES"/>
              </w:rPr>
            </w:rPrChange>
          </w:rPr>
          <w:t>Vía subcutánea</w:t>
        </w:r>
      </w:moveTo>
    </w:p>
    <w:moveToRangeEnd w:id="1382"/>
    <w:p w14:paraId="7B012CA4" w14:textId="00DACB31" w:rsidR="000E6690" w:rsidRPr="00467FFD" w:rsidRDefault="002C39BB" w:rsidP="006868F5">
      <w:pPr>
        <w:outlineLvl w:val="0"/>
        <w:rPr>
          <w:i/>
          <w:lang w:val="es-ES"/>
          <w:rPrChange w:id="1385" w:author="AUTHOR">
            <w:rPr>
              <w:iCs/>
              <w:u w:val="single"/>
              <w:lang w:val="es-ES"/>
            </w:rPr>
          </w:rPrChange>
        </w:rPr>
      </w:pPr>
      <w:r w:rsidRPr="00467FFD">
        <w:rPr>
          <w:i/>
          <w:lang w:val="es-ES"/>
          <w:rPrChange w:id="1386" w:author="AUTHOR">
            <w:rPr>
              <w:iCs/>
              <w:u w:val="single"/>
              <w:lang w:val="es-ES"/>
            </w:rPr>
          </w:rPrChange>
        </w:rPr>
        <w:t>Pacientes</w:t>
      </w:r>
      <w:r w:rsidR="00553D9B" w:rsidRPr="00467FFD">
        <w:rPr>
          <w:i/>
          <w:lang w:val="es-ES"/>
          <w:rPrChange w:id="1387" w:author="AUTHOR">
            <w:rPr>
              <w:iCs/>
              <w:u w:val="single"/>
              <w:lang w:val="es-ES"/>
            </w:rPr>
          </w:rPrChange>
        </w:rPr>
        <w:t xml:space="preserve"> con </w:t>
      </w:r>
      <w:r w:rsidR="000E6690" w:rsidRPr="00467FFD">
        <w:rPr>
          <w:i/>
          <w:lang w:val="es-ES"/>
          <w:rPrChange w:id="1388" w:author="AUTHOR">
            <w:rPr>
              <w:iCs/>
              <w:u w:val="single"/>
              <w:lang w:val="es-ES"/>
            </w:rPr>
          </w:rPrChange>
        </w:rPr>
        <w:t>ACG</w:t>
      </w:r>
    </w:p>
    <w:p w14:paraId="771A87AF" w14:textId="1EB4BCDC" w:rsidR="002C39BB" w:rsidRPr="006616E4" w:rsidDel="000228E7" w:rsidRDefault="002C39BB" w:rsidP="006868F5">
      <w:pPr>
        <w:outlineLvl w:val="0"/>
        <w:rPr>
          <w:del w:id="1389" w:author="AUTHOR"/>
          <w:iCs/>
          <w:u w:val="single"/>
          <w:lang w:val="es-ES"/>
        </w:rPr>
      </w:pPr>
    </w:p>
    <w:p w14:paraId="4FD44B5F" w14:textId="6D68DAB9" w:rsidR="009E21C9" w:rsidDel="000228E7" w:rsidRDefault="000E6690" w:rsidP="006868F5">
      <w:pPr>
        <w:outlineLvl w:val="0"/>
        <w:rPr>
          <w:moveFrom w:id="1390" w:author="AUTHOR"/>
          <w:i/>
          <w:iCs/>
          <w:lang w:val="es-ES"/>
        </w:rPr>
      </w:pPr>
      <w:moveFromRangeStart w:id="1391" w:author="AUTHOR" w:name="move221275205"/>
      <w:moveFrom w:id="1392" w:author="AUTHOR">
        <w:r w:rsidRPr="00F30AB8" w:rsidDel="000228E7">
          <w:rPr>
            <w:i/>
            <w:iCs/>
            <w:lang w:val="es-ES"/>
          </w:rPr>
          <w:t>Vía subcutánea</w:t>
        </w:r>
      </w:moveFrom>
    </w:p>
    <w:moveFromRangeEnd w:id="1391"/>
    <w:p w14:paraId="1E5C4CA9" w14:textId="77777777" w:rsidR="002C39BB" w:rsidRPr="00F30AB8" w:rsidRDefault="002C39BB" w:rsidP="006868F5">
      <w:pPr>
        <w:outlineLvl w:val="0"/>
        <w:rPr>
          <w:i/>
          <w:iCs/>
          <w:lang w:val="es-ES"/>
        </w:rPr>
      </w:pPr>
    </w:p>
    <w:p w14:paraId="55F5BE5E" w14:textId="4E067CDC" w:rsidR="00834462" w:rsidRPr="00C22F3F" w:rsidRDefault="00460403" w:rsidP="006868F5">
      <w:pPr>
        <w:outlineLvl w:val="0"/>
        <w:rPr>
          <w:iCs/>
          <w:lang w:val="es-ES"/>
        </w:rPr>
      </w:pPr>
      <w:r w:rsidRPr="006C05BA">
        <w:rPr>
          <w:iCs/>
          <w:lang w:val="es-ES"/>
        </w:rPr>
        <w:t xml:space="preserve">La </w:t>
      </w:r>
      <w:r w:rsidR="005C50FB">
        <w:rPr>
          <w:iCs/>
          <w:lang w:val="es-ES"/>
        </w:rPr>
        <w:t>PK</w:t>
      </w:r>
      <w:r w:rsidRPr="00C22F3F">
        <w:rPr>
          <w:iCs/>
          <w:lang w:val="es-ES"/>
        </w:rPr>
        <w:t xml:space="preserve"> </w:t>
      </w:r>
      <w:r w:rsidR="00D55C7C" w:rsidRPr="00C22F3F">
        <w:rPr>
          <w:iCs/>
          <w:lang w:val="es-ES"/>
        </w:rPr>
        <w:t xml:space="preserve">de </w:t>
      </w:r>
      <w:r w:rsidR="002C39BB">
        <w:rPr>
          <w:iCs/>
          <w:lang w:val="es-ES"/>
        </w:rPr>
        <w:t>tocilizumab</w:t>
      </w:r>
      <w:r w:rsidR="002C39BB" w:rsidRPr="00C22F3F">
        <w:rPr>
          <w:iCs/>
          <w:lang w:val="es-ES"/>
        </w:rPr>
        <w:t xml:space="preserve"> </w:t>
      </w:r>
      <w:r w:rsidR="00D55C7C" w:rsidRPr="00C22F3F">
        <w:rPr>
          <w:iCs/>
          <w:lang w:val="es-ES"/>
        </w:rPr>
        <w:t xml:space="preserve">en pacientes con ACG se determinó usando un modelo </w:t>
      </w:r>
      <w:r w:rsidR="005C50FB">
        <w:rPr>
          <w:iCs/>
          <w:lang w:val="es-ES"/>
        </w:rPr>
        <w:t>PK</w:t>
      </w:r>
      <w:r w:rsidR="00D55C7C" w:rsidRPr="00C22F3F">
        <w:rPr>
          <w:iCs/>
          <w:lang w:val="es-ES"/>
        </w:rPr>
        <w:t xml:space="preserve"> de población a partir de un conjunto de datos de análisis compuesto por 149 pacientes con ACG tratados con </w:t>
      </w:r>
      <w:r w:rsidR="00B52D59" w:rsidRPr="00C22F3F">
        <w:rPr>
          <w:iCs/>
          <w:lang w:val="es-ES"/>
        </w:rPr>
        <w:t xml:space="preserve">una dosis de </w:t>
      </w:r>
      <w:r w:rsidR="00D55C7C" w:rsidRPr="00C22F3F">
        <w:rPr>
          <w:iCs/>
          <w:lang w:val="es-ES"/>
        </w:rPr>
        <w:t>162</w:t>
      </w:r>
      <w:r w:rsidR="00553D9B" w:rsidRPr="002C5491">
        <w:rPr>
          <w:iCs/>
          <w:szCs w:val="22"/>
          <w:lang w:val="es-ES"/>
        </w:rPr>
        <w:t> </w:t>
      </w:r>
      <w:r w:rsidR="00D55C7C" w:rsidRPr="00C22F3F">
        <w:rPr>
          <w:iCs/>
          <w:lang w:val="es-ES"/>
        </w:rPr>
        <w:t>mg</w:t>
      </w:r>
      <w:r w:rsidR="00B52D59" w:rsidRPr="00C22F3F">
        <w:rPr>
          <w:iCs/>
          <w:lang w:val="es-ES"/>
        </w:rPr>
        <w:t xml:space="preserve"> por vía subcutánea</w:t>
      </w:r>
      <w:r w:rsidR="00D55C7C" w:rsidRPr="00C22F3F">
        <w:rPr>
          <w:iCs/>
          <w:lang w:val="es-ES"/>
        </w:rPr>
        <w:t xml:space="preserve"> cada semana o </w:t>
      </w:r>
      <w:r w:rsidR="00B52D59" w:rsidRPr="00C22F3F">
        <w:rPr>
          <w:iCs/>
          <w:lang w:val="es-ES"/>
        </w:rPr>
        <w:t>con una dosis de 162</w:t>
      </w:r>
      <w:r w:rsidR="00553D9B" w:rsidRPr="002C5491">
        <w:rPr>
          <w:iCs/>
          <w:szCs w:val="22"/>
          <w:lang w:val="es-ES"/>
        </w:rPr>
        <w:t> </w:t>
      </w:r>
      <w:r w:rsidR="00B52D59" w:rsidRPr="00C22F3F">
        <w:rPr>
          <w:iCs/>
          <w:lang w:val="es-ES"/>
        </w:rPr>
        <w:t xml:space="preserve">mg por vía subcutánea </w:t>
      </w:r>
      <w:r w:rsidR="00D55C7C" w:rsidRPr="00C22F3F">
        <w:rPr>
          <w:iCs/>
          <w:lang w:val="es-ES"/>
        </w:rPr>
        <w:t xml:space="preserve">cada dos </w:t>
      </w:r>
      <w:r w:rsidR="00D55C7C" w:rsidRPr="00C22F3F">
        <w:rPr>
          <w:iCs/>
          <w:lang w:val="es-ES"/>
        </w:rPr>
        <w:lastRenderedPageBreak/>
        <w:t>semanas. El modelo desarrollado tenía la misma estructu</w:t>
      </w:r>
      <w:r w:rsidRPr="00C22F3F">
        <w:rPr>
          <w:iCs/>
          <w:lang w:val="es-ES"/>
        </w:rPr>
        <w:t xml:space="preserve">ra que el modelo de población </w:t>
      </w:r>
      <w:r w:rsidR="005C50FB">
        <w:rPr>
          <w:iCs/>
          <w:lang w:val="es-ES"/>
        </w:rPr>
        <w:t>PK</w:t>
      </w:r>
      <w:r w:rsidR="00D55C7C" w:rsidRPr="00C22F3F">
        <w:rPr>
          <w:iCs/>
          <w:lang w:val="es-ES"/>
        </w:rPr>
        <w:t xml:space="preserve"> desarrollado anteriormente basado en datos </w:t>
      </w:r>
      <w:r w:rsidR="00861D87" w:rsidRPr="00C22F3F">
        <w:rPr>
          <w:iCs/>
          <w:lang w:val="es-ES"/>
        </w:rPr>
        <w:t xml:space="preserve">de pacientes con AR </w:t>
      </w:r>
      <w:r w:rsidR="00861D87" w:rsidRPr="00017762">
        <w:rPr>
          <w:iCs/>
          <w:lang w:val="es-ES"/>
        </w:rPr>
        <w:t>(ver Tabla</w:t>
      </w:r>
      <w:r w:rsidR="00553D9B" w:rsidRPr="002C5491">
        <w:rPr>
          <w:iCs/>
          <w:szCs w:val="22"/>
          <w:lang w:val="es-ES"/>
        </w:rPr>
        <w:t> </w:t>
      </w:r>
      <w:r w:rsidR="001A12EF" w:rsidRPr="00017762">
        <w:rPr>
          <w:iCs/>
          <w:lang w:val="es-ES"/>
        </w:rPr>
        <w:t>10</w:t>
      </w:r>
      <w:r w:rsidR="00D55C7C" w:rsidRPr="00017762">
        <w:rPr>
          <w:iCs/>
          <w:lang w:val="es-ES"/>
        </w:rPr>
        <w:t>).</w:t>
      </w:r>
    </w:p>
    <w:p w14:paraId="4F950738" w14:textId="77777777" w:rsidR="00D55C7C" w:rsidRPr="00C22F3F" w:rsidRDefault="00D55C7C" w:rsidP="006868F5">
      <w:pPr>
        <w:outlineLvl w:val="0"/>
        <w:rPr>
          <w:iCs/>
          <w:lang w:val="es-ES"/>
        </w:rPr>
      </w:pPr>
    </w:p>
    <w:p w14:paraId="2342DED7" w14:textId="77777777" w:rsidR="00D55C7C" w:rsidRDefault="00861D87" w:rsidP="00EF2448">
      <w:pPr>
        <w:keepNext/>
        <w:keepLines/>
        <w:outlineLvl w:val="0"/>
        <w:rPr>
          <w:i/>
          <w:iCs/>
          <w:lang w:val="es-ES"/>
        </w:rPr>
      </w:pPr>
      <w:r w:rsidRPr="00C22F3F">
        <w:rPr>
          <w:i/>
          <w:iCs/>
          <w:lang w:val="es-ES"/>
        </w:rPr>
        <w:t xml:space="preserve">Tabla </w:t>
      </w:r>
      <w:r w:rsidR="00380621">
        <w:rPr>
          <w:i/>
          <w:iCs/>
          <w:lang w:val="es-ES"/>
        </w:rPr>
        <w:t>10</w:t>
      </w:r>
      <w:r w:rsidR="00D55C7C" w:rsidRPr="00C22F3F">
        <w:rPr>
          <w:i/>
          <w:iCs/>
          <w:lang w:val="es-ES"/>
        </w:rPr>
        <w:t xml:space="preserve">. Parámetros medios predictivos </w:t>
      </w:r>
      <w:r w:rsidR="005C50FB">
        <w:rPr>
          <w:i/>
          <w:iCs/>
          <w:lang w:val="es-ES"/>
        </w:rPr>
        <w:t>PK</w:t>
      </w:r>
      <w:r w:rsidR="00460403" w:rsidRPr="00C22F3F">
        <w:rPr>
          <w:i/>
          <w:iCs/>
          <w:lang w:val="es-ES"/>
        </w:rPr>
        <w:t xml:space="preserve"> en estado estacionario </w:t>
      </w:r>
      <w:r w:rsidR="00D55C7C" w:rsidRPr="006868F5">
        <w:rPr>
          <w:rFonts w:eastAsia="SimSun"/>
          <w:i/>
          <w:szCs w:val="22"/>
          <w:lang w:val="es-ES" w:eastAsia="de-DE"/>
        </w:rPr>
        <w:t>± DE</w:t>
      </w:r>
      <w:r w:rsidR="00D55C7C" w:rsidRPr="002837E4">
        <w:rPr>
          <w:i/>
          <w:iCs/>
          <w:lang w:val="es-ES"/>
        </w:rPr>
        <w:t xml:space="preserve"> después de la dosificación </w:t>
      </w:r>
      <w:r w:rsidR="00B52D59" w:rsidRPr="006C05BA">
        <w:rPr>
          <w:i/>
          <w:iCs/>
          <w:lang w:val="es-ES"/>
        </w:rPr>
        <w:t xml:space="preserve">por vía </w:t>
      </w:r>
      <w:r w:rsidR="00D55C7C" w:rsidRPr="006C05BA">
        <w:rPr>
          <w:i/>
          <w:iCs/>
          <w:lang w:val="es-ES"/>
        </w:rPr>
        <w:t xml:space="preserve">subcutánea en </w:t>
      </w:r>
      <w:r w:rsidR="00D55C7C" w:rsidRPr="00C22F3F">
        <w:rPr>
          <w:i/>
          <w:iCs/>
          <w:lang w:val="es-ES"/>
        </w:rPr>
        <w:t>ACG</w:t>
      </w:r>
    </w:p>
    <w:p w14:paraId="576B9C5F" w14:textId="77777777" w:rsidR="00BF1E37" w:rsidRDefault="00BF1E37" w:rsidP="00EF2448">
      <w:pPr>
        <w:keepNext/>
        <w:keepLines/>
        <w:outlineLvl w:val="0"/>
        <w:rPr>
          <w:i/>
          <w:iCs/>
          <w:lang w:val="es-ES"/>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D55C7C" w:rsidRPr="00002ECA" w14:paraId="69BF98B5" w14:textId="77777777" w:rsidTr="005A63C2">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565AC02D" w14:textId="77777777" w:rsidR="00D55C7C" w:rsidRPr="006868F5" w:rsidRDefault="00D55C7C" w:rsidP="00EF2448">
            <w:pPr>
              <w:keepNext/>
              <w:keepLines/>
              <w:spacing w:before="113" w:after="57" w:line="280" w:lineRule="atLeast"/>
              <w:ind w:left="1701" w:hanging="1701"/>
              <w:outlineLvl w:val="6"/>
              <w:rPr>
                <w:rFonts w:eastAsia="MS Mincho"/>
                <w:b/>
                <w:sz w:val="20"/>
                <w:lang w:val="es-ES"/>
              </w:rPr>
            </w:pPr>
          </w:p>
        </w:tc>
        <w:tc>
          <w:tcPr>
            <w:tcW w:w="4084" w:type="dxa"/>
            <w:gridSpan w:val="2"/>
            <w:tcBorders>
              <w:top w:val="single" w:sz="4" w:space="0" w:color="auto"/>
              <w:left w:val="single" w:sz="4" w:space="0" w:color="auto"/>
              <w:bottom w:val="single" w:sz="4" w:space="0" w:color="auto"/>
              <w:right w:val="single" w:sz="4" w:space="0" w:color="auto"/>
            </w:tcBorders>
          </w:tcPr>
          <w:p w14:paraId="728B6C1D" w14:textId="77777777" w:rsidR="00D55C7C" w:rsidRPr="00002ECA" w:rsidRDefault="00B52D59" w:rsidP="00EF2448">
            <w:pPr>
              <w:keepNext/>
              <w:keepLines/>
              <w:spacing w:after="200"/>
              <w:jc w:val="center"/>
              <w:rPr>
                <w:b/>
                <w:sz w:val="20"/>
                <w:lang w:eastAsia="zh-TW"/>
              </w:rPr>
            </w:pPr>
            <w:r>
              <w:rPr>
                <w:b/>
                <w:sz w:val="20"/>
                <w:lang w:eastAsia="zh-TW"/>
              </w:rPr>
              <w:t xml:space="preserve">Vía </w:t>
            </w:r>
            <w:r w:rsidR="00D55C7C" w:rsidRPr="00002ECA">
              <w:rPr>
                <w:b/>
                <w:sz w:val="20"/>
                <w:lang w:eastAsia="zh-TW"/>
              </w:rPr>
              <w:t>S</w:t>
            </w:r>
            <w:r w:rsidR="00D55C7C">
              <w:rPr>
                <w:b/>
                <w:sz w:val="20"/>
                <w:lang w:eastAsia="zh-TW"/>
              </w:rPr>
              <w:t>ubcut</w:t>
            </w:r>
            <w:r w:rsidR="006F3AA9">
              <w:rPr>
                <w:b/>
                <w:sz w:val="20"/>
                <w:lang w:eastAsia="zh-TW"/>
              </w:rPr>
              <w:t>á</w:t>
            </w:r>
            <w:r w:rsidR="00D55C7C">
              <w:rPr>
                <w:b/>
                <w:sz w:val="20"/>
                <w:lang w:eastAsia="zh-TW"/>
              </w:rPr>
              <w:t>nea</w:t>
            </w:r>
          </w:p>
        </w:tc>
      </w:tr>
      <w:tr w:rsidR="00D55C7C" w:rsidRPr="00002ECA" w14:paraId="18071E4D" w14:textId="77777777" w:rsidTr="005A63C2">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7652417A" w14:textId="77777777" w:rsidR="00D55C7C" w:rsidRPr="006868F5" w:rsidRDefault="00380621" w:rsidP="00EF2448">
            <w:pPr>
              <w:keepNext/>
              <w:keepLines/>
              <w:spacing w:after="120"/>
              <w:rPr>
                <w:sz w:val="20"/>
                <w:lang w:val="es-ES" w:eastAsia="zh-TW"/>
              </w:rPr>
            </w:pPr>
            <w:r>
              <w:rPr>
                <w:b/>
                <w:sz w:val="20"/>
                <w:lang w:val="es-ES" w:eastAsia="zh-TW"/>
              </w:rPr>
              <w:t>Parámetros PK</w:t>
            </w:r>
            <w:r w:rsidR="00D55C7C" w:rsidRPr="006868F5">
              <w:rPr>
                <w:b/>
                <w:sz w:val="20"/>
                <w:lang w:val="es-ES" w:eastAsia="zh-TW"/>
              </w:rPr>
              <w:t xml:space="preserve"> tocilizumab</w:t>
            </w:r>
          </w:p>
        </w:tc>
        <w:tc>
          <w:tcPr>
            <w:tcW w:w="1483" w:type="dxa"/>
            <w:tcBorders>
              <w:top w:val="single" w:sz="4" w:space="0" w:color="auto"/>
              <w:left w:val="single" w:sz="4" w:space="0" w:color="auto"/>
              <w:bottom w:val="single" w:sz="4" w:space="0" w:color="auto"/>
              <w:right w:val="single" w:sz="4" w:space="0" w:color="auto"/>
            </w:tcBorders>
          </w:tcPr>
          <w:p w14:paraId="4CA6CA79" w14:textId="69F0D60B" w:rsidR="00D55C7C" w:rsidRPr="00002ECA" w:rsidRDefault="00D55C7C" w:rsidP="00EF2448">
            <w:pPr>
              <w:keepNext/>
              <w:keepLines/>
              <w:spacing w:after="120"/>
              <w:jc w:val="center"/>
              <w:rPr>
                <w:b/>
                <w:sz w:val="20"/>
                <w:lang w:eastAsia="zh-TW"/>
              </w:rPr>
            </w:pPr>
            <w:r w:rsidRPr="00002ECA">
              <w:rPr>
                <w:b/>
                <w:sz w:val="20"/>
                <w:lang w:eastAsia="zh-TW"/>
              </w:rPr>
              <w:t>162</w:t>
            </w:r>
            <w:r w:rsidR="00553D9B" w:rsidRPr="00F30AB8">
              <w:rPr>
                <w:iCs/>
                <w:sz w:val="18"/>
                <w:szCs w:val="18"/>
                <w:lang w:val="es-ES"/>
              </w:rPr>
              <w:t> </w:t>
            </w:r>
            <w:r w:rsidRPr="00002ECA">
              <w:rPr>
                <w:b/>
                <w:sz w:val="20"/>
                <w:lang w:eastAsia="zh-TW"/>
              </w:rPr>
              <w:t xml:space="preserve">mg </w:t>
            </w:r>
            <w:r>
              <w:rPr>
                <w:b/>
                <w:sz w:val="20"/>
                <w:lang w:eastAsia="zh-TW"/>
              </w:rPr>
              <w:t>cada dos semanas</w:t>
            </w:r>
          </w:p>
        </w:tc>
        <w:tc>
          <w:tcPr>
            <w:tcW w:w="2601" w:type="dxa"/>
            <w:tcBorders>
              <w:top w:val="single" w:sz="4" w:space="0" w:color="auto"/>
              <w:left w:val="single" w:sz="4" w:space="0" w:color="auto"/>
              <w:bottom w:val="single" w:sz="4" w:space="0" w:color="auto"/>
              <w:right w:val="single" w:sz="4" w:space="0" w:color="auto"/>
            </w:tcBorders>
          </w:tcPr>
          <w:p w14:paraId="35B26630" w14:textId="575040D5" w:rsidR="00D55C7C" w:rsidRPr="00002ECA" w:rsidRDefault="00D55C7C" w:rsidP="00EF2448">
            <w:pPr>
              <w:keepNext/>
              <w:keepLines/>
              <w:spacing w:after="120"/>
              <w:jc w:val="center"/>
              <w:rPr>
                <w:b/>
                <w:sz w:val="20"/>
                <w:lang w:eastAsia="zh-TW"/>
              </w:rPr>
            </w:pPr>
            <w:r w:rsidRPr="00002ECA">
              <w:rPr>
                <w:b/>
                <w:sz w:val="20"/>
                <w:lang w:eastAsia="zh-TW"/>
              </w:rPr>
              <w:t>162</w:t>
            </w:r>
            <w:r w:rsidR="00553D9B" w:rsidRPr="00F30AB8">
              <w:rPr>
                <w:iCs/>
                <w:sz w:val="18"/>
                <w:szCs w:val="18"/>
                <w:lang w:val="es-ES"/>
              </w:rPr>
              <w:t> </w:t>
            </w:r>
            <w:r w:rsidRPr="00002ECA">
              <w:rPr>
                <w:b/>
                <w:sz w:val="20"/>
                <w:lang w:eastAsia="zh-TW"/>
              </w:rPr>
              <w:t xml:space="preserve">mg </w:t>
            </w:r>
            <w:r>
              <w:rPr>
                <w:b/>
                <w:sz w:val="20"/>
                <w:lang w:eastAsia="zh-TW"/>
              </w:rPr>
              <w:t>semanales</w:t>
            </w:r>
          </w:p>
        </w:tc>
      </w:tr>
      <w:tr w:rsidR="00D55C7C" w:rsidRPr="006868F5" w14:paraId="49C3E063" w14:textId="77777777" w:rsidTr="005A63C2">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642221CC" w14:textId="77777777" w:rsidR="00D55C7C" w:rsidRPr="00002ECA" w:rsidRDefault="00D55C7C" w:rsidP="00EF2448">
            <w:pPr>
              <w:keepNext/>
              <w:keepLines/>
              <w:spacing w:after="120"/>
              <w:rPr>
                <w:sz w:val="20"/>
                <w:lang w:eastAsia="zh-TW"/>
              </w:rPr>
            </w:pPr>
            <w:r w:rsidRPr="00002ECA">
              <w:rPr>
                <w:sz w:val="20"/>
                <w:lang w:eastAsia="zh-TW"/>
              </w:rPr>
              <w:t>C</w:t>
            </w:r>
            <w:r w:rsidRPr="00002ECA">
              <w:rPr>
                <w:sz w:val="20"/>
                <w:vertAlign w:val="subscript"/>
                <w:lang w:eastAsia="zh-TW"/>
              </w:rPr>
              <w:t>max</w:t>
            </w:r>
            <w:r w:rsidRPr="00002ECA">
              <w:rPr>
                <w:sz w:val="20"/>
                <w:lang w:eastAsia="zh-TW"/>
              </w:rPr>
              <w:t xml:space="preserve"> (</w:t>
            </w:r>
            <w:r>
              <w:rPr>
                <w:sz w:val="20"/>
                <w:lang w:eastAsia="zh-TW"/>
              </w:rPr>
              <w:t>µg</w:t>
            </w:r>
            <w:r w:rsidRPr="00002ECA">
              <w:rPr>
                <w:sz w:val="20"/>
                <w:lang w:eastAsia="zh-TW"/>
              </w:rPr>
              <w:t>/</w:t>
            </w:r>
            <w:r>
              <w:rPr>
                <w:sz w:val="20"/>
                <w:lang w:eastAsia="zh-TW"/>
              </w:rPr>
              <w:t>mL</w:t>
            </w:r>
            <w:r w:rsidRPr="00002ECA">
              <w:rPr>
                <w:sz w:val="20"/>
                <w:lang w:eastAsia="zh-TW"/>
              </w:rPr>
              <w:t>)</w:t>
            </w:r>
          </w:p>
        </w:tc>
        <w:tc>
          <w:tcPr>
            <w:tcW w:w="1483" w:type="dxa"/>
            <w:tcBorders>
              <w:top w:val="single" w:sz="4" w:space="0" w:color="auto"/>
              <w:left w:val="single" w:sz="4" w:space="0" w:color="auto"/>
              <w:bottom w:val="single" w:sz="4" w:space="0" w:color="auto"/>
              <w:right w:val="single" w:sz="4" w:space="0" w:color="auto"/>
            </w:tcBorders>
          </w:tcPr>
          <w:p w14:paraId="0C77874C" w14:textId="77777777" w:rsidR="00D55C7C" w:rsidRPr="00002ECA" w:rsidRDefault="006F3AA9" w:rsidP="00EF2448">
            <w:pPr>
              <w:keepNext/>
              <w:keepLines/>
              <w:spacing w:after="120"/>
              <w:jc w:val="center"/>
              <w:rPr>
                <w:sz w:val="20"/>
                <w:lang w:eastAsia="zh-TW"/>
              </w:rPr>
            </w:pPr>
            <w:r>
              <w:rPr>
                <w:rFonts w:eastAsia="SimSun"/>
                <w:sz w:val="20"/>
                <w:lang w:val="en-GB" w:eastAsia="zh-TW"/>
              </w:rPr>
              <w:t>19,3 ± 12,</w:t>
            </w:r>
            <w:r w:rsidR="00D55C7C" w:rsidRPr="00002ECA">
              <w:rPr>
                <w:rFonts w:eastAsia="SimSun"/>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608E2F92" w14:textId="77777777" w:rsidR="00D55C7C" w:rsidRPr="00002ECA" w:rsidRDefault="006F3AA9" w:rsidP="00EF2448">
            <w:pPr>
              <w:keepNext/>
              <w:keepLines/>
              <w:spacing w:after="120"/>
              <w:jc w:val="center"/>
              <w:rPr>
                <w:sz w:val="20"/>
                <w:lang w:eastAsia="zh-TW"/>
              </w:rPr>
            </w:pPr>
            <w:r>
              <w:rPr>
                <w:sz w:val="20"/>
                <w:lang w:val="en-GB" w:eastAsia="zh-TW"/>
              </w:rPr>
              <w:t>73 ± 30,</w:t>
            </w:r>
            <w:r w:rsidR="00D55C7C" w:rsidRPr="00002ECA">
              <w:rPr>
                <w:sz w:val="20"/>
                <w:lang w:val="en-GB" w:eastAsia="zh-TW"/>
              </w:rPr>
              <w:t>4</w:t>
            </w:r>
          </w:p>
        </w:tc>
      </w:tr>
      <w:tr w:rsidR="00D55C7C" w:rsidRPr="00002ECA" w14:paraId="4AD4B688" w14:textId="77777777" w:rsidTr="005A63C2">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7A840277" w14:textId="4280361A" w:rsidR="00D55C7C" w:rsidRPr="00002ECA" w:rsidRDefault="009F0106" w:rsidP="00EF2448">
            <w:pPr>
              <w:keepNext/>
              <w:keepLines/>
              <w:spacing w:after="120"/>
              <w:rPr>
                <w:sz w:val="20"/>
                <w:lang w:eastAsia="zh-TW"/>
              </w:rPr>
            </w:pPr>
            <w:r w:rsidRPr="006868F5">
              <w:rPr>
                <w:sz w:val="20"/>
                <w:lang w:eastAsia="zh-TW"/>
              </w:rPr>
              <w:t>C</w:t>
            </w:r>
            <w:ins w:id="1393" w:author="AUTHOR">
              <w:r w:rsidR="00265742" w:rsidRPr="00467FFD">
                <w:rPr>
                  <w:sz w:val="20"/>
                  <w:vertAlign w:val="subscript"/>
                  <w:lang w:eastAsia="zh-TW"/>
                  <w:rPrChange w:id="1394" w:author="AUTHOR">
                    <w:rPr>
                      <w:sz w:val="20"/>
                      <w:lang w:eastAsia="zh-TW"/>
                    </w:rPr>
                  </w:rPrChange>
                </w:rPr>
                <w:t>valle</w:t>
              </w:r>
            </w:ins>
            <w:del w:id="1395" w:author="AUTHOR">
              <w:r w:rsidDel="00265742">
                <w:rPr>
                  <w:sz w:val="20"/>
                  <w:vertAlign w:val="subscript"/>
                  <w:lang w:eastAsia="zh-TW"/>
                </w:rPr>
                <w:delText>min</w:delText>
              </w:r>
            </w:del>
            <w:r w:rsidRPr="00002ECA">
              <w:rPr>
                <w:sz w:val="20"/>
                <w:lang w:eastAsia="zh-TW"/>
              </w:rPr>
              <w:t xml:space="preserve"> </w:t>
            </w:r>
            <w:r w:rsidR="00D55C7C" w:rsidRPr="00002ECA">
              <w:rPr>
                <w:sz w:val="20"/>
                <w:lang w:eastAsia="zh-TW"/>
              </w:rPr>
              <w:t>(</w:t>
            </w:r>
            <w:r w:rsidR="00D55C7C">
              <w:rPr>
                <w:sz w:val="20"/>
                <w:lang w:eastAsia="zh-TW"/>
              </w:rPr>
              <w:t>µg</w:t>
            </w:r>
            <w:r w:rsidR="00D55C7C" w:rsidRPr="00002ECA">
              <w:rPr>
                <w:sz w:val="20"/>
                <w:lang w:eastAsia="zh-TW"/>
              </w:rPr>
              <w:t>/</w:t>
            </w:r>
            <w:r w:rsidR="00D55C7C">
              <w:rPr>
                <w:sz w:val="20"/>
                <w:lang w:eastAsia="zh-TW"/>
              </w:rPr>
              <w:t>mL</w:t>
            </w:r>
            <w:r w:rsidR="00D55C7C" w:rsidRPr="00002ECA">
              <w:rPr>
                <w:sz w:val="20"/>
                <w:lang w:eastAsia="zh-TW"/>
              </w:rPr>
              <w:t>)</w:t>
            </w:r>
          </w:p>
        </w:tc>
        <w:tc>
          <w:tcPr>
            <w:tcW w:w="1483" w:type="dxa"/>
            <w:tcBorders>
              <w:top w:val="single" w:sz="4" w:space="0" w:color="auto"/>
              <w:left w:val="single" w:sz="4" w:space="0" w:color="auto"/>
              <w:bottom w:val="single" w:sz="4" w:space="0" w:color="auto"/>
              <w:right w:val="single" w:sz="4" w:space="0" w:color="auto"/>
            </w:tcBorders>
          </w:tcPr>
          <w:p w14:paraId="355F7A87" w14:textId="77777777" w:rsidR="00D55C7C" w:rsidRPr="00002ECA" w:rsidRDefault="006F3AA9" w:rsidP="00EF2448">
            <w:pPr>
              <w:keepNext/>
              <w:keepLines/>
              <w:spacing w:after="120"/>
              <w:jc w:val="center"/>
              <w:rPr>
                <w:sz w:val="20"/>
                <w:lang w:eastAsia="zh-TW"/>
              </w:rPr>
            </w:pPr>
            <w:r>
              <w:rPr>
                <w:rFonts w:eastAsia="SimSun"/>
                <w:sz w:val="20"/>
                <w:lang w:val="en-GB" w:eastAsia="zh-TW"/>
              </w:rPr>
              <w:t>11,1 ± 10,</w:t>
            </w:r>
            <w:r w:rsidR="00D55C7C" w:rsidRPr="00002ECA">
              <w:rPr>
                <w:rFonts w:eastAsia="SimSun"/>
                <w:sz w:val="20"/>
                <w:lang w:val="en-GB" w:eastAsia="zh-TW"/>
              </w:rPr>
              <w:t>3</w:t>
            </w:r>
          </w:p>
        </w:tc>
        <w:tc>
          <w:tcPr>
            <w:tcW w:w="2601" w:type="dxa"/>
            <w:tcBorders>
              <w:top w:val="single" w:sz="4" w:space="0" w:color="auto"/>
              <w:left w:val="single" w:sz="4" w:space="0" w:color="auto"/>
              <w:bottom w:val="single" w:sz="4" w:space="0" w:color="auto"/>
              <w:right w:val="single" w:sz="4" w:space="0" w:color="auto"/>
            </w:tcBorders>
          </w:tcPr>
          <w:p w14:paraId="2AEC6B14" w14:textId="77777777" w:rsidR="00D55C7C" w:rsidRPr="00002ECA" w:rsidRDefault="006F3AA9" w:rsidP="00EF2448">
            <w:pPr>
              <w:keepNext/>
              <w:keepLines/>
              <w:spacing w:after="120"/>
              <w:jc w:val="center"/>
              <w:rPr>
                <w:sz w:val="20"/>
                <w:lang w:eastAsia="zh-TW"/>
              </w:rPr>
            </w:pPr>
            <w:r>
              <w:rPr>
                <w:sz w:val="20"/>
                <w:lang w:val="en-GB" w:eastAsia="zh-TW"/>
              </w:rPr>
              <w:t>68,1± 29,</w:t>
            </w:r>
            <w:r w:rsidR="00D55C7C" w:rsidRPr="00002ECA">
              <w:rPr>
                <w:sz w:val="20"/>
                <w:lang w:val="en-GB" w:eastAsia="zh-TW"/>
              </w:rPr>
              <w:t>5</w:t>
            </w:r>
          </w:p>
        </w:tc>
      </w:tr>
      <w:tr w:rsidR="00D55C7C" w:rsidRPr="00002ECA" w14:paraId="5BBFCF11" w14:textId="77777777" w:rsidTr="005A63C2">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5D6B5832" w14:textId="77777777" w:rsidR="00D55C7C" w:rsidRPr="00002ECA" w:rsidRDefault="00D55C7C" w:rsidP="00EF2448">
            <w:pPr>
              <w:keepNext/>
              <w:keepLines/>
              <w:spacing w:after="120"/>
              <w:rPr>
                <w:sz w:val="20"/>
                <w:lang w:eastAsia="zh-TW"/>
              </w:rPr>
            </w:pPr>
            <w:r w:rsidRPr="00002ECA">
              <w:rPr>
                <w:sz w:val="20"/>
                <w:lang w:eastAsia="zh-TW"/>
              </w:rPr>
              <w:t>C</w:t>
            </w:r>
            <w:r w:rsidRPr="00002ECA">
              <w:rPr>
                <w:sz w:val="20"/>
                <w:vertAlign w:val="subscript"/>
                <w:lang w:eastAsia="zh-TW"/>
              </w:rPr>
              <w:t>me</w:t>
            </w:r>
            <w:r>
              <w:rPr>
                <w:sz w:val="20"/>
                <w:vertAlign w:val="subscript"/>
                <w:lang w:eastAsia="zh-TW"/>
              </w:rPr>
              <w:t>dia</w:t>
            </w:r>
            <w:r w:rsidRPr="00002ECA">
              <w:rPr>
                <w:sz w:val="20"/>
                <w:lang w:eastAsia="zh-TW"/>
              </w:rPr>
              <w:t xml:space="preserve"> (</w:t>
            </w:r>
            <w:r>
              <w:rPr>
                <w:sz w:val="20"/>
                <w:lang w:eastAsia="zh-TW"/>
              </w:rPr>
              <w:t>µg</w:t>
            </w:r>
            <w:r w:rsidRPr="00002ECA">
              <w:rPr>
                <w:sz w:val="20"/>
                <w:lang w:eastAsia="zh-TW"/>
              </w:rPr>
              <w:t>/</w:t>
            </w:r>
            <w:r>
              <w:rPr>
                <w:sz w:val="20"/>
                <w:lang w:eastAsia="zh-TW"/>
              </w:rPr>
              <w:t>mL</w:t>
            </w:r>
            <w:r w:rsidRPr="00002ECA">
              <w:rPr>
                <w:sz w:val="20"/>
                <w:lang w:eastAsia="zh-TW"/>
              </w:rPr>
              <w:t>)</w:t>
            </w:r>
          </w:p>
        </w:tc>
        <w:tc>
          <w:tcPr>
            <w:tcW w:w="1483" w:type="dxa"/>
            <w:tcBorders>
              <w:top w:val="single" w:sz="4" w:space="0" w:color="auto"/>
              <w:left w:val="single" w:sz="4" w:space="0" w:color="auto"/>
              <w:bottom w:val="single" w:sz="4" w:space="0" w:color="auto"/>
              <w:right w:val="single" w:sz="4" w:space="0" w:color="auto"/>
            </w:tcBorders>
          </w:tcPr>
          <w:p w14:paraId="7A23595E" w14:textId="77777777" w:rsidR="00D55C7C" w:rsidRPr="00002ECA" w:rsidRDefault="006F3AA9" w:rsidP="00EF2448">
            <w:pPr>
              <w:keepNext/>
              <w:keepLines/>
              <w:spacing w:after="120"/>
              <w:jc w:val="center"/>
              <w:rPr>
                <w:sz w:val="20"/>
                <w:lang w:eastAsia="zh-TW"/>
              </w:rPr>
            </w:pPr>
            <w:r>
              <w:rPr>
                <w:sz w:val="20"/>
                <w:lang w:val="en-GB" w:eastAsia="zh-TW"/>
              </w:rPr>
              <w:t xml:space="preserve"> 16,2 ± 11,</w:t>
            </w:r>
            <w:r w:rsidR="00D55C7C" w:rsidRPr="00002ECA">
              <w:rPr>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392857DF" w14:textId="77777777" w:rsidR="00D55C7C" w:rsidRPr="00002ECA" w:rsidRDefault="006F3AA9" w:rsidP="00EF2448">
            <w:pPr>
              <w:keepNext/>
              <w:keepLines/>
              <w:spacing w:after="120"/>
              <w:jc w:val="center"/>
              <w:rPr>
                <w:sz w:val="20"/>
                <w:lang w:eastAsia="zh-TW"/>
              </w:rPr>
            </w:pPr>
            <w:r>
              <w:rPr>
                <w:sz w:val="20"/>
                <w:lang w:val="en-GB" w:eastAsia="zh-TW"/>
              </w:rPr>
              <w:t>71,3 ± 30,</w:t>
            </w:r>
            <w:r w:rsidR="00D55C7C" w:rsidRPr="00002ECA">
              <w:rPr>
                <w:sz w:val="20"/>
                <w:lang w:val="en-GB" w:eastAsia="zh-TW"/>
              </w:rPr>
              <w:t>1</w:t>
            </w:r>
          </w:p>
        </w:tc>
      </w:tr>
      <w:tr w:rsidR="00D55C7C" w:rsidRPr="00002ECA" w14:paraId="468E5305" w14:textId="77777777" w:rsidTr="005A63C2">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68779CD6" w14:textId="77777777" w:rsidR="00D55C7C" w:rsidRPr="00002ECA" w:rsidRDefault="00D55C7C" w:rsidP="005A63C2">
            <w:pPr>
              <w:spacing w:after="120"/>
              <w:rPr>
                <w:sz w:val="20"/>
                <w:lang w:eastAsia="zh-TW"/>
              </w:rPr>
            </w:pPr>
            <w:r w:rsidRPr="00002ECA">
              <w:rPr>
                <w:sz w:val="20"/>
                <w:lang w:eastAsia="zh-TW"/>
              </w:rPr>
              <w:t>C</w:t>
            </w:r>
            <w:r w:rsidRPr="00002ECA">
              <w:rPr>
                <w:sz w:val="20"/>
                <w:vertAlign w:val="subscript"/>
                <w:lang w:eastAsia="zh-TW"/>
              </w:rPr>
              <w:t>max</w:t>
            </w:r>
            <w:r w:rsidR="008F1EAB">
              <w:rPr>
                <w:sz w:val="20"/>
                <w:vertAlign w:val="subscript"/>
                <w:lang w:eastAsia="zh-TW"/>
              </w:rPr>
              <w:t xml:space="preserve"> </w:t>
            </w:r>
            <w:r w:rsidR="008F1EAB" w:rsidRPr="006868F5">
              <w:rPr>
                <w:sz w:val="20"/>
                <w:lang w:eastAsia="zh-TW"/>
              </w:rPr>
              <w:t>acumulada</w:t>
            </w:r>
          </w:p>
        </w:tc>
        <w:tc>
          <w:tcPr>
            <w:tcW w:w="1483" w:type="dxa"/>
            <w:tcBorders>
              <w:top w:val="single" w:sz="4" w:space="0" w:color="auto"/>
              <w:left w:val="single" w:sz="4" w:space="0" w:color="auto"/>
              <w:bottom w:val="single" w:sz="4" w:space="0" w:color="auto"/>
              <w:right w:val="single" w:sz="4" w:space="0" w:color="auto"/>
            </w:tcBorders>
          </w:tcPr>
          <w:p w14:paraId="4FC89987" w14:textId="77777777" w:rsidR="00D55C7C" w:rsidRPr="00002ECA" w:rsidRDefault="006F3AA9" w:rsidP="005A63C2">
            <w:pPr>
              <w:spacing w:after="120"/>
              <w:jc w:val="center"/>
              <w:rPr>
                <w:sz w:val="20"/>
                <w:lang w:eastAsia="zh-TW"/>
              </w:rPr>
            </w:pPr>
            <w:r>
              <w:rPr>
                <w:sz w:val="20"/>
                <w:lang w:eastAsia="zh-TW"/>
              </w:rPr>
              <w:t>2,</w:t>
            </w:r>
            <w:r w:rsidR="00D55C7C">
              <w:rPr>
                <w:sz w:val="20"/>
                <w:lang w:eastAsia="zh-TW"/>
              </w:rPr>
              <w:t>18</w:t>
            </w:r>
          </w:p>
        </w:tc>
        <w:tc>
          <w:tcPr>
            <w:tcW w:w="2601" w:type="dxa"/>
            <w:tcBorders>
              <w:top w:val="single" w:sz="4" w:space="0" w:color="auto"/>
              <w:left w:val="single" w:sz="4" w:space="0" w:color="auto"/>
              <w:bottom w:val="single" w:sz="4" w:space="0" w:color="auto"/>
              <w:right w:val="single" w:sz="4" w:space="0" w:color="auto"/>
            </w:tcBorders>
          </w:tcPr>
          <w:p w14:paraId="5DB6BD70" w14:textId="77777777" w:rsidR="00D55C7C" w:rsidRPr="00002ECA" w:rsidRDefault="00D55C7C" w:rsidP="005A63C2">
            <w:pPr>
              <w:spacing w:after="120"/>
              <w:jc w:val="center"/>
              <w:rPr>
                <w:sz w:val="20"/>
                <w:lang w:eastAsia="zh-TW"/>
              </w:rPr>
            </w:pPr>
            <w:r w:rsidRPr="00002ECA">
              <w:rPr>
                <w:sz w:val="20"/>
                <w:lang w:val="en-GB" w:eastAsia="zh-TW"/>
              </w:rPr>
              <w:t xml:space="preserve"> </w:t>
            </w:r>
            <w:r w:rsidR="006F3AA9">
              <w:rPr>
                <w:sz w:val="20"/>
                <w:lang w:val="en-GB" w:eastAsia="zh-TW"/>
              </w:rPr>
              <w:t>8,</w:t>
            </w:r>
            <w:r>
              <w:rPr>
                <w:sz w:val="20"/>
                <w:lang w:val="en-GB" w:eastAsia="zh-TW"/>
              </w:rPr>
              <w:t>88</w:t>
            </w:r>
          </w:p>
        </w:tc>
      </w:tr>
      <w:tr w:rsidR="00D55C7C" w:rsidRPr="00002ECA" w14:paraId="6E1769CF" w14:textId="77777777" w:rsidTr="005A63C2">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5D13BEC8" w14:textId="58807EDB" w:rsidR="006F3AA9" w:rsidRPr="006868F5" w:rsidRDefault="009F0106" w:rsidP="006A0DED">
            <w:pPr>
              <w:spacing w:after="120"/>
              <w:rPr>
                <w:sz w:val="20"/>
                <w:vertAlign w:val="subscript"/>
                <w:lang w:eastAsia="zh-TW"/>
              </w:rPr>
            </w:pPr>
            <w:r w:rsidRPr="00002ECA">
              <w:rPr>
                <w:sz w:val="20"/>
                <w:lang w:eastAsia="zh-TW"/>
              </w:rPr>
              <w:t>C</w:t>
            </w:r>
            <w:ins w:id="1396" w:author="AUTHOR">
              <w:r w:rsidR="00265742" w:rsidRPr="00467FFD">
                <w:rPr>
                  <w:sz w:val="20"/>
                  <w:vertAlign w:val="subscript"/>
                  <w:lang w:eastAsia="zh-TW"/>
                  <w:rPrChange w:id="1397" w:author="AUTHOR">
                    <w:rPr>
                      <w:sz w:val="20"/>
                      <w:lang w:eastAsia="zh-TW"/>
                    </w:rPr>
                  </w:rPrChange>
                </w:rPr>
                <w:t>valle</w:t>
              </w:r>
            </w:ins>
            <w:del w:id="1398" w:author="AUTHOR">
              <w:r w:rsidDel="00265742">
                <w:rPr>
                  <w:sz w:val="20"/>
                  <w:vertAlign w:val="subscript"/>
                  <w:lang w:eastAsia="zh-TW"/>
                </w:rPr>
                <w:delText>min</w:delText>
              </w:r>
            </w:del>
            <w:r>
              <w:rPr>
                <w:sz w:val="20"/>
                <w:vertAlign w:val="subscript"/>
                <w:lang w:eastAsia="zh-TW"/>
              </w:rPr>
              <w:t xml:space="preserve"> </w:t>
            </w:r>
            <w:r w:rsidR="008F1EAB" w:rsidRPr="006868F5">
              <w:rPr>
                <w:sz w:val="20"/>
                <w:lang w:eastAsia="zh-TW"/>
              </w:rPr>
              <w:t>acumulada</w:t>
            </w:r>
          </w:p>
        </w:tc>
        <w:tc>
          <w:tcPr>
            <w:tcW w:w="1483" w:type="dxa"/>
            <w:tcBorders>
              <w:top w:val="single" w:sz="4" w:space="0" w:color="auto"/>
              <w:left w:val="single" w:sz="4" w:space="0" w:color="auto"/>
              <w:bottom w:val="single" w:sz="4" w:space="0" w:color="auto"/>
              <w:right w:val="single" w:sz="4" w:space="0" w:color="auto"/>
            </w:tcBorders>
          </w:tcPr>
          <w:p w14:paraId="598AE1EF" w14:textId="77777777" w:rsidR="00D55C7C" w:rsidRPr="00002ECA" w:rsidRDefault="006F3AA9" w:rsidP="005A63C2">
            <w:pPr>
              <w:spacing w:after="120"/>
              <w:jc w:val="center"/>
              <w:rPr>
                <w:sz w:val="20"/>
                <w:lang w:eastAsia="zh-TW"/>
              </w:rPr>
            </w:pPr>
            <w:r>
              <w:rPr>
                <w:sz w:val="20"/>
                <w:lang w:val="en-GB" w:eastAsia="zh-TW"/>
              </w:rPr>
              <w:t>5,</w:t>
            </w:r>
            <w:r w:rsidR="00D55C7C">
              <w:rPr>
                <w:sz w:val="20"/>
                <w:lang w:val="en-GB" w:eastAsia="zh-TW"/>
              </w:rPr>
              <w:t>61</w:t>
            </w:r>
          </w:p>
        </w:tc>
        <w:tc>
          <w:tcPr>
            <w:tcW w:w="2601" w:type="dxa"/>
            <w:tcBorders>
              <w:top w:val="single" w:sz="4" w:space="0" w:color="auto"/>
              <w:left w:val="single" w:sz="4" w:space="0" w:color="auto"/>
              <w:bottom w:val="single" w:sz="4" w:space="0" w:color="auto"/>
              <w:right w:val="single" w:sz="4" w:space="0" w:color="auto"/>
            </w:tcBorders>
          </w:tcPr>
          <w:p w14:paraId="400A8184" w14:textId="77777777" w:rsidR="00D55C7C" w:rsidRPr="00002ECA" w:rsidRDefault="006F3AA9" w:rsidP="005A63C2">
            <w:pPr>
              <w:spacing w:after="120"/>
              <w:jc w:val="center"/>
              <w:rPr>
                <w:sz w:val="20"/>
                <w:lang w:eastAsia="zh-TW"/>
              </w:rPr>
            </w:pPr>
            <w:r>
              <w:rPr>
                <w:sz w:val="20"/>
                <w:lang w:val="en-GB" w:eastAsia="zh-TW"/>
              </w:rPr>
              <w:t>9,</w:t>
            </w:r>
            <w:r w:rsidR="00D55C7C">
              <w:rPr>
                <w:sz w:val="20"/>
                <w:lang w:val="en-GB" w:eastAsia="zh-TW"/>
              </w:rPr>
              <w:t>59</w:t>
            </w:r>
          </w:p>
        </w:tc>
      </w:tr>
      <w:tr w:rsidR="00D55C7C" w:rsidRPr="00002ECA" w14:paraId="5907C3E4" w14:textId="77777777" w:rsidTr="005A63C2">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134327A2" w14:textId="77777777" w:rsidR="00D55C7C" w:rsidRPr="00002ECA" w:rsidRDefault="00D55C7C" w:rsidP="005A63C2">
            <w:pPr>
              <w:spacing w:after="120"/>
              <w:rPr>
                <w:sz w:val="20"/>
                <w:lang w:eastAsia="zh-TW"/>
              </w:rPr>
            </w:pPr>
            <w:r w:rsidRPr="00324884">
              <w:rPr>
                <w:sz w:val="20"/>
              </w:rPr>
              <w:t>C</w:t>
            </w:r>
            <w:r w:rsidRPr="00324884">
              <w:rPr>
                <w:sz w:val="20"/>
                <w:vertAlign w:val="subscript"/>
              </w:rPr>
              <w:t>me</w:t>
            </w:r>
            <w:r>
              <w:rPr>
                <w:sz w:val="20"/>
                <w:vertAlign w:val="subscript"/>
              </w:rPr>
              <w:t>dia</w:t>
            </w:r>
            <w:r>
              <w:rPr>
                <w:sz w:val="20"/>
              </w:rPr>
              <w:t xml:space="preserve"> </w:t>
            </w:r>
            <w:r w:rsidR="00CC23EF">
              <w:rPr>
                <w:sz w:val="20"/>
              </w:rPr>
              <w:t xml:space="preserve">acumulada </w:t>
            </w:r>
            <w:r>
              <w:rPr>
                <w:sz w:val="20"/>
              </w:rPr>
              <w:t>o</w:t>
            </w:r>
            <w:r w:rsidRPr="00324884">
              <w:rPr>
                <w:sz w:val="20"/>
              </w:rPr>
              <w:t xml:space="preserve"> AUC</w:t>
            </w:r>
            <w:r w:rsidRPr="00324884">
              <w:rPr>
                <w:sz w:val="20"/>
                <w:vertAlign w:val="subscript"/>
              </w:rPr>
              <w:t>τ</w:t>
            </w:r>
            <w:r w:rsidRPr="00324884">
              <w:rPr>
                <w:sz w:val="20"/>
              </w:rPr>
              <w:t xml:space="preserve"> </w:t>
            </w:r>
            <w:r w:rsidR="003F3604">
              <w:rPr>
                <w:iCs/>
                <w:lang w:val="es-ES"/>
              </w:rPr>
              <w:t>*</w:t>
            </w:r>
          </w:p>
        </w:tc>
        <w:tc>
          <w:tcPr>
            <w:tcW w:w="1483" w:type="dxa"/>
            <w:tcBorders>
              <w:top w:val="single" w:sz="4" w:space="0" w:color="auto"/>
              <w:left w:val="single" w:sz="4" w:space="0" w:color="auto"/>
              <w:bottom w:val="single" w:sz="4" w:space="0" w:color="auto"/>
              <w:right w:val="single" w:sz="4" w:space="0" w:color="auto"/>
            </w:tcBorders>
          </w:tcPr>
          <w:p w14:paraId="12542807" w14:textId="77777777" w:rsidR="00D55C7C" w:rsidRPr="00002ECA" w:rsidRDefault="006F3AA9" w:rsidP="005A63C2">
            <w:pPr>
              <w:spacing w:after="120"/>
              <w:jc w:val="center"/>
              <w:rPr>
                <w:sz w:val="20"/>
                <w:lang w:val="en-GB" w:eastAsia="zh-TW"/>
              </w:rPr>
            </w:pPr>
            <w:r>
              <w:rPr>
                <w:sz w:val="20"/>
                <w:lang w:val="en-GB" w:eastAsia="zh-TW"/>
              </w:rPr>
              <w:t>2,</w:t>
            </w:r>
            <w:r w:rsidR="00D55C7C">
              <w:rPr>
                <w:sz w:val="20"/>
                <w:lang w:val="en-GB" w:eastAsia="zh-TW"/>
              </w:rPr>
              <w:t>81</w:t>
            </w:r>
          </w:p>
        </w:tc>
        <w:tc>
          <w:tcPr>
            <w:tcW w:w="2601" w:type="dxa"/>
            <w:tcBorders>
              <w:top w:val="single" w:sz="4" w:space="0" w:color="auto"/>
              <w:left w:val="single" w:sz="4" w:space="0" w:color="auto"/>
              <w:bottom w:val="single" w:sz="4" w:space="0" w:color="auto"/>
              <w:right w:val="single" w:sz="4" w:space="0" w:color="auto"/>
            </w:tcBorders>
          </w:tcPr>
          <w:p w14:paraId="41905488" w14:textId="77777777" w:rsidR="00D55C7C" w:rsidRPr="00002ECA" w:rsidRDefault="006F3AA9" w:rsidP="005A63C2">
            <w:pPr>
              <w:spacing w:after="120"/>
              <w:jc w:val="center"/>
              <w:rPr>
                <w:sz w:val="20"/>
                <w:lang w:val="en-GB" w:eastAsia="zh-TW"/>
              </w:rPr>
            </w:pPr>
            <w:r>
              <w:rPr>
                <w:sz w:val="20"/>
                <w:lang w:val="en-GB" w:eastAsia="zh-TW"/>
              </w:rPr>
              <w:t>10,</w:t>
            </w:r>
            <w:r w:rsidR="00D55C7C">
              <w:rPr>
                <w:sz w:val="20"/>
                <w:lang w:val="en-GB" w:eastAsia="zh-TW"/>
              </w:rPr>
              <w:t>91</w:t>
            </w:r>
          </w:p>
        </w:tc>
      </w:tr>
    </w:tbl>
    <w:p w14:paraId="19F2DD8B" w14:textId="3E5C28E4" w:rsidR="00D55C7C" w:rsidRDefault="00CB3DF8" w:rsidP="006868F5">
      <w:pPr>
        <w:outlineLvl w:val="0"/>
        <w:rPr>
          <w:sz w:val="20"/>
          <w:lang w:val="es-ES"/>
        </w:rPr>
      </w:pPr>
      <w:r>
        <w:rPr>
          <w:iCs/>
          <w:lang w:val="es-ES"/>
        </w:rPr>
        <w:t xml:space="preserve"> *</w:t>
      </w:r>
      <w:r w:rsidRPr="00E576A0">
        <w:rPr>
          <w:sz w:val="20"/>
        </w:rPr>
        <w:t>τ</w:t>
      </w:r>
      <w:r w:rsidR="00EA6B01" w:rsidRPr="00E576A0">
        <w:rPr>
          <w:sz w:val="20"/>
          <w:vertAlign w:val="subscript"/>
          <w:lang w:val="es-ES"/>
        </w:rPr>
        <w:t xml:space="preserve"> </w:t>
      </w:r>
      <w:r w:rsidR="00EA6B01" w:rsidRPr="00E576A0">
        <w:rPr>
          <w:sz w:val="20"/>
          <w:lang w:val="es-ES"/>
        </w:rPr>
        <w:t xml:space="preserve">= 2 semanas o </w:t>
      </w:r>
      <w:proofErr w:type="gramStart"/>
      <w:r w:rsidR="00EA6B01" w:rsidRPr="00E576A0">
        <w:rPr>
          <w:sz w:val="20"/>
          <w:lang w:val="es-ES"/>
        </w:rPr>
        <w:t>1</w:t>
      </w:r>
      <w:r w:rsidR="003532C2" w:rsidRPr="00F30AB8">
        <w:rPr>
          <w:iCs/>
          <w:sz w:val="18"/>
          <w:szCs w:val="18"/>
          <w:lang w:val="es-ES"/>
        </w:rPr>
        <w:t> </w:t>
      </w:r>
      <w:r w:rsidR="00EA6B01" w:rsidRPr="00E576A0">
        <w:rPr>
          <w:sz w:val="20"/>
          <w:lang w:val="es-ES"/>
        </w:rPr>
        <w:t xml:space="preserve"> semana</w:t>
      </w:r>
      <w:proofErr w:type="gramEnd"/>
      <w:r w:rsidR="00EA6B01" w:rsidRPr="00E576A0">
        <w:rPr>
          <w:sz w:val="20"/>
          <w:lang w:val="es-ES"/>
        </w:rPr>
        <w:t xml:space="preserve"> para los dos reg</w:t>
      </w:r>
      <w:r w:rsidR="00EA6B01">
        <w:rPr>
          <w:sz w:val="20"/>
          <w:lang w:val="es-ES"/>
        </w:rPr>
        <w:t xml:space="preserve">ímenes </w:t>
      </w:r>
      <w:r w:rsidR="002C39BB">
        <w:rPr>
          <w:rFonts w:eastAsia="SimSun"/>
          <w:lang w:val="es-ES" w:eastAsia="zh-CN"/>
        </w:rPr>
        <w:t>subcutáne</w:t>
      </w:r>
      <w:r w:rsidR="00553D9B">
        <w:rPr>
          <w:rFonts w:eastAsia="SimSun"/>
          <w:lang w:val="es-ES" w:eastAsia="zh-CN"/>
        </w:rPr>
        <w:t>os</w:t>
      </w:r>
    </w:p>
    <w:p w14:paraId="1529DD90" w14:textId="77777777" w:rsidR="00EA6B01" w:rsidRPr="00EA6B01" w:rsidRDefault="00EA6B01" w:rsidP="006868F5">
      <w:pPr>
        <w:outlineLvl w:val="0"/>
        <w:rPr>
          <w:iCs/>
          <w:lang w:val="es-ES"/>
        </w:rPr>
      </w:pPr>
    </w:p>
    <w:p w14:paraId="02259C68" w14:textId="46921F15" w:rsidR="006F3AA9" w:rsidRPr="00C22F3F" w:rsidRDefault="006F3AA9" w:rsidP="006868F5">
      <w:pPr>
        <w:outlineLvl w:val="0"/>
        <w:rPr>
          <w:iCs/>
          <w:lang w:val="es-ES"/>
        </w:rPr>
      </w:pPr>
      <w:r w:rsidRPr="002837E4">
        <w:rPr>
          <w:iCs/>
          <w:lang w:val="es-ES"/>
        </w:rPr>
        <w:t>El perfil de</w:t>
      </w:r>
      <w:r w:rsidR="00B936A6" w:rsidRPr="002837E4">
        <w:rPr>
          <w:iCs/>
          <w:lang w:val="es-ES"/>
        </w:rPr>
        <w:t>l</w:t>
      </w:r>
      <w:r w:rsidRPr="006C05BA">
        <w:rPr>
          <w:iCs/>
          <w:lang w:val="es-ES"/>
        </w:rPr>
        <w:t xml:space="preserve"> estado estacionario </w:t>
      </w:r>
      <w:r w:rsidR="008F1EAB" w:rsidRPr="006C05BA">
        <w:rPr>
          <w:iCs/>
          <w:lang w:val="es-ES"/>
        </w:rPr>
        <w:t xml:space="preserve">fue casi plano </w:t>
      </w:r>
      <w:r w:rsidRPr="00C22F3F">
        <w:rPr>
          <w:iCs/>
          <w:lang w:val="es-ES"/>
        </w:rPr>
        <w:t>después d</w:t>
      </w:r>
      <w:r w:rsidR="008F1EAB" w:rsidRPr="00C22F3F">
        <w:rPr>
          <w:iCs/>
          <w:lang w:val="es-ES"/>
        </w:rPr>
        <w:t xml:space="preserve">e la dosis semanal de </w:t>
      </w:r>
      <w:r w:rsidR="002C39BB">
        <w:rPr>
          <w:iCs/>
          <w:lang w:val="es-ES"/>
        </w:rPr>
        <w:t>tocilizumab</w:t>
      </w:r>
      <w:r w:rsidRPr="00C22F3F">
        <w:rPr>
          <w:iCs/>
          <w:lang w:val="es-ES"/>
        </w:rPr>
        <w:t>, con muy pocas fl</w:t>
      </w:r>
      <w:r w:rsidR="008F1EAB" w:rsidRPr="00C22F3F">
        <w:rPr>
          <w:iCs/>
          <w:lang w:val="es-ES"/>
        </w:rPr>
        <w:t>uctuaciones en los valores entre</w:t>
      </w:r>
      <w:r w:rsidRPr="00C22F3F">
        <w:rPr>
          <w:iCs/>
          <w:lang w:val="es-ES"/>
        </w:rPr>
        <w:t xml:space="preserve"> pico y </w:t>
      </w:r>
      <w:del w:id="1399" w:author="AUTHOR">
        <w:r w:rsidRPr="00C22F3F" w:rsidDel="00560E94">
          <w:rPr>
            <w:iCs/>
            <w:lang w:val="es-ES"/>
          </w:rPr>
          <w:delText>pico</w:delText>
        </w:r>
      </w:del>
      <w:ins w:id="1400" w:author="AUTHOR">
        <w:r w:rsidR="00560E94">
          <w:rPr>
            <w:iCs/>
            <w:lang w:val="es-ES"/>
          </w:rPr>
          <w:t>valle</w:t>
        </w:r>
      </w:ins>
      <w:r w:rsidRPr="00C22F3F">
        <w:rPr>
          <w:iCs/>
          <w:lang w:val="es-ES"/>
        </w:rPr>
        <w:t xml:space="preserve">, mientras que hubo </w:t>
      </w:r>
      <w:r w:rsidR="00E91902" w:rsidRPr="00C22F3F">
        <w:rPr>
          <w:iCs/>
          <w:lang w:val="es-ES"/>
        </w:rPr>
        <w:t xml:space="preserve">fluctuaciones sustanciales en la administración de </w:t>
      </w:r>
      <w:r w:rsidR="002C39BB">
        <w:rPr>
          <w:iCs/>
          <w:lang w:val="es-ES"/>
        </w:rPr>
        <w:t>tocilizumab</w:t>
      </w:r>
      <w:r w:rsidR="002C39BB" w:rsidRPr="00C22F3F">
        <w:rPr>
          <w:iCs/>
          <w:lang w:val="es-ES"/>
        </w:rPr>
        <w:t xml:space="preserve"> </w:t>
      </w:r>
      <w:r w:rsidR="00E91902" w:rsidRPr="00C22F3F">
        <w:rPr>
          <w:iCs/>
          <w:lang w:val="es-ES"/>
        </w:rPr>
        <w:t>cada dos semanas</w:t>
      </w:r>
      <w:r w:rsidRPr="00C22F3F">
        <w:rPr>
          <w:iCs/>
          <w:lang w:val="es-ES"/>
        </w:rPr>
        <w:t>. Aproximadamente el 90</w:t>
      </w:r>
      <w:r w:rsidR="00437CE4">
        <w:rPr>
          <w:iCs/>
          <w:lang w:val="es-ES"/>
        </w:rPr>
        <w:t xml:space="preserve"> </w:t>
      </w:r>
      <w:r w:rsidRPr="00C22F3F">
        <w:rPr>
          <w:iCs/>
          <w:lang w:val="es-ES"/>
        </w:rPr>
        <w:t xml:space="preserve">% del estado </w:t>
      </w:r>
      <w:r w:rsidR="00CC23EF" w:rsidRPr="00C22F3F">
        <w:rPr>
          <w:iCs/>
          <w:lang w:val="es-ES"/>
        </w:rPr>
        <w:t>estacionario (AUCτ) fue alcanzado</w:t>
      </w:r>
      <w:r w:rsidR="00E91902" w:rsidRPr="00C22F3F">
        <w:rPr>
          <w:iCs/>
          <w:lang w:val="es-ES"/>
        </w:rPr>
        <w:t xml:space="preserve"> en la semana</w:t>
      </w:r>
      <w:r w:rsidR="00553D9B" w:rsidRPr="002C5491">
        <w:rPr>
          <w:iCs/>
          <w:szCs w:val="22"/>
          <w:lang w:val="es-ES"/>
        </w:rPr>
        <w:t> </w:t>
      </w:r>
      <w:r w:rsidR="00E91902" w:rsidRPr="00C22F3F">
        <w:rPr>
          <w:iCs/>
          <w:lang w:val="es-ES"/>
        </w:rPr>
        <w:t xml:space="preserve">14 en el grupo de administración </w:t>
      </w:r>
      <w:del w:id="1401" w:author="AUTHOR">
        <w:r w:rsidR="00E91902" w:rsidRPr="00C22F3F" w:rsidDel="00EE0F68">
          <w:rPr>
            <w:iCs/>
            <w:lang w:val="es-ES"/>
          </w:rPr>
          <w:delText xml:space="preserve">deRoActemra </w:delText>
        </w:r>
      </w:del>
      <w:r w:rsidR="00E91902" w:rsidRPr="00C22F3F">
        <w:rPr>
          <w:iCs/>
          <w:lang w:val="es-ES"/>
        </w:rPr>
        <w:t xml:space="preserve">cada dos </w:t>
      </w:r>
      <w:r w:rsidRPr="00C22F3F">
        <w:rPr>
          <w:iCs/>
          <w:lang w:val="es-ES"/>
        </w:rPr>
        <w:t>semana</w:t>
      </w:r>
      <w:r w:rsidR="00E91902" w:rsidRPr="00C22F3F">
        <w:rPr>
          <w:iCs/>
          <w:lang w:val="es-ES"/>
        </w:rPr>
        <w:t>s</w:t>
      </w:r>
      <w:r w:rsidRPr="00C22F3F">
        <w:rPr>
          <w:iCs/>
          <w:lang w:val="es-ES"/>
        </w:rPr>
        <w:t xml:space="preserve"> y </w:t>
      </w:r>
      <w:r w:rsidR="00E91902" w:rsidRPr="00C22F3F">
        <w:rPr>
          <w:iCs/>
          <w:lang w:val="es-ES"/>
        </w:rPr>
        <w:t xml:space="preserve">en </w:t>
      </w:r>
      <w:r w:rsidR="00CC23EF" w:rsidRPr="00C22F3F">
        <w:rPr>
          <w:iCs/>
          <w:lang w:val="es-ES"/>
        </w:rPr>
        <w:t>la semana</w:t>
      </w:r>
      <w:r w:rsidR="00553D9B" w:rsidRPr="002C5491">
        <w:rPr>
          <w:iCs/>
          <w:szCs w:val="22"/>
          <w:lang w:val="es-ES"/>
        </w:rPr>
        <w:t> </w:t>
      </w:r>
      <w:r w:rsidR="00CC23EF" w:rsidRPr="00C22F3F">
        <w:rPr>
          <w:iCs/>
          <w:lang w:val="es-ES"/>
        </w:rPr>
        <w:t>17 en el grupo</w:t>
      </w:r>
      <w:r w:rsidRPr="00C22F3F">
        <w:rPr>
          <w:iCs/>
          <w:lang w:val="es-ES"/>
        </w:rPr>
        <w:t xml:space="preserve"> de </w:t>
      </w:r>
      <w:r w:rsidR="00E91902" w:rsidRPr="00C22F3F">
        <w:rPr>
          <w:iCs/>
          <w:lang w:val="es-ES"/>
        </w:rPr>
        <w:t xml:space="preserve">administración </w:t>
      </w:r>
      <w:r w:rsidR="003532C2">
        <w:rPr>
          <w:iCs/>
          <w:lang w:val="es-ES"/>
        </w:rPr>
        <w:t xml:space="preserve"> </w:t>
      </w:r>
      <w:r w:rsidR="00CC23EF" w:rsidRPr="00C22F3F">
        <w:rPr>
          <w:iCs/>
          <w:lang w:val="es-ES"/>
        </w:rPr>
        <w:t>semanal</w:t>
      </w:r>
      <w:r w:rsidRPr="00C22F3F">
        <w:rPr>
          <w:iCs/>
          <w:lang w:val="es-ES"/>
        </w:rPr>
        <w:t xml:space="preserve">. </w:t>
      </w:r>
    </w:p>
    <w:p w14:paraId="77EDF302" w14:textId="77777777" w:rsidR="006F3AA9" w:rsidRPr="006868F5" w:rsidRDefault="006F3AA9" w:rsidP="006868F5">
      <w:pPr>
        <w:outlineLvl w:val="0"/>
        <w:rPr>
          <w:iCs/>
          <w:highlight w:val="yellow"/>
          <w:lang w:val="es-ES"/>
        </w:rPr>
      </w:pPr>
    </w:p>
    <w:p w14:paraId="7E907A87" w14:textId="78A71051" w:rsidR="007C1C8C" w:rsidRPr="00C22F3F" w:rsidRDefault="007C1C8C" w:rsidP="006868F5">
      <w:pPr>
        <w:outlineLvl w:val="0"/>
        <w:rPr>
          <w:iCs/>
          <w:lang w:val="es-ES"/>
        </w:rPr>
      </w:pPr>
      <w:r w:rsidRPr="002837E4">
        <w:rPr>
          <w:iCs/>
          <w:lang w:val="es-ES"/>
        </w:rPr>
        <w:t>Basándose en la</w:t>
      </w:r>
      <w:r w:rsidR="00E91902" w:rsidRPr="002837E4">
        <w:rPr>
          <w:iCs/>
          <w:lang w:val="es-ES"/>
        </w:rPr>
        <w:t xml:space="preserve"> caracterización actual de la </w:t>
      </w:r>
      <w:r w:rsidR="005C50FB">
        <w:rPr>
          <w:iCs/>
          <w:lang w:val="es-ES"/>
        </w:rPr>
        <w:t>PK</w:t>
      </w:r>
      <w:r w:rsidR="00861D87" w:rsidRPr="002837E4">
        <w:rPr>
          <w:iCs/>
          <w:lang w:val="es-ES"/>
        </w:rPr>
        <w:t>, se observa</w:t>
      </w:r>
      <w:r w:rsidR="00861D87" w:rsidRPr="006C05BA">
        <w:rPr>
          <w:iCs/>
          <w:lang w:val="es-ES"/>
        </w:rPr>
        <w:t>ron</w:t>
      </w:r>
      <w:r w:rsidRPr="006C05BA">
        <w:rPr>
          <w:iCs/>
          <w:lang w:val="es-ES"/>
        </w:rPr>
        <w:t xml:space="preserve"> concentraciones</w:t>
      </w:r>
      <w:r w:rsidR="00861D87" w:rsidRPr="006C05BA">
        <w:rPr>
          <w:iCs/>
          <w:lang w:val="es-ES"/>
        </w:rPr>
        <w:t xml:space="preserve"> valle</w:t>
      </w:r>
      <w:r w:rsidRPr="006C05BA">
        <w:rPr>
          <w:iCs/>
          <w:lang w:val="es-ES"/>
        </w:rPr>
        <w:t xml:space="preserve"> de </w:t>
      </w:r>
      <w:r w:rsidR="002C39BB">
        <w:rPr>
          <w:iCs/>
          <w:lang w:val="es-ES"/>
        </w:rPr>
        <w:t>tocilizumab</w:t>
      </w:r>
      <w:r w:rsidR="002C39BB" w:rsidRPr="006C05BA">
        <w:rPr>
          <w:iCs/>
          <w:lang w:val="es-ES"/>
        </w:rPr>
        <w:t xml:space="preserve"> </w:t>
      </w:r>
      <w:r w:rsidR="00861D87" w:rsidRPr="006C05BA">
        <w:rPr>
          <w:iCs/>
          <w:lang w:val="es-ES"/>
        </w:rPr>
        <w:t xml:space="preserve">en el estado estacionario un </w:t>
      </w:r>
      <w:r w:rsidRPr="00C22F3F">
        <w:rPr>
          <w:iCs/>
          <w:lang w:val="es-ES"/>
        </w:rPr>
        <w:t>50</w:t>
      </w:r>
      <w:r w:rsidR="00437CE4">
        <w:rPr>
          <w:iCs/>
          <w:lang w:val="es-ES"/>
        </w:rPr>
        <w:t xml:space="preserve"> </w:t>
      </w:r>
      <w:r w:rsidRPr="00C22F3F">
        <w:rPr>
          <w:iCs/>
          <w:lang w:val="es-ES"/>
        </w:rPr>
        <w:t>%</w:t>
      </w:r>
      <w:r w:rsidR="002837E4" w:rsidRPr="006868F5">
        <w:rPr>
          <w:iCs/>
          <w:lang w:val="es-ES"/>
        </w:rPr>
        <w:t xml:space="preserve"> </w:t>
      </w:r>
      <w:r w:rsidR="00131BEC" w:rsidRPr="002837E4">
        <w:rPr>
          <w:iCs/>
          <w:lang w:val="es-ES"/>
        </w:rPr>
        <w:t>más altas</w:t>
      </w:r>
      <w:r w:rsidRPr="002837E4">
        <w:rPr>
          <w:iCs/>
          <w:lang w:val="es-ES"/>
        </w:rPr>
        <w:t xml:space="preserve"> en esta población en relación con las concentraciones medias en un conjunto </w:t>
      </w:r>
      <w:r w:rsidR="00833DC6" w:rsidRPr="006C05BA">
        <w:rPr>
          <w:iCs/>
          <w:lang w:val="es-ES"/>
        </w:rPr>
        <w:t>grande</w:t>
      </w:r>
      <w:r w:rsidR="00245860" w:rsidRPr="006C05BA">
        <w:rPr>
          <w:iCs/>
          <w:lang w:val="es-ES"/>
        </w:rPr>
        <w:t xml:space="preserve"> </w:t>
      </w:r>
      <w:r w:rsidRPr="006C05BA">
        <w:rPr>
          <w:iCs/>
          <w:lang w:val="es-ES"/>
        </w:rPr>
        <w:t>de d</w:t>
      </w:r>
      <w:r w:rsidR="007C0355" w:rsidRPr="006C05BA">
        <w:rPr>
          <w:iCs/>
          <w:lang w:val="es-ES"/>
        </w:rPr>
        <w:t>atos de la población con</w:t>
      </w:r>
      <w:r w:rsidR="00CC23EF" w:rsidRPr="00C22F3F">
        <w:rPr>
          <w:iCs/>
          <w:lang w:val="es-ES"/>
        </w:rPr>
        <w:t xml:space="preserve"> </w:t>
      </w:r>
      <w:r w:rsidRPr="00C22F3F">
        <w:rPr>
          <w:iCs/>
          <w:lang w:val="es-ES"/>
        </w:rPr>
        <w:t>A</w:t>
      </w:r>
      <w:r w:rsidR="00CC23EF" w:rsidRPr="00C22F3F">
        <w:rPr>
          <w:iCs/>
          <w:lang w:val="es-ES"/>
        </w:rPr>
        <w:t>R</w:t>
      </w:r>
      <w:r w:rsidRPr="00C22F3F">
        <w:rPr>
          <w:iCs/>
          <w:lang w:val="es-ES"/>
        </w:rPr>
        <w:t>. Estas diferencias se produ</w:t>
      </w:r>
      <w:r w:rsidR="00E91902" w:rsidRPr="00C22F3F">
        <w:rPr>
          <w:iCs/>
          <w:lang w:val="es-ES"/>
        </w:rPr>
        <w:t>cen por razones desconocidas. Las</w:t>
      </w:r>
      <w:r w:rsidRPr="00C22F3F">
        <w:rPr>
          <w:iCs/>
          <w:lang w:val="es-ES"/>
        </w:rPr>
        <w:t xml:space="preserve"> diferencias</w:t>
      </w:r>
      <w:r w:rsidR="00BF1E37">
        <w:rPr>
          <w:iCs/>
          <w:lang w:val="es-ES"/>
        </w:rPr>
        <w:t xml:space="preserve"> en la</w:t>
      </w:r>
      <w:r w:rsidRPr="00C22F3F">
        <w:rPr>
          <w:iCs/>
          <w:lang w:val="es-ES"/>
        </w:rPr>
        <w:t xml:space="preserve"> </w:t>
      </w:r>
      <w:r w:rsidR="005C50FB">
        <w:rPr>
          <w:iCs/>
          <w:lang w:val="es-ES"/>
        </w:rPr>
        <w:t>PK</w:t>
      </w:r>
      <w:r w:rsidR="00E91902" w:rsidRPr="00C22F3F">
        <w:rPr>
          <w:iCs/>
          <w:lang w:val="es-ES"/>
        </w:rPr>
        <w:t xml:space="preserve"> no se acompañan de </w:t>
      </w:r>
      <w:r w:rsidRPr="00C22F3F">
        <w:rPr>
          <w:iCs/>
          <w:lang w:val="es-ES"/>
        </w:rPr>
        <w:t xml:space="preserve">diferencias </w:t>
      </w:r>
      <w:r w:rsidR="00E91902" w:rsidRPr="00C22F3F">
        <w:rPr>
          <w:iCs/>
          <w:lang w:val="es-ES"/>
        </w:rPr>
        <w:t xml:space="preserve">importantes en los parámetros de </w:t>
      </w:r>
      <w:r w:rsidR="00880353">
        <w:rPr>
          <w:iCs/>
          <w:lang w:val="es-ES"/>
        </w:rPr>
        <w:t>PD</w:t>
      </w:r>
      <w:r w:rsidR="00E91902" w:rsidRPr="00C22F3F">
        <w:rPr>
          <w:iCs/>
          <w:lang w:val="es-ES"/>
        </w:rPr>
        <w:t>,</w:t>
      </w:r>
      <w:r w:rsidRPr="00C22F3F">
        <w:rPr>
          <w:iCs/>
          <w:lang w:val="es-ES"/>
        </w:rPr>
        <w:t xml:space="preserve"> por lo que la relevancia clínica es desconocida.</w:t>
      </w:r>
    </w:p>
    <w:p w14:paraId="07B9860E" w14:textId="77777777" w:rsidR="007C1C8C" w:rsidRPr="006868F5" w:rsidRDefault="007C1C8C" w:rsidP="006868F5">
      <w:pPr>
        <w:outlineLvl w:val="0"/>
        <w:rPr>
          <w:iCs/>
          <w:highlight w:val="yellow"/>
          <w:lang w:val="es-ES"/>
        </w:rPr>
      </w:pPr>
    </w:p>
    <w:p w14:paraId="7358880C" w14:textId="5888D045" w:rsidR="007C1C8C" w:rsidRPr="00C22F3F" w:rsidRDefault="00E91902" w:rsidP="006868F5">
      <w:pPr>
        <w:outlineLvl w:val="0"/>
        <w:rPr>
          <w:iCs/>
          <w:lang w:val="es-ES"/>
        </w:rPr>
      </w:pPr>
      <w:r w:rsidRPr="002837E4">
        <w:rPr>
          <w:iCs/>
          <w:lang w:val="es-ES"/>
        </w:rPr>
        <w:t xml:space="preserve">En pacientes con </w:t>
      </w:r>
      <w:r w:rsidR="007C1C8C" w:rsidRPr="002837E4">
        <w:rPr>
          <w:iCs/>
          <w:lang w:val="es-ES"/>
        </w:rPr>
        <w:t>A</w:t>
      </w:r>
      <w:r w:rsidRPr="002837E4">
        <w:rPr>
          <w:iCs/>
          <w:lang w:val="es-ES"/>
        </w:rPr>
        <w:t>CG</w:t>
      </w:r>
      <w:r w:rsidR="007C1C8C" w:rsidRPr="002837E4">
        <w:rPr>
          <w:iCs/>
          <w:lang w:val="es-ES"/>
        </w:rPr>
        <w:t xml:space="preserve">, se observó una mayor exposición en pacientes con menor peso corporal. </w:t>
      </w:r>
      <w:r w:rsidR="007C1C8C" w:rsidRPr="006C05BA">
        <w:rPr>
          <w:iCs/>
          <w:lang w:val="es-ES"/>
        </w:rPr>
        <w:t xml:space="preserve">Para </w:t>
      </w:r>
      <w:r w:rsidR="00E63EF3">
        <w:rPr>
          <w:iCs/>
          <w:lang w:val="es-ES"/>
        </w:rPr>
        <w:t>pauta posológica</w:t>
      </w:r>
      <w:r w:rsidR="00CC23EF" w:rsidRPr="00C22F3F">
        <w:rPr>
          <w:iCs/>
          <w:lang w:val="es-ES"/>
        </w:rPr>
        <w:t xml:space="preserve"> de 162</w:t>
      </w:r>
      <w:r w:rsidR="00553D9B" w:rsidRPr="002C5491">
        <w:rPr>
          <w:iCs/>
          <w:szCs w:val="22"/>
          <w:lang w:val="es-ES"/>
        </w:rPr>
        <w:t> </w:t>
      </w:r>
      <w:r w:rsidR="00CC23EF" w:rsidRPr="00C22F3F">
        <w:rPr>
          <w:iCs/>
          <w:lang w:val="es-ES"/>
        </w:rPr>
        <w:t xml:space="preserve">mg </w:t>
      </w:r>
      <w:r w:rsidR="007C1C8C" w:rsidRPr="00C22F3F">
        <w:rPr>
          <w:iCs/>
          <w:lang w:val="es-ES"/>
        </w:rPr>
        <w:t>semana</w:t>
      </w:r>
      <w:r w:rsidR="00CC23EF" w:rsidRPr="00C22F3F">
        <w:rPr>
          <w:iCs/>
          <w:lang w:val="es-ES"/>
        </w:rPr>
        <w:t>l</w:t>
      </w:r>
      <w:r w:rsidR="00BF1E37">
        <w:rPr>
          <w:iCs/>
          <w:lang w:val="es-ES"/>
        </w:rPr>
        <w:t>es</w:t>
      </w:r>
      <w:r w:rsidR="007C1C8C" w:rsidRPr="00C22F3F">
        <w:rPr>
          <w:iCs/>
          <w:lang w:val="es-ES"/>
        </w:rPr>
        <w:t xml:space="preserve">, </w:t>
      </w:r>
      <w:r w:rsidR="005D7D3A" w:rsidRPr="006868F5">
        <w:rPr>
          <w:iCs/>
          <w:color w:val="000000"/>
          <w:lang w:val="es-ES"/>
        </w:rPr>
        <w:t>la C</w:t>
      </w:r>
      <w:r w:rsidR="005D7D3A" w:rsidRPr="006868F5">
        <w:rPr>
          <w:iCs/>
          <w:color w:val="000000"/>
          <w:shd w:val="clear" w:color="auto" w:fill="FFFFFF"/>
          <w:lang w:val="es-ES"/>
        </w:rPr>
        <w:t>media</w:t>
      </w:r>
      <w:r w:rsidR="005D7D3A" w:rsidRPr="006868F5">
        <w:rPr>
          <w:iCs/>
          <w:color w:val="000000"/>
          <w:lang w:val="es-ES"/>
        </w:rPr>
        <w:t xml:space="preserve"> en </w:t>
      </w:r>
      <w:r w:rsidR="007C1C8C" w:rsidRPr="006868F5">
        <w:rPr>
          <w:iCs/>
          <w:color w:val="000000"/>
          <w:lang w:val="es-ES"/>
        </w:rPr>
        <w:t xml:space="preserve">el </w:t>
      </w:r>
      <w:r w:rsidRPr="006868F5">
        <w:rPr>
          <w:iCs/>
          <w:color w:val="000000"/>
          <w:lang w:val="es-ES"/>
        </w:rPr>
        <w:t xml:space="preserve">estado estacionario </w:t>
      </w:r>
      <w:r w:rsidR="007C1C8C" w:rsidRPr="006868F5">
        <w:rPr>
          <w:iCs/>
          <w:color w:val="000000"/>
          <w:lang w:val="es-ES"/>
        </w:rPr>
        <w:t xml:space="preserve">fue </w:t>
      </w:r>
      <w:r w:rsidRPr="006868F5">
        <w:rPr>
          <w:iCs/>
          <w:color w:val="000000"/>
          <w:lang w:val="es-ES"/>
        </w:rPr>
        <w:t xml:space="preserve">un </w:t>
      </w:r>
      <w:r w:rsidR="005D7D3A" w:rsidRPr="006868F5">
        <w:rPr>
          <w:iCs/>
          <w:color w:val="000000"/>
          <w:lang w:val="es-ES"/>
        </w:rPr>
        <w:t>51</w:t>
      </w:r>
      <w:r w:rsidR="00437CE4" w:rsidRPr="006868F5">
        <w:rPr>
          <w:iCs/>
          <w:color w:val="000000"/>
          <w:lang w:val="es-ES"/>
        </w:rPr>
        <w:t xml:space="preserve"> </w:t>
      </w:r>
      <w:r w:rsidR="005D7D3A" w:rsidRPr="006868F5">
        <w:rPr>
          <w:iCs/>
          <w:color w:val="000000"/>
          <w:lang w:val="es-ES"/>
        </w:rPr>
        <w:t>% más alta</w:t>
      </w:r>
      <w:r w:rsidR="007C1C8C" w:rsidRPr="006868F5">
        <w:rPr>
          <w:iCs/>
          <w:color w:val="000000"/>
          <w:lang w:val="es-ES"/>
        </w:rPr>
        <w:t xml:space="preserve"> en pacientes con peso corporal inferior a 60</w:t>
      </w:r>
      <w:r w:rsidR="00553D9B" w:rsidRPr="002C5491">
        <w:rPr>
          <w:iCs/>
          <w:szCs w:val="22"/>
          <w:lang w:val="es-ES"/>
        </w:rPr>
        <w:t> </w:t>
      </w:r>
      <w:r w:rsidR="007C1C8C" w:rsidRPr="006868F5">
        <w:rPr>
          <w:iCs/>
          <w:color w:val="000000"/>
          <w:lang w:val="es-ES"/>
        </w:rPr>
        <w:t>kg en comparación con pacientes que pesaban entre 60 y 100</w:t>
      </w:r>
      <w:r w:rsidR="00553D9B" w:rsidRPr="002C5491">
        <w:rPr>
          <w:iCs/>
          <w:szCs w:val="22"/>
          <w:lang w:val="es-ES"/>
        </w:rPr>
        <w:t> </w:t>
      </w:r>
      <w:r w:rsidR="007C1C8C" w:rsidRPr="006868F5">
        <w:rPr>
          <w:iCs/>
          <w:color w:val="000000"/>
          <w:lang w:val="es-ES"/>
        </w:rPr>
        <w:t xml:space="preserve">kg. Para </w:t>
      </w:r>
      <w:r w:rsidR="00E63EF3">
        <w:rPr>
          <w:iCs/>
          <w:color w:val="000000"/>
          <w:lang w:val="es-ES"/>
        </w:rPr>
        <w:t>la pauta posológica</w:t>
      </w:r>
      <w:r w:rsidR="005D7D3A" w:rsidRPr="006868F5">
        <w:rPr>
          <w:iCs/>
          <w:color w:val="000000"/>
          <w:lang w:val="es-ES"/>
        </w:rPr>
        <w:t xml:space="preserve"> de </w:t>
      </w:r>
      <w:r w:rsidR="00E6214A" w:rsidRPr="006868F5">
        <w:rPr>
          <w:iCs/>
          <w:color w:val="000000"/>
          <w:lang w:val="es-ES"/>
        </w:rPr>
        <w:t>162</w:t>
      </w:r>
      <w:r w:rsidR="00553D9B" w:rsidRPr="002C5491">
        <w:rPr>
          <w:iCs/>
          <w:szCs w:val="22"/>
          <w:lang w:val="es-ES"/>
        </w:rPr>
        <w:t> </w:t>
      </w:r>
      <w:r w:rsidR="00E6214A" w:rsidRPr="006868F5">
        <w:rPr>
          <w:iCs/>
          <w:color w:val="000000"/>
          <w:lang w:val="es-ES"/>
        </w:rPr>
        <w:t xml:space="preserve">mg </w:t>
      </w:r>
      <w:del w:id="1402" w:author="AUTHOR">
        <w:r w:rsidR="00E6214A" w:rsidRPr="006868F5" w:rsidDel="009F26E0">
          <w:rPr>
            <w:iCs/>
            <w:color w:val="000000"/>
            <w:lang w:val="es-ES"/>
          </w:rPr>
          <w:delText>bisemanal</w:delText>
        </w:r>
      </w:del>
      <w:ins w:id="1403" w:author="AUTHOR">
        <w:r w:rsidR="009F26E0">
          <w:rPr>
            <w:iCs/>
            <w:color w:val="000000"/>
            <w:lang w:val="es-ES"/>
          </w:rPr>
          <w:t>cada dos semanas</w:t>
        </w:r>
      </w:ins>
      <w:r w:rsidR="007C1C8C" w:rsidRPr="006868F5">
        <w:rPr>
          <w:iCs/>
          <w:color w:val="000000"/>
          <w:lang w:val="es-ES"/>
        </w:rPr>
        <w:t>,</w:t>
      </w:r>
      <w:r w:rsidR="005D7D3A" w:rsidRPr="006868F5">
        <w:rPr>
          <w:iCs/>
          <w:color w:val="000000"/>
          <w:lang w:val="es-ES"/>
        </w:rPr>
        <w:t xml:space="preserve"> la</w:t>
      </w:r>
      <w:r w:rsidR="008A0533" w:rsidRPr="006868F5">
        <w:rPr>
          <w:iCs/>
          <w:color w:val="000000"/>
          <w:lang w:val="es-ES"/>
        </w:rPr>
        <w:t xml:space="preserve"> </w:t>
      </w:r>
      <w:r w:rsidR="005D7D3A" w:rsidRPr="006868F5">
        <w:rPr>
          <w:iCs/>
          <w:color w:val="000000"/>
          <w:lang w:val="es-ES"/>
        </w:rPr>
        <w:t>C</w:t>
      </w:r>
      <w:r w:rsidR="005D7D3A" w:rsidRPr="006868F5">
        <w:rPr>
          <w:iCs/>
          <w:color w:val="000000"/>
          <w:shd w:val="clear" w:color="auto" w:fill="FFFFFF"/>
          <w:lang w:val="es-ES"/>
        </w:rPr>
        <w:t>media</w:t>
      </w:r>
      <w:r w:rsidR="008A0533" w:rsidRPr="00C22F3F">
        <w:rPr>
          <w:iCs/>
          <w:lang w:val="es-ES"/>
        </w:rPr>
        <w:t xml:space="preserve"> en </w:t>
      </w:r>
      <w:r w:rsidR="005D7D3A" w:rsidRPr="00C22F3F">
        <w:rPr>
          <w:iCs/>
          <w:lang w:val="es-ES"/>
        </w:rPr>
        <w:t xml:space="preserve">el estado </w:t>
      </w:r>
      <w:r w:rsidR="008A0533" w:rsidRPr="00C22F3F">
        <w:rPr>
          <w:iCs/>
          <w:lang w:val="es-ES"/>
        </w:rPr>
        <w:t>estacionario</w:t>
      </w:r>
      <w:r w:rsidR="007C1C8C" w:rsidRPr="00C22F3F">
        <w:rPr>
          <w:iCs/>
          <w:lang w:val="es-ES"/>
        </w:rPr>
        <w:t xml:space="preserve"> fue </w:t>
      </w:r>
      <w:r w:rsidR="008A0533" w:rsidRPr="00C22F3F">
        <w:rPr>
          <w:iCs/>
          <w:lang w:val="es-ES"/>
        </w:rPr>
        <w:t xml:space="preserve">un </w:t>
      </w:r>
      <w:r w:rsidR="005D7D3A" w:rsidRPr="00C22F3F">
        <w:rPr>
          <w:iCs/>
          <w:lang w:val="es-ES"/>
        </w:rPr>
        <w:t>129</w:t>
      </w:r>
      <w:r w:rsidR="00437CE4">
        <w:rPr>
          <w:iCs/>
          <w:lang w:val="es-ES"/>
        </w:rPr>
        <w:t xml:space="preserve"> </w:t>
      </w:r>
      <w:r w:rsidR="005D7D3A" w:rsidRPr="00C22F3F">
        <w:rPr>
          <w:iCs/>
          <w:lang w:val="es-ES"/>
        </w:rPr>
        <w:t>% más alta</w:t>
      </w:r>
      <w:r w:rsidR="007C1C8C" w:rsidRPr="00C22F3F">
        <w:rPr>
          <w:iCs/>
          <w:lang w:val="es-ES"/>
        </w:rPr>
        <w:t xml:space="preserve"> en pacientes con peso corporal inferior a 60</w:t>
      </w:r>
      <w:r w:rsidR="00553D9B" w:rsidRPr="002C5491">
        <w:rPr>
          <w:iCs/>
          <w:szCs w:val="22"/>
          <w:lang w:val="es-ES"/>
        </w:rPr>
        <w:t> </w:t>
      </w:r>
      <w:r w:rsidR="007C1C8C" w:rsidRPr="00C22F3F">
        <w:rPr>
          <w:iCs/>
          <w:lang w:val="es-ES"/>
        </w:rPr>
        <w:t>kg en comparación con pacientes qu</w:t>
      </w:r>
      <w:r w:rsidR="008A0533" w:rsidRPr="00C22F3F">
        <w:rPr>
          <w:iCs/>
          <w:lang w:val="es-ES"/>
        </w:rPr>
        <w:t>e pesaban entre 60 y 100</w:t>
      </w:r>
      <w:r w:rsidR="00553D9B" w:rsidRPr="002C5491">
        <w:rPr>
          <w:iCs/>
          <w:szCs w:val="22"/>
          <w:lang w:val="es-ES"/>
        </w:rPr>
        <w:t> </w:t>
      </w:r>
      <w:r w:rsidR="008A0533" w:rsidRPr="00C22F3F">
        <w:rPr>
          <w:iCs/>
          <w:lang w:val="es-ES"/>
        </w:rPr>
        <w:t>kg. Los</w:t>
      </w:r>
      <w:r w:rsidR="007C1C8C" w:rsidRPr="00C22F3F">
        <w:rPr>
          <w:iCs/>
          <w:lang w:val="es-ES"/>
        </w:rPr>
        <w:t xml:space="preserve"> datos</w:t>
      </w:r>
      <w:r w:rsidR="008A0533" w:rsidRPr="00C22F3F">
        <w:rPr>
          <w:iCs/>
          <w:lang w:val="es-ES"/>
        </w:rPr>
        <w:t xml:space="preserve"> son</w:t>
      </w:r>
      <w:r w:rsidR="007C1C8C" w:rsidRPr="00C22F3F">
        <w:rPr>
          <w:iCs/>
          <w:lang w:val="es-ES"/>
        </w:rPr>
        <w:t xml:space="preserve"> limitados para </w:t>
      </w:r>
      <w:r w:rsidR="005D7D3A" w:rsidRPr="00C22F3F">
        <w:rPr>
          <w:iCs/>
          <w:lang w:val="es-ES"/>
        </w:rPr>
        <w:t>pacientes de más de 100</w:t>
      </w:r>
      <w:r w:rsidR="00553D9B" w:rsidRPr="002C5491">
        <w:rPr>
          <w:iCs/>
          <w:szCs w:val="22"/>
          <w:lang w:val="es-ES"/>
        </w:rPr>
        <w:t> </w:t>
      </w:r>
      <w:r w:rsidR="005D7D3A" w:rsidRPr="00C22F3F">
        <w:rPr>
          <w:iCs/>
          <w:lang w:val="es-ES"/>
        </w:rPr>
        <w:t>kg (</w:t>
      </w:r>
      <w:proofErr w:type="gramStart"/>
      <w:r w:rsidR="005D7D3A" w:rsidRPr="00C22F3F">
        <w:rPr>
          <w:iCs/>
          <w:lang w:val="es-ES"/>
        </w:rPr>
        <w:t>n</w:t>
      </w:r>
      <w:ins w:id="1404" w:author="AUTHOR">
        <w:r w:rsidR="000228E7" w:rsidRPr="00467FFD">
          <w:rPr>
            <w:szCs w:val="22"/>
            <w:shd w:val="clear" w:color="auto" w:fill="FFFFFF"/>
            <w:lang w:val="es-ES"/>
            <w:rPrChange w:id="1405" w:author="AUTHOR">
              <w:rPr>
                <w:szCs w:val="22"/>
                <w:shd w:val="clear" w:color="auto" w:fill="FFFFFF"/>
              </w:rPr>
            </w:rPrChange>
          </w:rPr>
          <w:t> </w:t>
        </w:r>
        <w:r w:rsidR="000228E7" w:rsidRPr="00C22F3F">
          <w:rPr>
            <w:iCs/>
            <w:lang w:val="es-ES"/>
          </w:rPr>
          <w:t xml:space="preserve"> </w:t>
        </w:r>
      </w:ins>
      <w:r w:rsidR="005D7D3A" w:rsidRPr="00C22F3F">
        <w:rPr>
          <w:iCs/>
          <w:lang w:val="es-ES"/>
        </w:rPr>
        <w:t>=</w:t>
      </w:r>
      <w:proofErr w:type="gramEnd"/>
      <w:ins w:id="1406" w:author="AUTHOR">
        <w:r w:rsidR="000228E7" w:rsidRPr="00467FFD">
          <w:rPr>
            <w:szCs w:val="22"/>
            <w:shd w:val="clear" w:color="auto" w:fill="FFFFFF"/>
            <w:lang w:val="es-ES"/>
            <w:rPrChange w:id="1407" w:author="AUTHOR">
              <w:rPr>
                <w:szCs w:val="22"/>
                <w:shd w:val="clear" w:color="auto" w:fill="FFFFFF"/>
              </w:rPr>
            </w:rPrChange>
          </w:rPr>
          <w:t> </w:t>
        </w:r>
        <w:r w:rsidR="000228E7" w:rsidRPr="00C22F3F">
          <w:rPr>
            <w:iCs/>
            <w:lang w:val="es-ES"/>
          </w:rPr>
          <w:t xml:space="preserve"> </w:t>
        </w:r>
      </w:ins>
      <w:r w:rsidR="007C1C8C" w:rsidRPr="00C22F3F">
        <w:rPr>
          <w:iCs/>
          <w:lang w:val="es-ES"/>
        </w:rPr>
        <w:t>7).</w:t>
      </w:r>
    </w:p>
    <w:p w14:paraId="266820B5" w14:textId="77777777" w:rsidR="006F3AA9" w:rsidRPr="006868F5" w:rsidRDefault="006F3AA9" w:rsidP="00131BEC">
      <w:pPr>
        <w:outlineLvl w:val="0"/>
        <w:rPr>
          <w:iCs/>
          <w:highlight w:val="yellow"/>
          <w:lang w:val="es-ES"/>
        </w:rPr>
      </w:pPr>
    </w:p>
    <w:p w14:paraId="03BB8C69" w14:textId="77777777" w:rsidR="006F3AA9" w:rsidRPr="00F30AB8" w:rsidRDefault="006F3AA9" w:rsidP="006868F5">
      <w:pPr>
        <w:outlineLvl w:val="0"/>
        <w:rPr>
          <w:i/>
          <w:iCs/>
          <w:u w:val="single"/>
          <w:lang w:val="es-ES"/>
        </w:rPr>
      </w:pPr>
      <w:r w:rsidRPr="00F30AB8">
        <w:rPr>
          <w:i/>
          <w:iCs/>
          <w:u w:val="single"/>
          <w:lang w:val="es-ES"/>
        </w:rPr>
        <w:t>Absorción</w:t>
      </w:r>
    </w:p>
    <w:p w14:paraId="4D0644A7" w14:textId="4A5F8E10" w:rsidR="006F3AA9" w:rsidRPr="00C22F3F" w:rsidRDefault="005D7D3A" w:rsidP="006868F5">
      <w:pPr>
        <w:outlineLvl w:val="0"/>
        <w:rPr>
          <w:iCs/>
          <w:lang w:val="es-ES"/>
        </w:rPr>
      </w:pPr>
      <w:r w:rsidRPr="00C22F3F">
        <w:rPr>
          <w:iCs/>
          <w:lang w:val="es-ES"/>
        </w:rPr>
        <w:t xml:space="preserve">En pacientes con ACG tras la </w:t>
      </w:r>
      <w:r w:rsidR="006F3AA9" w:rsidRPr="00C22F3F">
        <w:rPr>
          <w:iCs/>
          <w:lang w:val="es-ES"/>
        </w:rPr>
        <w:t xml:space="preserve">dosificación </w:t>
      </w:r>
      <w:r w:rsidR="008A0533" w:rsidRPr="00C22F3F">
        <w:rPr>
          <w:iCs/>
          <w:lang w:val="es-ES"/>
        </w:rPr>
        <w:t>por vía subcutánea</w:t>
      </w:r>
      <w:r w:rsidR="006F3AA9" w:rsidRPr="00C22F3F">
        <w:rPr>
          <w:iCs/>
          <w:lang w:val="es-ES"/>
        </w:rPr>
        <w:t xml:space="preserve">, </w:t>
      </w:r>
      <w:r w:rsidR="008A0533" w:rsidRPr="0081287A">
        <w:rPr>
          <w:iCs/>
          <w:lang w:val="es-ES"/>
        </w:rPr>
        <w:t>la t½ de absorción estuvo</w:t>
      </w:r>
      <w:r w:rsidR="008A0533" w:rsidRPr="00C22F3F">
        <w:rPr>
          <w:iCs/>
          <w:lang w:val="es-ES"/>
        </w:rPr>
        <w:t xml:space="preserve"> entorno a los</w:t>
      </w:r>
      <w:r w:rsidR="006F3AA9" w:rsidRPr="00C22F3F">
        <w:rPr>
          <w:iCs/>
          <w:lang w:val="es-ES"/>
        </w:rPr>
        <w:t xml:space="preserve"> 4</w:t>
      </w:r>
      <w:r w:rsidR="00553D9B" w:rsidRPr="002C5491">
        <w:rPr>
          <w:iCs/>
          <w:szCs w:val="22"/>
          <w:lang w:val="es-ES"/>
        </w:rPr>
        <w:t> </w:t>
      </w:r>
      <w:r w:rsidR="006F3AA9" w:rsidRPr="00C22F3F">
        <w:rPr>
          <w:iCs/>
          <w:lang w:val="es-ES"/>
        </w:rPr>
        <w:t xml:space="preserve">días. </w:t>
      </w:r>
      <w:r w:rsidR="008A0533" w:rsidRPr="00C22F3F">
        <w:rPr>
          <w:iCs/>
          <w:lang w:val="es-ES"/>
        </w:rPr>
        <w:t>La biodisponibilidad en</w:t>
      </w:r>
      <w:r w:rsidR="006F3AA9" w:rsidRPr="00C22F3F">
        <w:rPr>
          <w:iCs/>
          <w:lang w:val="es-ES"/>
        </w:rPr>
        <w:t xml:space="preserve"> la formulación </w:t>
      </w:r>
      <w:r w:rsidR="002C39BB">
        <w:rPr>
          <w:rFonts w:eastAsia="SimSun"/>
          <w:lang w:val="es-ES" w:eastAsia="zh-CN"/>
        </w:rPr>
        <w:t>subcutánea</w:t>
      </w:r>
      <w:ins w:id="1408" w:author="AUTHOR">
        <w:r w:rsidR="00522B20">
          <w:rPr>
            <w:rFonts w:eastAsia="SimSun"/>
            <w:lang w:val="es-ES" w:eastAsia="zh-CN"/>
          </w:rPr>
          <w:t xml:space="preserve"> </w:t>
        </w:r>
      </w:ins>
      <w:r w:rsidR="006F3AA9" w:rsidRPr="00C22F3F">
        <w:rPr>
          <w:iCs/>
          <w:lang w:val="es-ES"/>
        </w:rPr>
        <w:t xml:space="preserve">fue </w:t>
      </w:r>
      <w:r w:rsidR="008A0533" w:rsidRPr="00C22F3F">
        <w:rPr>
          <w:iCs/>
          <w:lang w:val="es-ES"/>
        </w:rPr>
        <w:t>de 0,8. Los valores medi</w:t>
      </w:r>
      <w:r w:rsidR="006F3AA9" w:rsidRPr="00C22F3F">
        <w:rPr>
          <w:iCs/>
          <w:lang w:val="es-ES"/>
        </w:rPr>
        <w:t>os de</w:t>
      </w:r>
      <w:r w:rsidR="008A0533" w:rsidRPr="00C22F3F">
        <w:rPr>
          <w:iCs/>
          <w:lang w:val="es-ES"/>
        </w:rPr>
        <w:t>l</w:t>
      </w:r>
      <w:r w:rsidR="006F3AA9" w:rsidRPr="00C22F3F">
        <w:rPr>
          <w:iCs/>
          <w:lang w:val="es-ES"/>
        </w:rPr>
        <w:t xml:space="preserve"> T</w:t>
      </w:r>
      <w:r w:rsidR="006F3AA9" w:rsidRPr="006868F5">
        <w:rPr>
          <w:iCs/>
          <w:vertAlign w:val="subscript"/>
          <w:lang w:val="es-ES"/>
        </w:rPr>
        <w:t>max</w:t>
      </w:r>
      <w:r w:rsidR="006F3AA9" w:rsidRPr="002837E4">
        <w:rPr>
          <w:iCs/>
          <w:lang w:val="es-ES"/>
        </w:rPr>
        <w:t xml:space="preserve"> fueron </w:t>
      </w:r>
      <w:r w:rsidR="008A0533" w:rsidRPr="002837E4">
        <w:rPr>
          <w:iCs/>
          <w:lang w:val="es-ES"/>
        </w:rPr>
        <w:t xml:space="preserve">de </w:t>
      </w:r>
      <w:r w:rsidR="006F3AA9" w:rsidRPr="002837E4">
        <w:rPr>
          <w:iCs/>
          <w:lang w:val="es-ES"/>
        </w:rPr>
        <w:t>3</w:t>
      </w:r>
      <w:r w:rsidR="00553D9B" w:rsidRPr="002C5491">
        <w:rPr>
          <w:iCs/>
          <w:szCs w:val="22"/>
          <w:lang w:val="es-ES"/>
        </w:rPr>
        <w:t> </w:t>
      </w:r>
      <w:r w:rsidR="006F3AA9" w:rsidRPr="002837E4">
        <w:rPr>
          <w:iCs/>
          <w:lang w:val="es-ES"/>
        </w:rPr>
        <w:t xml:space="preserve">días después de la dosis semanal de </w:t>
      </w:r>
      <w:r w:rsidR="002C39BB">
        <w:rPr>
          <w:iCs/>
          <w:lang w:val="es-ES"/>
        </w:rPr>
        <w:t>tocilizumab</w:t>
      </w:r>
      <w:r w:rsidR="002C39BB" w:rsidRPr="002837E4">
        <w:rPr>
          <w:iCs/>
          <w:lang w:val="es-ES"/>
        </w:rPr>
        <w:t xml:space="preserve"> </w:t>
      </w:r>
      <w:r w:rsidR="006F3AA9" w:rsidRPr="002837E4">
        <w:rPr>
          <w:iCs/>
          <w:lang w:val="es-ES"/>
        </w:rPr>
        <w:t xml:space="preserve">y </w:t>
      </w:r>
      <w:r w:rsidR="008A0533" w:rsidRPr="006C05BA">
        <w:rPr>
          <w:iCs/>
          <w:lang w:val="es-ES"/>
        </w:rPr>
        <w:t xml:space="preserve">de </w:t>
      </w:r>
      <w:r w:rsidR="006F3AA9" w:rsidRPr="006C05BA">
        <w:rPr>
          <w:iCs/>
          <w:lang w:val="es-ES"/>
        </w:rPr>
        <w:t>4,5</w:t>
      </w:r>
      <w:r w:rsidR="00553D9B" w:rsidRPr="002C5491">
        <w:rPr>
          <w:iCs/>
          <w:szCs w:val="22"/>
          <w:lang w:val="es-ES"/>
        </w:rPr>
        <w:t> </w:t>
      </w:r>
      <w:r w:rsidR="006F3AA9" w:rsidRPr="006C05BA">
        <w:rPr>
          <w:iCs/>
          <w:lang w:val="es-ES"/>
        </w:rPr>
        <w:t>días después de l</w:t>
      </w:r>
      <w:r w:rsidR="008A0533" w:rsidRPr="006C05BA">
        <w:rPr>
          <w:iCs/>
          <w:lang w:val="es-ES"/>
        </w:rPr>
        <w:t xml:space="preserve">a dosis de tocilizumab </w:t>
      </w:r>
      <w:del w:id="1409" w:author="AUTHOR">
        <w:r w:rsidR="008A0533" w:rsidRPr="00C22F3F" w:rsidDel="009F26E0">
          <w:rPr>
            <w:iCs/>
            <w:lang w:val="es-ES"/>
          </w:rPr>
          <w:delText>bisemanal</w:delText>
        </w:r>
      </w:del>
      <w:ins w:id="1410" w:author="AUTHOR">
        <w:r w:rsidR="009F26E0">
          <w:rPr>
            <w:iCs/>
            <w:lang w:val="es-ES"/>
          </w:rPr>
          <w:t>cada dos semanas</w:t>
        </w:r>
      </w:ins>
      <w:r w:rsidR="006F3AA9" w:rsidRPr="00C22F3F">
        <w:rPr>
          <w:iCs/>
          <w:lang w:val="es-ES"/>
        </w:rPr>
        <w:t>.</w:t>
      </w:r>
    </w:p>
    <w:p w14:paraId="04849077" w14:textId="77777777" w:rsidR="006F3AA9" w:rsidRPr="006868F5" w:rsidRDefault="006F3AA9" w:rsidP="006868F5">
      <w:pPr>
        <w:outlineLvl w:val="0"/>
        <w:rPr>
          <w:iCs/>
          <w:highlight w:val="yellow"/>
          <w:lang w:val="es-ES"/>
        </w:rPr>
      </w:pPr>
    </w:p>
    <w:p w14:paraId="6CA6D7E1" w14:textId="77777777" w:rsidR="006F3AA9" w:rsidRPr="00F30AB8" w:rsidRDefault="006F3AA9" w:rsidP="006616E4">
      <w:pPr>
        <w:keepNext/>
        <w:keepLines/>
        <w:outlineLvl w:val="0"/>
        <w:rPr>
          <w:i/>
          <w:iCs/>
          <w:u w:val="single"/>
          <w:lang w:val="es-ES"/>
        </w:rPr>
      </w:pPr>
      <w:r w:rsidRPr="00F30AB8">
        <w:rPr>
          <w:i/>
          <w:iCs/>
          <w:u w:val="single"/>
          <w:lang w:val="es-ES"/>
        </w:rPr>
        <w:t>Distribución</w:t>
      </w:r>
    </w:p>
    <w:p w14:paraId="57B4CAD9" w14:textId="336D5392" w:rsidR="006F3AA9" w:rsidRPr="00C22F3F" w:rsidRDefault="008A0533" w:rsidP="006616E4">
      <w:pPr>
        <w:keepNext/>
        <w:keepLines/>
        <w:outlineLvl w:val="0"/>
        <w:rPr>
          <w:iCs/>
          <w:lang w:val="es-ES"/>
        </w:rPr>
      </w:pPr>
      <w:r w:rsidRPr="00C22F3F">
        <w:rPr>
          <w:iCs/>
          <w:lang w:val="es-ES"/>
        </w:rPr>
        <w:t xml:space="preserve">En los pacientes </w:t>
      </w:r>
      <w:r w:rsidR="005D7D3A" w:rsidRPr="00C22F3F">
        <w:rPr>
          <w:iCs/>
          <w:lang w:val="es-ES"/>
        </w:rPr>
        <w:t xml:space="preserve">con </w:t>
      </w:r>
      <w:r w:rsidR="006F3AA9" w:rsidRPr="00C22F3F">
        <w:rPr>
          <w:iCs/>
          <w:lang w:val="es-ES"/>
        </w:rPr>
        <w:t>A</w:t>
      </w:r>
      <w:r w:rsidRPr="00C22F3F">
        <w:rPr>
          <w:iCs/>
          <w:lang w:val="es-ES"/>
        </w:rPr>
        <w:t>CG</w:t>
      </w:r>
      <w:r w:rsidR="007266D6" w:rsidRPr="00C22F3F">
        <w:rPr>
          <w:iCs/>
          <w:lang w:val="es-ES"/>
        </w:rPr>
        <w:t xml:space="preserve">, el volumen </w:t>
      </w:r>
      <w:r w:rsidR="006F3AA9" w:rsidRPr="00C22F3F">
        <w:rPr>
          <w:iCs/>
          <w:lang w:val="es-ES"/>
        </w:rPr>
        <w:t xml:space="preserve">de distribución </w:t>
      </w:r>
      <w:r w:rsidR="007266D6" w:rsidRPr="00C22F3F">
        <w:rPr>
          <w:iCs/>
          <w:lang w:val="es-ES"/>
        </w:rPr>
        <w:t xml:space="preserve">central </w:t>
      </w:r>
      <w:r w:rsidR="006F3AA9" w:rsidRPr="00C22F3F">
        <w:rPr>
          <w:iCs/>
          <w:lang w:val="es-ES"/>
        </w:rPr>
        <w:t xml:space="preserve">fue </w:t>
      </w:r>
      <w:r w:rsidR="007266D6" w:rsidRPr="00C22F3F">
        <w:rPr>
          <w:iCs/>
          <w:lang w:val="es-ES"/>
        </w:rPr>
        <w:t>de 4,09</w:t>
      </w:r>
      <w:r w:rsidR="00553D9B" w:rsidRPr="00F30AB8">
        <w:rPr>
          <w:iCs/>
          <w:szCs w:val="22"/>
          <w:lang w:val="es-ES" w:eastAsia="de-DE"/>
        </w:rPr>
        <w:t> </w:t>
      </w:r>
      <w:r w:rsidR="00833DC6" w:rsidRPr="00C22F3F">
        <w:rPr>
          <w:iCs/>
          <w:lang w:val="es-ES"/>
        </w:rPr>
        <w:t>l</w:t>
      </w:r>
      <w:r w:rsidR="007266D6" w:rsidRPr="00C22F3F">
        <w:rPr>
          <w:iCs/>
          <w:lang w:val="es-ES"/>
        </w:rPr>
        <w:t xml:space="preserve">, el volumen </w:t>
      </w:r>
      <w:r w:rsidR="006F3AA9" w:rsidRPr="00C22F3F">
        <w:rPr>
          <w:iCs/>
          <w:lang w:val="es-ES"/>
        </w:rPr>
        <w:t xml:space="preserve">de distribución </w:t>
      </w:r>
      <w:r w:rsidR="007266D6" w:rsidRPr="00C22F3F">
        <w:rPr>
          <w:iCs/>
          <w:lang w:val="es-ES"/>
        </w:rPr>
        <w:t xml:space="preserve">periférico </w:t>
      </w:r>
      <w:r w:rsidR="00833DC6" w:rsidRPr="00C22F3F">
        <w:rPr>
          <w:iCs/>
          <w:lang w:val="es-ES"/>
        </w:rPr>
        <w:t>fue de 3,37</w:t>
      </w:r>
      <w:r w:rsidR="00553D9B" w:rsidRPr="00F30AB8">
        <w:rPr>
          <w:iCs/>
          <w:szCs w:val="22"/>
          <w:lang w:val="es-ES" w:eastAsia="de-DE"/>
        </w:rPr>
        <w:t> </w:t>
      </w:r>
      <w:r w:rsidR="00833DC6" w:rsidRPr="00C22F3F">
        <w:rPr>
          <w:iCs/>
          <w:lang w:val="es-ES"/>
        </w:rPr>
        <w:t>l</w:t>
      </w:r>
      <w:r w:rsidR="005D7D3A" w:rsidRPr="00C22F3F">
        <w:rPr>
          <w:iCs/>
          <w:lang w:val="es-ES"/>
        </w:rPr>
        <w:t xml:space="preserve">, resultando </w:t>
      </w:r>
      <w:r w:rsidR="006F3AA9" w:rsidRPr="00C22F3F">
        <w:rPr>
          <w:iCs/>
          <w:lang w:val="es-ES"/>
        </w:rPr>
        <w:t xml:space="preserve">un volumen de distribución </w:t>
      </w:r>
      <w:r w:rsidR="00833DC6" w:rsidRPr="00C22F3F">
        <w:rPr>
          <w:iCs/>
          <w:lang w:val="es-ES"/>
        </w:rPr>
        <w:t>en estado estacionario de 7,46</w:t>
      </w:r>
      <w:r w:rsidR="00553D9B" w:rsidRPr="00F30AB8">
        <w:rPr>
          <w:iCs/>
          <w:szCs w:val="22"/>
          <w:lang w:val="es-ES" w:eastAsia="de-DE"/>
        </w:rPr>
        <w:t> </w:t>
      </w:r>
      <w:r w:rsidR="00833DC6" w:rsidRPr="00C22F3F">
        <w:rPr>
          <w:iCs/>
          <w:lang w:val="es-ES"/>
        </w:rPr>
        <w:t>l</w:t>
      </w:r>
      <w:r w:rsidR="006F3AA9" w:rsidRPr="00C22F3F">
        <w:rPr>
          <w:iCs/>
          <w:lang w:val="es-ES"/>
        </w:rPr>
        <w:t>.</w:t>
      </w:r>
    </w:p>
    <w:p w14:paraId="4DD6C744" w14:textId="77777777" w:rsidR="006F3AA9" w:rsidRPr="00C22F3F" w:rsidRDefault="006F3AA9" w:rsidP="006868F5">
      <w:pPr>
        <w:outlineLvl w:val="0"/>
        <w:rPr>
          <w:iCs/>
          <w:lang w:val="es-ES"/>
        </w:rPr>
      </w:pPr>
    </w:p>
    <w:p w14:paraId="43A74CC7" w14:textId="77777777" w:rsidR="006F3AA9" w:rsidRPr="00F30AB8" w:rsidRDefault="006F3AA9" w:rsidP="006868F5">
      <w:pPr>
        <w:outlineLvl w:val="0"/>
        <w:rPr>
          <w:i/>
          <w:iCs/>
          <w:u w:val="single"/>
          <w:lang w:val="es-ES"/>
        </w:rPr>
      </w:pPr>
      <w:r w:rsidRPr="00F30AB8">
        <w:rPr>
          <w:i/>
          <w:iCs/>
          <w:u w:val="single"/>
          <w:lang w:val="es-ES"/>
        </w:rPr>
        <w:t>Eliminación</w:t>
      </w:r>
    </w:p>
    <w:p w14:paraId="0439364E" w14:textId="1F662A5D" w:rsidR="006F3AA9" w:rsidRPr="00C22F3F" w:rsidRDefault="006F3AA9" w:rsidP="006868F5">
      <w:pPr>
        <w:outlineLvl w:val="0"/>
        <w:rPr>
          <w:iCs/>
          <w:lang w:val="es-ES"/>
        </w:rPr>
      </w:pPr>
      <w:r w:rsidRPr="00C22F3F">
        <w:rPr>
          <w:iCs/>
          <w:lang w:val="es-ES"/>
        </w:rPr>
        <w:t>El acl</w:t>
      </w:r>
      <w:r w:rsidR="007266D6" w:rsidRPr="00C22F3F">
        <w:rPr>
          <w:iCs/>
          <w:lang w:val="es-ES"/>
        </w:rPr>
        <w:t xml:space="preserve">aramiento total de </w:t>
      </w:r>
      <w:r w:rsidR="002C39BB">
        <w:rPr>
          <w:iCs/>
          <w:lang w:val="es-ES"/>
        </w:rPr>
        <w:t>tocilizumab</w:t>
      </w:r>
      <w:r w:rsidR="002C39BB" w:rsidRPr="00C22F3F">
        <w:rPr>
          <w:iCs/>
          <w:lang w:val="es-ES"/>
        </w:rPr>
        <w:t xml:space="preserve"> </w:t>
      </w:r>
      <w:r w:rsidRPr="00C22F3F">
        <w:rPr>
          <w:iCs/>
          <w:lang w:val="es-ES"/>
        </w:rPr>
        <w:t>depende de la concentración y es la suma del aclaramiento lineal y el aclaramiento no l</w:t>
      </w:r>
      <w:r w:rsidR="007266D6" w:rsidRPr="00C22F3F">
        <w:rPr>
          <w:iCs/>
          <w:lang w:val="es-ES"/>
        </w:rPr>
        <w:t xml:space="preserve">ineal. </w:t>
      </w:r>
      <w:r w:rsidR="005D7D3A" w:rsidRPr="00C22F3F">
        <w:rPr>
          <w:iCs/>
          <w:lang w:val="es-ES"/>
        </w:rPr>
        <w:t>En pacientes con ACG</w:t>
      </w:r>
      <w:r w:rsidR="0023138F">
        <w:rPr>
          <w:iCs/>
          <w:lang w:val="es-ES"/>
        </w:rPr>
        <w:t>,</w:t>
      </w:r>
      <w:r w:rsidR="005D7D3A" w:rsidRPr="00C22F3F">
        <w:rPr>
          <w:iCs/>
          <w:lang w:val="es-ES"/>
        </w:rPr>
        <w:t xml:space="preserve"> e</w:t>
      </w:r>
      <w:r w:rsidR="007266D6" w:rsidRPr="00C22F3F">
        <w:rPr>
          <w:iCs/>
          <w:lang w:val="es-ES"/>
        </w:rPr>
        <w:t xml:space="preserve">l aclaramiento lineal </w:t>
      </w:r>
      <w:r w:rsidR="00BF1E37">
        <w:rPr>
          <w:iCs/>
          <w:lang w:val="es-ES"/>
        </w:rPr>
        <w:t>se</w:t>
      </w:r>
      <w:r w:rsidR="007266D6" w:rsidRPr="00C22F3F">
        <w:rPr>
          <w:iCs/>
          <w:lang w:val="es-ES"/>
        </w:rPr>
        <w:t xml:space="preserve"> estim</w:t>
      </w:r>
      <w:r w:rsidR="00BF1E37">
        <w:rPr>
          <w:iCs/>
          <w:lang w:val="es-ES"/>
        </w:rPr>
        <w:t>ó</w:t>
      </w:r>
      <w:r w:rsidRPr="00C22F3F">
        <w:rPr>
          <w:iCs/>
          <w:lang w:val="es-ES"/>
        </w:rPr>
        <w:t xml:space="preserve"> como parámetro en el análisis farmacocinético poblacional y fue de 6,7</w:t>
      </w:r>
      <w:r w:rsidR="00553D9B" w:rsidRPr="00F30AB8">
        <w:rPr>
          <w:iCs/>
          <w:szCs w:val="22"/>
          <w:lang w:val="es-ES" w:eastAsia="de-DE"/>
        </w:rPr>
        <w:t> </w:t>
      </w:r>
      <w:r w:rsidRPr="00C22F3F">
        <w:rPr>
          <w:iCs/>
          <w:lang w:val="es-ES"/>
        </w:rPr>
        <w:t>m</w:t>
      </w:r>
      <w:r w:rsidR="00833DC6" w:rsidRPr="00C22F3F">
        <w:rPr>
          <w:iCs/>
          <w:lang w:val="es-ES"/>
        </w:rPr>
        <w:t>l</w:t>
      </w:r>
      <w:r w:rsidRPr="00C22F3F">
        <w:rPr>
          <w:iCs/>
          <w:lang w:val="es-ES"/>
        </w:rPr>
        <w:t>/</w:t>
      </w:r>
      <w:r w:rsidR="005D7D3A" w:rsidRPr="00C22F3F">
        <w:rPr>
          <w:iCs/>
          <w:lang w:val="es-ES"/>
        </w:rPr>
        <w:t>h</w:t>
      </w:r>
      <w:r w:rsidRPr="00C22F3F">
        <w:rPr>
          <w:iCs/>
          <w:lang w:val="es-ES"/>
        </w:rPr>
        <w:t xml:space="preserve">. </w:t>
      </w:r>
    </w:p>
    <w:p w14:paraId="21E4F0CE" w14:textId="77777777" w:rsidR="006F3AA9" w:rsidRPr="006868F5" w:rsidRDefault="006F3AA9" w:rsidP="006868F5">
      <w:pPr>
        <w:outlineLvl w:val="0"/>
        <w:rPr>
          <w:iCs/>
          <w:highlight w:val="yellow"/>
          <w:lang w:val="es-ES"/>
        </w:rPr>
      </w:pPr>
    </w:p>
    <w:p w14:paraId="66F6D797" w14:textId="73C8FA46" w:rsidR="006F3AA9" w:rsidRDefault="0036710A" w:rsidP="006868F5">
      <w:pPr>
        <w:outlineLvl w:val="0"/>
        <w:rPr>
          <w:iCs/>
          <w:lang w:val="es-ES"/>
        </w:rPr>
      </w:pPr>
      <w:r w:rsidRPr="006C05BA">
        <w:rPr>
          <w:iCs/>
          <w:lang w:val="es-ES"/>
        </w:rPr>
        <w:lastRenderedPageBreak/>
        <w:t xml:space="preserve">En </w:t>
      </w:r>
      <w:r w:rsidRPr="00C22F3F">
        <w:rPr>
          <w:iCs/>
          <w:lang w:val="es-ES"/>
        </w:rPr>
        <w:t xml:space="preserve">los pacientes con </w:t>
      </w:r>
      <w:r w:rsidR="006F3AA9" w:rsidRPr="00C22F3F">
        <w:rPr>
          <w:iCs/>
          <w:lang w:val="es-ES"/>
        </w:rPr>
        <w:t>A</w:t>
      </w:r>
      <w:r w:rsidRPr="00C22F3F">
        <w:rPr>
          <w:iCs/>
          <w:lang w:val="es-ES"/>
        </w:rPr>
        <w:t>CG</w:t>
      </w:r>
      <w:r w:rsidR="006F3AA9" w:rsidRPr="00C22F3F">
        <w:rPr>
          <w:iCs/>
          <w:lang w:val="es-ES"/>
        </w:rPr>
        <w:t xml:space="preserve">, en </w:t>
      </w:r>
      <w:r w:rsidRPr="00C22F3F">
        <w:rPr>
          <w:iCs/>
          <w:lang w:val="es-ES"/>
        </w:rPr>
        <w:t xml:space="preserve">el </w:t>
      </w:r>
      <w:r w:rsidR="006F3AA9" w:rsidRPr="00C22F3F">
        <w:rPr>
          <w:iCs/>
          <w:lang w:val="es-ES"/>
        </w:rPr>
        <w:t xml:space="preserve">estado estacionario, la t½ efectiva de </w:t>
      </w:r>
      <w:r w:rsidR="002C39BB">
        <w:rPr>
          <w:iCs/>
          <w:lang w:val="es-ES"/>
        </w:rPr>
        <w:t>tocilizumab</w:t>
      </w:r>
      <w:r w:rsidR="002C39BB" w:rsidRPr="00C22F3F">
        <w:rPr>
          <w:iCs/>
          <w:lang w:val="es-ES"/>
        </w:rPr>
        <w:t xml:space="preserve"> </w:t>
      </w:r>
      <w:r w:rsidR="006F3AA9" w:rsidRPr="00C22F3F">
        <w:rPr>
          <w:iCs/>
          <w:lang w:val="es-ES"/>
        </w:rPr>
        <w:t>varió entre 18,3 y 18,9</w:t>
      </w:r>
      <w:r w:rsidR="00553D9B" w:rsidRPr="00F30AB8">
        <w:rPr>
          <w:iCs/>
          <w:szCs w:val="22"/>
          <w:lang w:val="es-ES" w:eastAsia="de-DE"/>
        </w:rPr>
        <w:t> </w:t>
      </w:r>
      <w:r w:rsidR="006F3AA9" w:rsidRPr="00C22F3F">
        <w:rPr>
          <w:iCs/>
          <w:lang w:val="es-ES"/>
        </w:rPr>
        <w:t>días para un</w:t>
      </w:r>
      <w:r w:rsidR="00E63EF3">
        <w:rPr>
          <w:iCs/>
          <w:lang w:val="es-ES"/>
        </w:rPr>
        <w:t>a</w:t>
      </w:r>
      <w:r w:rsidR="006F3AA9" w:rsidRPr="00C22F3F">
        <w:rPr>
          <w:iCs/>
          <w:lang w:val="es-ES"/>
        </w:rPr>
        <w:t xml:space="preserve"> </w:t>
      </w:r>
      <w:r w:rsidR="00E63EF3">
        <w:rPr>
          <w:iCs/>
          <w:lang w:val="es-ES"/>
        </w:rPr>
        <w:t>pauta posológica</w:t>
      </w:r>
      <w:r w:rsidR="006F3AA9" w:rsidRPr="00C22F3F">
        <w:rPr>
          <w:iCs/>
          <w:lang w:val="es-ES"/>
        </w:rPr>
        <w:t xml:space="preserve"> semanal de 162</w:t>
      </w:r>
      <w:r w:rsidR="00553D9B" w:rsidRPr="00F30AB8">
        <w:rPr>
          <w:iCs/>
          <w:szCs w:val="22"/>
          <w:lang w:val="es-ES" w:eastAsia="de-DE"/>
        </w:rPr>
        <w:t> </w:t>
      </w:r>
      <w:r w:rsidR="006F3AA9" w:rsidRPr="00C22F3F">
        <w:rPr>
          <w:iCs/>
          <w:lang w:val="es-ES"/>
        </w:rPr>
        <w:t>mg y entre 4,2 y 7,9</w:t>
      </w:r>
      <w:r w:rsidR="00553D9B" w:rsidRPr="00F30AB8">
        <w:rPr>
          <w:iCs/>
          <w:szCs w:val="22"/>
          <w:lang w:val="es-ES" w:eastAsia="de-DE"/>
        </w:rPr>
        <w:t> </w:t>
      </w:r>
      <w:r w:rsidR="006F3AA9" w:rsidRPr="00C22F3F">
        <w:rPr>
          <w:iCs/>
          <w:lang w:val="es-ES"/>
        </w:rPr>
        <w:t xml:space="preserve">días para </w:t>
      </w:r>
      <w:r w:rsidR="00E63EF3">
        <w:rPr>
          <w:iCs/>
          <w:lang w:val="es-ES"/>
        </w:rPr>
        <w:t>la pauta posológica</w:t>
      </w:r>
      <w:r w:rsidRPr="00C22F3F">
        <w:rPr>
          <w:iCs/>
          <w:lang w:val="es-ES"/>
        </w:rPr>
        <w:t xml:space="preserve"> </w:t>
      </w:r>
      <w:del w:id="1411" w:author="AUTHOR">
        <w:r w:rsidRPr="00C22F3F" w:rsidDel="009F26E0">
          <w:rPr>
            <w:iCs/>
            <w:lang w:val="es-ES"/>
          </w:rPr>
          <w:delText>bisemanal</w:delText>
        </w:r>
      </w:del>
      <w:ins w:id="1412" w:author="AUTHOR">
        <w:r w:rsidR="009F26E0">
          <w:rPr>
            <w:iCs/>
            <w:lang w:val="es-ES"/>
          </w:rPr>
          <w:t>cada dos semanas</w:t>
        </w:r>
      </w:ins>
      <w:r w:rsidRPr="00C22F3F">
        <w:rPr>
          <w:iCs/>
          <w:lang w:val="es-ES"/>
        </w:rPr>
        <w:t xml:space="preserve"> de 162</w:t>
      </w:r>
      <w:r w:rsidR="00553D9B" w:rsidRPr="00F30AB8">
        <w:rPr>
          <w:iCs/>
          <w:szCs w:val="22"/>
          <w:lang w:val="es-ES" w:eastAsia="de-DE"/>
        </w:rPr>
        <w:t> </w:t>
      </w:r>
      <w:r w:rsidRPr="00C22F3F">
        <w:rPr>
          <w:iCs/>
          <w:lang w:val="es-ES"/>
        </w:rPr>
        <w:t>mg</w:t>
      </w:r>
      <w:r w:rsidR="006F3AA9" w:rsidRPr="00C22F3F">
        <w:rPr>
          <w:iCs/>
          <w:lang w:val="es-ES"/>
        </w:rPr>
        <w:t>. A altas concentraciones séricas, cuando el acla</w:t>
      </w:r>
      <w:r w:rsidRPr="00C22F3F">
        <w:rPr>
          <w:iCs/>
          <w:lang w:val="es-ES"/>
        </w:rPr>
        <w:t xml:space="preserve">ramiento total de </w:t>
      </w:r>
      <w:r w:rsidR="002C39BB">
        <w:rPr>
          <w:iCs/>
          <w:lang w:val="es-ES"/>
        </w:rPr>
        <w:t>tocilizumab</w:t>
      </w:r>
      <w:r w:rsidR="002C39BB" w:rsidRPr="00C22F3F">
        <w:rPr>
          <w:iCs/>
          <w:lang w:val="es-ES"/>
        </w:rPr>
        <w:t xml:space="preserve"> </w:t>
      </w:r>
      <w:r w:rsidRPr="00C22F3F">
        <w:rPr>
          <w:iCs/>
          <w:lang w:val="es-ES"/>
        </w:rPr>
        <w:t>está</w:t>
      </w:r>
      <w:r w:rsidR="006F3AA9" w:rsidRPr="00C22F3F">
        <w:rPr>
          <w:iCs/>
          <w:lang w:val="es-ES"/>
        </w:rPr>
        <w:t xml:space="preserve"> dominado por el aclaramiento lineal, se obtuvo una t½ efectiva de aproximadamente 32</w:t>
      </w:r>
      <w:r w:rsidR="00553D9B" w:rsidRPr="00F30AB8">
        <w:rPr>
          <w:iCs/>
          <w:szCs w:val="22"/>
          <w:lang w:val="es-ES" w:eastAsia="de-DE"/>
        </w:rPr>
        <w:t> </w:t>
      </w:r>
      <w:r w:rsidR="006F3AA9" w:rsidRPr="00C22F3F">
        <w:rPr>
          <w:iCs/>
          <w:lang w:val="es-ES"/>
        </w:rPr>
        <w:t>días a partir de las estimaciones de los parámetros poblaci</w:t>
      </w:r>
      <w:r w:rsidR="00BF1E37">
        <w:rPr>
          <w:iCs/>
          <w:lang w:val="es-ES"/>
        </w:rPr>
        <w:t>o</w:t>
      </w:r>
      <w:r w:rsidR="006F3AA9" w:rsidRPr="00C22F3F">
        <w:rPr>
          <w:iCs/>
          <w:lang w:val="es-ES"/>
        </w:rPr>
        <w:t>n</w:t>
      </w:r>
      <w:r w:rsidR="00BF1E37">
        <w:rPr>
          <w:iCs/>
          <w:lang w:val="es-ES"/>
        </w:rPr>
        <w:t>ales</w:t>
      </w:r>
      <w:r w:rsidR="006F3AA9" w:rsidRPr="00C22F3F">
        <w:rPr>
          <w:iCs/>
          <w:lang w:val="es-ES"/>
        </w:rPr>
        <w:t>.</w:t>
      </w:r>
    </w:p>
    <w:p w14:paraId="26B9A402" w14:textId="77777777" w:rsidR="006F3AA9" w:rsidRPr="006F3AA9" w:rsidRDefault="006F3AA9" w:rsidP="006868F5">
      <w:pPr>
        <w:outlineLvl w:val="0"/>
        <w:rPr>
          <w:iCs/>
          <w:lang w:val="es-ES"/>
        </w:rPr>
      </w:pPr>
    </w:p>
    <w:p w14:paraId="3AD5A6A3" w14:textId="77777777" w:rsidR="00834462" w:rsidRDefault="00834462" w:rsidP="00834462">
      <w:pPr>
        <w:keepNext/>
        <w:keepLines/>
        <w:ind w:left="562" w:hanging="562"/>
        <w:outlineLvl w:val="0"/>
        <w:rPr>
          <w:iCs/>
          <w:u w:val="single"/>
          <w:lang w:val="es-ES_tradnl"/>
        </w:rPr>
      </w:pPr>
      <w:r w:rsidRPr="008A106B">
        <w:rPr>
          <w:iCs/>
          <w:u w:val="single"/>
          <w:lang w:val="es-ES_tradnl"/>
        </w:rPr>
        <w:t>Poblaciones especiales</w:t>
      </w:r>
    </w:p>
    <w:p w14:paraId="316680C0" w14:textId="77777777" w:rsidR="002C39BB" w:rsidRPr="00286CDE" w:rsidRDefault="002C39BB" w:rsidP="00834462">
      <w:pPr>
        <w:keepNext/>
        <w:keepLines/>
        <w:ind w:left="562" w:hanging="562"/>
        <w:outlineLvl w:val="0"/>
        <w:rPr>
          <w:iCs/>
          <w:u w:val="single"/>
          <w:lang w:val="es-ES_tradnl"/>
        </w:rPr>
      </w:pPr>
    </w:p>
    <w:p w14:paraId="44660ECE" w14:textId="77777777" w:rsidR="002C39BB" w:rsidRDefault="00834462" w:rsidP="00834462">
      <w:pPr>
        <w:outlineLvl w:val="0"/>
        <w:rPr>
          <w:i/>
          <w:iCs/>
          <w:lang w:val="es-ES_tradnl"/>
        </w:rPr>
      </w:pPr>
      <w:r w:rsidRPr="008A106B">
        <w:rPr>
          <w:i/>
          <w:iCs/>
          <w:lang w:val="es-ES_tradnl"/>
        </w:rPr>
        <w:t>Insuficiencia renal</w:t>
      </w:r>
    </w:p>
    <w:p w14:paraId="1A52D280" w14:textId="1965FC26" w:rsidR="00834462" w:rsidRPr="008A106B" w:rsidRDefault="00834462" w:rsidP="00834462">
      <w:pPr>
        <w:outlineLvl w:val="0"/>
        <w:rPr>
          <w:lang w:val="es-ES"/>
        </w:rPr>
      </w:pPr>
      <w:r w:rsidRPr="008A106B">
        <w:rPr>
          <w:lang w:val="es-ES_tradnl"/>
        </w:rPr>
        <w:t xml:space="preserve">No se ha realizado ningún </w:t>
      </w:r>
      <w:del w:id="1413" w:author="AUTHOR">
        <w:r w:rsidRPr="008A106B" w:rsidDel="00FF4632">
          <w:rPr>
            <w:lang w:val="es-ES_tradnl"/>
          </w:rPr>
          <w:delText xml:space="preserve">estudio </w:delText>
        </w:r>
      </w:del>
      <w:ins w:id="1414" w:author="AUTHOR">
        <w:r w:rsidR="00FF4632">
          <w:rPr>
            <w:lang w:val="es-ES_tradnl"/>
          </w:rPr>
          <w:t>ensayo</w:t>
        </w:r>
        <w:r w:rsidR="00FF4632" w:rsidRPr="008A106B">
          <w:rPr>
            <w:lang w:val="es-ES_tradnl"/>
          </w:rPr>
          <w:t xml:space="preserve"> </w:t>
        </w:r>
      </w:ins>
      <w:r w:rsidRPr="008A106B">
        <w:rPr>
          <w:lang w:val="es-ES_tradnl"/>
        </w:rPr>
        <w:t xml:space="preserve">formal del efecto de la insuficiencia renal sobre la farmacocinética de </w:t>
      </w:r>
      <w:r w:rsidR="002C39BB">
        <w:rPr>
          <w:iCs/>
          <w:szCs w:val="22"/>
          <w:lang w:val="es-ES"/>
        </w:rPr>
        <w:t>tocilizumab</w:t>
      </w:r>
      <w:r w:rsidRPr="008A106B">
        <w:rPr>
          <w:lang w:val="es-ES_tradnl"/>
        </w:rPr>
        <w:t xml:space="preserve">. </w:t>
      </w:r>
      <w:r w:rsidR="003361EA">
        <w:rPr>
          <w:lang w:val="es-ES_tradnl"/>
        </w:rPr>
        <w:t xml:space="preserve">En los </w:t>
      </w:r>
      <w:del w:id="1415" w:author="AUTHOR">
        <w:r w:rsidR="003361EA" w:rsidDel="00D0534D">
          <w:rPr>
            <w:lang w:val="es-ES_tradnl"/>
          </w:rPr>
          <w:delText xml:space="preserve">estudios </w:delText>
        </w:r>
      </w:del>
      <w:ins w:id="1416" w:author="AUTHOR">
        <w:r w:rsidR="00D0534D">
          <w:rPr>
            <w:lang w:val="es-ES_tradnl"/>
          </w:rPr>
          <w:t xml:space="preserve">ensayos </w:t>
        </w:r>
      </w:ins>
      <w:r w:rsidR="003361EA">
        <w:rPr>
          <w:lang w:val="es-ES_tradnl"/>
        </w:rPr>
        <w:t>de AR y ACG l</w:t>
      </w:r>
      <w:r w:rsidRPr="008A106B">
        <w:rPr>
          <w:lang w:val="es-ES_tradnl"/>
        </w:rPr>
        <w:t>a mayoría de los pacientes del análisis de farmacocinética de población tenían una función renal normal o insuficiencia renal leve.</w:t>
      </w:r>
      <w:r w:rsidRPr="008A106B">
        <w:rPr>
          <w:lang w:val="es-ES"/>
        </w:rPr>
        <w:t xml:space="preserve"> </w:t>
      </w:r>
      <w:r w:rsidRPr="008A106B">
        <w:rPr>
          <w:lang w:val="es-ES_tradnl"/>
        </w:rPr>
        <w:t>La insuficiencia renal leve (aclaramiento de creatinina</w:t>
      </w:r>
      <w:r w:rsidR="003361EA">
        <w:rPr>
          <w:lang w:val="es-ES_tradnl"/>
        </w:rPr>
        <w:t xml:space="preserve"> estimado</w:t>
      </w:r>
      <w:r w:rsidRPr="008A106B">
        <w:rPr>
          <w:lang w:val="es-ES_tradnl"/>
        </w:rPr>
        <w:t xml:space="preserve"> basado en </w:t>
      </w:r>
      <w:r w:rsidR="00756D3F">
        <w:rPr>
          <w:lang w:val="es-ES_tradnl"/>
        </w:rPr>
        <w:t xml:space="preserve">la fórmula de </w:t>
      </w:r>
      <w:r w:rsidRPr="008A106B">
        <w:rPr>
          <w:lang w:val="es-ES_tradnl"/>
        </w:rPr>
        <w:t xml:space="preserve">Cockroft-Gault) no tuvo impacto sobre la farmacocinética de </w:t>
      </w:r>
      <w:r w:rsidR="002C39BB">
        <w:rPr>
          <w:iCs/>
          <w:szCs w:val="22"/>
          <w:lang w:val="es-ES"/>
        </w:rPr>
        <w:t>tocilizumab</w:t>
      </w:r>
      <w:r w:rsidRPr="008A106B">
        <w:rPr>
          <w:lang w:val="es-ES_tradnl"/>
        </w:rPr>
        <w:t>.</w:t>
      </w:r>
    </w:p>
    <w:p w14:paraId="76622DEC" w14:textId="77777777" w:rsidR="00834462" w:rsidRDefault="00834462" w:rsidP="00834462">
      <w:pPr>
        <w:outlineLvl w:val="0"/>
        <w:rPr>
          <w:lang w:val="es-ES"/>
        </w:rPr>
      </w:pPr>
    </w:p>
    <w:p w14:paraId="2F88A422" w14:textId="5D14A0BE" w:rsidR="00756D3F" w:rsidRDefault="00502AF9" w:rsidP="00834462">
      <w:pPr>
        <w:outlineLvl w:val="0"/>
        <w:rPr>
          <w:lang w:val="es-ES"/>
        </w:rPr>
      </w:pPr>
      <w:r>
        <w:rPr>
          <w:lang w:val="es-ES"/>
        </w:rPr>
        <w:t>E</w:t>
      </w:r>
      <w:r w:rsidR="00756D3F">
        <w:rPr>
          <w:lang w:val="es-ES"/>
        </w:rPr>
        <w:t xml:space="preserve">n el </w:t>
      </w:r>
      <w:del w:id="1417" w:author="AUTHOR">
        <w:r w:rsidR="00756D3F" w:rsidDel="00D0534D">
          <w:rPr>
            <w:lang w:val="es-ES"/>
          </w:rPr>
          <w:delText xml:space="preserve">estudio </w:delText>
        </w:r>
      </w:del>
      <w:ins w:id="1418" w:author="AUTHOR">
        <w:r w:rsidR="00D0534D">
          <w:rPr>
            <w:lang w:val="es-ES"/>
          </w:rPr>
          <w:t xml:space="preserve">ensayo </w:t>
        </w:r>
      </w:ins>
      <w:r>
        <w:rPr>
          <w:lang w:val="es-ES"/>
        </w:rPr>
        <w:t xml:space="preserve">de </w:t>
      </w:r>
      <w:r w:rsidR="00756D3F">
        <w:rPr>
          <w:lang w:val="es-ES"/>
        </w:rPr>
        <w:t xml:space="preserve">ACG </w:t>
      </w:r>
      <w:r>
        <w:rPr>
          <w:lang w:val="es-ES"/>
        </w:rPr>
        <w:t xml:space="preserve">aproximadamente un tercio de los pacientes </w:t>
      </w:r>
      <w:r w:rsidR="00756D3F">
        <w:rPr>
          <w:lang w:val="es-ES"/>
        </w:rPr>
        <w:t>tuvieron insuficiencia ren</w:t>
      </w:r>
      <w:r>
        <w:rPr>
          <w:lang w:val="es-ES"/>
        </w:rPr>
        <w:t xml:space="preserve">al moderada al inicio </w:t>
      </w:r>
      <w:r w:rsidR="00756D3F">
        <w:rPr>
          <w:lang w:val="es-ES"/>
        </w:rPr>
        <w:t>(aclaramiento es</w:t>
      </w:r>
      <w:r w:rsidR="00833DC6">
        <w:rPr>
          <w:lang w:val="es-ES"/>
        </w:rPr>
        <w:t>timado de creatinina de 30-59</w:t>
      </w:r>
      <w:r w:rsidR="00553D9B" w:rsidRPr="00F30AB8">
        <w:rPr>
          <w:iCs/>
          <w:szCs w:val="22"/>
          <w:lang w:val="es-ES" w:eastAsia="de-DE"/>
        </w:rPr>
        <w:t> </w:t>
      </w:r>
      <w:r w:rsidR="00833DC6">
        <w:rPr>
          <w:lang w:val="es-ES"/>
        </w:rPr>
        <w:t>ml</w:t>
      </w:r>
      <w:r w:rsidR="00756D3F">
        <w:rPr>
          <w:lang w:val="es-ES"/>
        </w:rPr>
        <w:t xml:space="preserve">/min). </w:t>
      </w:r>
      <w:r w:rsidR="00047AA7">
        <w:rPr>
          <w:lang w:val="es-ES"/>
        </w:rPr>
        <w:t>En estos pacientes no se observó ningún impacto derivado de</w:t>
      </w:r>
      <w:r w:rsidR="00756D3F" w:rsidRPr="00756D3F">
        <w:rPr>
          <w:lang w:val="es-ES"/>
        </w:rPr>
        <w:t xml:space="preserve"> la exposició</w:t>
      </w:r>
      <w:r w:rsidR="00047AA7">
        <w:rPr>
          <w:lang w:val="es-ES"/>
        </w:rPr>
        <w:t xml:space="preserve">n a </w:t>
      </w:r>
      <w:r w:rsidR="002C39BB">
        <w:rPr>
          <w:lang w:val="es-ES"/>
        </w:rPr>
        <w:t>tocilizumab</w:t>
      </w:r>
      <w:r w:rsidR="00756D3F" w:rsidRPr="00756D3F">
        <w:rPr>
          <w:lang w:val="es-ES"/>
        </w:rPr>
        <w:t>.</w:t>
      </w:r>
    </w:p>
    <w:p w14:paraId="280D6752" w14:textId="77777777" w:rsidR="00756D3F" w:rsidRDefault="00756D3F" w:rsidP="00834462">
      <w:pPr>
        <w:outlineLvl w:val="0"/>
        <w:rPr>
          <w:lang w:val="es-ES"/>
        </w:rPr>
      </w:pPr>
    </w:p>
    <w:p w14:paraId="25418CC2" w14:textId="51F09E13" w:rsidR="00756D3F" w:rsidRDefault="00756D3F" w:rsidP="00834462">
      <w:pPr>
        <w:outlineLvl w:val="0"/>
        <w:rPr>
          <w:lang w:val="es-ES"/>
        </w:rPr>
      </w:pPr>
      <w:r>
        <w:rPr>
          <w:lang w:val="es-ES"/>
        </w:rPr>
        <w:t>No se requi</w:t>
      </w:r>
      <w:del w:id="1419" w:author="AUTHOR">
        <w:r w:rsidDel="00522B20">
          <w:rPr>
            <w:lang w:val="es-ES"/>
          </w:rPr>
          <w:delText>r</w:delText>
        </w:r>
      </w:del>
      <w:ins w:id="1420" w:author="AUTHOR">
        <w:r w:rsidR="00522B20">
          <w:rPr>
            <w:lang w:val="es-ES"/>
          </w:rPr>
          <w:t>eren</w:t>
        </w:r>
      </w:ins>
      <w:del w:id="1421" w:author="AUTHOR">
        <w:r w:rsidDel="00522B20">
          <w:rPr>
            <w:lang w:val="es-ES"/>
          </w:rPr>
          <w:delText>ieron</w:delText>
        </w:r>
      </w:del>
      <w:r>
        <w:rPr>
          <w:lang w:val="es-ES"/>
        </w:rPr>
        <w:t xml:space="preserve"> ajustes de </w:t>
      </w:r>
      <w:r w:rsidR="00047AA7">
        <w:rPr>
          <w:lang w:val="es-ES"/>
        </w:rPr>
        <w:t xml:space="preserve">la </w:t>
      </w:r>
      <w:r>
        <w:rPr>
          <w:lang w:val="es-ES"/>
        </w:rPr>
        <w:t>dosis en pacientes con insuficiencia renal leve o moderada.</w:t>
      </w:r>
    </w:p>
    <w:p w14:paraId="5EC1AB64" w14:textId="77777777" w:rsidR="00756D3F" w:rsidRPr="008A106B" w:rsidRDefault="00756D3F" w:rsidP="00834462">
      <w:pPr>
        <w:outlineLvl w:val="0"/>
        <w:rPr>
          <w:lang w:val="es-ES"/>
        </w:rPr>
      </w:pPr>
    </w:p>
    <w:p w14:paraId="46D90F04" w14:textId="77777777" w:rsidR="002C39BB" w:rsidRDefault="00834462" w:rsidP="00834462">
      <w:pPr>
        <w:outlineLvl w:val="0"/>
        <w:rPr>
          <w:i/>
          <w:iCs/>
          <w:lang w:val="es-ES_tradnl"/>
        </w:rPr>
      </w:pPr>
      <w:r w:rsidRPr="008A106B">
        <w:rPr>
          <w:i/>
          <w:iCs/>
          <w:lang w:val="es-ES_tradnl"/>
        </w:rPr>
        <w:t>Insuficiencia hepática</w:t>
      </w:r>
    </w:p>
    <w:p w14:paraId="1021F7AE" w14:textId="34B3F254" w:rsidR="00834462" w:rsidRPr="008A106B" w:rsidRDefault="00834462" w:rsidP="00834462">
      <w:pPr>
        <w:outlineLvl w:val="0"/>
        <w:rPr>
          <w:lang w:val="es-ES"/>
        </w:rPr>
      </w:pPr>
      <w:r w:rsidRPr="008A106B">
        <w:rPr>
          <w:lang w:val="es-ES_tradnl"/>
        </w:rPr>
        <w:t xml:space="preserve">No se ha realizado ningún </w:t>
      </w:r>
      <w:del w:id="1422" w:author="AUTHOR">
        <w:r w:rsidRPr="008A106B" w:rsidDel="00D0534D">
          <w:rPr>
            <w:lang w:val="es-ES_tradnl"/>
          </w:rPr>
          <w:delText xml:space="preserve">estudio </w:delText>
        </w:r>
      </w:del>
      <w:ins w:id="1423" w:author="AUTHOR">
        <w:r w:rsidR="00D0534D">
          <w:rPr>
            <w:lang w:val="es-ES_tradnl"/>
          </w:rPr>
          <w:t>ensayo</w:t>
        </w:r>
        <w:r w:rsidR="00D0534D" w:rsidRPr="008A106B">
          <w:rPr>
            <w:lang w:val="es-ES_tradnl"/>
          </w:rPr>
          <w:t xml:space="preserve"> </w:t>
        </w:r>
      </w:ins>
      <w:r w:rsidRPr="008A106B">
        <w:rPr>
          <w:lang w:val="es-ES_tradnl"/>
        </w:rPr>
        <w:t xml:space="preserve">formal del efecto de la insuficiencia hepática sobre la farmacocinética de </w:t>
      </w:r>
      <w:r w:rsidR="002C39BB">
        <w:rPr>
          <w:iCs/>
          <w:szCs w:val="22"/>
          <w:lang w:val="es-ES"/>
        </w:rPr>
        <w:t>tocilizumab</w:t>
      </w:r>
      <w:r w:rsidRPr="008A106B">
        <w:rPr>
          <w:lang w:val="es-ES_tradnl"/>
        </w:rPr>
        <w:t>.</w:t>
      </w:r>
      <w:r w:rsidRPr="008A106B">
        <w:rPr>
          <w:lang w:val="es-ES"/>
        </w:rPr>
        <w:t xml:space="preserve"> </w:t>
      </w:r>
    </w:p>
    <w:p w14:paraId="02277EEB" w14:textId="77777777" w:rsidR="00834462" w:rsidRPr="008A106B" w:rsidRDefault="00834462" w:rsidP="00834462">
      <w:pPr>
        <w:outlineLvl w:val="0"/>
        <w:rPr>
          <w:lang w:val="es-ES"/>
        </w:rPr>
      </w:pPr>
    </w:p>
    <w:p w14:paraId="403CB365" w14:textId="77777777" w:rsidR="002C39BB" w:rsidRDefault="00834462" w:rsidP="00834462">
      <w:pPr>
        <w:outlineLvl w:val="0"/>
        <w:rPr>
          <w:i/>
          <w:iCs/>
          <w:lang w:val="es-ES_tradnl"/>
        </w:rPr>
      </w:pPr>
      <w:r w:rsidRPr="008A106B">
        <w:rPr>
          <w:i/>
          <w:iCs/>
          <w:lang w:val="es-ES_tradnl"/>
        </w:rPr>
        <w:t>Edad</w:t>
      </w:r>
      <w:r w:rsidR="006C50ED">
        <w:rPr>
          <w:i/>
          <w:iCs/>
          <w:lang w:val="es-ES_tradnl"/>
        </w:rPr>
        <w:t>,</w:t>
      </w:r>
      <w:r w:rsidRPr="008A106B">
        <w:rPr>
          <w:i/>
          <w:iCs/>
          <w:lang w:val="es-ES_tradnl"/>
        </w:rPr>
        <w:t xml:space="preserve"> género y etnia</w:t>
      </w:r>
    </w:p>
    <w:p w14:paraId="73BB021B" w14:textId="77ED517A" w:rsidR="00FA0A14" w:rsidRDefault="00834462" w:rsidP="00834462">
      <w:pPr>
        <w:outlineLvl w:val="0"/>
        <w:rPr>
          <w:lang w:val="es-ES_tradnl"/>
        </w:rPr>
      </w:pPr>
      <w:r w:rsidRPr="008A106B">
        <w:rPr>
          <w:lang w:val="es-ES_tradnl"/>
        </w:rPr>
        <w:t xml:space="preserve">Los análisis de farmacocinética de poblaciones en pacientes con </w:t>
      </w:r>
      <w:r w:rsidR="00756D3F">
        <w:rPr>
          <w:lang w:val="es-ES_tradnl"/>
        </w:rPr>
        <w:t>AR</w:t>
      </w:r>
      <w:r w:rsidR="00B21072">
        <w:rPr>
          <w:lang w:val="es-ES_tradnl"/>
        </w:rPr>
        <w:t xml:space="preserve"> </w:t>
      </w:r>
      <w:r w:rsidR="00756D3F">
        <w:rPr>
          <w:lang w:val="es-ES_tradnl"/>
        </w:rPr>
        <w:t xml:space="preserve">y ACG </w:t>
      </w:r>
      <w:r w:rsidRPr="008A106B">
        <w:rPr>
          <w:lang w:val="es-ES_tradnl"/>
        </w:rPr>
        <w:t xml:space="preserve">demostraron que la edad, el sexo y </w:t>
      </w:r>
      <w:ins w:id="1424" w:author="AUTHOR">
        <w:r w:rsidR="00522B20">
          <w:rPr>
            <w:lang w:val="es-ES_tradnl"/>
          </w:rPr>
          <w:t xml:space="preserve">el </w:t>
        </w:r>
        <w:r w:rsidR="00522B20" w:rsidRPr="00522B20">
          <w:rPr>
            <w:lang w:val="es-ES_tradnl"/>
          </w:rPr>
          <w:t>origen étnico</w:t>
        </w:r>
      </w:ins>
      <w:del w:id="1425" w:author="AUTHOR">
        <w:r w:rsidRPr="008A106B" w:rsidDel="00522B20">
          <w:rPr>
            <w:lang w:val="es-ES_tradnl"/>
          </w:rPr>
          <w:delText>la raza</w:delText>
        </w:r>
      </w:del>
      <w:r w:rsidRPr="008A106B">
        <w:rPr>
          <w:lang w:val="es-ES_tradnl"/>
        </w:rPr>
        <w:t xml:space="preserve"> no afectaron a la farmacocinética de </w:t>
      </w:r>
      <w:r w:rsidR="002C39BB">
        <w:rPr>
          <w:iCs/>
          <w:szCs w:val="22"/>
          <w:lang w:val="es-ES"/>
        </w:rPr>
        <w:t>tocilizumab</w:t>
      </w:r>
      <w:r w:rsidRPr="008A106B">
        <w:rPr>
          <w:lang w:val="es-ES_tradnl"/>
        </w:rPr>
        <w:t>.</w:t>
      </w:r>
    </w:p>
    <w:p w14:paraId="684CC389" w14:textId="77777777" w:rsidR="00FA0A14" w:rsidRDefault="00FA0A14" w:rsidP="00834462">
      <w:pPr>
        <w:outlineLvl w:val="0"/>
        <w:rPr>
          <w:lang w:val="es-ES_tradnl"/>
        </w:rPr>
      </w:pPr>
    </w:p>
    <w:p w14:paraId="63F6572D" w14:textId="68ACDA73" w:rsidR="00834462" w:rsidRDefault="00BA7893" w:rsidP="00834462">
      <w:pPr>
        <w:outlineLvl w:val="0"/>
        <w:rPr>
          <w:lang w:val="es-ES_tradnl"/>
        </w:rPr>
      </w:pPr>
      <w:r w:rsidRPr="00BA7893">
        <w:rPr>
          <w:lang w:val="es-ES_tradnl"/>
        </w:rPr>
        <w:t>Los resultados de</w:t>
      </w:r>
      <w:r>
        <w:rPr>
          <w:lang w:val="es-ES_tradnl"/>
        </w:rPr>
        <w:t>l análisis PK poblacional en pacientes con</w:t>
      </w:r>
      <w:r w:rsidR="00380621" w:rsidRPr="00380621">
        <w:rPr>
          <w:lang w:val="es-ES_tradnl"/>
        </w:rPr>
        <w:t xml:space="preserve"> </w:t>
      </w:r>
      <w:r w:rsidR="00380621">
        <w:rPr>
          <w:lang w:val="es-ES_tradnl"/>
        </w:rPr>
        <w:t>AIJs y</w:t>
      </w:r>
      <w:r>
        <w:rPr>
          <w:lang w:val="es-ES_tradnl"/>
        </w:rPr>
        <w:t xml:space="preserve"> </w:t>
      </w:r>
      <w:r w:rsidRPr="00BA7893">
        <w:rPr>
          <w:lang w:val="es-ES_tradnl"/>
        </w:rPr>
        <w:t>A</w:t>
      </w:r>
      <w:r>
        <w:rPr>
          <w:lang w:val="es-ES_tradnl"/>
        </w:rPr>
        <w:t>IJp</w:t>
      </w:r>
      <w:r w:rsidRPr="00BA7893">
        <w:rPr>
          <w:lang w:val="es-ES_tradnl"/>
        </w:rPr>
        <w:t xml:space="preserve"> confirmaron que el tamaño corporal es la única covariable que tiene un impacto apreciable en la PK de </w:t>
      </w:r>
      <w:r w:rsidR="002C39BB">
        <w:rPr>
          <w:lang w:val="es-ES_tradnl"/>
        </w:rPr>
        <w:t xml:space="preserve">tocilizumab </w:t>
      </w:r>
      <w:r w:rsidR="009F0106">
        <w:rPr>
          <w:lang w:val="es-ES_tradnl"/>
        </w:rPr>
        <w:t>incluyendo la eliminación y la absorción, por lo que debe tenerse en cuenta</w:t>
      </w:r>
      <w:r w:rsidR="005C6453">
        <w:rPr>
          <w:lang w:val="es-ES_tradnl"/>
        </w:rPr>
        <w:t xml:space="preserve"> la dosificación en base al peso corporal </w:t>
      </w:r>
      <w:r w:rsidR="005C6453" w:rsidRPr="009F0106">
        <w:rPr>
          <w:lang w:val="es-ES"/>
        </w:rPr>
        <w:t>(ver Tabla</w:t>
      </w:r>
      <w:r w:rsidR="00380621">
        <w:rPr>
          <w:lang w:val="es-ES"/>
        </w:rPr>
        <w:t>s</w:t>
      </w:r>
      <w:r w:rsidR="005C6453" w:rsidRPr="009F0106">
        <w:rPr>
          <w:lang w:val="es-ES"/>
        </w:rPr>
        <w:t xml:space="preserve"> 8</w:t>
      </w:r>
      <w:r w:rsidR="00380621">
        <w:rPr>
          <w:lang w:val="es-ES"/>
        </w:rPr>
        <w:t xml:space="preserve"> y 9</w:t>
      </w:r>
      <w:r w:rsidR="005C6453">
        <w:rPr>
          <w:lang w:val="es-ES"/>
        </w:rPr>
        <w:t>)</w:t>
      </w:r>
      <w:r w:rsidR="005C6453">
        <w:rPr>
          <w:lang w:val="es-ES_tradnl"/>
        </w:rPr>
        <w:t>.</w:t>
      </w:r>
      <w:r w:rsidR="009F0106">
        <w:rPr>
          <w:lang w:val="es-ES_tradnl"/>
        </w:rPr>
        <w:t xml:space="preserve"> </w:t>
      </w:r>
    </w:p>
    <w:p w14:paraId="7C7B5593" w14:textId="77777777" w:rsidR="00A71532" w:rsidRPr="008A106B" w:rsidRDefault="00A71532" w:rsidP="00834462">
      <w:pPr>
        <w:outlineLvl w:val="0"/>
        <w:rPr>
          <w:lang w:val="es-ES"/>
        </w:rPr>
      </w:pPr>
    </w:p>
    <w:p w14:paraId="228EEEC0" w14:textId="77777777" w:rsidR="00834462" w:rsidRPr="008A106B" w:rsidRDefault="00834462" w:rsidP="00834462">
      <w:pPr>
        <w:keepNext/>
        <w:keepLines/>
        <w:ind w:left="567" w:hanging="567"/>
        <w:outlineLvl w:val="0"/>
        <w:rPr>
          <w:lang w:val="es-ES"/>
        </w:rPr>
      </w:pPr>
      <w:r w:rsidRPr="00286CDE">
        <w:rPr>
          <w:b/>
          <w:bCs/>
          <w:lang w:val="es-ES"/>
        </w:rPr>
        <w:t>5.3</w:t>
      </w:r>
      <w:r w:rsidRPr="00286CDE">
        <w:rPr>
          <w:b/>
          <w:bCs/>
          <w:lang w:val="es-ES"/>
        </w:rPr>
        <w:tab/>
      </w:r>
      <w:r w:rsidRPr="00286CDE">
        <w:rPr>
          <w:b/>
          <w:bCs/>
          <w:lang w:val="es-ES_tradnl"/>
        </w:rPr>
        <w:t>Datos preclínicos sobre seguridad</w:t>
      </w:r>
    </w:p>
    <w:p w14:paraId="606A0973" w14:textId="77777777" w:rsidR="00834462" w:rsidRPr="008A106B" w:rsidRDefault="00834462" w:rsidP="00834462">
      <w:pPr>
        <w:keepNext/>
        <w:keepLines/>
        <w:rPr>
          <w:lang w:val="es-ES"/>
        </w:rPr>
      </w:pPr>
    </w:p>
    <w:p w14:paraId="5EF9687A" w14:textId="3749DD93" w:rsidR="00834462" w:rsidRPr="008A106B" w:rsidRDefault="00464542" w:rsidP="00834462">
      <w:pPr>
        <w:rPr>
          <w:bCs/>
          <w:lang w:val="es-ES"/>
        </w:rPr>
      </w:pPr>
      <w:r w:rsidRPr="000B7663">
        <w:rPr>
          <w:lang w:val="es-ES"/>
        </w:rPr>
        <w:t xml:space="preserve">Los datos </w:t>
      </w:r>
      <w:r w:rsidR="000F4CAF">
        <w:rPr>
          <w:lang w:val="es-ES"/>
        </w:rPr>
        <w:t>pre</w:t>
      </w:r>
      <w:r w:rsidRPr="000B7663">
        <w:rPr>
          <w:lang w:val="es-ES"/>
        </w:rPr>
        <w:t xml:space="preserve">clínicos no muestran riesgos especiales para los seres humanos según los </w:t>
      </w:r>
      <w:del w:id="1426" w:author="AUTHOR">
        <w:r w:rsidRPr="000B7663" w:rsidDel="00D0534D">
          <w:rPr>
            <w:lang w:val="es-ES"/>
          </w:rPr>
          <w:delText xml:space="preserve">estudios </w:delText>
        </w:r>
      </w:del>
      <w:ins w:id="1427" w:author="AUTHOR">
        <w:r w:rsidR="00D0534D">
          <w:rPr>
            <w:lang w:val="es-ES"/>
          </w:rPr>
          <w:t>ensayos</w:t>
        </w:r>
        <w:r w:rsidR="00D0534D" w:rsidRPr="000B7663">
          <w:rPr>
            <w:lang w:val="es-ES"/>
          </w:rPr>
          <w:t xml:space="preserve"> </w:t>
        </w:r>
      </w:ins>
      <w:r w:rsidRPr="000B7663">
        <w:rPr>
          <w:lang w:val="es-ES"/>
        </w:rPr>
        <w:t>convencionales de farmacología de seguridad, toxicidad a dosis repetidas, genotox</w:t>
      </w:r>
      <w:r w:rsidR="00CA1FC8" w:rsidRPr="00B21072">
        <w:rPr>
          <w:lang w:val="es-ES"/>
        </w:rPr>
        <w:t xml:space="preserve">icidad, </w:t>
      </w:r>
      <w:r w:rsidRPr="000B7663">
        <w:rPr>
          <w:lang w:val="es-ES"/>
        </w:rPr>
        <w:t xml:space="preserve">toxicidad para la reproducción y el desarrollo. </w:t>
      </w:r>
    </w:p>
    <w:p w14:paraId="2129F926" w14:textId="77777777" w:rsidR="00B21072" w:rsidRDefault="00B21072" w:rsidP="00834462">
      <w:pPr>
        <w:rPr>
          <w:lang w:val="es-ES_tradnl"/>
        </w:rPr>
      </w:pPr>
    </w:p>
    <w:p w14:paraId="6247DEB3" w14:textId="56F2A394" w:rsidR="00834462" w:rsidRPr="008A106B" w:rsidRDefault="00834462" w:rsidP="00834462">
      <w:pPr>
        <w:rPr>
          <w:lang w:val="es-ES"/>
        </w:rPr>
      </w:pPr>
      <w:r w:rsidRPr="008A106B">
        <w:rPr>
          <w:lang w:val="es-ES_tradnl"/>
        </w:rPr>
        <w:t xml:space="preserve">No se realizaron </w:t>
      </w:r>
      <w:del w:id="1428" w:author="AUTHOR">
        <w:r w:rsidRPr="008A106B" w:rsidDel="00D0534D">
          <w:rPr>
            <w:lang w:val="es-ES_tradnl"/>
          </w:rPr>
          <w:delText xml:space="preserve">estudios </w:delText>
        </w:r>
      </w:del>
      <w:ins w:id="1429" w:author="AUTHOR">
        <w:r w:rsidR="00D0534D">
          <w:rPr>
            <w:lang w:val="es-ES_tradnl"/>
          </w:rPr>
          <w:t>ensayos</w:t>
        </w:r>
        <w:r w:rsidR="00D0534D" w:rsidRPr="008A106B">
          <w:rPr>
            <w:lang w:val="es-ES_tradnl"/>
          </w:rPr>
          <w:t xml:space="preserve"> </w:t>
        </w:r>
      </w:ins>
      <w:r w:rsidRPr="008A106B">
        <w:rPr>
          <w:lang w:val="es-ES_tradnl"/>
        </w:rPr>
        <w:t xml:space="preserve">de carcinogenia dado que los anticuerpos monoclonales IgG1 no se consideran potencialmente carcinogénicos. </w:t>
      </w:r>
      <w:r w:rsidRPr="008A106B">
        <w:rPr>
          <w:lang w:val="es-ES"/>
        </w:rPr>
        <w:t xml:space="preserve"> </w:t>
      </w:r>
    </w:p>
    <w:p w14:paraId="7A376632" w14:textId="77777777" w:rsidR="00834462" w:rsidRPr="008A106B" w:rsidRDefault="00834462" w:rsidP="00834462">
      <w:pPr>
        <w:rPr>
          <w:lang w:val="es-ES"/>
        </w:rPr>
      </w:pPr>
    </w:p>
    <w:p w14:paraId="3A587EF4" w14:textId="3260F145" w:rsidR="00834462" w:rsidRPr="008A106B" w:rsidRDefault="00834462" w:rsidP="00834462">
      <w:pPr>
        <w:rPr>
          <w:lang w:val="es-ES"/>
        </w:rPr>
      </w:pPr>
      <w:r w:rsidRPr="008A106B">
        <w:rPr>
          <w:lang w:val="es-ES_tradnl"/>
        </w:rPr>
        <w:t xml:space="preserve">Los datos </w:t>
      </w:r>
      <w:r w:rsidR="00180DB3">
        <w:rPr>
          <w:lang w:val="es-ES_tradnl"/>
        </w:rPr>
        <w:t xml:space="preserve">de los estudios </w:t>
      </w:r>
      <w:del w:id="1430" w:author="AUTHOR">
        <w:r w:rsidRPr="008A106B" w:rsidDel="009F37B4">
          <w:rPr>
            <w:lang w:val="es-ES_tradnl"/>
          </w:rPr>
          <w:delText>no-</w:delText>
        </w:r>
      </w:del>
      <w:ins w:id="1431" w:author="AUTHOR">
        <w:r w:rsidR="009F37B4">
          <w:rPr>
            <w:lang w:val="es-ES_tradnl"/>
          </w:rPr>
          <w:t>pre</w:t>
        </w:r>
      </w:ins>
      <w:r w:rsidRPr="008A106B">
        <w:rPr>
          <w:lang w:val="es-ES_tradnl"/>
        </w:rPr>
        <w:t xml:space="preserve">clínicos disponibles demostraron el efecto de IL-6 a la progresión maligna y la resistencia a la apoptosis de diversos tipos de cáncer, estos datos no sugieren un riesgo relevante para la iniciación y la progresión del cáncer bajo tratamiento con </w:t>
      </w:r>
      <w:r w:rsidR="002C39BB">
        <w:rPr>
          <w:iCs/>
          <w:szCs w:val="22"/>
          <w:lang w:val="es-ES"/>
        </w:rPr>
        <w:t>tocilizumab</w:t>
      </w:r>
      <w:r w:rsidRPr="008A106B">
        <w:rPr>
          <w:lang w:val="es-ES_tradnl"/>
        </w:rPr>
        <w:t xml:space="preserve">. Además, no se observaron lesiones proliferativas en un </w:t>
      </w:r>
      <w:del w:id="1432" w:author="AUTHOR">
        <w:r w:rsidRPr="008A106B" w:rsidDel="00D0534D">
          <w:rPr>
            <w:lang w:val="es-ES_tradnl"/>
          </w:rPr>
          <w:delText xml:space="preserve">estudio </w:delText>
        </w:r>
      </w:del>
      <w:ins w:id="1433" w:author="AUTHOR">
        <w:r w:rsidR="00D0534D">
          <w:rPr>
            <w:lang w:val="es-ES_tradnl"/>
          </w:rPr>
          <w:t>ensayo</w:t>
        </w:r>
        <w:r w:rsidR="00D0534D" w:rsidRPr="008A106B">
          <w:rPr>
            <w:lang w:val="es-ES_tradnl"/>
          </w:rPr>
          <w:t xml:space="preserve"> </w:t>
        </w:r>
      </w:ins>
      <w:r w:rsidRPr="008A106B">
        <w:rPr>
          <w:lang w:val="es-ES_tradnl"/>
        </w:rPr>
        <w:t xml:space="preserve">crónico, de 6 meses, de toxicidad en macacos o en ratones con deficiencia de IL-6. </w:t>
      </w:r>
    </w:p>
    <w:p w14:paraId="700B3AF8" w14:textId="77777777" w:rsidR="00834462" w:rsidRPr="008A106B" w:rsidRDefault="00834462" w:rsidP="00834462">
      <w:pPr>
        <w:rPr>
          <w:lang w:val="es-ES"/>
        </w:rPr>
      </w:pPr>
    </w:p>
    <w:p w14:paraId="79E21E3F" w14:textId="619C15FE" w:rsidR="00834462" w:rsidRPr="008A106B" w:rsidRDefault="00834462" w:rsidP="00834462">
      <w:pPr>
        <w:rPr>
          <w:lang w:val="es-ES"/>
        </w:rPr>
      </w:pPr>
      <w:r w:rsidRPr="008A106B">
        <w:rPr>
          <w:lang w:val="es-ES_tradnl"/>
        </w:rPr>
        <w:t xml:space="preserve">Los datos </w:t>
      </w:r>
      <w:r w:rsidR="00180DB3">
        <w:rPr>
          <w:lang w:val="es-ES_tradnl"/>
        </w:rPr>
        <w:t xml:space="preserve">de los estudios </w:t>
      </w:r>
      <w:ins w:id="1434" w:author="AUTHOR">
        <w:r w:rsidR="009F37B4">
          <w:rPr>
            <w:lang w:val="es-ES_tradnl"/>
          </w:rPr>
          <w:t>pre</w:t>
        </w:r>
      </w:ins>
      <w:del w:id="1435" w:author="AUTHOR">
        <w:r w:rsidRPr="008A106B" w:rsidDel="009F37B4">
          <w:rPr>
            <w:lang w:val="es-ES_tradnl"/>
          </w:rPr>
          <w:delText>no-</w:delText>
        </w:r>
      </w:del>
      <w:r w:rsidRPr="008A106B">
        <w:rPr>
          <w:lang w:val="es-ES_tradnl"/>
        </w:rPr>
        <w:t>clínicos disponibles no sugieren un efecto sobre la fertilidad baj</w:t>
      </w:r>
      <w:r w:rsidR="006C5226">
        <w:rPr>
          <w:lang w:val="es-ES_tradnl"/>
        </w:rPr>
        <w:t xml:space="preserve">o el tratamiento con </w:t>
      </w:r>
      <w:r w:rsidR="002C39BB">
        <w:rPr>
          <w:lang w:val="es-ES_tradnl"/>
        </w:rPr>
        <w:t>tocilizumab</w:t>
      </w:r>
      <w:r w:rsidRPr="008A106B">
        <w:rPr>
          <w:lang w:val="es-ES_tradnl"/>
        </w:rPr>
        <w:t xml:space="preserve">. No se observaron efectos sobre los órganos endocrinos activos y del aparato reproductor en un </w:t>
      </w:r>
      <w:del w:id="1436" w:author="AUTHOR">
        <w:r w:rsidRPr="008A106B" w:rsidDel="00D0534D">
          <w:rPr>
            <w:lang w:val="es-ES_tradnl"/>
          </w:rPr>
          <w:delText xml:space="preserve">estudio </w:delText>
        </w:r>
      </w:del>
      <w:ins w:id="1437" w:author="AUTHOR">
        <w:r w:rsidR="00D0534D">
          <w:rPr>
            <w:lang w:val="es-ES_tradnl"/>
          </w:rPr>
          <w:t>ensayo</w:t>
        </w:r>
        <w:r w:rsidR="00D0534D" w:rsidRPr="008A106B">
          <w:rPr>
            <w:lang w:val="es-ES_tradnl"/>
          </w:rPr>
          <w:t xml:space="preserve"> </w:t>
        </w:r>
      </w:ins>
      <w:r w:rsidRPr="008A106B">
        <w:rPr>
          <w:lang w:val="es-ES_tradnl"/>
        </w:rPr>
        <w:t xml:space="preserve">de toxicidad crónica en macacos y el rendimiento reproductor no se vio afectado en ratones deficitarios en IL-6. Se observó que </w:t>
      </w:r>
      <w:r w:rsidR="003532C2">
        <w:rPr>
          <w:lang w:val="es-ES_tradnl"/>
        </w:rPr>
        <w:t>tocilizumab</w:t>
      </w:r>
      <w:r w:rsidR="00756D3F" w:rsidRPr="006868F5">
        <w:rPr>
          <w:iCs/>
          <w:szCs w:val="22"/>
          <w:lang w:val="es-ES"/>
        </w:rPr>
        <w:t xml:space="preserve"> </w:t>
      </w:r>
      <w:r w:rsidRPr="008A106B">
        <w:rPr>
          <w:lang w:val="es-ES_tradnl"/>
        </w:rPr>
        <w:t>administrado a macacos durante la gestación precoz no tiene efecto lesivo directo o indirecto sobre el embarazo o el desarrollo embrionario-fetal.</w:t>
      </w:r>
      <w:r w:rsidRPr="008A106B">
        <w:rPr>
          <w:lang w:val="es-ES"/>
        </w:rPr>
        <w:t xml:space="preserve"> </w:t>
      </w:r>
      <w:r w:rsidRPr="008A106B">
        <w:rPr>
          <w:lang w:val="es-ES_tradnl"/>
        </w:rPr>
        <w:t>Sin embargo, se observó</w:t>
      </w:r>
      <w:r w:rsidR="006C50ED">
        <w:rPr>
          <w:lang w:val="es-ES_tradnl"/>
        </w:rPr>
        <w:t xml:space="preserve"> un leve aumento de los abortos/</w:t>
      </w:r>
      <w:r w:rsidRPr="008A106B">
        <w:rPr>
          <w:lang w:val="es-ES_tradnl"/>
        </w:rPr>
        <w:t xml:space="preserve">las muertes embrionarias-fetales con una alta exposición sistémica (&gt; 100 x la exposición humana) en el grupo de dosis alta de 50 mg/kg/día en comparación con placebo y otros grupos de </w:t>
      </w:r>
      <w:r w:rsidRPr="008A106B">
        <w:rPr>
          <w:lang w:val="es-ES_tradnl"/>
        </w:rPr>
        <w:lastRenderedPageBreak/>
        <w:t>dosis bajas.</w:t>
      </w:r>
      <w:r w:rsidRPr="008A106B">
        <w:rPr>
          <w:lang w:val="es-ES"/>
        </w:rPr>
        <w:t xml:space="preserve"> </w:t>
      </w:r>
      <w:r w:rsidRPr="008A106B">
        <w:rPr>
          <w:lang w:val="es-ES_tradnl"/>
        </w:rPr>
        <w:t>Aunque la IL-6 no parece ser una citocina crítica para el crecimiento fetal o el control inmu</w:t>
      </w:r>
      <w:r w:rsidR="006C50ED">
        <w:rPr>
          <w:lang w:val="es-ES_tradnl"/>
        </w:rPr>
        <w:t xml:space="preserve">nológico </w:t>
      </w:r>
      <w:proofErr w:type="gramStart"/>
      <w:r w:rsidR="006C50ED">
        <w:rPr>
          <w:lang w:val="es-ES_tradnl"/>
        </w:rPr>
        <w:t>de la interfaz materno</w:t>
      </w:r>
      <w:proofErr w:type="gramEnd"/>
      <w:r w:rsidRPr="008A106B">
        <w:rPr>
          <w:lang w:val="es-ES_tradnl"/>
        </w:rPr>
        <w:t xml:space="preserve">/fetal, no puede excluirse una relación de este hallazgo con </w:t>
      </w:r>
      <w:r w:rsidR="002C39BB">
        <w:rPr>
          <w:iCs/>
          <w:szCs w:val="22"/>
          <w:lang w:val="es-ES"/>
        </w:rPr>
        <w:t>tocilizumab</w:t>
      </w:r>
      <w:r w:rsidRPr="008A106B">
        <w:rPr>
          <w:lang w:val="es-ES_tradnl"/>
        </w:rPr>
        <w:t>.</w:t>
      </w:r>
    </w:p>
    <w:p w14:paraId="72AF554A" w14:textId="77777777" w:rsidR="00834462" w:rsidRPr="008A106B" w:rsidRDefault="00834462" w:rsidP="00834462">
      <w:pPr>
        <w:rPr>
          <w:lang w:val="es-ES_tradnl"/>
        </w:rPr>
      </w:pPr>
    </w:p>
    <w:p w14:paraId="4B67E235" w14:textId="77777777" w:rsidR="00834462" w:rsidRDefault="00834462" w:rsidP="00834462">
      <w:pPr>
        <w:rPr>
          <w:lang w:val="es-ES"/>
        </w:rPr>
      </w:pPr>
      <w:r w:rsidRPr="008A106B">
        <w:rPr>
          <w:lang w:val="es-ES"/>
        </w:rPr>
        <w:t>El tratamiento con un análogo de murina no ha supuesto toxicidad en ratones jóvenes. En particular, no ha habido alteración en el crecimiento esquelético, la función inmune y la maduración sexual.</w:t>
      </w:r>
    </w:p>
    <w:p w14:paraId="6B5DDB80" w14:textId="77777777" w:rsidR="00834462" w:rsidRDefault="00834462" w:rsidP="00834462">
      <w:pPr>
        <w:rPr>
          <w:lang w:val="es-ES"/>
        </w:rPr>
      </w:pPr>
    </w:p>
    <w:p w14:paraId="0ABAABF3" w14:textId="273C254F" w:rsidR="00834462" w:rsidRPr="008A106B" w:rsidRDefault="00834462" w:rsidP="00834462">
      <w:pPr>
        <w:rPr>
          <w:lang w:val="es-ES"/>
        </w:rPr>
      </w:pPr>
      <w:r w:rsidRPr="00286CDE">
        <w:rPr>
          <w:lang w:val="es-ES"/>
        </w:rPr>
        <w:t xml:space="preserve">El perfil de seguridad </w:t>
      </w:r>
      <w:ins w:id="1438" w:author="AUTHOR">
        <w:r w:rsidR="00522B20" w:rsidRPr="00522B20">
          <w:rPr>
            <w:lang w:val="es-ES"/>
          </w:rPr>
          <w:t>preclínico</w:t>
        </w:r>
      </w:ins>
      <w:del w:id="1439" w:author="AUTHOR">
        <w:r w:rsidRPr="00286CDE" w:rsidDel="00522B20">
          <w:rPr>
            <w:lang w:val="es-ES"/>
          </w:rPr>
          <w:delText>no clínico</w:delText>
        </w:r>
      </w:del>
      <w:r w:rsidRPr="00286CDE">
        <w:rPr>
          <w:lang w:val="es-ES"/>
        </w:rPr>
        <w:t xml:space="preserve"> de </w:t>
      </w:r>
      <w:r w:rsidR="004001D3">
        <w:rPr>
          <w:iCs/>
          <w:szCs w:val="22"/>
          <w:lang w:val="es-ES"/>
        </w:rPr>
        <w:t>tocilizumab</w:t>
      </w:r>
      <w:r w:rsidR="004001D3" w:rsidRPr="006868F5">
        <w:rPr>
          <w:iCs/>
          <w:szCs w:val="22"/>
          <w:lang w:val="es-ES"/>
        </w:rPr>
        <w:t xml:space="preserve"> </w:t>
      </w:r>
      <w:r w:rsidRPr="00286CDE">
        <w:rPr>
          <w:lang w:val="es-ES"/>
        </w:rPr>
        <w:t xml:space="preserve">en </w:t>
      </w:r>
      <w:r w:rsidRPr="00286CDE">
        <w:rPr>
          <w:lang w:val="es-ES_tradnl"/>
        </w:rPr>
        <w:t>macacos no sugiere una diferencia entre las vías de administración intravenosa y subcutánea.</w:t>
      </w:r>
    </w:p>
    <w:p w14:paraId="366332DD" w14:textId="77777777" w:rsidR="00834462" w:rsidRPr="008A106B" w:rsidRDefault="00834462" w:rsidP="00834462">
      <w:pPr>
        <w:rPr>
          <w:lang w:val="es-ES"/>
        </w:rPr>
      </w:pPr>
    </w:p>
    <w:p w14:paraId="16A31ADC" w14:textId="77777777" w:rsidR="00834462" w:rsidRPr="008A106B" w:rsidRDefault="00834462" w:rsidP="00834462">
      <w:pPr>
        <w:rPr>
          <w:lang w:val="es-ES"/>
        </w:rPr>
      </w:pPr>
    </w:p>
    <w:p w14:paraId="0A4A23D8" w14:textId="77777777" w:rsidR="00834462" w:rsidRPr="008A106B" w:rsidRDefault="00834462" w:rsidP="00834462">
      <w:pPr>
        <w:keepNext/>
        <w:ind w:left="567" w:hanging="567"/>
        <w:rPr>
          <w:b/>
          <w:bCs/>
          <w:lang w:val="es-ES"/>
        </w:rPr>
      </w:pPr>
      <w:r w:rsidRPr="008A106B">
        <w:rPr>
          <w:b/>
          <w:bCs/>
          <w:lang w:val="es-ES"/>
        </w:rPr>
        <w:t>6.</w:t>
      </w:r>
      <w:r w:rsidRPr="008A106B">
        <w:rPr>
          <w:b/>
          <w:bCs/>
          <w:lang w:val="es-ES"/>
        </w:rPr>
        <w:tab/>
      </w:r>
      <w:r w:rsidRPr="00286CDE">
        <w:rPr>
          <w:b/>
          <w:bCs/>
          <w:lang w:val="es-ES_tradnl"/>
        </w:rPr>
        <w:t>DATOS FARMACÉUTICOS</w:t>
      </w:r>
    </w:p>
    <w:p w14:paraId="594DD89A" w14:textId="77777777" w:rsidR="00834462" w:rsidRPr="008A106B" w:rsidRDefault="00834462" w:rsidP="00834462">
      <w:pPr>
        <w:keepNext/>
        <w:rPr>
          <w:lang w:val="es-ES"/>
        </w:rPr>
      </w:pPr>
    </w:p>
    <w:p w14:paraId="1A7B828F" w14:textId="77777777" w:rsidR="00834462" w:rsidRPr="008A106B" w:rsidRDefault="00834462" w:rsidP="00834462">
      <w:pPr>
        <w:keepNext/>
        <w:ind w:left="567" w:hanging="567"/>
        <w:outlineLvl w:val="0"/>
        <w:rPr>
          <w:b/>
          <w:bCs/>
          <w:lang w:val="es-ES"/>
        </w:rPr>
      </w:pPr>
      <w:r w:rsidRPr="008A106B">
        <w:rPr>
          <w:b/>
          <w:bCs/>
          <w:lang w:val="es-ES"/>
        </w:rPr>
        <w:t>6.1</w:t>
      </w:r>
      <w:r w:rsidRPr="008A106B">
        <w:rPr>
          <w:b/>
          <w:bCs/>
          <w:lang w:val="es-ES"/>
        </w:rPr>
        <w:tab/>
      </w:r>
      <w:r w:rsidRPr="008A106B">
        <w:rPr>
          <w:b/>
          <w:bCs/>
          <w:lang w:val="es-ES_tradnl"/>
        </w:rPr>
        <w:t>Lista de excipientes</w:t>
      </w:r>
    </w:p>
    <w:p w14:paraId="0F4C7009" w14:textId="77777777" w:rsidR="00834462" w:rsidRDefault="00834462" w:rsidP="00834462">
      <w:pPr>
        <w:keepNext/>
        <w:ind w:left="567" w:hanging="567"/>
        <w:outlineLvl w:val="0"/>
        <w:rPr>
          <w:b/>
          <w:lang w:val="es-ES"/>
        </w:rPr>
      </w:pPr>
    </w:p>
    <w:p w14:paraId="0272B2B5" w14:textId="77777777" w:rsidR="00834462" w:rsidRDefault="00834462" w:rsidP="00834462">
      <w:pPr>
        <w:keepNext/>
        <w:ind w:left="567" w:hanging="567"/>
        <w:outlineLvl w:val="0"/>
        <w:rPr>
          <w:lang w:val="es-ES"/>
        </w:rPr>
      </w:pPr>
      <w:r w:rsidRPr="00286CDE">
        <w:rPr>
          <w:lang w:val="es-ES"/>
        </w:rPr>
        <w:t>L-Histidina</w:t>
      </w:r>
      <w:r w:rsidR="004001D3">
        <w:rPr>
          <w:lang w:val="es-ES"/>
        </w:rPr>
        <w:t xml:space="preserve"> (para ajuste de pH)</w:t>
      </w:r>
    </w:p>
    <w:p w14:paraId="053E8E64" w14:textId="77777777" w:rsidR="00834462" w:rsidRDefault="00834462" w:rsidP="00834462">
      <w:pPr>
        <w:keepNext/>
        <w:ind w:left="567" w:hanging="567"/>
        <w:outlineLvl w:val="0"/>
        <w:rPr>
          <w:lang w:val="pt-BR"/>
        </w:rPr>
      </w:pPr>
      <w:r w:rsidRPr="00EF2448">
        <w:rPr>
          <w:lang w:val="pt-BR"/>
        </w:rPr>
        <w:t>Monohidrocloruro de L-histidina monohidrato</w:t>
      </w:r>
      <w:r w:rsidR="004001D3">
        <w:rPr>
          <w:lang w:val="pt-BR"/>
        </w:rPr>
        <w:t xml:space="preserve"> (para ajuste de pH)</w:t>
      </w:r>
    </w:p>
    <w:p w14:paraId="4BE9547E" w14:textId="77777777" w:rsidR="00834462" w:rsidRPr="00EF2448" w:rsidRDefault="00137C28" w:rsidP="00834462">
      <w:pPr>
        <w:keepNext/>
        <w:ind w:left="567" w:hanging="567"/>
        <w:outlineLvl w:val="0"/>
        <w:rPr>
          <w:lang w:val="pt-BR"/>
        </w:rPr>
      </w:pPr>
      <w:r w:rsidRPr="00C555F2">
        <w:rPr>
          <w:lang w:val="pt-BR"/>
        </w:rPr>
        <w:t>L-Arginina</w:t>
      </w:r>
      <w:r w:rsidR="00B947D0">
        <w:rPr>
          <w:lang w:val="pt-BR"/>
        </w:rPr>
        <w:t>/</w:t>
      </w:r>
      <w:r w:rsidR="006C50ED" w:rsidRPr="00EF2448">
        <w:rPr>
          <w:lang w:val="pt-BR"/>
        </w:rPr>
        <w:t>Hidrocloruro de L-</w:t>
      </w:r>
      <w:r w:rsidR="00834462" w:rsidRPr="00EF2448">
        <w:rPr>
          <w:lang w:val="pt-BR"/>
        </w:rPr>
        <w:t>Arginina</w:t>
      </w:r>
    </w:p>
    <w:p w14:paraId="515B3F27" w14:textId="77777777" w:rsidR="00834462" w:rsidRPr="00EF2448" w:rsidRDefault="00834462" w:rsidP="00834462">
      <w:pPr>
        <w:keepNext/>
        <w:ind w:left="567" w:hanging="567"/>
        <w:outlineLvl w:val="0"/>
        <w:rPr>
          <w:lang w:val="pt-BR"/>
        </w:rPr>
      </w:pPr>
      <w:r w:rsidRPr="00EF2448">
        <w:rPr>
          <w:lang w:val="pt-BR"/>
        </w:rPr>
        <w:t>L-Metionina</w:t>
      </w:r>
    </w:p>
    <w:p w14:paraId="3492A079" w14:textId="77777777" w:rsidR="00834462" w:rsidRPr="008A106B" w:rsidRDefault="00834462" w:rsidP="00834462">
      <w:pPr>
        <w:keepNext/>
        <w:ind w:left="567" w:hanging="567"/>
        <w:outlineLvl w:val="0"/>
        <w:rPr>
          <w:lang w:val="es-ES"/>
        </w:rPr>
      </w:pPr>
      <w:r w:rsidRPr="008A106B">
        <w:rPr>
          <w:lang w:val="es-ES_tradnl"/>
        </w:rPr>
        <w:t>Polisorbato 80</w:t>
      </w:r>
      <w:r w:rsidR="004001D3">
        <w:rPr>
          <w:lang w:val="es-ES_tradnl"/>
        </w:rPr>
        <w:t xml:space="preserve"> (E</w:t>
      </w:r>
      <w:r w:rsidR="00553D9B">
        <w:rPr>
          <w:lang w:val="es-ES_tradnl"/>
        </w:rPr>
        <w:t xml:space="preserve"> </w:t>
      </w:r>
      <w:r w:rsidR="004001D3">
        <w:rPr>
          <w:lang w:val="es-ES_tradnl"/>
        </w:rPr>
        <w:t>433)</w:t>
      </w:r>
    </w:p>
    <w:p w14:paraId="78230B9C" w14:textId="77777777" w:rsidR="00834462" w:rsidRDefault="00834462" w:rsidP="00834462">
      <w:pPr>
        <w:ind w:left="567" w:hanging="567"/>
        <w:outlineLvl w:val="0"/>
        <w:rPr>
          <w:lang w:val="es-ES_tradnl"/>
        </w:rPr>
      </w:pPr>
      <w:r w:rsidRPr="008A106B">
        <w:rPr>
          <w:lang w:val="es-ES_tradnl"/>
        </w:rPr>
        <w:t>Agua para preparaciones inyectables</w:t>
      </w:r>
    </w:p>
    <w:p w14:paraId="73814EB6" w14:textId="77777777" w:rsidR="00332B40" w:rsidRPr="008A106B" w:rsidRDefault="00332B40" w:rsidP="00834462">
      <w:pPr>
        <w:ind w:left="567" w:hanging="567"/>
        <w:outlineLvl w:val="0"/>
        <w:rPr>
          <w:lang w:val="es-ES"/>
        </w:rPr>
      </w:pPr>
    </w:p>
    <w:p w14:paraId="42B5A3D0" w14:textId="77777777" w:rsidR="00834462" w:rsidRPr="008A106B" w:rsidRDefault="00834462" w:rsidP="00A50280">
      <w:pPr>
        <w:keepNext/>
        <w:keepLines/>
        <w:ind w:left="567" w:hanging="567"/>
        <w:outlineLvl w:val="0"/>
        <w:rPr>
          <w:lang w:val="es-ES"/>
        </w:rPr>
      </w:pPr>
      <w:r w:rsidRPr="008A106B">
        <w:rPr>
          <w:b/>
          <w:bCs/>
          <w:lang w:val="es-ES"/>
        </w:rPr>
        <w:t>6.2</w:t>
      </w:r>
      <w:r w:rsidRPr="008A106B">
        <w:rPr>
          <w:b/>
          <w:bCs/>
          <w:lang w:val="es-ES"/>
        </w:rPr>
        <w:tab/>
      </w:r>
      <w:r w:rsidRPr="008A106B">
        <w:rPr>
          <w:b/>
          <w:bCs/>
          <w:lang w:val="es-ES_tradnl"/>
        </w:rPr>
        <w:t>Incompatibilidades</w:t>
      </w:r>
    </w:p>
    <w:p w14:paraId="4D5A3A9A" w14:textId="77777777" w:rsidR="00834462" w:rsidRPr="008A106B" w:rsidRDefault="00834462" w:rsidP="00834462">
      <w:pPr>
        <w:rPr>
          <w:lang w:val="es-ES"/>
        </w:rPr>
      </w:pPr>
    </w:p>
    <w:p w14:paraId="19871032" w14:textId="3E0FC670" w:rsidR="00834462" w:rsidRPr="008A106B" w:rsidRDefault="00834462" w:rsidP="00834462">
      <w:pPr>
        <w:rPr>
          <w:b/>
          <w:bCs/>
          <w:lang w:val="es-ES"/>
        </w:rPr>
      </w:pPr>
      <w:r>
        <w:rPr>
          <w:lang w:val="es-ES_tradnl"/>
        </w:rPr>
        <w:t xml:space="preserve">En ausencia de </w:t>
      </w:r>
      <w:del w:id="1440" w:author="AUTHOR">
        <w:r w:rsidDel="00F30D29">
          <w:rPr>
            <w:lang w:val="es-ES_tradnl"/>
          </w:rPr>
          <w:delText xml:space="preserve">estudios </w:delText>
        </w:r>
      </w:del>
      <w:ins w:id="1441" w:author="AUTHOR">
        <w:r w:rsidR="00F30D29">
          <w:rPr>
            <w:lang w:val="es-ES_tradnl"/>
          </w:rPr>
          <w:t xml:space="preserve">ensayos </w:t>
        </w:r>
      </w:ins>
      <w:r>
        <w:rPr>
          <w:lang w:val="es-ES_tradnl"/>
        </w:rPr>
        <w:t>de compatibilidad, e</w:t>
      </w:r>
      <w:r w:rsidRPr="008A106B">
        <w:rPr>
          <w:lang w:val="es-ES_tradnl"/>
        </w:rPr>
        <w:t>ste medicamento no debe mezclarse con otros</w:t>
      </w:r>
      <w:r>
        <w:rPr>
          <w:lang w:val="es-ES_tradnl"/>
        </w:rPr>
        <w:t>.</w:t>
      </w:r>
    </w:p>
    <w:p w14:paraId="6D85175E" w14:textId="77777777" w:rsidR="00834462" w:rsidRPr="008A106B" w:rsidRDefault="00834462" w:rsidP="00834462">
      <w:pPr>
        <w:ind w:left="567" w:hanging="567"/>
        <w:outlineLvl w:val="0"/>
        <w:rPr>
          <w:lang w:val="es-ES"/>
        </w:rPr>
      </w:pPr>
    </w:p>
    <w:p w14:paraId="25DE5CBF" w14:textId="77777777" w:rsidR="00834462" w:rsidRPr="00EF2448" w:rsidRDefault="00834462" w:rsidP="00F87653">
      <w:pPr>
        <w:keepNext/>
        <w:keepLines/>
        <w:ind w:left="567" w:hanging="567"/>
        <w:outlineLvl w:val="0"/>
        <w:rPr>
          <w:lang w:val="es-ES"/>
        </w:rPr>
      </w:pPr>
      <w:r w:rsidRPr="00EF2448">
        <w:rPr>
          <w:b/>
          <w:bCs/>
          <w:lang w:val="es-ES"/>
        </w:rPr>
        <w:t>6.3</w:t>
      </w:r>
      <w:r w:rsidRPr="00EF2448">
        <w:rPr>
          <w:b/>
          <w:bCs/>
          <w:lang w:val="es-ES"/>
        </w:rPr>
        <w:tab/>
        <w:t>Período de validez</w:t>
      </w:r>
    </w:p>
    <w:p w14:paraId="5E98DEEE" w14:textId="77777777" w:rsidR="00834462" w:rsidRPr="00EF2448" w:rsidRDefault="00834462" w:rsidP="00F87653">
      <w:pPr>
        <w:keepNext/>
        <w:keepLines/>
        <w:rPr>
          <w:lang w:val="es-ES"/>
        </w:rPr>
      </w:pPr>
    </w:p>
    <w:p w14:paraId="29AD3E9B" w14:textId="1BB9CBB1" w:rsidR="006A5A01" w:rsidRPr="00EF2448" w:rsidRDefault="00012929" w:rsidP="00957972">
      <w:pPr>
        <w:keepNext/>
        <w:keepLines/>
        <w:rPr>
          <w:i/>
          <w:lang w:val="es-ES"/>
        </w:rPr>
      </w:pPr>
      <w:r>
        <w:rPr>
          <w:lang w:val="es-ES"/>
        </w:rPr>
        <w:t>3</w:t>
      </w:r>
      <w:r w:rsidR="004001D3">
        <w:rPr>
          <w:lang w:val="es-ES"/>
        </w:rPr>
        <w:t xml:space="preserve"> años</w:t>
      </w:r>
    </w:p>
    <w:p w14:paraId="76479A98" w14:textId="77777777" w:rsidR="006A5A01" w:rsidRDefault="006A5A01" w:rsidP="00834462">
      <w:pPr>
        <w:rPr>
          <w:lang w:val="es-ES_tradnl"/>
        </w:rPr>
      </w:pPr>
    </w:p>
    <w:p w14:paraId="3402B4B4" w14:textId="77777777" w:rsidR="00834462" w:rsidRPr="008A106B" w:rsidRDefault="00834462">
      <w:pPr>
        <w:keepNext/>
        <w:keepLines/>
        <w:widowControl w:val="0"/>
        <w:ind w:left="567" w:hanging="567"/>
        <w:outlineLvl w:val="0"/>
        <w:rPr>
          <w:b/>
          <w:bCs/>
          <w:lang w:val="es-ES"/>
        </w:rPr>
        <w:pPrChange w:id="1442" w:author="tcs" w:date="2026-02-26T11:04:00Z">
          <w:pPr>
            <w:keepNext/>
            <w:ind w:left="567" w:hanging="567"/>
            <w:outlineLvl w:val="0"/>
          </w:pPr>
        </w:pPrChange>
      </w:pPr>
      <w:r w:rsidRPr="00EF2448">
        <w:rPr>
          <w:lang w:val="es-ES"/>
        </w:rPr>
        <w:t xml:space="preserve"> </w:t>
      </w:r>
      <w:r w:rsidRPr="00286CDE">
        <w:rPr>
          <w:b/>
          <w:bCs/>
          <w:lang w:val="es-ES"/>
        </w:rPr>
        <w:t>6.4</w:t>
      </w:r>
      <w:r w:rsidRPr="00286CDE">
        <w:rPr>
          <w:b/>
          <w:bCs/>
          <w:lang w:val="es-ES"/>
        </w:rPr>
        <w:tab/>
      </w:r>
      <w:r w:rsidRPr="00286CDE">
        <w:rPr>
          <w:b/>
          <w:bCs/>
          <w:lang w:val="es-ES_tradnl"/>
        </w:rPr>
        <w:t>Precauciones especiales de conservación</w:t>
      </w:r>
    </w:p>
    <w:p w14:paraId="66DB1E0D" w14:textId="77777777" w:rsidR="00834462" w:rsidRPr="008A106B" w:rsidRDefault="00834462">
      <w:pPr>
        <w:keepNext/>
        <w:keepLines/>
        <w:widowControl w:val="0"/>
        <w:ind w:left="567" w:hanging="567"/>
        <w:outlineLvl w:val="0"/>
        <w:rPr>
          <w:lang w:val="es-ES"/>
        </w:rPr>
        <w:pPrChange w:id="1443" w:author="tcs" w:date="2026-02-26T11:04:00Z">
          <w:pPr>
            <w:ind w:left="567" w:hanging="567"/>
            <w:outlineLvl w:val="0"/>
          </w:pPr>
        </w:pPrChange>
      </w:pPr>
    </w:p>
    <w:p w14:paraId="7F1CCF8E" w14:textId="41C7F7BA" w:rsidR="00F80204" w:rsidRDefault="00834462">
      <w:pPr>
        <w:keepNext/>
        <w:keepLines/>
        <w:widowControl w:val="0"/>
        <w:rPr>
          <w:lang w:val="es-ES_tradnl"/>
        </w:rPr>
        <w:pPrChange w:id="1444" w:author="tcs" w:date="2026-02-26T11:04:00Z">
          <w:pPr/>
        </w:pPrChange>
      </w:pPr>
      <w:r w:rsidRPr="008A106B">
        <w:rPr>
          <w:lang w:val="es-ES_tradnl"/>
        </w:rPr>
        <w:t>Conserv</w:t>
      </w:r>
      <w:r>
        <w:rPr>
          <w:lang w:val="es-ES_tradnl"/>
        </w:rPr>
        <w:t>ar</w:t>
      </w:r>
      <w:r w:rsidRPr="008A106B">
        <w:rPr>
          <w:lang w:val="es-ES_tradnl"/>
        </w:rPr>
        <w:t xml:space="preserve"> en nevera (entre 2</w:t>
      </w:r>
      <w:r w:rsidR="00553D9B" w:rsidRPr="00F30AB8">
        <w:rPr>
          <w:iCs/>
          <w:szCs w:val="22"/>
          <w:lang w:val="es-ES" w:eastAsia="de-DE"/>
        </w:rPr>
        <w:t> </w:t>
      </w:r>
      <w:r w:rsidRPr="008A106B">
        <w:rPr>
          <w:lang w:val="es-ES_tradnl"/>
        </w:rPr>
        <w:t>°C – 8</w:t>
      </w:r>
      <w:r w:rsidR="00553D9B" w:rsidRPr="00F30AB8">
        <w:rPr>
          <w:iCs/>
          <w:szCs w:val="22"/>
          <w:lang w:val="es-ES" w:eastAsia="de-DE"/>
        </w:rPr>
        <w:t> </w:t>
      </w:r>
      <w:r w:rsidRPr="008A106B">
        <w:rPr>
          <w:lang w:val="es-ES_tradnl"/>
        </w:rPr>
        <w:t>°C).</w:t>
      </w:r>
      <w:r w:rsidRPr="008A106B">
        <w:rPr>
          <w:lang w:val="es-ES"/>
        </w:rPr>
        <w:t xml:space="preserve"> </w:t>
      </w:r>
      <w:r w:rsidRPr="008A106B">
        <w:rPr>
          <w:lang w:val="es-ES_tradnl"/>
        </w:rPr>
        <w:t>No congelar.</w:t>
      </w:r>
      <w:r w:rsidR="00363FFA" w:rsidRPr="00957972">
        <w:rPr>
          <w:lang w:val="es-ES"/>
        </w:rPr>
        <w:t xml:space="preserve"> </w:t>
      </w:r>
      <w:r w:rsidR="00363FFA" w:rsidRPr="00363FFA">
        <w:rPr>
          <w:lang w:val="es-ES_tradnl"/>
        </w:rPr>
        <w:t xml:space="preserve">Una vez fuera de la nevera, </w:t>
      </w:r>
      <w:r w:rsidR="00352A37">
        <w:rPr>
          <w:lang w:val="es-ES_tradnl"/>
        </w:rPr>
        <w:t xml:space="preserve">la </w:t>
      </w:r>
      <w:r w:rsidR="00352A37" w:rsidRPr="00352A37">
        <w:rPr>
          <w:lang w:val="es-ES_tradnl"/>
        </w:rPr>
        <w:t>jeringa precargada</w:t>
      </w:r>
      <w:r w:rsidR="00352A37">
        <w:rPr>
          <w:lang w:val="es-ES_tradnl"/>
        </w:rPr>
        <w:t xml:space="preserve"> se puede conservar hasta 2</w:t>
      </w:r>
      <w:r w:rsidR="00553D9B" w:rsidRPr="00F30AB8">
        <w:rPr>
          <w:iCs/>
          <w:szCs w:val="22"/>
          <w:lang w:val="es-ES" w:eastAsia="de-DE"/>
        </w:rPr>
        <w:t> </w:t>
      </w:r>
      <w:r w:rsidR="00352A37">
        <w:rPr>
          <w:lang w:val="es-ES_tradnl"/>
        </w:rPr>
        <w:t>semanas a una temperatura igual o inferior</w:t>
      </w:r>
      <w:r w:rsidR="00363FFA" w:rsidRPr="00363FFA">
        <w:rPr>
          <w:lang w:val="es-ES_tradnl"/>
        </w:rPr>
        <w:t xml:space="preserve"> </w:t>
      </w:r>
      <w:r w:rsidR="00352A37">
        <w:rPr>
          <w:lang w:val="es-ES_tradnl"/>
        </w:rPr>
        <w:t xml:space="preserve">a </w:t>
      </w:r>
      <w:r w:rsidR="00363FFA" w:rsidRPr="00363FFA">
        <w:rPr>
          <w:lang w:val="es-ES_tradnl"/>
        </w:rPr>
        <w:t>30</w:t>
      </w:r>
      <w:r w:rsidR="00553D9B" w:rsidRPr="00F30AB8">
        <w:rPr>
          <w:iCs/>
          <w:szCs w:val="22"/>
          <w:lang w:val="es-ES" w:eastAsia="de-DE"/>
        </w:rPr>
        <w:t> </w:t>
      </w:r>
      <w:r w:rsidR="00363FFA" w:rsidRPr="00363FFA">
        <w:rPr>
          <w:lang w:val="es-ES_tradnl"/>
        </w:rPr>
        <w:t>ºC.</w:t>
      </w:r>
    </w:p>
    <w:p w14:paraId="0F537DF0" w14:textId="77777777" w:rsidR="00363FFA" w:rsidRDefault="00363FFA" w:rsidP="00834462">
      <w:pPr>
        <w:rPr>
          <w:lang w:val="es-ES_tradnl"/>
        </w:rPr>
      </w:pPr>
    </w:p>
    <w:p w14:paraId="111323B3" w14:textId="77777777" w:rsidR="00834462" w:rsidRDefault="00834462" w:rsidP="00834462">
      <w:pPr>
        <w:rPr>
          <w:ins w:id="1445" w:author="AUTHOR"/>
          <w:lang w:val="es-ES_tradnl"/>
        </w:rPr>
      </w:pPr>
      <w:r w:rsidRPr="008A106B">
        <w:rPr>
          <w:lang w:val="es-ES_tradnl"/>
        </w:rPr>
        <w:t>Mantener l</w:t>
      </w:r>
      <w:r>
        <w:rPr>
          <w:lang w:val="es-ES_tradnl"/>
        </w:rPr>
        <w:t>a</w:t>
      </w:r>
      <w:r w:rsidRPr="008A106B">
        <w:rPr>
          <w:lang w:val="es-ES_tradnl"/>
        </w:rPr>
        <w:t xml:space="preserve">s </w:t>
      </w:r>
      <w:r w:rsidR="006C50ED">
        <w:rPr>
          <w:lang w:val="es-ES_tradnl"/>
        </w:rPr>
        <w:t>jeringas precargadas</w:t>
      </w:r>
      <w:r w:rsidRPr="008A106B">
        <w:rPr>
          <w:lang w:val="es-ES_tradnl"/>
        </w:rPr>
        <w:t xml:space="preserve"> en el embalaje exterior para proteger de la luz</w:t>
      </w:r>
      <w:r>
        <w:rPr>
          <w:lang w:val="es-ES_tradnl"/>
        </w:rPr>
        <w:t xml:space="preserve"> y </w:t>
      </w:r>
      <w:r w:rsidR="00F80204">
        <w:rPr>
          <w:lang w:val="es-ES_tradnl"/>
        </w:rPr>
        <w:t>la humedad.</w:t>
      </w:r>
    </w:p>
    <w:p w14:paraId="65FD11B2" w14:textId="77777777" w:rsidR="004F14C2" w:rsidRPr="008A106B" w:rsidRDefault="004F14C2" w:rsidP="00834462">
      <w:pPr>
        <w:rPr>
          <w:lang w:val="es-ES"/>
        </w:rPr>
      </w:pPr>
    </w:p>
    <w:p w14:paraId="264D56C1" w14:textId="46795DB1" w:rsidR="00834462" w:rsidRDefault="004F14C2" w:rsidP="00834462">
      <w:pPr>
        <w:rPr>
          <w:ins w:id="1446" w:author="AUTHOR"/>
          <w:lang w:val="es-ES"/>
        </w:rPr>
      </w:pPr>
      <w:ins w:id="1447" w:author="AUTHOR">
        <w:r w:rsidRPr="004F14C2">
          <w:rPr>
            <w:lang w:val="es-ES"/>
          </w:rPr>
          <w:t xml:space="preserve">La fecha y la hora </w:t>
        </w:r>
        <w:r>
          <w:rPr>
            <w:lang w:val="es-ES"/>
          </w:rPr>
          <w:t xml:space="preserve">en la que se retira el </w:t>
        </w:r>
        <w:r w:rsidRPr="004F14C2">
          <w:rPr>
            <w:lang w:val="es-ES"/>
          </w:rPr>
          <w:t>envase de la nevera se deben anotar en la caja. Deseche la jeringa si se deja fuera de la nevera durante más de 2 semanas. No utilice fuentes de calor externas como agua caliente para calentar la jeringa precargada.</w:t>
        </w:r>
      </w:ins>
    </w:p>
    <w:p w14:paraId="133F5198" w14:textId="77777777" w:rsidR="004F14C2" w:rsidRPr="008A106B" w:rsidRDefault="004F14C2" w:rsidP="00834462">
      <w:pPr>
        <w:rPr>
          <w:lang w:val="es-ES"/>
        </w:rPr>
      </w:pPr>
    </w:p>
    <w:p w14:paraId="000603F5" w14:textId="77777777" w:rsidR="00834462" w:rsidRPr="008A106B" w:rsidRDefault="00834462" w:rsidP="00834462">
      <w:pPr>
        <w:keepNext/>
        <w:ind w:left="567" w:hanging="567"/>
        <w:outlineLvl w:val="0"/>
        <w:rPr>
          <w:b/>
          <w:bCs/>
          <w:lang w:val="es-ES"/>
        </w:rPr>
      </w:pPr>
      <w:r w:rsidRPr="008A106B">
        <w:rPr>
          <w:b/>
          <w:bCs/>
          <w:lang w:val="es-ES"/>
        </w:rPr>
        <w:t>6.5</w:t>
      </w:r>
      <w:r w:rsidRPr="008A106B">
        <w:rPr>
          <w:b/>
          <w:bCs/>
          <w:lang w:val="es-ES"/>
        </w:rPr>
        <w:tab/>
      </w:r>
      <w:r w:rsidRPr="008A106B">
        <w:rPr>
          <w:b/>
          <w:bCs/>
          <w:lang w:val="es-ES_tradnl"/>
        </w:rPr>
        <w:t>Naturaleza y contenido del envase</w:t>
      </w:r>
    </w:p>
    <w:p w14:paraId="01D27951" w14:textId="77777777" w:rsidR="00834462" w:rsidRPr="008A106B" w:rsidRDefault="00834462" w:rsidP="00834462">
      <w:pPr>
        <w:keepNext/>
        <w:rPr>
          <w:lang w:val="es-ES"/>
        </w:rPr>
      </w:pPr>
    </w:p>
    <w:p w14:paraId="0284CB75" w14:textId="00C1931F" w:rsidR="00834462" w:rsidRDefault="00834462" w:rsidP="00834462">
      <w:pPr>
        <w:rPr>
          <w:lang w:val="es-ES"/>
        </w:rPr>
      </w:pPr>
      <w:r>
        <w:rPr>
          <w:lang w:val="es-ES_tradnl"/>
        </w:rPr>
        <w:t xml:space="preserve">Solución de 0,9 ml en una </w:t>
      </w:r>
      <w:r w:rsidRPr="00286CDE">
        <w:rPr>
          <w:lang w:val="es-ES_tradnl"/>
        </w:rPr>
        <w:t>jering</w:t>
      </w:r>
      <w:r>
        <w:rPr>
          <w:lang w:val="es-ES_tradnl"/>
        </w:rPr>
        <w:t xml:space="preserve">a precargada </w:t>
      </w:r>
      <w:r w:rsidRPr="008A106B">
        <w:rPr>
          <w:lang w:val="es-ES_tradnl"/>
        </w:rPr>
        <w:t>(vidrio tipo I)</w:t>
      </w:r>
      <w:r>
        <w:rPr>
          <w:lang w:val="es-ES_tradnl"/>
        </w:rPr>
        <w:t xml:space="preserve"> con </w:t>
      </w:r>
      <w:r w:rsidRPr="00E94D20">
        <w:rPr>
          <w:lang w:val="es-ES_tradnl"/>
        </w:rPr>
        <w:t>una aguja</w:t>
      </w:r>
      <w:r w:rsidR="006D4211" w:rsidRPr="00E94D20">
        <w:rPr>
          <w:lang w:val="es-ES_tradnl"/>
        </w:rPr>
        <w:t xml:space="preserve"> fija. </w:t>
      </w:r>
      <w:r w:rsidRPr="00E94D20">
        <w:rPr>
          <w:lang w:val="es-ES"/>
        </w:rPr>
        <w:t>La</w:t>
      </w:r>
      <w:r w:rsidRPr="004F599D">
        <w:rPr>
          <w:lang w:val="es-ES"/>
        </w:rPr>
        <w:t xml:space="preserve"> </w:t>
      </w:r>
      <w:r w:rsidRPr="00286CDE">
        <w:rPr>
          <w:lang w:val="es-ES"/>
        </w:rPr>
        <w:t>jeringa</w:t>
      </w:r>
      <w:r w:rsidRPr="004F599D">
        <w:rPr>
          <w:lang w:val="es-ES"/>
        </w:rPr>
        <w:t xml:space="preserve"> está cerrada por un</w:t>
      </w:r>
      <w:r>
        <w:rPr>
          <w:lang w:val="es-ES"/>
        </w:rPr>
        <w:t xml:space="preserve"> protector de aguja</w:t>
      </w:r>
      <w:r w:rsidR="006C50ED">
        <w:rPr>
          <w:lang w:val="es-ES"/>
        </w:rPr>
        <w:t xml:space="preserve"> </w:t>
      </w:r>
      <w:r w:rsidRPr="004F599D">
        <w:rPr>
          <w:lang w:val="es-ES"/>
        </w:rPr>
        <w:t>rígid</w:t>
      </w:r>
      <w:r>
        <w:rPr>
          <w:lang w:val="es-ES"/>
        </w:rPr>
        <w:t xml:space="preserve">o </w:t>
      </w:r>
      <w:r w:rsidRPr="004F599D">
        <w:rPr>
          <w:lang w:val="es-ES"/>
        </w:rPr>
        <w:t>(junta de elastómero con una carcasa de polipropileno)</w:t>
      </w:r>
      <w:r>
        <w:rPr>
          <w:lang w:val="es-ES"/>
        </w:rPr>
        <w:t xml:space="preserve"> </w:t>
      </w:r>
      <w:r w:rsidRPr="004F599D">
        <w:rPr>
          <w:lang w:val="es-ES"/>
        </w:rPr>
        <w:t xml:space="preserve">y un </w:t>
      </w:r>
      <w:ins w:id="1448" w:author="AUTHOR">
        <w:r w:rsidR="009F37B4">
          <w:rPr>
            <w:lang w:val="es-ES"/>
          </w:rPr>
          <w:t xml:space="preserve">tapón de </w:t>
        </w:r>
      </w:ins>
      <w:r w:rsidR="006D4211">
        <w:rPr>
          <w:lang w:val="es-ES"/>
        </w:rPr>
        <w:t xml:space="preserve">émbolo </w:t>
      </w:r>
      <w:r w:rsidRPr="004F599D">
        <w:rPr>
          <w:lang w:val="es-ES"/>
        </w:rPr>
        <w:t>(goma de butilo con un revestimiento de fluororesina).</w:t>
      </w:r>
    </w:p>
    <w:p w14:paraId="3B7DFD06" w14:textId="77777777" w:rsidR="006D4211" w:rsidRPr="008A106B" w:rsidRDefault="006D4211" w:rsidP="00834462">
      <w:pPr>
        <w:rPr>
          <w:lang w:val="es-ES"/>
        </w:rPr>
      </w:pPr>
    </w:p>
    <w:p w14:paraId="6B609555" w14:textId="77777777" w:rsidR="00450B28" w:rsidRPr="008A106B" w:rsidRDefault="00834462" w:rsidP="00450B28">
      <w:pPr>
        <w:rPr>
          <w:lang w:val="es-ES"/>
        </w:rPr>
      </w:pPr>
      <w:r>
        <w:rPr>
          <w:lang w:val="es-ES_tradnl"/>
        </w:rPr>
        <w:t xml:space="preserve">Envases de 4 </w:t>
      </w:r>
      <w:r w:rsidR="006D4211">
        <w:rPr>
          <w:lang w:val="es-ES_tradnl"/>
        </w:rPr>
        <w:t>jeringas</w:t>
      </w:r>
      <w:r>
        <w:rPr>
          <w:lang w:val="es-ES_tradnl"/>
        </w:rPr>
        <w:t xml:space="preserve"> </w:t>
      </w:r>
      <w:r w:rsidRPr="00F30AB8">
        <w:rPr>
          <w:bCs/>
          <w:lang w:val="es-ES_tradnl"/>
        </w:rPr>
        <w:t>precargadas</w:t>
      </w:r>
      <w:r w:rsidR="00450B28" w:rsidRPr="00F30AB8">
        <w:rPr>
          <w:bCs/>
          <w:lang w:val="es-ES_tradnl"/>
        </w:rPr>
        <w:t xml:space="preserve"> y </w:t>
      </w:r>
      <w:r w:rsidR="002F0687" w:rsidRPr="00F30AB8">
        <w:rPr>
          <w:bCs/>
          <w:lang w:val="es-ES_tradnl"/>
        </w:rPr>
        <w:t>envases múltiples</w:t>
      </w:r>
      <w:r w:rsidR="00450B28" w:rsidRPr="00F30AB8">
        <w:rPr>
          <w:bCs/>
          <w:lang w:val="es-ES_tradnl"/>
        </w:rPr>
        <w:t xml:space="preserve"> de 12 (3 envases de 4) jeringas precargadas. </w:t>
      </w:r>
      <w:r w:rsidR="00450B28" w:rsidRPr="00F30AB8">
        <w:rPr>
          <w:bCs/>
          <w:szCs w:val="24"/>
          <w:lang w:val="es-ES_tradnl"/>
        </w:rPr>
        <w:t>Puede que solamente estén comercializados algunos tamaños de envases.</w:t>
      </w:r>
    </w:p>
    <w:p w14:paraId="734DC773" w14:textId="77777777" w:rsidR="00834462" w:rsidRPr="008A106B" w:rsidRDefault="00834462" w:rsidP="00834462">
      <w:pPr>
        <w:ind w:left="567" w:hanging="567"/>
        <w:outlineLvl w:val="0"/>
        <w:rPr>
          <w:b/>
          <w:lang w:val="es-ES"/>
        </w:rPr>
      </w:pPr>
    </w:p>
    <w:p w14:paraId="09E98470" w14:textId="77777777" w:rsidR="00834462" w:rsidRPr="008A106B" w:rsidRDefault="00834462" w:rsidP="0078290D">
      <w:pPr>
        <w:keepNext/>
        <w:ind w:left="567" w:hanging="567"/>
        <w:outlineLvl w:val="0"/>
        <w:rPr>
          <w:lang w:val="es-ES"/>
        </w:rPr>
      </w:pPr>
      <w:r w:rsidRPr="008A106B">
        <w:rPr>
          <w:b/>
          <w:bCs/>
          <w:lang w:val="es-ES"/>
        </w:rPr>
        <w:t>6.6</w:t>
      </w:r>
      <w:r w:rsidRPr="008A106B">
        <w:rPr>
          <w:b/>
          <w:bCs/>
          <w:lang w:val="es-ES"/>
        </w:rPr>
        <w:tab/>
      </w:r>
      <w:r w:rsidRPr="008A106B">
        <w:rPr>
          <w:b/>
          <w:bCs/>
          <w:lang w:val="es-ES_tradnl"/>
        </w:rPr>
        <w:t>Precauciones especiales de eliminación y otras manipulaciones</w:t>
      </w:r>
    </w:p>
    <w:p w14:paraId="5E8A6153" w14:textId="77777777" w:rsidR="00834462" w:rsidRPr="008A106B" w:rsidRDefault="00834462" w:rsidP="0078290D">
      <w:pPr>
        <w:keepNext/>
        <w:rPr>
          <w:lang w:val="es-ES"/>
        </w:rPr>
      </w:pPr>
    </w:p>
    <w:p w14:paraId="7DC4A688" w14:textId="2F777DC7" w:rsidR="00192CF4" w:rsidRPr="00153D56" w:rsidRDefault="00834462" w:rsidP="006616E4">
      <w:pPr>
        <w:rPr>
          <w:lang w:val="es-ES"/>
        </w:rPr>
      </w:pPr>
      <w:r>
        <w:rPr>
          <w:lang w:val="es-ES"/>
        </w:rPr>
        <w:t xml:space="preserve">RoActemra se suministra en </w:t>
      </w:r>
      <w:r w:rsidR="006D4211">
        <w:rPr>
          <w:lang w:val="es-ES"/>
        </w:rPr>
        <w:t>jeringas</w:t>
      </w:r>
      <w:r>
        <w:rPr>
          <w:lang w:val="es-ES"/>
        </w:rPr>
        <w:t xml:space="preserve"> precargadas de un solo uso</w:t>
      </w:r>
      <w:r w:rsidR="006D4211">
        <w:rPr>
          <w:lang w:val="es-ES"/>
        </w:rPr>
        <w:t>, equipad</w:t>
      </w:r>
      <w:r w:rsidR="00FF1EDA">
        <w:rPr>
          <w:lang w:val="es-ES"/>
        </w:rPr>
        <w:t>as</w:t>
      </w:r>
      <w:r w:rsidR="006D4211">
        <w:rPr>
          <w:lang w:val="es-ES"/>
        </w:rPr>
        <w:t xml:space="preserve"> en un dispositivo de seguridad para la aguja</w:t>
      </w:r>
      <w:r>
        <w:rPr>
          <w:lang w:val="es-ES"/>
        </w:rPr>
        <w:t>. Una vez fuera de la nevera</w:t>
      </w:r>
      <w:r w:rsidR="006D4211">
        <w:rPr>
          <w:lang w:val="es-ES"/>
        </w:rPr>
        <w:t>,</w:t>
      </w:r>
      <w:r>
        <w:rPr>
          <w:lang w:val="es-ES"/>
        </w:rPr>
        <w:t xml:space="preserve"> la </w:t>
      </w:r>
      <w:r w:rsidR="006D4211">
        <w:rPr>
          <w:lang w:val="es-ES"/>
        </w:rPr>
        <w:t>jeringa</w:t>
      </w:r>
      <w:r>
        <w:rPr>
          <w:lang w:val="es-ES"/>
        </w:rPr>
        <w:t xml:space="preserve"> precargada debe alcanzar la temperatura ambiente </w:t>
      </w:r>
      <w:r w:rsidR="00F80204">
        <w:rPr>
          <w:lang w:val="es-ES"/>
        </w:rPr>
        <w:t xml:space="preserve">(de 18ºC a 28ºC) </w:t>
      </w:r>
      <w:r>
        <w:rPr>
          <w:lang w:val="es-ES"/>
        </w:rPr>
        <w:t xml:space="preserve">esperando </w:t>
      </w:r>
      <w:r w:rsidR="006D4211">
        <w:rPr>
          <w:lang w:val="es-ES"/>
        </w:rPr>
        <w:t xml:space="preserve">de 25 a 30 </w:t>
      </w:r>
      <w:r>
        <w:rPr>
          <w:lang w:val="es-ES"/>
        </w:rPr>
        <w:t xml:space="preserve">minutos, antes de la inyección. La jeringa precargada no debe agitarse. Después de </w:t>
      </w:r>
      <w:r w:rsidR="009246E4">
        <w:rPr>
          <w:lang w:val="es-ES"/>
        </w:rPr>
        <w:t>retirar el tapón</w:t>
      </w:r>
      <w:r>
        <w:rPr>
          <w:lang w:val="es-ES"/>
        </w:rPr>
        <w:t xml:space="preserve">, la inyección </w:t>
      </w:r>
      <w:r w:rsidR="00CD3FAD">
        <w:rPr>
          <w:lang w:val="es-ES"/>
        </w:rPr>
        <w:t xml:space="preserve">se </w:t>
      </w:r>
      <w:r>
        <w:rPr>
          <w:lang w:val="es-ES"/>
        </w:rPr>
        <w:t xml:space="preserve">debe </w:t>
      </w:r>
      <w:r w:rsidR="00CD3FAD">
        <w:rPr>
          <w:lang w:val="es-ES"/>
        </w:rPr>
        <w:t>utilizar</w:t>
      </w:r>
      <w:r>
        <w:rPr>
          <w:lang w:val="es-ES"/>
        </w:rPr>
        <w:t xml:space="preserve"> dentro de los 5 minutos</w:t>
      </w:r>
      <w:r w:rsidR="00E94D20">
        <w:rPr>
          <w:lang w:val="es-ES"/>
        </w:rPr>
        <w:t xml:space="preserve"> siguientes</w:t>
      </w:r>
      <w:r w:rsidR="00192CF4">
        <w:rPr>
          <w:lang w:val="es-ES"/>
        </w:rPr>
        <w:t xml:space="preserve">, </w:t>
      </w:r>
      <w:r w:rsidR="00192CF4" w:rsidRPr="00097C58">
        <w:rPr>
          <w:lang w:val="es-ES"/>
        </w:rPr>
        <w:t xml:space="preserve">para evitar que el medicamento se seque y bloquee la aguja. Si la jeringa precargada no se </w:t>
      </w:r>
      <w:r w:rsidR="00192CF4" w:rsidRPr="00097C58">
        <w:rPr>
          <w:lang w:val="es-ES"/>
        </w:rPr>
        <w:lastRenderedPageBreak/>
        <w:t xml:space="preserve">utiliza dentro de </w:t>
      </w:r>
      <w:r w:rsidR="00E76D3C">
        <w:rPr>
          <w:lang w:val="es-ES"/>
        </w:rPr>
        <w:t xml:space="preserve">los </w:t>
      </w:r>
      <w:r w:rsidR="00192CF4" w:rsidRPr="00097C58">
        <w:rPr>
          <w:lang w:val="es-ES"/>
        </w:rPr>
        <w:t xml:space="preserve">5 minutos </w:t>
      </w:r>
      <w:r w:rsidR="00E76D3C">
        <w:rPr>
          <w:lang w:val="es-ES"/>
        </w:rPr>
        <w:t xml:space="preserve">siguientes a </w:t>
      </w:r>
      <w:r w:rsidR="00192CF4" w:rsidRPr="00097C58">
        <w:rPr>
          <w:lang w:val="es-ES"/>
        </w:rPr>
        <w:t>retira</w:t>
      </w:r>
      <w:r w:rsidR="00E76D3C">
        <w:rPr>
          <w:lang w:val="es-ES"/>
        </w:rPr>
        <w:t>r</w:t>
      </w:r>
      <w:r w:rsidR="00192CF4" w:rsidRPr="00097C58">
        <w:rPr>
          <w:lang w:val="es-ES"/>
        </w:rPr>
        <w:t xml:space="preserve"> </w:t>
      </w:r>
      <w:r w:rsidR="009246E4">
        <w:rPr>
          <w:lang w:val="es-ES"/>
        </w:rPr>
        <w:t>el tapón</w:t>
      </w:r>
      <w:r w:rsidR="00192CF4" w:rsidRPr="00097C58">
        <w:rPr>
          <w:lang w:val="es-ES"/>
        </w:rPr>
        <w:t xml:space="preserve">, </w:t>
      </w:r>
      <w:r w:rsidR="00CD3FAD">
        <w:rPr>
          <w:lang w:val="es-ES"/>
        </w:rPr>
        <w:t xml:space="preserve">se </w:t>
      </w:r>
      <w:r w:rsidR="00192CF4" w:rsidRPr="00097C58">
        <w:rPr>
          <w:lang w:val="es-ES"/>
        </w:rPr>
        <w:t>debe</w:t>
      </w:r>
      <w:r w:rsidR="00E76D3C">
        <w:rPr>
          <w:lang w:val="es-ES"/>
        </w:rPr>
        <w:t xml:space="preserve"> </w:t>
      </w:r>
      <w:proofErr w:type="gramStart"/>
      <w:r w:rsidR="00192CF4" w:rsidRPr="00097C58">
        <w:rPr>
          <w:lang w:val="es-ES"/>
        </w:rPr>
        <w:t>eliminar</w:t>
      </w:r>
      <w:r w:rsidR="00E76D3C">
        <w:rPr>
          <w:lang w:val="es-ES"/>
        </w:rPr>
        <w:t xml:space="preserve"> </w:t>
      </w:r>
      <w:r w:rsidR="00192CF4" w:rsidRPr="00097C58">
        <w:rPr>
          <w:lang w:val="es-ES"/>
        </w:rPr>
        <w:t xml:space="preserve"> en</w:t>
      </w:r>
      <w:proofErr w:type="gramEnd"/>
      <w:r w:rsidR="00192CF4" w:rsidRPr="00097C58">
        <w:rPr>
          <w:lang w:val="es-ES"/>
        </w:rPr>
        <w:t xml:space="preserve"> un contenedor para objetos punzantes y</w:t>
      </w:r>
      <w:r w:rsidR="00E76D3C" w:rsidRPr="00E76D3C">
        <w:rPr>
          <w:lang w:val="es-ES"/>
        </w:rPr>
        <w:t xml:space="preserve"> </w:t>
      </w:r>
      <w:r w:rsidR="00E76D3C" w:rsidRPr="00F749F8">
        <w:rPr>
          <w:lang w:val="es-ES"/>
        </w:rPr>
        <w:t>utilizar una nueva jeringa precargada</w:t>
      </w:r>
      <w:r w:rsidR="00192CF4" w:rsidRPr="00097C58">
        <w:rPr>
          <w:lang w:val="es-ES"/>
        </w:rPr>
        <w:t>.</w:t>
      </w:r>
    </w:p>
    <w:p w14:paraId="7C35B97F" w14:textId="77777777" w:rsidR="00192CF4" w:rsidRPr="00097C58" w:rsidRDefault="00192CF4" w:rsidP="006616E4">
      <w:pPr>
        <w:rPr>
          <w:lang w:val="es-ES"/>
        </w:rPr>
      </w:pPr>
    </w:p>
    <w:p w14:paraId="341A3459" w14:textId="77777777" w:rsidR="00192CF4" w:rsidRDefault="00192CF4" w:rsidP="006616E4">
      <w:pPr>
        <w:rPr>
          <w:lang w:val="es-ES"/>
        </w:rPr>
      </w:pPr>
      <w:r w:rsidRPr="00097C58">
        <w:rPr>
          <w:lang w:val="es-ES"/>
        </w:rPr>
        <w:t xml:space="preserve">Si </w:t>
      </w:r>
      <w:r w:rsidR="00E76D3C">
        <w:rPr>
          <w:lang w:val="es-ES"/>
        </w:rPr>
        <w:t>tras</w:t>
      </w:r>
      <w:r w:rsidRPr="00097C58">
        <w:rPr>
          <w:lang w:val="es-ES"/>
        </w:rPr>
        <w:t xml:space="preserve"> insertar la aguja no se puede presionar el émbolo de la jeringa, </w:t>
      </w:r>
      <w:r w:rsidR="00CD3FAD">
        <w:rPr>
          <w:lang w:val="es-ES"/>
        </w:rPr>
        <w:t xml:space="preserve">se </w:t>
      </w:r>
      <w:r w:rsidRPr="00097C58">
        <w:rPr>
          <w:lang w:val="es-ES"/>
        </w:rPr>
        <w:t xml:space="preserve">debe eliminar la jeringa precargada en un contenedor para objetos punzantes y </w:t>
      </w:r>
      <w:r w:rsidR="00CD3FAD">
        <w:rPr>
          <w:lang w:val="es-ES"/>
        </w:rPr>
        <w:t xml:space="preserve">se </w:t>
      </w:r>
      <w:r w:rsidRPr="00097C58">
        <w:rPr>
          <w:lang w:val="es-ES"/>
        </w:rPr>
        <w:t>debe utilizar una nueva jeringa</w:t>
      </w:r>
      <w:r w:rsidRPr="00153D56">
        <w:rPr>
          <w:lang w:val="es-ES"/>
        </w:rPr>
        <w:t>.</w:t>
      </w:r>
    </w:p>
    <w:p w14:paraId="6C5713DE" w14:textId="77777777" w:rsidR="00834462" w:rsidRDefault="00834462" w:rsidP="006616E4">
      <w:pPr>
        <w:rPr>
          <w:lang w:val="es-ES"/>
        </w:rPr>
      </w:pPr>
    </w:p>
    <w:p w14:paraId="63A22E2C" w14:textId="77777777" w:rsidR="00834462" w:rsidRDefault="00834462" w:rsidP="006616E4">
      <w:pPr>
        <w:rPr>
          <w:lang w:val="es-ES"/>
        </w:rPr>
      </w:pPr>
      <w:r>
        <w:rPr>
          <w:lang w:val="es-ES"/>
        </w:rPr>
        <w:t xml:space="preserve">No lo utilice si el medicamento esta turbio o contiene partículas, es de algún color además de incoloro a ligeramente amarillento, o alguna parte de la </w:t>
      </w:r>
      <w:r w:rsidR="006C50ED">
        <w:rPr>
          <w:lang w:val="es-ES"/>
        </w:rPr>
        <w:t>jeringa</w:t>
      </w:r>
      <w:r>
        <w:rPr>
          <w:lang w:val="es-ES"/>
        </w:rPr>
        <w:t xml:space="preserve"> precargada aparece dañada.</w:t>
      </w:r>
    </w:p>
    <w:p w14:paraId="5FD23802" w14:textId="77777777" w:rsidR="00834462" w:rsidRDefault="00834462" w:rsidP="006616E4">
      <w:pPr>
        <w:rPr>
          <w:lang w:val="es-ES"/>
        </w:rPr>
      </w:pPr>
    </w:p>
    <w:p w14:paraId="1EBB7F64" w14:textId="77777777" w:rsidR="00834462" w:rsidRDefault="00834462" w:rsidP="006616E4">
      <w:pPr>
        <w:rPr>
          <w:lang w:val="es-ES"/>
        </w:rPr>
      </w:pPr>
      <w:r>
        <w:rPr>
          <w:lang w:val="es-ES"/>
        </w:rPr>
        <w:t>En el prospecto se incluyen</w:t>
      </w:r>
      <w:r w:rsidRPr="00286CDE">
        <w:rPr>
          <w:lang w:val="es-ES"/>
        </w:rPr>
        <w:t xml:space="preserve"> instr</w:t>
      </w:r>
      <w:r>
        <w:rPr>
          <w:lang w:val="es-ES"/>
        </w:rPr>
        <w:t xml:space="preserve">ucciones detalladas para la </w:t>
      </w:r>
      <w:r w:rsidR="006C50ED">
        <w:rPr>
          <w:lang w:val="es-ES"/>
        </w:rPr>
        <w:t xml:space="preserve">administración de RoActemra en </w:t>
      </w:r>
      <w:r w:rsidR="00FF1EDA">
        <w:rPr>
          <w:lang w:val="es-ES"/>
        </w:rPr>
        <w:t>jeringa</w:t>
      </w:r>
      <w:r>
        <w:rPr>
          <w:lang w:val="es-ES"/>
        </w:rPr>
        <w:t xml:space="preserve"> precargada.</w:t>
      </w:r>
    </w:p>
    <w:p w14:paraId="1A12F0ED" w14:textId="77777777" w:rsidR="00834462" w:rsidRPr="008A106B" w:rsidRDefault="00834462" w:rsidP="00834462">
      <w:pPr>
        <w:rPr>
          <w:lang w:val="es-ES_tradnl"/>
        </w:rPr>
      </w:pPr>
    </w:p>
    <w:p w14:paraId="63B18684" w14:textId="77777777" w:rsidR="00834462" w:rsidRPr="008A106B" w:rsidRDefault="00332B40" w:rsidP="00834462">
      <w:pPr>
        <w:rPr>
          <w:lang w:val="es-ES"/>
        </w:rPr>
      </w:pPr>
      <w:r w:rsidRPr="00076A3E">
        <w:rPr>
          <w:lang w:val="es-ES"/>
        </w:rPr>
        <w:t>La eliminación del medicamento no utilizado y de todos los materiales que hayan estado en contacto con él se realizará de acuerdo con la normativa local</w:t>
      </w:r>
      <w:r>
        <w:rPr>
          <w:lang w:val="es-ES_tradnl"/>
        </w:rPr>
        <w:t>.</w:t>
      </w:r>
    </w:p>
    <w:p w14:paraId="2C826EAA" w14:textId="77777777" w:rsidR="00834462" w:rsidRDefault="00834462" w:rsidP="00834462">
      <w:pPr>
        <w:rPr>
          <w:lang w:val="es-ES"/>
        </w:rPr>
      </w:pPr>
    </w:p>
    <w:p w14:paraId="22DC3B23" w14:textId="77777777" w:rsidR="00B67165" w:rsidRPr="008A106B" w:rsidRDefault="00B67165" w:rsidP="00834462">
      <w:pPr>
        <w:rPr>
          <w:lang w:val="es-ES"/>
        </w:rPr>
      </w:pPr>
    </w:p>
    <w:p w14:paraId="75D57D36" w14:textId="77777777" w:rsidR="00834462" w:rsidRPr="008A106B" w:rsidRDefault="00834462" w:rsidP="00834462">
      <w:pPr>
        <w:keepNext/>
        <w:ind w:left="562" w:hanging="562"/>
        <w:rPr>
          <w:lang w:val="es-ES"/>
        </w:rPr>
      </w:pPr>
      <w:r w:rsidRPr="008A106B">
        <w:rPr>
          <w:b/>
          <w:bCs/>
          <w:lang w:val="es-ES"/>
        </w:rPr>
        <w:t>7.</w:t>
      </w:r>
      <w:r w:rsidRPr="008A106B">
        <w:rPr>
          <w:b/>
          <w:bCs/>
          <w:lang w:val="es-ES"/>
        </w:rPr>
        <w:tab/>
      </w:r>
      <w:r w:rsidRPr="008A106B">
        <w:rPr>
          <w:b/>
          <w:bCs/>
          <w:lang w:val="es-ES_tradnl"/>
        </w:rPr>
        <w:t>TITULAR DE LA AUTORIZACIÓN DE COMERCIALIZACIÓN</w:t>
      </w:r>
    </w:p>
    <w:p w14:paraId="1A31761B" w14:textId="77777777" w:rsidR="00834462" w:rsidRPr="008A106B" w:rsidRDefault="00834462" w:rsidP="00834462">
      <w:pPr>
        <w:keepNext/>
        <w:rPr>
          <w:lang w:val="es-ES"/>
        </w:rPr>
      </w:pPr>
    </w:p>
    <w:p w14:paraId="768CBC74" w14:textId="77777777" w:rsidR="00293699" w:rsidRPr="00EF2448" w:rsidRDefault="00293699" w:rsidP="00293699">
      <w:pPr>
        <w:keepNext/>
        <w:rPr>
          <w:lang w:val="de-DE"/>
        </w:rPr>
      </w:pPr>
      <w:r w:rsidRPr="00EF2448">
        <w:rPr>
          <w:lang w:val="de-DE"/>
        </w:rPr>
        <w:t xml:space="preserve">Roche Registration GmbH </w:t>
      </w:r>
    </w:p>
    <w:p w14:paraId="10269565" w14:textId="77777777" w:rsidR="00293699" w:rsidRPr="00EF2448" w:rsidRDefault="00293699" w:rsidP="00293699">
      <w:pPr>
        <w:keepNext/>
        <w:rPr>
          <w:lang w:val="de-DE"/>
        </w:rPr>
      </w:pPr>
      <w:r w:rsidRPr="00EF2448">
        <w:rPr>
          <w:lang w:val="de-DE"/>
        </w:rPr>
        <w:t>Emil-Barell-Strasse 1</w:t>
      </w:r>
    </w:p>
    <w:p w14:paraId="333E02DB" w14:textId="77777777" w:rsidR="00293699" w:rsidRPr="00F30AB8" w:rsidRDefault="00293699" w:rsidP="00293699">
      <w:pPr>
        <w:keepNext/>
        <w:rPr>
          <w:lang w:val="pt-PT"/>
        </w:rPr>
      </w:pPr>
      <w:r w:rsidRPr="00F30AB8">
        <w:rPr>
          <w:lang w:val="pt-PT"/>
        </w:rPr>
        <w:t>79639 Grenzach-Wyhlen</w:t>
      </w:r>
    </w:p>
    <w:p w14:paraId="6D006A1E" w14:textId="77777777" w:rsidR="00834462" w:rsidRPr="00224278" w:rsidRDefault="00293699" w:rsidP="00834462">
      <w:pPr>
        <w:rPr>
          <w:lang w:val="es-ES"/>
        </w:rPr>
      </w:pPr>
      <w:r w:rsidRPr="00224278">
        <w:rPr>
          <w:lang w:val="es-ES"/>
        </w:rPr>
        <w:t>Alemania</w:t>
      </w:r>
    </w:p>
    <w:p w14:paraId="43F3E394" w14:textId="77777777" w:rsidR="00834462" w:rsidRPr="00224278" w:rsidRDefault="00834462" w:rsidP="00834462">
      <w:pPr>
        <w:rPr>
          <w:lang w:val="es-ES"/>
        </w:rPr>
      </w:pPr>
    </w:p>
    <w:p w14:paraId="7E6E8725" w14:textId="77777777" w:rsidR="00387A47" w:rsidRPr="00224278" w:rsidRDefault="00387A47" w:rsidP="00834462">
      <w:pPr>
        <w:rPr>
          <w:lang w:val="es-ES"/>
        </w:rPr>
      </w:pPr>
    </w:p>
    <w:p w14:paraId="7143833C" w14:textId="77777777" w:rsidR="00834462" w:rsidRPr="008A106B" w:rsidRDefault="00834462" w:rsidP="00B17B24">
      <w:pPr>
        <w:keepNext/>
        <w:keepLines/>
        <w:ind w:left="567" w:hanging="567"/>
        <w:rPr>
          <w:b/>
          <w:bCs/>
          <w:lang w:val="es-ES"/>
        </w:rPr>
      </w:pPr>
      <w:r w:rsidRPr="008A106B">
        <w:rPr>
          <w:b/>
          <w:bCs/>
          <w:lang w:val="es-ES"/>
        </w:rPr>
        <w:t>8.</w:t>
      </w:r>
      <w:r w:rsidRPr="008A106B">
        <w:rPr>
          <w:b/>
          <w:bCs/>
          <w:lang w:val="es-ES"/>
        </w:rPr>
        <w:tab/>
      </w:r>
      <w:r w:rsidRPr="008A106B">
        <w:rPr>
          <w:b/>
          <w:bCs/>
          <w:lang w:val="es-ES_tradnl"/>
        </w:rPr>
        <w:t>NÚMEROS DE AUTORIZACIÓN DE COMERCIALIZACIÓN</w:t>
      </w:r>
      <w:r w:rsidRPr="008A106B">
        <w:rPr>
          <w:b/>
          <w:bCs/>
          <w:lang w:val="es-ES"/>
        </w:rPr>
        <w:t xml:space="preserve"> </w:t>
      </w:r>
    </w:p>
    <w:p w14:paraId="460E8B1C" w14:textId="77777777" w:rsidR="00834462" w:rsidRPr="008A106B" w:rsidRDefault="00834462" w:rsidP="00B17B24">
      <w:pPr>
        <w:keepNext/>
        <w:keepLines/>
        <w:rPr>
          <w:lang w:val="es-ES"/>
        </w:rPr>
      </w:pPr>
    </w:p>
    <w:p w14:paraId="36FB83D2" w14:textId="77777777" w:rsidR="00834462" w:rsidRPr="00EF2448" w:rsidRDefault="00834462" w:rsidP="006616E4">
      <w:pPr>
        <w:rPr>
          <w:szCs w:val="22"/>
          <w:lang w:val="es-ES"/>
        </w:rPr>
      </w:pPr>
      <w:r w:rsidRPr="00EF2448">
        <w:rPr>
          <w:szCs w:val="22"/>
          <w:lang w:val="es-ES"/>
        </w:rPr>
        <w:t>EU/1/08/492/00</w:t>
      </w:r>
      <w:r w:rsidR="000A5A2E" w:rsidRPr="00EF2448">
        <w:rPr>
          <w:szCs w:val="22"/>
          <w:lang w:val="es-ES"/>
        </w:rPr>
        <w:t>7</w:t>
      </w:r>
    </w:p>
    <w:p w14:paraId="69FCD02D" w14:textId="77777777" w:rsidR="00314CCD" w:rsidRPr="00EF2448" w:rsidRDefault="00314CCD" w:rsidP="00314CCD">
      <w:pPr>
        <w:rPr>
          <w:szCs w:val="22"/>
          <w:lang w:val="es-ES"/>
        </w:rPr>
      </w:pPr>
      <w:r w:rsidRPr="00EF2448">
        <w:rPr>
          <w:szCs w:val="22"/>
          <w:lang w:val="es-ES"/>
        </w:rPr>
        <w:t>EU/1/08/492/008</w:t>
      </w:r>
    </w:p>
    <w:p w14:paraId="22CB33BA" w14:textId="77777777" w:rsidR="00314CCD" w:rsidRPr="008A106B" w:rsidRDefault="00314CCD" w:rsidP="00834462">
      <w:pPr>
        <w:rPr>
          <w:lang w:val="es-ES"/>
        </w:rPr>
      </w:pPr>
    </w:p>
    <w:p w14:paraId="688C3731" w14:textId="77777777" w:rsidR="00834462" w:rsidRPr="00EF2448" w:rsidRDefault="00834462" w:rsidP="00834462">
      <w:pPr>
        <w:rPr>
          <w:lang w:val="es-ES"/>
        </w:rPr>
      </w:pPr>
    </w:p>
    <w:p w14:paraId="662E3DB9" w14:textId="77777777" w:rsidR="00834462" w:rsidRPr="008A106B" w:rsidRDefault="00834462" w:rsidP="00834462">
      <w:pPr>
        <w:keepNext/>
        <w:ind w:left="567" w:hanging="567"/>
        <w:rPr>
          <w:lang w:val="es-ES"/>
        </w:rPr>
      </w:pPr>
      <w:r w:rsidRPr="008A106B">
        <w:rPr>
          <w:b/>
          <w:bCs/>
          <w:lang w:val="es-ES"/>
        </w:rPr>
        <w:t>9.</w:t>
      </w:r>
      <w:r w:rsidRPr="008A106B">
        <w:rPr>
          <w:b/>
          <w:bCs/>
          <w:lang w:val="es-ES"/>
        </w:rPr>
        <w:tab/>
      </w:r>
      <w:r w:rsidRPr="008A106B">
        <w:rPr>
          <w:b/>
          <w:bCs/>
          <w:lang w:val="es-ES_tradnl"/>
        </w:rPr>
        <w:t>FECHA DE LA PRIMERA AUTORIZACIÓN/RENOVACIÓN DE LA AUTORIZACIÓN</w:t>
      </w:r>
    </w:p>
    <w:p w14:paraId="1702C3C4" w14:textId="77777777" w:rsidR="00834462" w:rsidRPr="008A106B" w:rsidRDefault="00834462" w:rsidP="00834462">
      <w:pPr>
        <w:rPr>
          <w:lang w:val="es-ES"/>
        </w:rPr>
      </w:pPr>
    </w:p>
    <w:p w14:paraId="601CFCB6" w14:textId="77777777" w:rsidR="00B42695" w:rsidRPr="00EF2448" w:rsidRDefault="00B42695" w:rsidP="00B42695">
      <w:pPr>
        <w:shd w:val="clear" w:color="auto" w:fill="FFFFFF"/>
        <w:rPr>
          <w:color w:val="222222"/>
          <w:szCs w:val="22"/>
          <w:lang w:val="es-ES" w:eastAsia="en-US"/>
        </w:rPr>
      </w:pPr>
      <w:r w:rsidRPr="00B42695">
        <w:rPr>
          <w:color w:val="222222"/>
          <w:szCs w:val="22"/>
          <w:lang w:val="es-ES" w:eastAsia="en-US"/>
        </w:rPr>
        <w:t>Fecha de la primera autorización: 16/enero/2009</w:t>
      </w:r>
    </w:p>
    <w:p w14:paraId="5317A908" w14:textId="77777777" w:rsidR="00B42695" w:rsidRPr="00EF2448" w:rsidRDefault="00B42695" w:rsidP="00B42695">
      <w:pPr>
        <w:shd w:val="clear" w:color="auto" w:fill="FFFFFF"/>
        <w:rPr>
          <w:color w:val="222222"/>
          <w:szCs w:val="22"/>
          <w:lang w:val="es-ES" w:eastAsia="en-US"/>
        </w:rPr>
      </w:pPr>
      <w:r w:rsidRPr="00B42695">
        <w:rPr>
          <w:color w:val="222222"/>
          <w:szCs w:val="22"/>
          <w:lang w:val="es-ES" w:eastAsia="en-US"/>
        </w:rPr>
        <w:t>Fecha de la última renovación: 25/septiembre/2013</w:t>
      </w:r>
    </w:p>
    <w:p w14:paraId="4DBC8CB8" w14:textId="77777777" w:rsidR="00834462" w:rsidRPr="00EF2448" w:rsidRDefault="00834462" w:rsidP="00834462">
      <w:pPr>
        <w:rPr>
          <w:lang w:val="es-ES"/>
        </w:rPr>
      </w:pPr>
    </w:p>
    <w:p w14:paraId="556F4F80" w14:textId="77777777" w:rsidR="00834462" w:rsidRPr="008A106B" w:rsidRDefault="00834462" w:rsidP="00834462">
      <w:pPr>
        <w:rPr>
          <w:lang w:val="es-ES"/>
        </w:rPr>
      </w:pPr>
    </w:p>
    <w:p w14:paraId="2A49C77B" w14:textId="77777777" w:rsidR="00834462" w:rsidRDefault="00834462" w:rsidP="00834462">
      <w:pPr>
        <w:keepNext/>
        <w:ind w:left="567" w:hanging="567"/>
        <w:rPr>
          <w:b/>
          <w:bCs/>
          <w:lang w:val="es-ES_tradnl"/>
        </w:rPr>
      </w:pPr>
      <w:r w:rsidRPr="008A106B">
        <w:rPr>
          <w:b/>
          <w:bCs/>
          <w:lang w:val="es-ES"/>
        </w:rPr>
        <w:t>10.</w:t>
      </w:r>
      <w:r w:rsidRPr="008A106B">
        <w:rPr>
          <w:b/>
          <w:bCs/>
          <w:lang w:val="es-ES"/>
        </w:rPr>
        <w:tab/>
      </w:r>
      <w:r w:rsidRPr="008A106B">
        <w:rPr>
          <w:b/>
          <w:bCs/>
          <w:lang w:val="es-ES_tradnl"/>
        </w:rPr>
        <w:t>FECHA DE LA REVISIÓN DEL TEXTO</w:t>
      </w:r>
    </w:p>
    <w:p w14:paraId="6B767553" w14:textId="77777777" w:rsidR="00834462" w:rsidRDefault="00834462" w:rsidP="00834462">
      <w:pPr>
        <w:keepNext/>
        <w:ind w:left="567" w:hanging="567"/>
        <w:rPr>
          <w:b/>
          <w:bCs/>
          <w:lang w:val="es-ES_tradnl"/>
        </w:rPr>
      </w:pPr>
    </w:p>
    <w:p w14:paraId="3A7FE178" w14:textId="1142B300" w:rsidR="00834462" w:rsidRDefault="00A26F38" w:rsidP="00834462">
      <w:pPr>
        <w:numPr>
          <w:ilvl w:val="12"/>
          <w:numId w:val="0"/>
        </w:numPr>
        <w:tabs>
          <w:tab w:val="left" w:pos="567"/>
        </w:tabs>
        <w:ind w:right="-2"/>
        <w:rPr>
          <w:lang w:val="es-ES_tradnl"/>
        </w:rPr>
      </w:pPr>
      <w:r>
        <w:rPr>
          <w:lang w:val="es-ES_tradnl"/>
        </w:rPr>
        <w:t>La</w:t>
      </w:r>
      <w:r w:rsidR="00D54DB5">
        <w:rPr>
          <w:lang w:val="es-ES_tradnl"/>
        </w:rPr>
        <w:t xml:space="preserve"> </w:t>
      </w:r>
      <w:r w:rsidR="00834462" w:rsidRPr="008A106B">
        <w:rPr>
          <w:lang w:val="es-ES_tradnl"/>
        </w:rPr>
        <w:t xml:space="preserve">información detallada de este medicamento </w:t>
      </w:r>
      <w:r>
        <w:rPr>
          <w:lang w:val="es-ES_tradnl"/>
        </w:rPr>
        <w:t xml:space="preserve">está disponible </w:t>
      </w:r>
      <w:r w:rsidR="00834462" w:rsidRPr="008A106B">
        <w:rPr>
          <w:lang w:val="es-ES_tradnl"/>
        </w:rPr>
        <w:t xml:space="preserve">en </w:t>
      </w:r>
      <w:r>
        <w:rPr>
          <w:lang w:val="es-ES_tradnl"/>
        </w:rPr>
        <w:t xml:space="preserve">la página </w:t>
      </w:r>
      <w:r w:rsidR="00834462" w:rsidRPr="008A106B">
        <w:rPr>
          <w:lang w:val="es-ES_tradnl"/>
        </w:rPr>
        <w:t xml:space="preserve">web de la Agencia Europea de Medicamentos </w:t>
      </w:r>
      <w:r w:rsidR="001335A4">
        <w:fldChar w:fldCharType="begin"/>
      </w:r>
      <w:r w:rsidR="001335A4" w:rsidRPr="00467FFD">
        <w:rPr>
          <w:lang w:val="es-ES"/>
          <w:rPrChange w:id="1449" w:author="AUTHOR">
            <w:rPr/>
          </w:rPrChange>
        </w:rPr>
        <w:instrText>HYPERLINK "https://www.ema.europa.eu"</w:instrText>
      </w:r>
      <w:r w:rsidR="001335A4">
        <w:fldChar w:fldCharType="separate"/>
      </w:r>
      <w:r w:rsidR="001335A4" w:rsidRPr="005357C2">
        <w:rPr>
          <w:rStyle w:val="Hyperlink"/>
          <w:lang w:val="es-ES_tradnl"/>
        </w:rPr>
        <w:t>https://www.ema.europa.eu</w:t>
      </w:r>
      <w:r w:rsidR="001335A4">
        <w:fldChar w:fldCharType="end"/>
      </w:r>
    </w:p>
    <w:p w14:paraId="56F99D39" w14:textId="77777777" w:rsidR="00C01BD3" w:rsidRPr="008A106B" w:rsidRDefault="00C01BD3" w:rsidP="00834462">
      <w:pPr>
        <w:numPr>
          <w:ilvl w:val="12"/>
          <w:numId w:val="0"/>
        </w:numPr>
        <w:tabs>
          <w:tab w:val="left" w:pos="567"/>
        </w:tabs>
        <w:ind w:right="-2"/>
        <w:rPr>
          <w:noProof/>
          <w:lang w:val="es-ES"/>
        </w:rPr>
      </w:pPr>
    </w:p>
    <w:p w14:paraId="41116B60" w14:textId="77777777" w:rsidR="00DC224A" w:rsidRDefault="00C36C99" w:rsidP="00DC224A">
      <w:pPr>
        <w:ind w:left="567" w:hanging="567"/>
        <w:rPr>
          <w:b/>
          <w:bCs/>
          <w:lang w:val="es-ES_tradnl"/>
        </w:rPr>
      </w:pPr>
      <w:r>
        <w:rPr>
          <w:noProof/>
          <w:lang w:val="es-ES"/>
        </w:rPr>
        <w:br w:type="page"/>
      </w:r>
      <w:r w:rsidR="00DC224A" w:rsidRPr="00C555F2">
        <w:rPr>
          <w:b/>
          <w:bCs/>
          <w:lang w:val="es-ES"/>
        </w:rPr>
        <w:lastRenderedPageBreak/>
        <w:t>1.</w:t>
      </w:r>
      <w:r w:rsidR="00DC224A">
        <w:rPr>
          <w:noProof/>
          <w:lang w:val="es-ES"/>
        </w:rPr>
        <w:tab/>
      </w:r>
      <w:r w:rsidR="00DC224A" w:rsidRPr="008A106B">
        <w:rPr>
          <w:b/>
          <w:bCs/>
          <w:lang w:val="es-ES_tradnl"/>
        </w:rPr>
        <w:t>NOMBRE DEL MEDICAMENTO</w:t>
      </w:r>
    </w:p>
    <w:p w14:paraId="54510948" w14:textId="77777777" w:rsidR="00DC224A" w:rsidRDefault="00DC224A" w:rsidP="00DC224A">
      <w:pPr>
        <w:ind w:left="567" w:hanging="567"/>
        <w:rPr>
          <w:b/>
          <w:bCs/>
          <w:lang w:val="es-ES_tradnl"/>
        </w:rPr>
      </w:pPr>
    </w:p>
    <w:p w14:paraId="43DDECF7" w14:textId="46D9C08B" w:rsidR="00DC224A" w:rsidRDefault="00DC224A" w:rsidP="00DC224A">
      <w:pPr>
        <w:rPr>
          <w:lang w:val="es-ES_tradnl"/>
        </w:rPr>
      </w:pPr>
      <w:r w:rsidRPr="008A106B">
        <w:rPr>
          <w:lang w:val="es-ES_tradnl"/>
        </w:rPr>
        <w:t xml:space="preserve">RoActemra </w:t>
      </w:r>
      <w:r>
        <w:rPr>
          <w:lang w:val="es-ES_tradnl"/>
        </w:rPr>
        <w:t>162</w:t>
      </w:r>
      <w:r w:rsidR="00470A27">
        <w:rPr>
          <w:lang w:val="es-ES_tradnl"/>
        </w:rPr>
        <w:t> </w:t>
      </w:r>
      <w:r>
        <w:rPr>
          <w:lang w:val="es-ES_tradnl"/>
        </w:rPr>
        <w:t>mg</w:t>
      </w:r>
      <w:r w:rsidRPr="008A106B">
        <w:rPr>
          <w:lang w:val="es-ES_tradnl"/>
        </w:rPr>
        <w:t xml:space="preserve"> solución </w:t>
      </w:r>
      <w:r>
        <w:rPr>
          <w:lang w:val="es-ES_tradnl"/>
        </w:rPr>
        <w:t>inyectable en pluma precargada.</w:t>
      </w:r>
    </w:p>
    <w:p w14:paraId="33D8A975" w14:textId="77777777" w:rsidR="00DC224A" w:rsidRDefault="00DC224A" w:rsidP="00DC224A">
      <w:pPr>
        <w:ind w:left="567" w:hanging="567"/>
        <w:rPr>
          <w:bCs/>
          <w:lang w:val="es-ES_tradnl"/>
        </w:rPr>
      </w:pPr>
    </w:p>
    <w:p w14:paraId="19E9AC4C" w14:textId="77777777" w:rsidR="00E12B5C" w:rsidRPr="00C555F2" w:rsidRDefault="00E12B5C" w:rsidP="00DC224A">
      <w:pPr>
        <w:ind w:left="567" w:hanging="567"/>
        <w:rPr>
          <w:bCs/>
          <w:lang w:val="es-ES_tradnl"/>
        </w:rPr>
      </w:pPr>
    </w:p>
    <w:p w14:paraId="34839B54" w14:textId="77777777" w:rsidR="00DC224A" w:rsidRDefault="00DC224A" w:rsidP="00DC224A">
      <w:pPr>
        <w:widowControl w:val="0"/>
        <w:ind w:left="567" w:hanging="567"/>
        <w:rPr>
          <w:b/>
          <w:bCs/>
          <w:lang w:val="es-ES_tradnl"/>
        </w:rPr>
      </w:pPr>
      <w:r w:rsidRPr="008A106B">
        <w:rPr>
          <w:b/>
          <w:bCs/>
          <w:lang w:val="es-ES"/>
        </w:rPr>
        <w:t>2.</w:t>
      </w:r>
      <w:r w:rsidRPr="008A106B">
        <w:rPr>
          <w:b/>
          <w:bCs/>
          <w:lang w:val="es-ES"/>
        </w:rPr>
        <w:tab/>
      </w:r>
      <w:r w:rsidRPr="008A106B">
        <w:rPr>
          <w:b/>
          <w:bCs/>
          <w:lang w:val="es-ES_tradnl"/>
        </w:rPr>
        <w:t>COMPOSICIÓN CUALITATIVA Y CUANTITATIVA</w:t>
      </w:r>
    </w:p>
    <w:p w14:paraId="37EAB670" w14:textId="77777777" w:rsidR="00FE33E7" w:rsidRDefault="00FE33E7" w:rsidP="00DC224A">
      <w:pPr>
        <w:widowControl w:val="0"/>
        <w:ind w:left="567" w:hanging="567"/>
        <w:rPr>
          <w:lang w:val="es-ES"/>
        </w:rPr>
      </w:pPr>
    </w:p>
    <w:p w14:paraId="4265C71F" w14:textId="1CC189CF" w:rsidR="00DC224A" w:rsidRDefault="00DC224A" w:rsidP="00DC224A">
      <w:pPr>
        <w:rPr>
          <w:lang w:val="es-ES"/>
        </w:rPr>
      </w:pPr>
      <w:r>
        <w:rPr>
          <w:lang w:val="es-ES"/>
        </w:rPr>
        <w:t>Cada pluma precargada contiene 162</w:t>
      </w:r>
      <w:r w:rsidR="00934A20" w:rsidRPr="00F30AB8">
        <w:rPr>
          <w:szCs w:val="22"/>
          <w:lang w:val="es-ES"/>
        </w:rPr>
        <w:t> </w:t>
      </w:r>
      <w:r>
        <w:rPr>
          <w:lang w:val="es-ES"/>
        </w:rPr>
        <w:t>mg de RoActemra (tocilizumab) en 0,9</w:t>
      </w:r>
      <w:r w:rsidR="00934A20" w:rsidRPr="00F30AB8">
        <w:rPr>
          <w:szCs w:val="22"/>
          <w:lang w:val="es-ES"/>
        </w:rPr>
        <w:t> </w:t>
      </w:r>
      <w:r>
        <w:rPr>
          <w:lang w:val="es-ES"/>
        </w:rPr>
        <w:t>ml.</w:t>
      </w:r>
    </w:p>
    <w:p w14:paraId="5594C155" w14:textId="77777777" w:rsidR="00DC224A" w:rsidRPr="008A106B" w:rsidRDefault="00DC224A" w:rsidP="00DC224A">
      <w:pPr>
        <w:widowControl w:val="0"/>
        <w:ind w:left="567" w:hanging="567"/>
        <w:rPr>
          <w:lang w:val="es-ES"/>
        </w:rPr>
      </w:pPr>
    </w:p>
    <w:p w14:paraId="46C9C840" w14:textId="6FD74EFC" w:rsidR="00DC224A" w:rsidRPr="008A106B" w:rsidRDefault="00DC224A" w:rsidP="00DC224A">
      <w:pPr>
        <w:rPr>
          <w:lang w:val="es-ES"/>
        </w:rPr>
      </w:pPr>
      <w:r>
        <w:rPr>
          <w:lang w:val="es-ES"/>
        </w:rPr>
        <w:t xml:space="preserve">RoActemra es un </w:t>
      </w:r>
      <w:r w:rsidRPr="008A106B">
        <w:rPr>
          <w:lang w:val="es-ES_tradnl"/>
        </w:rPr>
        <w:t xml:space="preserve">anticuerpo monoclonal </w:t>
      </w:r>
      <w:r>
        <w:rPr>
          <w:lang w:val="es-ES_tradnl"/>
        </w:rPr>
        <w:t xml:space="preserve">de la </w:t>
      </w:r>
      <w:ins w:id="1450" w:author="AUTHOR">
        <w:r w:rsidR="00522B20">
          <w:rPr>
            <w:lang w:val="es-ES_tradnl"/>
          </w:rPr>
          <w:t xml:space="preserve">subclase </w:t>
        </w:r>
      </w:ins>
      <w:r>
        <w:rPr>
          <w:lang w:val="es-ES_tradnl"/>
        </w:rPr>
        <w:t>inmunoglobulina G1 (</w:t>
      </w:r>
      <w:r w:rsidRPr="008A106B">
        <w:rPr>
          <w:lang w:val="es-ES_tradnl"/>
        </w:rPr>
        <w:t>IgG1</w:t>
      </w:r>
      <w:r>
        <w:rPr>
          <w:lang w:val="es-ES_tradnl"/>
        </w:rPr>
        <w:t>)</w:t>
      </w:r>
      <w:r w:rsidRPr="008A106B">
        <w:rPr>
          <w:lang w:val="es-ES_tradnl"/>
        </w:rPr>
        <w:t xml:space="preserve"> recombinante humaniza</w:t>
      </w:r>
      <w:r>
        <w:rPr>
          <w:lang w:val="es-ES_tradnl"/>
        </w:rPr>
        <w:t>do</w:t>
      </w:r>
      <w:r w:rsidRPr="008A106B">
        <w:rPr>
          <w:lang w:val="es-ES_tradnl"/>
        </w:rPr>
        <w:t>,</w:t>
      </w:r>
      <w:del w:id="1451" w:author="AUTHOR">
        <w:r w:rsidRPr="008A106B" w:rsidDel="00522B20">
          <w:rPr>
            <w:lang w:val="es-ES_tradnl"/>
          </w:rPr>
          <w:delText xml:space="preserve"> </w:delText>
        </w:r>
        <w:r w:rsidDel="00522B20">
          <w:rPr>
            <w:lang w:val="es-ES_tradnl"/>
          </w:rPr>
          <w:delText>subclase</w:delText>
        </w:r>
      </w:del>
      <w:r>
        <w:rPr>
          <w:lang w:val="es-ES_tradnl"/>
        </w:rPr>
        <w:t>.</w:t>
      </w:r>
    </w:p>
    <w:p w14:paraId="46140815" w14:textId="77777777" w:rsidR="00DC224A" w:rsidRDefault="00DC224A" w:rsidP="00DC224A">
      <w:pPr>
        <w:rPr>
          <w:lang w:val="es-ES"/>
        </w:rPr>
      </w:pPr>
    </w:p>
    <w:p w14:paraId="0986D663" w14:textId="77777777" w:rsidR="000579C6" w:rsidRPr="000579C6" w:rsidRDefault="000579C6" w:rsidP="000579C6">
      <w:pPr>
        <w:rPr>
          <w:lang w:val="es-ES"/>
        </w:rPr>
      </w:pPr>
      <w:r>
        <w:rPr>
          <w:lang w:val="es-ES"/>
        </w:rPr>
        <w:t>Excipientes con efecto conocido</w:t>
      </w:r>
    </w:p>
    <w:p w14:paraId="14DB55C1" w14:textId="7E52F56B" w:rsidR="000579C6" w:rsidRDefault="000579C6" w:rsidP="000579C6">
      <w:pPr>
        <w:rPr>
          <w:lang w:val="es-ES"/>
        </w:rPr>
      </w:pPr>
      <w:r w:rsidRPr="000579C6">
        <w:rPr>
          <w:lang w:val="es-ES"/>
        </w:rPr>
        <w:t xml:space="preserve">Cada pluma precargada </w:t>
      </w:r>
      <w:r w:rsidR="00376697">
        <w:rPr>
          <w:lang w:val="es-ES"/>
        </w:rPr>
        <w:t>de</w:t>
      </w:r>
      <w:r w:rsidRPr="000579C6">
        <w:rPr>
          <w:lang w:val="es-ES"/>
        </w:rPr>
        <w:t xml:space="preserve"> 162</w:t>
      </w:r>
      <w:r w:rsidR="00934A20" w:rsidRPr="00F30AB8">
        <w:rPr>
          <w:szCs w:val="22"/>
          <w:lang w:val="es-ES"/>
        </w:rPr>
        <w:t> </w:t>
      </w:r>
      <w:r w:rsidRPr="000579C6">
        <w:rPr>
          <w:lang w:val="es-ES"/>
        </w:rPr>
        <w:t>mg/0,9 ml contiene 0,18</w:t>
      </w:r>
      <w:r w:rsidR="00934A20" w:rsidRPr="00F30AB8">
        <w:rPr>
          <w:szCs w:val="22"/>
          <w:lang w:val="es-ES"/>
        </w:rPr>
        <w:t> </w:t>
      </w:r>
      <w:r w:rsidRPr="000579C6">
        <w:rPr>
          <w:lang w:val="es-ES"/>
        </w:rPr>
        <w:t>mg (0,2</w:t>
      </w:r>
      <w:r w:rsidR="00934A20" w:rsidRPr="00F30AB8">
        <w:rPr>
          <w:szCs w:val="22"/>
          <w:lang w:val="es-ES"/>
        </w:rPr>
        <w:t> </w:t>
      </w:r>
      <w:r w:rsidRPr="000579C6">
        <w:rPr>
          <w:lang w:val="es-ES"/>
        </w:rPr>
        <w:t>mg/ml) de polisorbato 80.</w:t>
      </w:r>
    </w:p>
    <w:p w14:paraId="3D759306" w14:textId="77777777" w:rsidR="000579C6" w:rsidRPr="008A106B" w:rsidRDefault="000579C6" w:rsidP="000579C6">
      <w:pPr>
        <w:rPr>
          <w:lang w:val="es-ES"/>
        </w:rPr>
      </w:pPr>
    </w:p>
    <w:p w14:paraId="629612B6" w14:textId="4F9E1743" w:rsidR="00DC224A" w:rsidRPr="008A106B" w:rsidRDefault="00DC224A" w:rsidP="00DC224A">
      <w:pPr>
        <w:rPr>
          <w:lang w:val="es-ES"/>
        </w:rPr>
      </w:pPr>
      <w:r w:rsidRPr="008A106B">
        <w:rPr>
          <w:lang w:val="es-ES_tradnl"/>
        </w:rPr>
        <w:t>Para consultar la lista completa de excipientes</w:t>
      </w:r>
      <w:r>
        <w:rPr>
          <w:lang w:val="es-ES_tradnl"/>
        </w:rPr>
        <w:t>,</w:t>
      </w:r>
      <w:r w:rsidRPr="008A106B">
        <w:rPr>
          <w:lang w:val="es-ES_tradnl"/>
        </w:rPr>
        <w:t xml:space="preserve"> ver sección</w:t>
      </w:r>
      <w:r w:rsidR="00934A20" w:rsidRPr="00F30AB8">
        <w:rPr>
          <w:szCs w:val="22"/>
          <w:lang w:val="es-ES"/>
        </w:rPr>
        <w:t> </w:t>
      </w:r>
      <w:r w:rsidRPr="008A106B">
        <w:rPr>
          <w:lang w:val="es-ES_tradnl"/>
        </w:rPr>
        <w:t>6.1</w:t>
      </w:r>
    </w:p>
    <w:p w14:paraId="3258BF89" w14:textId="77777777" w:rsidR="00DC224A" w:rsidRDefault="00DC224A" w:rsidP="00DC224A">
      <w:pPr>
        <w:widowControl w:val="0"/>
        <w:ind w:left="567" w:hanging="567"/>
        <w:rPr>
          <w:lang w:val="es-ES"/>
        </w:rPr>
      </w:pPr>
    </w:p>
    <w:p w14:paraId="11B8C86F" w14:textId="77777777" w:rsidR="00FE33E7" w:rsidRPr="008A106B" w:rsidRDefault="00FE33E7" w:rsidP="00DC224A">
      <w:pPr>
        <w:widowControl w:val="0"/>
        <w:ind w:left="567" w:hanging="567"/>
        <w:rPr>
          <w:lang w:val="es-ES"/>
        </w:rPr>
      </w:pPr>
    </w:p>
    <w:p w14:paraId="78EDFFBF" w14:textId="77777777" w:rsidR="00DC224A" w:rsidRDefault="00DC224A" w:rsidP="00DC224A">
      <w:pPr>
        <w:ind w:left="567" w:hanging="567"/>
        <w:rPr>
          <w:b/>
          <w:bCs/>
          <w:lang w:val="es-ES_tradnl"/>
        </w:rPr>
      </w:pPr>
      <w:r w:rsidRPr="008A106B">
        <w:rPr>
          <w:b/>
          <w:bCs/>
          <w:lang w:val="es-ES"/>
        </w:rPr>
        <w:t>3.</w:t>
      </w:r>
      <w:r w:rsidRPr="008A106B">
        <w:rPr>
          <w:b/>
          <w:bCs/>
          <w:lang w:val="es-ES"/>
        </w:rPr>
        <w:tab/>
      </w:r>
      <w:r w:rsidRPr="008A106B">
        <w:rPr>
          <w:b/>
          <w:bCs/>
          <w:lang w:val="es-ES_tradnl"/>
        </w:rPr>
        <w:t>FORMA FARMACÉUTICA</w:t>
      </w:r>
    </w:p>
    <w:p w14:paraId="5D792FC8" w14:textId="77777777" w:rsidR="00DC224A" w:rsidRDefault="00DC224A" w:rsidP="00DC224A">
      <w:pPr>
        <w:ind w:left="567" w:hanging="567"/>
        <w:rPr>
          <w:b/>
          <w:bCs/>
          <w:lang w:val="es-ES_tradnl"/>
        </w:rPr>
      </w:pPr>
    </w:p>
    <w:p w14:paraId="0D2AECFE" w14:textId="77777777" w:rsidR="00DC224A" w:rsidRPr="008A106B" w:rsidRDefault="00DC224A" w:rsidP="00DC224A">
      <w:pPr>
        <w:rPr>
          <w:lang w:val="es-ES"/>
        </w:rPr>
      </w:pPr>
      <w:r>
        <w:rPr>
          <w:lang w:val="es-ES_tradnl"/>
        </w:rPr>
        <w:t xml:space="preserve">Solución inyectable </w:t>
      </w:r>
      <w:r w:rsidR="00376697">
        <w:rPr>
          <w:lang w:val="es-ES_tradnl"/>
        </w:rPr>
        <w:t xml:space="preserve">(inyección) </w:t>
      </w:r>
      <w:r>
        <w:rPr>
          <w:lang w:val="es-ES_tradnl"/>
        </w:rPr>
        <w:t>en pluma precargada (ACT pluma).</w:t>
      </w:r>
    </w:p>
    <w:p w14:paraId="42D27DE0" w14:textId="77777777" w:rsidR="00DC224A" w:rsidRPr="008A106B" w:rsidRDefault="00DC224A" w:rsidP="00DC224A">
      <w:pPr>
        <w:rPr>
          <w:lang w:val="es-ES"/>
        </w:rPr>
      </w:pPr>
    </w:p>
    <w:p w14:paraId="2033DDA8" w14:textId="7EEF35E2" w:rsidR="00DC224A" w:rsidRPr="008A106B" w:rsidRDefault="00DC224A" w:rsidP="00DC224A">
      <w:pPr>
        <w:rPr>
          <w:lang w:val="es-ES"/>
        </w:rPr>
      </w:pPr>
      <w:r w:rsidRPr="008A106B">
        <w:rPr>
          <w:lang w:val="es-ES_tradnl"/>
        </w:rPr>
        <w:t>Solución incolora a amarillo pálido</w:t>
      </w:r>
      <w:r w:rsidR="000579C6">
        <w:rPr>
          <w:lang w:val="es-ES_tradnl"/>
        </w:rPr>
        <w:t xml:space="preserve"> </w:t>
      </w:r>
      <w:r w:rsidR="000579C6" w:rsidRPr="000579C6">
        <w:rPr>
          <w:lang w:val="es-ES_tradnl"/>
        </w:rPr>
        <w:t>con un pH de 5,5-6,5 y una osmolalidad de 200-372</w:t>
      </w:r>
      <w:r w:rsidR="00934A20" w:rsidRPr="00F30AB8">
        <w:rPr>
          <w:szCs w:val="22"/>
          <w:lang w:val="es-ES"/>
        </w:rPr>
        <w:t> </w:t>
      </w:r>
      <w:r w:rsidR="000579C6" w:rsidRPr="000579C6">
        <w:rPr>
          <w:lang w:val="es-ES_tradnl"/>
        </w:rPr>
        <w:t>mOsm/</w:t>
      </w:r>
      <w:proofErr w:type="gramStart"/>
      <w:r w:rsidR="000579C6" w:rsidRPr="000579C6">
        <w:rPr>
          <w:lang w:val="es-ES_tradnl"/>
        </w:rPr>
        <w:t>kg.</w:t>
      </w:r>
      <w:r w:rsidRPr="008A106B">
        <w:rPr>
          <w:lang w:val="es-ES_tradnl"/>
        </w:rPr>
        <w:t>.</w:t>
      </w:r>
      <w:proofErr w:type="gramEnd"/>
    </w:p>
    <w:p w14:paraId="00CB435D" w14:textId="77777777" w:rsidR="00DC224A" w:rsidRDefault="00DC224A" w:rsidP="00DC224A">
      <w:pPr>
        <w:ind w:left="567" w:hanging="567"/>
        <w:rPr>
          <w:caps/>
          <w:lang w:val="es-ES"/>
        </w:rPr>
      </w:pPr>
    </w:p>
    <w:p w14:paraId="10E3E549" w14:textId="77777777" w:rsidR="00FE33E7" w:rsidRPr="008A106B" w:rsidRDefault="00FE33E7" w:rsidP="00DC224A">
      <w:pPr>
        <w:ind w:left="567" w:hanging="567"/>
        <w:rPr>
          <w:caps/>
          <w:lang w:val="es-ES"/>
        </w:rPr>
      </w:pPr>
    </w:p>
    <w:p w14:paraId="11DFD23A" w14:textId="77777777" w:rsidR="00DC224A" w:rsidRDefault="00DC224A" w:rsidP="00DC224A">
      <w:pPr>
        <w:ind w:left="567" w:hanging="567"/>
        <w:rPr>
          <w:b/>
          <w:bCs/>
          <w:caps/>
          <w:lang w:val="es-ES_tradnl"/>
        </w:rPr>
      </w:pPr>
      <w:r w:rsidRPr="008A106B">
        <w:rPr>
          <w:b/>
          <w:bCs/>
          <w:caps/>
          <w:lang w:val="es-ES"/>
        </w:rPr>
        <w:t>4.</w:t>
      </w:r>
      <w:r w:rsidRPr="008A106B">
        <w:rPr>
          <w:b/>
          <w:bCs/>
          <w:caps/>
          <w:lang w:val="es-ES"/>
        </w:rPr>
        <w:tab/>
      </w:r>
      <w:r w:rsidRPr="008A106B">
        <w:rPr>
          <w:b/>
          <w:bCs/>
          <w:caps/>
          <w:lang w:val="es-ES_tradnl"/>
        </w:rPr>
        <w:t>DATOS CLÍNICOS</w:t>
      </w:r>
    </w:p>
    <w:p w14:paraId="5290BC98" w14:textId="77777777" w:rsidR="00E12B5C" w:rsidRPr="008A106B" w:rsidRDefault="00E12B5C" w:rsidP="00DC224A">
      <w:pPr>
        <w:ind w:left="567" w:hanging="567"/>
        <w:rPr>
          <w:caps/>
          <w:lang w:val="es-ES"/>
        </w:rPr>
      </w:pPr>
    </w:p>
    <w:p w14:paraId="159FFA49" w14:textId="77777777" w:rsidR="00DC224A" w:rsidRDefault="00DC224A" w:rsidP="00DC224A">
      <w:pPr>
        <w:ind w:left="567" w:hanging="567"/>
        <w:outlineLvl w:val="0"/>
        <w:rPr>
          <w:b/>
          <w:bCs/>
          <w:lang w:val="es-ES_tradnl"/>
        </w:rPr>
      </w:pPr>
      <w:r w:rsidRPr="008A106B">
        <w:rPr>
          <w:b/>
          <w:bCs/>
          <w:lang w:val="es-ES"/>
        </w:rPr>
        <w:t>4.1</w:t>
      </w:r>
      <w:r w:rsidRPr="008A106B">
        <w:rPr>
          <w:b/>
          <w:bCs/>
          <w:lang w:val="es-ES"/>
        </w:rPr>
        <w:tab/>
      </w:r>
      <w:r w:rsidRPr="008A106B">
        <w:rPr>
          <w:b/>
          <w:bCs/>
          <w:lang w:val="es-ES_tradnl"/>
        </w:rPr>
        <w:t>Indicaciones terapéuticas</w:t>
      </w:r>
    </w:p>
    <w:p w14:paraId="35518342" w14:textId="77777777" w:rsidR="00DC224A" w:rsidRDefault="00DC224A" w:rsidP="00DC224A">
      <w:pPr>
        <w:ind w:left="567" w:hanging="567"/>
        <w:outlineLvl w:val="0"/>
        <w:rPr>
          <w:b/>
          <w:bCs/>
          <w:lang w:val="es-ES_tradnl"/>
        </w:rPr>
      </w:pPr>
    </w:p>
    <w:p w14:paraId="1325526C" w14:textId="77777777" w:rsidR="008B4851" w:rsidRPr="00F30AB8" w:rsidRDefault="008B4851" w:rsidP="00DC224A">
      <w:pPr>
        <w:ind w:left="567" w:hanging="567"/>
        <w:outlineLvl w:val="0"/>
        <w:rPr>
          <w:u w:val="single"/>
          <w:lang w:val="es-ES"/>
        </w:rPr>
      </w:pPr>
      <w:r w:rsidRPr="00F30AB8">
        <w:rPr>
          <w:u w:val="single"/>
          <w:lang w:val="es-ES"/>
        </w:rPr>
        <w:t>Artritis reumatoide (AR)</w:t>
      </w:r>
    </w:p>
    <w:p w14:paraId="19D7ABBD" w14:textId="77777777" w:rsidR="008B4851" w:rsidDel="007653FD" w:rsidRDefault="008B4851" w:rsidP="00DC224A">
      <w:pPr>
        <w:ind w:left="567" w:hanging="567"/>
        <w:outlineLvl w:val="0"/>
        <w:rPr>
          <w:del w:id="1452" w:author="AUTHOR"/>
          <w:b/>
          <w:bCs/>
          <w:lang w:val="es-ES_tradnl"/>
        </w:rPr>
      </w:pPr>
    </w:p>
    <w:p w14:paraId="01E43579" w14:textId="77777777" w:rsidR="00DC224A" w:rsidRDefault="00DC224A" w:rsidP="00DC224A">
      <w:pPr>
        <w:rPr>
          <w:lang w:val="es-ES_tradnl"/>
        </w:rPr>
      </w:pPr>
      <w:r w:rsidRPr="008A106B">
        <w:rPr>
          <w:lang w:val="es-ES_tradnl"/>
        </w:rPr>
        <w:t>RoActemra está indicado, en combinación con metotrexato (MTX), para</w:t>
      </w:r>
      <w:r>
        <w:rPr>
          <w:lang w:val="es-ES_tradnl"/>
        </w:rPr>
        <w:t>:</w:t>
      </w:r>
    </w:p>
    <w:p w14:paraId="2AE42532" w14:textId="77777777" w:rsidR="00DC224A" w:rsidRDefault="00DC224A" w:rsidP="00DC224A">
      <w:pPr>
        <w:rPr>
          <w:lang w:val="es-ES_tradnl"/>
        </w:rPr>
      </w:pPr>
    </w:p>
    <w:p w14:paraId="0D73B886" w14:textId="4088D3B3" w:rsidR="00DC224A" w:rsidRDefault="00DC224A" w:rsidP="00DC224A">
      <w:pPr>
        <w:ind w:left="360" w:hanging="360"/>
        <w:rPr>
          <w:lang w:val="es-ES"/>
        </w:rPr>
      </w:pPr>
      <w:r w:rsidRPr="005D1C98">
        <w:rPr>
          <w:noProof/>
          <w:sz w:val="28"/>
          <w:szCs w:val="28"/>
          <w:lang w:val="es-ES"/>
        </w:rPr>
        <w:t>•</w:t>
      </w:r>
      <w:r w:rsidRPr="005D1C98">
        <w:rPr>
          <w:noProof/>
          <w:sz w:val="24"/>
          <w:szCs w:val="24"/>
          <w:lang w:val="es-ES"/>
        </w:rPr>
        <w:tab/>
      </w:r>
      <w:r>
        <w:rPr>
          <w:lang w:val="es-ES"/>
        </w:rPr>
        <w:t>e</w:t>
      </w:r>
      <w:r w:rsidRPr="00E67AA6">
        <w:rPr>
          <w:lang w:val="es-ES"/>
        </w:rPr>
        <w:t xml:space="preserve">l tratamiento de </w:t>
      </w:r>
      <w:r>
        <w:rPr>
          <w:lang w:val="es-ES"/>
        </w:rPr>
        <w:t xml:space="preserve">AR grave, activa </w:t>
      </w:r>
      <w:r w:rsidRPr="00E67AA6">
        <w:rPr>
          <w:lang w:val="es-ES"/>
        </w:rPr>
        <w:t xml:space="preserve">y progresiva en adultos </w:t>
      </w:r>
      <w:r>
        <w:rPr>
          <w:lang w:val="es-ES"/>
        </w:rPr>
        <w:t>no</w:t>
      </w:r>
      <w:r w:rsidRPr="00E67AA6">
        <w:rPr>
          <w:lang w:val="es-ES"/>
        </w:rPr>
        <w:t xml:space="preserve"> tratados previamente con MTX. </w:t>
      </w:r>
    </w:p>
    <w:p w14:paraId="2B7AB07E" w14:textId="77777777" w:rsidR="00DC224A" w:rsidRDefault="00DC224A" w:rsidP="00DC224A">
      <w:pPr>
        <w:ind w:left="360" w:hanging="360"/>
        <w:rPr>
          <w:lang w:val="es-ES_tradnl"/>
        </w:rPr>
      </w:pPr>
      <w:r w:rsidRPr="005D1C98">
        <w:rPr>
          <w:noProof/>
          <w:sz w:val="28"/>
          <w:szCs w:val="28"/>
          <w:lang w:val="es-ES"/>
        </w:rPr>
        <w:t>•</w:t>
      </w:r>
      <w:r>
        <w:rPr>
          <w:noProof/>
          <w:sz w:val="28"/>
          <w:szCs w:val="28"/>
          <w:lang w:val="es-ES"/>
        </w:rPr>
        <w:tab/>
      </w:r>
      <w:r w:rsidRPr="008A106B">
        <w:rPr>
          <w:lang w:val="es-ES_tradnl"/>
        </w:rPr>
        <w:t xml:space="preserve">el tratamiento de la </w:t>
      </w:r>
      <w:r>
        <w:rPr>
          <w:lang w:val="es-ES_tradnl"/>
        </w:rPr>
        <w:t>AR</w:t>
      </w:r>
      <w:r w:rsidRPr="008A106B">
        <w:rPr>
          <w:lang w:val="es-ES_tradnl"/>
        </w:rPr>
        <w:t xml:space="preserve"> activa de moderada a grave en pacientes adultos con respuesta inadecuada o intolerancia a un tratamiento previo con uno o más </w:t>
      </w:r>
      <w:r w:rsidRPr="008A106B">
        <w:rPr>
          <w:szCs w:val="22"/>
          <w:lang w:val="es-ES"/>
        </w:rPr>
        <w:t>fármacos antirreumáticos modificadores de la enfermedad</w:t>
      </w:r>
      <w:r w:rsidRPr="008A106B">
        <w:rPr>
          <w:lang w:val="es-ES_tradnl"/>
        </w:rPr>
        <w:t xml:space="preserve"> (FAMEs) o con antagonistas del factor de necrosis tumoral (TNF). </w:t>
      </w:r>
    </w:p>
    <w:p w14:paraId="1CD19403" w14:textId="77777777" w:rsidR="00DC224A" w:rsidRDefault="00DC224A" w:rsidP="00DC224A">
      <w:pPr>
        <w:rPr>
          <w:lang w:val="es-ES_tradnl"/>
        </w:rPr>
      </w:pPr>
    </w:p>
    <w:p w14:paraId="2F280072" w14:textId="77777777" w:rsidR="00DC224A" w:rsidRDefault="00DC224A" w:rsidP="00DC224A">
      <w:pPr>
        <w:rPr>
          <w:lang w:val="es-ES_tradnl"/>
        </w:rPr>
      </w:pPr>
      <w:r w:rsidRPr="008A106B">
        <w:rPr>
          <w:lang w:val="es-ES_tradnl"/>
        </w:rPr>
        <w:t xml:space="preserve">En estos pacientes RoActemra puede ser administrado como monoterapia en caso de intolerancia a MTX o cuando el tratamiento continuado con MTX es inadecuado. </w:t>
      </w:r>
    </w:p>
    <w:p w14:paraId="2CA5E896" w14:textId="77777777" w:rsidR="00DC224A" w:rsidRPr="008A106B" w:rsidRDefault="00DC224A" w:rsidP="00DC224A">
      <w:pPr>
        <w:rPr>
          <w:lang w:val="es-ES"/>
        </w:rPr>
      </w:pPr>
    </w:p>
    <w:p w14:paraId="73D88DCB" w14:textId="77777777" w:rsidR="00DC224A" w:rsidRDefault="00DC224A" w:rsidP="00DC224A">
      <w:pPr>
        <w:rPr>
          <w:rFonts w:eastAsia="SimSun"/>
          <w:szCs w:val="22"/>
          <w:lang w:val="es-ES" w:eastAsia="zh-CN"/>
        </w:rPr>
      </w:pPr>
      <w:r w:rsidRPr="006868F5">
        <w:rPr>
          <w:rFonts w:eastAsia="SimSun"/>
          <w:szCs w:val="22"/>
          <w:lang w:val="es-ES" w:eastAsia="zh-CN" w:bidi="th-TH"/>
        </w:rPr>
        <w:t>RoActemra</w:t>
      </w:r>
      <w:r w:rsidRPr="008A106B">
        <w:rPr>
          <w:rFonts w:eastAsia="SimSun"/>
          <w:szCs w:val="22"/>
          <w:lang w:val="es-ES" w:eastAsia="zh-CN"/>
        </w:rPr>
        <w:t xml:space="preserve"> ha demostrado reducir la tasa de progresión del daño articular medido a través de análisis radiológico y mejorar la función física, cuando se administra en combinación con metotrexato</w:t>
      </w:r>
      <w:r>
        <w:rPr>
          <w:rFonts w:eastAsia="SimSun"/>
          <w:szCs w:val="22"/>
          <w:lang w:val="es-ES" w:eastAsia="zh-CN"/>
        </w:rPr>
        <w:t>.</w:t>
      </w:r>
    </w:p>
    <w:p w14:paraId="55C493A4" w14:textId="77777777" w:rsidR="008B4851" w:rsidRDefault="008B4851" w:rsidP="00DC224A">
      <w:pPr>
        <w:rPr>
          <w:rFonts w:eastAsia="SimSun"/>
          <w:szCs w:val="22"/>
          <w:lang w:val="es-ES" w:eastAsia="zh-CN"/>
        </w:rPr>
      </w:pPr>
    </w:p>
    <w:p w14:paraId="7160CDD2" w14:textId="77777777" w:rsidR="008B4851" w:rsidRPr="00F30AB8" w:rsidRDefault="008B4851" w:rsidP="00DC224A">
      <w:pPr>
        <w:rPr>
          <w:rFonts w:eastAsia="SimSun"/>
          <w:szCs w:val="22"/>
          <w:u w:val="single"/>
          <w:lang w:val="es-ES" w:eastAsia="zh-CN"/>
        </w:rPr>
      </w:pPr>
      <w:r w:rsidRPr="00F30AB8">
        <w:rPr>
          <w:rFonts w:eastAsia="SimSun"/>
          <w:szCs w:val="22"/>
          <w:u w:val="single"/>
          <w:lang w:val="es-ES" w:eastAsia="zh-CN"/>
        </w:rPr>
        <w:t>Artritis idiopática juvenil sistémica (AIJs)</w:t>
      </w:r>
    </w:p>
    <w:p w14:paraId="29C4E9ED" w14:textId="77777777" w:rsidR="008B4851" w:rsidRDefault="008B4851" w:rsidP="00DC224A">
      <w:pPr>
        <w:rPr>
          <w:rFonts w:eastAsia="SimSun"/>
          <w:szCs w:val="22"/>
          <w:lang w:val="es-ES" w:eastAsia="zh-CN"/>
        </w:rPr>
      </w:pPr>
    </w:p>
    <w:p w14:paraId="024EEDA9" w14:textId="0F4B8AA6" w:rsidR="00873E0D" w:rsidRDefault="00873E0D" w:rsidP="00873E0D">
      <w:pPr>
        <w:rPr>
          <w:rFonts w:eastAsia="SimSun"/>
          <w:szCs w:val="22"/>
          <w:lang w:val="es-ES" w:eastAsia="zh-CN"/>
        </w:rPr>
      </w:pPr>
      <w:r w:rsidRPr="000C11F0">
        <w:rPr>
          <w:rFonts w:eastAsia="SimSun"/>
          <w:szCs w:val="22"/>
          <w:lang w:val="es-ES" w:eastAsia="zh-CN"/>
        </w:rPr>
        <w:t>RoActemra está indicado para el tratamiento de AIJs activa en</w:t>
      </w:r>
      <w:r w:rsidR="00633BA4">
        <w:rPr>
          <w:rFonts w:eastAsia="SimSun"/>
          <w:szCs w:val="22"/>
          <w:lang w:val="es-ES" w:eastAsia="zh-CN"/>
        </w:rPr>
        <w:t xml:space="preserve"> pacientes de </w:t>
      </w:r>
      <w:r>
        <w:rPr>
          <w:rFonts w:eastAsia="SimSun"/>
          <w:szCs w:val="22"/>
          <w:lang w:val="es-ES" w:eastAsia="zh-CN"/>
        </w:rPr>
        <w:t>1</w:t>
      </w:r>
      <w:r w:rsidR="00745C66">
        <w:rPr>
          <w:rFonts w:eastAsia="SimSun"/>
          <w:szCs w:val="22"/>
          <w:lang w:val="es-ES" w:eastAsia="zh-CN"/>
        </w:rPr>
        <w:t>2</w:t>
      </w:r>
      <w:r w:rsidR="00470A27">
        <w:rPr>
          <w:rFonts w:eastAsia="SimSun"/>
          <w:szCs w:val="22"/>
          <w:lang w:val="es-ES" w:eastAsia="zh-CN"/>
        </w:rPr>
        <w:t> </w:t>
      </w:r>
      <w:r>
        <w:rPr>
          <w:rFonts w:eastAsia="SimSun"/>
          <w:szCs w:val="22"/>
          <w:lang w:val="es-ES" w:eastAsia="zh-CN"/>
        </w:rPr>
        <w:t>año</w:t>
      </w:r>
      <w:r w:rsidR="00745C66">
        <w:rPr>
          <w:rFonts w:eastAsia="SimSun"/>
          <w:szCs w:val="22"/>
          <w:lang w:val="es-ES" w:eastAsia="zh-CN"/>
        </w:rPr>
        <w:t>s</w:t>
      </w:r>
      <w:r>
        <w:rPr>
          <w:rFonts w:eastAsia="SimSun"/>
          <w:szCs w:val="22"/>
          <w:lang w:val="es-ES" w:eastAsia="zh-CN"/>
        </w:rPr>
        <w:t xml:space="preserve"> de edad y</w:t>
      </w:r>
      <w:r w:rsidRPr="000C11F0">
        <w:rPr>
          <w:rFonts w:eastAsia="SimSun"/>
          <w:szCs w:val="22"/>
          <w:lang w:val="es-ES" w:eastAsia="zh-CN"/>
        </w:rPr>
        <w:t xml:space="preserve"> mayores, que no han respondido a</w:t>
      </w:r>
      <w:r>
        <w:rPr>
          <w:rFonts w:eastAsia="SimSun"/>
          <w:szCs w:val="22"/>
          <w:lang w:val="es-ES" w:eastAsia="zh-CN"/>
        </w:rPr>
        <w:t>decuadamente a tratamientos</w:t>
      </w:r>
      <w:r w:rsidRPr="000C11F0">
        <w:rPr>
          <w:rFonts w:eastAsia="SimSun"/>
          <w:szCs w:val="22"/>
          <w:lang w:val="es-ES" w:eastAsia="zh-CN"/>
        </w:rPr>
        <w:t xml:space="preserve"> anteriores con </w:t>
      </w:r>
      <w:r w:rsidR="00C500EC">
        <w:rPr>
          <w:rFonts w:eastAsia="SimSun"/>
          <w:szCs w:val="22"/>
          <w:lang w:val="es-ES" w:eastAsia="zh-CN"/>
        </w:rPr>
        <w:t>antiinflamatorios no esteroideos (</w:t>
      </w:r>
      <w:r w:rsidRPr="000C11F0">
        <w:rPr>
          <w:rFonts w:eastAsia="SimSun"/>
          <w:szCs w:val="22"/>
          <w:lang w:val="es-ES" w:eastAsia="zh-CN"/>
        </w:rPr>
        <w:t>AINEs</w:t>
      </w:r>
      <w:r w:rsidR="00C500EC">
        <w:rPr>
          <w:rFonts w:eastAsia="SimSun"/>
          <w:szCs w:val="22"/>
          <w:lang w:val="es-ES" w:eastAsia="zh-CN"/>
        </w:rPr>
        <w:t>)</w:t>
      </w:r>
      <w:r w:rsidRPr="000C11F0">
        <w:rPr>
          <w:rFonts w:eastAsia="SimSun"/>
          <w:szCs w:val="22"/>
          <w:lang w:val="es-ES" w:eastAsia="zh-CN"/>
        </w:rPr>
        <w:t xml:space="preserve"> y corticoides sistémicos</w:t>
      </w:r>
      <w:del w:id="1453" w:author="AUTHOR">
        <w:r w:rsidDel="00B46D8D">
          <w:rPr>
            <w:rFonts w:eastAsia="SimSun"/>
            <w:szCs w:val="22"/>
            <w:lang w:val="es-ES" w:eastAsia="zh-CN"/>
          </w:rPr>
          <w:delText xml:space="preserve"> (ver Sección</w:delText>
        </w:r>
        <w:r w:rsidR="00470A27" w:rsidDel="00B46D8D">
          <w:rPr>
            <w:rFonts w:eastAsia="SimSun"/>
            <w:szCs w:val="22"/>
            <w:lang w:val="es-ES" w:eastAsia="zh-CN"/>
          </w:rPr>
          <w:delText> </w:delText>
        </w:r>
        <w:r w:rsidDel="00B46D8D">
          <w:rPr>
            <w:rFonts w:eastAsia="SimSun"/>
            <w:szCs w:val="22"/>
            <w:lang w:val="es-ES" w:eastAsia="zh-CN"/>
          </w:rPr>
          <w:delText>4.2)</w:delText>
        </w:r>
      </w:del>
      <w:r w:rsidRPr="000C11F0">
        <w:rPr>
          <w:rFonts w:eastAsia="SimSun"/>
          <w:szCs w:val="22"/>
          <w:lang w:val="es-ES" w:eastAsia="zh-CN"/>
        </w:rPr>
        <w:t xml:space="preserve">. </w:t>
      </w:r>
    </w:p>
    <w:p w14:paraId="29002797" w14:textId="77777777" w:rsidR="00873E0D" w:rsidRDefault="00873E0D" w:rsidP="00873E0D">
      <w:pPr>
        <w:rPr>
          <w:rFonts w:eastAsia="SimSun"/>
          <w:szCs w:val="22"/>
          <w:lang w:val="es-ES" w:eastAsia="zh-CN"/>
        </w:rPr>
      </w:pPr>
    </w:p>
    <w:p w14:paraId="05FB925F" w14:textId="77777777" w:rsidR="00873E0D" w:rsidRDefault="00873E0D" w:rsidP="00873E0D">
      <w:pPr>
        <w:rPr>
          <w:rFonts w:eastAsia="SimSun"/>
          <w:szCs w:val="22"/>
          <w:lang w:val="es-ES" w:eastAsia="zh-CN"/>
        </w:rPr>
      </w:pPr>
      <w:r w:rsidRPr="000C11F0">
        <w:rPr>
          <w:rFonts w:eastAsia="SimSun"/>
          <w:szCs w:val="22"/>
          <w:lang w:val="es-ES" w:eastAsia="zh-CN"/>
        </w:rPr>
        <w:t>RoActemra puede ser administrado como monoterapia (en caso de intolerancia a MTX o cuando el tratamiento con MTX no es adecuado) o en combinación con MTX</w:t>
      </w:r>
    </w:p>
    <w:p w14:paraId="1F2AE7B5" w14:textId="77777777" w:rsidR="00873E0D" w:rsidRDefault="00873E0D" w:rsidP="00873E0D">
      <w:pPr>
        <w:rPr>
          <w:rFonts w:eastAsia="SimSun"/>
          <w:szCs w:val="22"/>
          <w:lang w:val="es-ES" w:eastAsia="zh-CN"/>
        </w:rPr>
      </w:pPr>
    </w:p>
    <w:p w14:paraId="4C07D023" w14:textId="77777777" w:rsidR="00376697" w:rsidRPr="00467FFD" w:rsidRDefault="00376697" w:rsidP="00873E0D">
      <w:pPr>
        <w:rPr>
          <w:rFonts w:eastAsia="SimSun"/>
          <w:szCs w:val="22"/>
          <w:u w:val="single"/>
          <w:lang w:val="es-ES" w:eastAsia="zh-CN"/>
          <w:rPrChange w:id="1454" w:author="AUTHOR">
            <w:rPr>
              <w:rFonts w:eastAsia="SimSun"/>
              <w:szCs w:val="22"/>
              <w:lang w:val="es-ES" w:eastAsia="zh-CN"/>
            </w:rPr>
          </w:rPrChange>
        </w:rPr>
      </w:pPr>
      <w:r w:rsidRPr="00467FFD">
        <w:rPr>
          <w:rFonts w:eastAsia="SimSun"/>
          <w:szCs w:val="22"/>
          <w:u w:val="single"/>
          <w:lang w:val="es-ES" w:eastAsia="zh-CN"/>
          <w:rPrChange w:id="1455" w:author="AUTHOR">
            <w:rPr>
              <w:rFonts w:eastAsia="SimSun"/>
              <w:szCs w:val="22"/>
              <w:lang w:val="es-ES" w:eastAsia="zh-CN"/>
            </w:rPr>
          </w:rPrChange>
        </w:rPr>
        <w:t>Artritis idiopática juvenil poliarticular (AIJp)</w:t>
      </w:r>
    </w:p>
    <w:p w14:paraId="62C8B032" w14:textId="77777777" w:rsidR="00376697" w:rsidRDefault="00376697" w:rsidP="00873E0D">
      <w:pPr>
        <w:rPr>
          <w:rFonts w:eastAsia="SimSun"/>
          <w:szCs w:val="22"/>
          <w:lang w:val="es-ES" w:eastAsia="zh-CN"/>
        </w:rPr>
      </w:pPr>
    </w:p>
    <w:p w14:paraId="481C5411" w14:textId="7CA2D5C6" w:rsidR="00873E0D" w:rsidRDefault="00873E0D" w:rsidP="00873E0D">
      <w:pPr>
        <w:rPr>
          <w:rFonts w:eastAsia="SimSun"/>
          <w:szCs w:val="22"/>
          <w:lang w:val="es-ES" w:eastAsia="zh-CN"/>
        </w:rPr>
      </w:pPr>
      <w:r w:rsidRPr="008A106B">
        <w:rPr>
          <w:rFonts w:eastAsia="SimSun"/>
          <w:szCs w:val="22"/>
          <w:lang w:val="es-ES" w:eastAsia="zh-CN"/>
        </w:rPr>
        <w:lastRenderedPageBreak/>
        <w:t>RoActemra en combinación con MTX está indicado para el tratamiento de AIJ</w:t>
      </w:r>
      <w:r>
        <w:rPr>
          <w:rFonts w:eastAsia="SimSun"/>
          <w:szCs w:val="22"/>
          <w:lang w:val="es-ES" w:eastAsia="zh-CN"/>
        </w:rPr>
        <w:t>p</w:t>
      </w:r>
      <w:r w:rsidR="00376697">
        <w:rPr>
          <w:rFonts w:eastAsia="SimSun"/>
          <w:szCs w:val="22"/>
          <w:lang w:val="es-ES" w:eastAsia="zh-CN"/>
        </w:rPr>
        <w:t xml:space="preserve"> (</w:t>
      </w:r>
      <w:r w:rsidRPr="008A106B">
        <w:rPr>
          <w:rFonts w:eastAsia="SimSun"/>
          <w:szCs w:val="22"/>
          <w:lang w:val="es-ES" w:eastAsia="zh-CN"/>
        </w:rPr>
        <w:t xml:space="preserve">factor reumatoide positivo o negativo y oligoartritis extendida) en pacientes de </w:t>
      </w:r>
      <w:r w:rsidR="00745C66">
        <w:rPr>
          <w:rFonts w:eastAsia="SimSun"/>
          <w:szCs w:val="22"/>
          <w:lang w:val="es-ES" w:eastAsia="zh-CN"/>
        </w:rPr>
        <w:t>1</w:t>
      </w:r>
      <w:r w:rsidRPr="008A106B">
        <w:rPr>
          <w:rFonts w:eastAsia="SimSun"/>
          <w:szCs w:val="22"/>
          <w:lang w:val="es-ES" w:eastAsia="zh-CN"/>
        </w:rPr>
        <w:t>2 años</w:t>
      </w:r>
      <w:r>
        <w:rPr>
          <w:rFonts w:eastAsia="SimSun"/>
          <w:szCs w:val="22"/>
          <w:lang w:val="es-ES" w:eastAsia="zh-CN"/>
        </w:rPr>
        <w:t xml:space="preserve"> de edad y mayores</w:t>
      </w:r>
      <w:r w:rsidRPr="008A106B">
        <w:rPr>
          <w:rFonts w:eastAsia="SimSun"/>
          <w:szCs w:val="22"/>
          <w:lang w:val="es-ES" w:eastAsia="zh-CN"/>
        </w:rPr>
        <w:t>, que no han respondido adecuadamente al tratamiento previo con MTX</w:t>
      </w:r>
      <w:del w:id="1456" w:author="AUTHOR">
        <w:r w:rsidDel="00B46D8D">
          <w:rPr>
            <w:rFonts w:eastAsia="SimSun"/>
            <w:szCs w:val="22"/>
            <w:lang w:val="es-ES" w:eastAsia="zh-CN"/>
          </w:rPr>
          <w:delText xml:space="preserve"> (ver Sección</w:delText>
        </w:r>
        <w:r w:rsidR="00470A27" w:rsidDel="00B46D8D">
          <w:rPr>
            <w:rFonts w:eastAsia="SimSun"/>
            <w:szCs w:val="22"/>
            <w:lang w:val="es-ES" w:eastAsia="zh-CN"/>
          </w:rPr>
          <w:delText> </w:delText>
        </w:r>
        <w:r w:rsidDel="00B46D8D">
          <w:rPr>
            <w:rFonts w:eastAsia="SimSun"/>
            <w:szCs w:val="22"/>
            <w:lang w:val="es-ES" w:eastAsia="zh-CN"/>
          </w:rPr>
          <w:delText>4.2)</w:delText>
        </w:r>
      </w:del>
      <w:r w:rsidRPr="008A106B">
        <w:rPr>
          <w:rFonts w:eastAsia="SimSun"/>
          <w:szCs w:val="22"/>
          <w:lang w:val="es-ES" w:eastAsia="zh-CN"/>
        </w:rPr>
        <w:t xml:space="preserve">. </w:t>
      </w:r>
    </w:p>
    <w:p w14:paraId="01D1EB38" w14:textId="77777777" w:rsidR="00873E0D" w:rsidRDefault="00873E0D" w:rsidP="00873E0D">
      <w:pPr>
        <w:rPr>
          <w:lang w:val="es-ES_tradnl"/>
        </w:rPr>
      </w:pPr>
    </w:p>
    <w:p w14:paraId="6D396B0E" w14:textId="77777777" w:rsidR="00873E0D" w:rsidRDefault="00873E0D" w:rsidP="00873E0D">
      <w:pPr>
        <w:rPr>
          <w:lang w:val="es-ES_tradnl"/>
        </w:rPr>
      </w:pPr>
      <w:r w:rsidRPr="008A106B">
        <w:rPr>
          <w:lang w:val="es-ES_tradnl"/>
        </w:rPr>
        <w:t xml:space="preserve">RoActemra puede ser administrado como monoterapia en caso de intolerancia a MTX o cuando el tratamiento continuado con MTX es inadecuado. </w:t>
      </w:r>
    </w:p>
    <w:p w14:paraId="4ECCDC44" w14:textId="77777777" w:rsidR="00376697" w:rsidRDefault="00376697" w:rsidP="00873E0D">
      <w:pPr>
        <w:rPr>
          <w:lang w:val="es-ES_tradnl"/>
        </w:rPr>
      </w:pPr>
    </w:p>
    <w:p w14:paraId="242B07ED" w14:textId="77777777" w:rsidR="00873E0D" w:rsidRDefault="00376697" w:rsidP="00873E0D">
      <w:pPr>
        <w:rPr>
          <w:rFonts w:eastAsia="SimSun"/>
          <w:szCs w:val="22"/>
          <w:lang w:val="es-ES" w:eastAsia="zh-CN"/>
        </w:rPr>
      </w:pPr>
      <w:r w:rsidRPr="006C05BA">
        <w:rPr>
          <w:rFonts w:eastAsia="SimSun"/>
          <w:szCs w:val="22"/>
          <w:lang w:val="es-ES" w:eastAsia="zh-CN"/>
        </w:rPr>
        <w:t>Arteritis de Células Gigantes (ACG)</w:t>
      </w:r>
    </w:p>
    <w:p w14:paraId="21DBE62B" w14:textId="77777777" w:rsidR="00470A27" w:rsidRDefault="00470A27" w:rsidP="00873E0D">
      <w:pPr>
        <w:rPr>
          <w:lang w:val="es-ES_tradnl"/>
        </w:rPr>
      </w:pPr>
    </w:p>
    <w:p w14:paraId="0C19B5A6" w14:textId="32DFD702" w:rsidR="00DC224A" w:rsidRPr="008A106B" w:rsidRDefault="00DC224A" w:rsidP="00DC224A">
      <w:pPr>
        <w:rPr>
          <w:rFonts w:eastAsia="SimSun"/>
          <w:szCs w:val="22"/>
          <w:lang w:val="es-ES" w:eastAsia="zh-CN"/>
        </w:rPr>
      </w:pPr>
      <w:r w:rsidRPr="001E21B5">
        <w:rPr>
          <w:rFonts w:eastAsia="SimSun"/>
          <w:szCs w:val="22"/>
          <w:lang w:val="es-ES" w:eastAsia="zh-CN"/>
        </w:rPr>
        <w:t>RoActemra</w:t>
      </w:r>
      <w:r w:rsidRPr="002009C1">
        <w:rPr>
          <w:rFonts w:eastAsia="SimSun"/>
          <w:szCs w:val="22"/>
          <w:lang w:val="es-ES" w:eastAsia="zh-CN"/>
        </w:rPr>
        <w:t xml:space="preserve"> </w:t>
      </w:r>
      <w:r w:rsidRPr="00606BCF">
        <w:rPr>
          <w:rFonts w:eastAsia="SimSun"/>
          <w:szCs w:val="22"/>
          <w:lang w:val="es-ES" w:eastAsia="zh-CN"/>
        </w:rPr>
        <w:t>está indicado</w:t>
      </w:r>
      <w:r w:rsidRPr="006C05BA">
        <w:rPr>
          <w:rFonts w:eastAsia="SimSun"/>
          <w:szCs w:val="22"/>
          <w:lang w:val="es-ES" w:eastAsia="zh-CN"/>
        </w:rPr>
        <w:t xml:space="preserve"> para el tratamiento de ACG en pacientes adultos.</w:t>
      </w:r>
    </w:p>
    <w:p w14:paraId="515A535B" w14:textId="77777777" w:rsidR="00DC224A" w:rsidRPr="008A106B" w:rsidRDefault="00DC224A" w:rsidP="00DC224A">
      <w:pPr>
        <w:ind w:left="567" w:hanging="567"/>
        <w:outlineLvl w:val="0"/>
        <w:rPr>
          <w:lang w:val="es-ES"/>
        </w:rPr>
      </w:pPr>
    </w:p>
    <w:p w14:paraId="113CB0CA" w14:textId="77777777" w:rsidR="00DC224A" w:rsidRDefault="00DC224A" w:rsidP="00DC224A">
      <w:pPr>
        <w:ind w:left="567" w:hanging="567"/>
        <w:rPr>
          <w:b/>
          <w:bCs/>
          <w:lang w:val="es-ES_tradnl"/>
        </w:rPr>
      </w:pPr>
      <w:r w:rsidRPr="008A106B">
        <w:rPr>
          <w:b/>
          <w:bCs/>
          <w:lang w:val="es-ES"/>
        </w:rPr>
        <w:t>4.2</w:t>
      </w:r>
      <w:r w:rsidRPr="008A106B">
        <w:rPr>
          <w:b/>
          <w:bCs/>
          <w:lang w:val="es-ES"/>
        </w:rPr>
        <w:tab/>
      </w:r>
      <w:r w:rsidRPr="008A106B">
        <w:rPr>
          <w:b/>
          <w:bCs/>
          <w:lang w:val="es-ES_tradnl"/>
        </w:rPr>
        <w:t>Posología y forma de administración</w:t>
      </w:r>
    </w:p>
    <w:p w14:paraId="6056E9FB" w14:textId="77777777" w:rsidR="00DC224A" w:rsidRDefault="00DC224A" w:rsidP="00DC224A">
      <w:pPr>
        <w:ind w:left="567" w:hanging="567"/>
        <w:rPr>
          <w:b/>
          <w:bCs/>
          <w:lang w:val="es-ES_tradnl"/>
        </w:rPr>
      </w:pPr>
    </w:p>
    <w:p w14:paraId="015B2FA8" w14:textId="50483919" w:rsidR="00856BB0" w:rsidRDefault="00873E0D" w:rsidP="00DC224A">
      <w:pPr>
        <w:rPr>
          <w:lang w:val="es-ES_tradnl"/>
        </w:rPr>
      </w:pPr>
      <w:r w:rsidRPr="00981FA3">
        <w:rPr>
          <w:lang w:val="es-ES"/>
        </w:rPr>
        <w:t xml:space="preserve">La formulación de tocilizumab </w:t>
      </w:r>
      <w:r w:rsidR="005716EC">
        <w:rPr>
          <w:lang w:val="es-ES"/>
        </w:rPr>
        <w:t>subcutáneo</w:t>
      </w:r>
      <w:r w:rsidR="005716EC" w:rsidRPr="00981FA3">
        <w:rPr>
          <w:lang w:val="es-ES"/>
        </w:rPr>
        <w:t xml:space="preserve"> </w:t>
      </w:r>
      <w:r w:rsidRPr="00981FA3">
        <w:rPr>
          <w:lang w:val="es-ES"/>
        </w:rPr>
        <w:t xml:space="preserve">se administra </w:t>
      </w:r>
      <w:r w:rsidRPr="006616E4">
        <w:rPr>
          <w:lang w:val="es-ES"/>
        </w:rPr>
        <w:t>en</w:t>
      </w:r>
      <w:r w:rsidRPr="00981FA3">
        <w:rPr>
          <w:lang w:val="es-ES"/>
        </w:rPr>
        <w:t xml:space="preserve"> </w:t>
      </w:r>
      <w:r>
        <w:rPr>
          <w:lang w:val="es-ES"/>
        </w:rPr>
        <w:t xml:space="preserve">plumas </w:t>
      </w:r>
      <w:r w:rsidRPr="00981FA3">
        <w:rPr>
          <w:lang w:val="es-ES"/>
        </w:rPr>
        <w:t>precargada</w:t>
      </w:r>
      <w:r w:rsidRPr="006616E4">
        <w:rPr>
          <w:lang w:val="es-ES"/>
        </w:rPr>
        <w:t>s</w:t>
      </w:r>
      <w:r w:rsidRPr="00981FA3">
        <w:rPr>
          <w:lang w:val="es-ES"/>
        </w:rPr>
        <w:t xml:space="preserve"> de </w:t>
      </w:r>
      <w:r w:rsidRPr="00A4450C">
        <w:rPr>
          <w:lang w:val="es-ES"/>
        </w:rPr>
        <w:t>un solo uso</w:t>
      </w:r>
      <w:r>
        <w:rPr>
          <w:lang w:val="es-ES"/>
        </w:rPr>
        <w:t>.</w:t>
      </w:r>
      <w:r w:rsidRPr="008A106B">
        <w:rPr>
          <w:lang w:val="es-ES_tradnl"/>
        </w:rPr>
        <w:t xml:space="preserve"> </w:t>
      </w:r>
      <w:r w:rsidR="00DC224A" w:rsidRPr="008A106B">
        <w:rPr>
          <w:lang w:val="es-ES_tradnl"/>
        </w:rPr>
        <w:t xml:space="preserve">El tratamiento debe ser iniciado por profesionales sanitarios con experiencia en el diagnóstico y el tratamiento de </w:t>
      </w:r>
      <w:r w:rsidR="00DC224A">
        <w:rPr>
          <w:lang w:val="es-ES_tradnl"/>
        </w:rPr>
        <w:t>AR</w:t>
      </w:r>
      <w:r>
        <w:rPr>
          <w:lang w:val="es-ES_tradnl"/>
        </w:rPr>
        <w:t>, AIJs, AIJp</w:t>
      </w:r>
      <w:r w:rsidR="00DC224A">
        <w:rPr>
          <w:lang w:val="es-ES_tradnl"/>
        </w:rPr>
        <w:t xml:space="preserve"> y/o ACG</w:t>
      </w:r>
      <w:r w:rsidR="00DC224A" w:rsidRPr="008A106B">
        <w:rPr>
          <w:lang w:val="es-ES_tradnl"/>
        </w:rPr>
        <w:t xml:space="preserve">. </w:t>
      </w:r>
    </w:p>
    <w:p w14:paraId="224001F8" w14:textId="77777777" w:rsidR="00856BB0" w:rsidRDefault="00856BB0" w:rsidP="00DC224A">
      <w:pPr>
        <w:rPr>
          <w:lang w:val="es-ES_tradnl"/>
        </w:rPr>
      </w:pPr>
    </w:p>
    <w:p w14:paraId="0C985AF1" w14:textId="5705E4BE" w:rsidR="00856BB0" w:rsidRDefault="00856BB0" w:rsidP="00DC224A">
      <w:pPr>
        <w:rPr>
          <w:lang w:val="es-ES_tradnl"/>
        </w:rPr>
      </w:pPr>
      <w:r>
        <w:rPr>
          <w:lang w:val="es-ES_tradnl"/>
        </w:rPr>
        <w:t xml:space="preserve">La pluma precargada no </w:t>
      </w:r>
      <w:ins w:id="1457" w:author="AUTHOR">
        <w:r w:rsidR="00B46D8D">
          <w:rPr>
            <w:lang w:val="es-ES_tradnl"/>
          </w:rPr>
          <w:t xml:space="preserve">se </w:t>
        </w:r>
      </w:ins>
      <w:r>
        <w:rPr>
          <w:lang w:val="es-ES_tradnl"/>
        </w:rPr>
        <w:t>debe usar</w:t>
      </w:r>
      <w:del w:id="1458" w:author="AUTHOR">
        <w:r w:rsidDel="00B46D8D">
          <w:rPr>
            <w:lang w:val="es-ES_tradnl"/>
          </w:rPr>
          <w:delText>se</w:delText>
        </w:r>
      </w:del>
      <w:r>
        <w:rPr>
          <w:lang w:val="es-ES_tradnl"/>
        </w:rPr>
        <w:t xml:space="preserve"> para tratar a pacientes pediátricos &lt;</w:t>
      </w:r>
      <w:r w:rsidR="00470A27">
        <w:rPr>
          <w:lang w:val="es-ES_tradnl"/>
        </w:rPr>
        <w:t> </w:t>
      </w:r>
      <w:r>
        <w:rPr>
          <w:lang w:val="es-ES_tradnl"/>
        </w:rPr>
        <w:t>12</w:t>
      </w:r>
      <w:r w:rsidR="00470A27">
        <w:rPr>
          <w:lang w:val="es-ES_tradnl"/>
        </w:rPr>
        <w:t> </w:t>
      </w:r>
      <w:r>
        <w:rPr>
          <w:lang w:val="es-ES_tradnl"/>
        </w:rPr>
        <w:t>años de edad dado que existe el riesgo potencial de inyección intramuscular por tener una capa más delgada de tejido subcutáneo.</w:t>
      </w:r>
    </w:p>
    <w:p w14:paraId="4BE59858" w14:textId="77777777" w:rsidR="00856BB0" w:rsidRDefault="00856BB0" w:rsidP="00DC224A">
      <w:pPr>
        <w:rPr>
          <w:lang w:val="es-ES_tradnl"/>
        </w:rPr>
      </w:pPr>
    </w:p>
    <w:p w14:paraId="4212406C" w14:textId="067D090C" w:rsidR="00856BB0" w:rsidRDefault="00856BB0" w:rsidP="00DC224A">
      <w:pPr>
        <w:rPr>
          <w:lang w:val="es-ES_tradnl"/>
        </w:rPr>
      </w:pPr>
      <w:r>
        <w:rPr>
          <w:lang w:val="es-ES_tradnl"/>
        </w:rPr>
        <w:t xml:space="preserve">La primera inyección </w:t>
      </w:r>
      <w:ins w:id="1459" w:author="AUTHOR">
        <w:r w:rsidR="00B46D8D">
          <w:rPr>
            <w:lang w:val="es-ES_tradnl"/>
          </w:rPr>
          <w:t xml:space="preserve">se </w:t>
        </w:r>
      </w:ins>
      <w:r>
        <w:rPr>
          <w:lang w:val="es-ES_tradnl"/>
        </w:rPr>
        <w:t>debe realizar</w:t>
      </w:r>
      <w:del w:id="1460" w:author="AUTHOR">
        <w:r w:rsidDel="00B46D8D">
          <w:rPr>
            <w:lang w:val="es-ES_tradnl"/>
          </w:rPr>
          <w:delText>se</w:delText>
        </w:r>
      </w:del>
      <w:r>
        <w:rPr>
          <w:lang w:val="es-ES_tradnl"/>
        </w:rPr>
        <w:t xml:space="preserve"> bajo la supervisión de un profesional sanitario cualificado. El paciente o sus padres/cuidadores pueden inyectar </w:t>
      </w:r>
      <w:r w:rsidR="005716EC">
        <w:rPr>
          <w:lang w:val="es-ES_tradnl"/>
        </w:rPr>
        <w:t>este med</w:t>
      </w:r>
      <w:r w:rsidR="00934A20">
        <w:rPr>
          <w:lang w:val="es-ES_tradnl"/>
        </w:rPr>
        <w:t>i</w:t>
      </w:r>
      <w:r w:rsidR="005716EC">
        <w:rPr>
          <w:lang w:val="es-ES_tradnl"/>
        </w:rPr>
        <w:t xml:space="preserve">camento </w:t>
      </w:r>
      <w:r>
        <w:rPr>
          <w:lang w:val="es-ES_tradnl"/>
        </w:rPr>
        <w:t xml:space="preserve">sólo si el médico determina que es apropiado y que el paciente o sus padres/cuidadores están de acuerdo en seguir control médico </w:t>
      </w:r>
      <w:r w:rsidR="00750D78">
        <w:rPr>
          <w:lang w:val="es-ES_tradnl"/>
        </w:rPr>
        <w:t xml:space="preserve">necesario </w:t>
      </w:r>
      <w:r>
        <w:rPr>
          <w:lang w:val="es-ES_tradnl"/>
        </w:rPr>
        <w:t>y han sido entrenados apropiadamente en la técnica de inyección.</w:t>
      </w:r>
    </w:p>
    <w:p w14:paraId="513E464D" w14:textId="77777777" w:rsidR="00856BB0" w:rsidRDefault="00856BB0" w:rsidP="00DC224A">
      <w:pPr>
        <w:rPr>
          <w:lang w:val="es-ES_tradnl"/>
        </w:rPr>
      </w:pPr>
    </w:p>
    <w:p w14:paraId="5D1BD45C" w14:textId="00536DF5" w:rsidR="00A0292D" w:rsidRDefault="00633BA4" w:rsidP="00DC224A">
      <w:pPr>
        <w:rPr>
          <w:lang w:val="es-ES_tradnl"/>
        </w:rPr>
      </w:pPr>
      <w:r>
        <w:rPr>
          <w:lang w:val="es-ES_tradnl"/>
        </w:rPr>
        <w:t>Los pacientes que cambian</w:t>
      </w:r>
      <w:r w:rsidR="00856BB0">
        <w:rPr>
          <w:lang w:val="es-ES_tradnl"/>
        </w:rPr>
        <w:t xml:space="preserve"> de tratamiento con tocilizumab </w:t>
      </w:r>
      <w:r w:rsidR="005716EC">
        <w:rPr>
          <w:lang w:val="es-ES_tradnl"/>
        </w:rPr>
        <w:t xml:space="preserve">intravenoso </w:t>
      </w:r>
      <w:r w:rsidR="00856BB0">
        <w:rPr>
          <w:lang w:val="es-ES_tradnl"/>
        </w:rPr>
        <w:t xml:space="preserve">a administración </w:t>
      </w:r>
      <w:r w:rsidR="005716EC">
        <w:rPr>
          <w:lang w:val="es-ES_tradnl"/>
        </w:rPr>
        <w:t xml:space="preserve">subcutánea </w:t>
      </w:r>
      <w:r w:rsidR="00856BB0">
        <w:rPr>
          <w:lang w:val="es-ES_tradnl"/>
        </w:rPr>
        <w:t xml:space="preserve">deben recibir la primera dosis </w:t>
      </w:r>
      <w:r w:rsidR="005716EC">
        <w:rPr>
          <w:lang w:val="es-ES_tradnl"/>
        </w:rPr>
        <w:t xml:space="preserve">de subcutáneo </w:t>
      </w:r>
      <w:r w:rsidR="00A0292D">
        <w:rPr>
          <w:lang w:val="es-ES_tradnl"/>
        </w:rPr>
        <w:t>en el momento d</w:t>
      </w:r>
      <w:r>
        <w:rPr>
          <w:lang w:val="es-ES_tradnl"/>
        </w:rPr>
        <w:t xml:space="preserve">e la siguiente dosis </w:t>
      </w:r>
      <w:r w:rsidR="005716EC">
        <w:rPr>
          <w:lang w:val="es-ES_tradnl"/>
        </w:rPr>
        <w:t xml:space="preserve">de intravenoso </w:t>
      </w:r>
      <w:r>
        <w:rPr>
          <w:lang w:val="es-ES_tradnl"/>
        </w:rPr>
        <w:t>programada</w:t>
      </w:r>
      <w:r w:rsidR="00A0292D">
        <w:rPr>
          <w:lang w:val="es-ES_tradnl"/>
        </w:rPr>
        <w:t xml:space="preserve"> bajo la supervisión de un profesional sanitario cualificado.</w:t>
      </w:r>
    </w:p>
    <w:p w14:paraId="0FAEA5D7" w14:textId="77777777" w:rsidR="00A0292D" w:rsidRDefault="00A0292D" w:rsidP="00DC224A">
      <w:pPr>
        <w:rPr>
          <w:lang w:val="es-ES_tradnl"/>
        </w:rPr>
      </w:pPr>
    </w:p>
    <w:p w14:paraId="453535B9" w14:textId="77777777" w:rsidR="00D336B9" w:rsidRDefault="00DC224A" w:rsidP="00DC224A">
      <w:pPr>
        <w:rPr>
          <w:ins w:id="1461" w:author="AUTHOR"/>
          <w:lang w:val="es-ES_tradnl"/>
        </w:rPr>
      </w:pPr>
      <w:r w:rsidRPr="008A106B">
        <w:rPr>
          <w:lang w:val="es-ES_tradnl"/>
        </w:rPr>
        <w:t xml:space="preserve">Todos los pacientes tratados con RoActemra deben recibir la Tarjeta </w:t>
      </w:r>
      <w:r w:rsidR="007A3CAC">
        <w:rPr>
          <w:lang w:val="es-ES_tradnl"/>
        </w:rPr>
        <w:t>para el paciente</w:t>
      </w:r>
      <w:r w:rsidRPr="008A106B">
        <w:rPr>
          <w:lang w:val="es-ES_tradnl"/>
        </w:rPr>
        <w:t xml:space="preserve"> Paciente.</w:t>
      </w:r>
    </w:p>
    <w:p w14:paraId="3A1CE978" w14:textId="7568814C" w:rsidR="00A0292D" w:rsidRDefault="00DC224A" w:rsidP="00DC224A">
      <w:pPr>
        <w:rPr>
          <w:lang w:val="es-ES_tradnl"/>
        </w:rPr>
      </w:pPr>
      <w:r>
        <w:rPr>
          <w:lang w:val="es-ES_tradnl"/>
        </w:rPr>
        <w:t xml:space="preserve"> </w:t>
      </w:r>
    </w:p>
    <w:p w14:paraId="58D1E40E" w14:textId="3B4A3D24" w:rsidR="00DC224A" w:rsidRPr="00B12848" w:rsidRDefault="00DC224A" w:rsidP="00DC224A">
      <w:pPr>
        <w:rPr>
          <w:lang w:val="es-ES_tradnl"/>
        </w:rPr>
      </w:pPr>
      <w:r>
        <w:rPr>
          <w:lang w:val="es-ES_tradnl"/>
        </w:rPr>
        <w:t xml:space="preserve">Debe evaluarse la capacidad del paciente </w:t>
      </w:r>
      <w:r w:rsidR="00A0292D">
        <w:rPr>
          <w:lang w:val="es-ES_tradnl"/>
        </w:rPr>
        <w:t xml:space="preserve">o de sus padres/cuidadores </w:t>
      </w:r>
      <w:r>
        <w:rPr>
          <w:lang w:val="es-ES_tradnl"/>
        </w:rPr>
        <w:t xml:space="preserve">para utilizar la administración subcutánea en su casa y se debe instruir a los pacientes </w:t>
      </w:r>
      <w:r w:rsidR="00633BA4">
        <w:rPr>
          <w:lang w:val="es-ES_tradnl"/>
        </w:rPr>
        <w:t xml:space="preserve">o a sus padres/cuidadores </w:t>
      </w:r>
      <w:r>
        <w:rPr>
          <w:lang w:val="es-ES_tradnl"/>
        </w:rPr>
        <w:t xml:space="preserve">para que informen a los profesionales sanitarios si experimentan síntomas de una reacción alérgica </w:t>
      </w:r>
      <w:r w:rsidR="00750D78" w:rsidRPr="00750D78">
        <w:rPr>
          <w:lang w:val="es-ES_tradnl"/>
        </w:rPr>
        <w:t>antes de la administración de la siguiente dosis. Los pacientes deben solicitar atención médica inmediata si desarrollan síntomas de reacciones alérgicas graves (ver sección</w:t>
      </w:r>
      <w:r w:rsidR="00470A27">
        <w:rPr>
          <w:lang w:val="es-ES_tradnl"/>
        </w:rPr>
        <w:t> </w:t>
      </w:r>
      <w:r w:rsidR="00750D78" w:rsidRPr="00750D78">
        <w:rPr>
          <w:lang w:val="es-ES_tradnl"/>
        </w:rPr>
        <w:t>4.4).</w:t>
      </w:r>
    </w:p>
    <w:p w14:paraId="0726D564" w14:textId="77777777" w:rsidR="00DC224A" w:rsidRPr="008A106B" w:rsidRDefault="008375F0" w:rsidP="00DC224A">
      <w:pPr>
        <w:ind w:left="567" w:hanging="567"/>
        <w:rPr>
          <w:noProof/>
          <w:lang w:val="es-ES"/>
        </w:rPr>
      </w:pPr>
      <w:r>
        <w:rPr>
          <w:noProof/>
          <w:lang w:val="es-ES"/>
        </w:rPr>
        <w:t xml:space="preserve"> </w:t>
      </w:r>
    </w:p>
    <w:p w14:paraId="77D521CF" w14:textId="77777777" w:rsidR="00DC224A" w:rsidRDefault="00DC224A" w:rsidP="00DC224A">
      <w:pPr>
        <w:keepNext/>
        <w:autoSpaceDE w:val="0"/>
        <w:autoSpaceDN w:val="0"/>
        <w:adjustRightInd w:val="0"/>
        <w:rPr>
          <w:u w:val="single"/>
          <w:lang w:val="es-ES_tradnl"/>
        </w:rPr>
      </w:pPr>
      <w:r w:rsidRPr="003F7D0C">
        <w:rPr>
          <w:u w:val="single"/>
          <w:lang w:val="es-ES_tradnl"/>
        </w:rPr>
        <w:t>Posología</w:t>
      </w:r>
    </w:p>
    <w:p w14:paraId="467F0327" w14:textId="77777777" w:rsidR="00470A27" w:rsidRPr="006C5226" w:rsidRDefault="00470A27" w:rsidP="00DC224A">
      <w:pPr>
        <w:keepNext/>
        <w:autoSpaceDE w:val="0"/>
        <w:autoSpaceDN w:val="0"/>
        <w:adjustRightInd w:val="0"/>
        <w:rPr>
          <w:u w:val="single"/>
          <w:lang w:val="es-ES_tradnl"/>
        </w:rPr>
      </w:pPr>
    </w:p>
    <w:p w14:paraId="11A8B9E0" w14:textId="77777777" w:rsidR="00DC224A" w:rsidRPr="00467FFD" w:rsidRDefault="005716EC" w:rsidP="00DC224A">
      <w:pPr>
        <w:keepNext/>
        <w:autoSpaceDE w:val="0"/>
        <w:autoSpaceDN w:val="0"/>
        <w:adjustRightInd w:val="0"/>
        <w:rPr>
          <w:i/>
          <w:iCs/>
          <w:lang w:val="es-ES"/>
          <w:rPrChange w:id="1462" w:author="AUTHOR">
            <w:rPr>
              <w:u w:val="single"/>
              <w:lang w:val="es-ES"/>
            </w:rPr>
          </w:rPrChange>
        </w:rPr>
      </w:pPr>
      <w:r w:rsidRPr="00467FFD">
        <w:rPr>
          <w:i/>
          <w:iCs/>
          <w:szCs w:val="22"/>
          <w:lang w:val="es-ES"/>
          <w:rPrChange w:id="1463" w:author="AUTHOR">
            <w:rPr>
              <w:szCs w:val="22"/>
              <w:u w:val="single"/>
              <w:lang w:val="es-ES"/>
            </w:rPr>
          </w:rPrChange>
        </w:rPr>
        <w:t xml:space="preserve">Pacientes con </w:t>
      </w:r>
      <w:r w:rsidR="00DC224A" w:rsidRPr="00467FFD">
        <w:rPr>
          <w:i/>
          <w:iCs/>
          <w:szCs w:val="22"/>
          <w:lang w:val="es-ES"/>
          <w:rPrChange w:id="1464" w:author="AUTHOR">
            <w:rPr>
              <w:szCs w:val="22"/>
              <w:u w:val="single"/>
              <w:lang w:val="es-ES"/>
            </w:rPr>
          </w:rPrChange>
        </w:rPr>
        <w:t>AR</w:t>
      </w:r>
    </w:p>
    <w:p w14:paraId="10EF7D87" w14:textId="2A186FDC" w:rsidR="00DC224A" w:rsidRPr="008A106B" w:rsidRDefault="00DC224A" w:rsidP="00DC224A">
      <w:pPr>
        <w:autoSpaceDE w:val="0"/>
        <w:autoSpaceDN w:val="0"/>
        <w:adjustRightInd w:val="0"/>
        <w:rPr>
          <w:sz w:val="20"/>
          <w:lang w:val="es-ES"/>
        </w:rPr>
      </w:pPr>
      <w:r w:rsidRPr="008A106B">
        <w:rPr>
          <w:lang w:val="es-ES_tradnl"/>
        </w:rPr>
        <w:t xml:space="preserve">La posología recomendada es de </w:t>
      </w:r>
      <w:r>
        <w:rPr>
          <w:lang w:val="es-ES_tradnl"/>
        </w:rPr>
        <w:t>162</w:t>
      </w:r>
      <w:r w:rsidR="00934A20" w:rsidRPr="00F30AB8">
        <w:rPr>
          <w:szCs w:val="22"/>
          <w:lang w:val="es-ES"/>
        </w:rPr>
        <w:t> </w:t>
      </w:r>
      <w:r>
        <w:rPr>
          <w:lang w:val="es-ES_tradnl"/>
        </w:rPr>
        <w:t>mg vía subcutánea una vez por semana.</w:t>
      </w:r>
      <w:r w:rsidRPr="008A106B">
        <w:rPr>
          <w:lang w:val="es-ES_tradnl"/>
        </w:rPr>
        <w:t xml:space="preserve"> </w:t>
      </w:r>
    </w:p>
    <w:p w14:paraId="4EAF4B88" w14:textId="77777777" w:rsidR="00DC224A" w:rsidRPr="008A106B" w:rsidRDefault="00DC224A" w:rsidP="00DC224A">
      <w:pPr>
        <w:rPr>
          <w:lang w:val="es-ES"/>
        </w:rPr>
      </w:pPr>
    </w:p>
    <w:p w14:paraId="35F16FAE" w14:textId="1BF4B9E4" w:rsidR="00DC224A" w:rsidRDefault="00DC224A" w:rsidP="00DC224A">
      <w:pPr>
        <w:rPr>
          <w:lang w:val="es-ES"/>
        </w:rPr>
      </w:pPr>
      <w:r w:rsidRPr="00CA1B1E">
        <w:rPr>
          <w:lang w:val="es-ES"/>
        </w:rPr>
        <w:t xml:space="preserve">Hay información limitada disponible sobre el cambio de pacientes de la formulación intravenosa a subcutánea de </w:t>
      </w:r>
      <w:r w:rsidR="005716EC">
        <w:rPr>
          <w:lang w:val="es-ES"/>
        </w:rPr>
        <w:t>tocilizumab</w:t>
      </w:r>
      <w:r w:rsidR="005716EC" w:rsidRPr="00CA1B1E">
        <w:rPr>
          <w:lang w:val="es-ES"/>
        </w:rPr>
        <w:t xml:space="preserve"> </w:t>
      </w:r>
      <w:r w:rsidRPr="00CA1B1E">
        <w:rPr>
          <w:lang w:val="es-ES"/>
        </w:rPr>
        <w:t xml:space="preserve">a dosis fija. </w:t>
      </w:r>
      <w:del w:id="1465" w:author="AUTHOR">
        <w:r w:rsidRPr="00CA1B1E" w:rsidDel="00522B20">
          <w:rPr>
            <w:lang w:val="es-ES"/>
          </w:rPr>
          <w:delText>Una vez iniciado el cambio e</w:delText>
        </w:r>
      </w:del>
      <w:ins w:id="1466" w:author="AUTHOR">
        <w:r w:rsidR="00522B20">
          <w:rPr>
            <w:lang w:val="es-ES"/>
          </w:rPr>
          <w:t>E</w:t>
        </w:r>
      </w:ins>
      <w:r w:rsidRPr="00CA1B1E">
        <w:rPr>
          <w:lang w:val="es-ES"/>
        </w:rPr>
        <w:t>l intervalo de dosis debería ser una vez a la semana.</w:t>
      </w:r>
      <w:r>
        <w:rPr>
          <w:lang w:val="es-ES"/>
        </w:rPr>
        <w:t xml:space="preserve"> </w:t>
      </w:r>
    </w:p>
    <w:p w14:paraId="0A5646CC" w14:textId="77777777" w:rsidR="00DC224A" w:rsidRDefault="00DC224A" w:rsidP="00DC224A">
      <w:pPr>
        <w:rPr>
          <w:lang w:val="es-ES"/>
        </w:rPr>
      </w:pPr>
    </w:p>
    <w:p w14:paraId="2AE6B8C2" w14:textId="77777777" w:rsidR="00DC224A" w:rsidRDefault="00300F2A" w:rsidP="00DC224A">
      <w:pPr>
        <w:rPr>
          <w:lang w:val="es-ES"/>
        </w:rPr>
      </w:pPr>
      <w:r>
        <w:rPr>
          <w:lang w:val="es-ES"/>
        </w:rPr>
        <w:t>En l</w:t>
      </w:r>
      <w:r w:rsidR="00DC224A">
        <w:rPr>
          <w:lang w:val="es-ES"/>
        </w:rPr>
        <w:t>os pacientes que cambien de la formulación intravenosa a la formulación subcutánea,</w:t>
      </w:r>
      <w:r>
        <w:rPr>
          <w:lang w:val="es-ES"/>
        </w:rPr>
        <w:t xml:space="preserve"> se</w:t>
      </w:r>
      <w:r w:rsidR="00DC224A">
        <w:rPr>
          <w:lang w:val="es-ES"/>
        </w:rPr>
        <w:t xml:space="preserve"> debe administrar</w:t>
      </w:r>
      <w:r w:rsidR="00D54DB5">
        <w:rPr>
          <w:lang w:val="es-ES"/>
        </w:rPr>
        <w:t xml:space="preserve"> </w:t>
      </w:r>
      <w:r>
        <w:rPr>
          <w:lang w:val="es-ES"/>
        </w:rPr>
        <w:t>la</w:t>
      </w:r>
      <w:r w:rsidR="00DC224A">
        <w:rPr>
          <w:lang w:val="es-ES"/>
        </w:rPr>
        <w:t xml:space="preserve"> primera dosis subcutánea en lugar de la siguiente dosis intravenosa programada, bajo la supervisión de un profesional sanitario cualificado.</w:t>
      </w:r>
    </w:p>
    <w:p w14:paraId="704AAA3D" w14:textId="77777777" w:rsidR="00DC224A" w:rsidRDefault="00DC224A" w:rsidP="00DC224A">
      <w:pPr>
        <w:rPr>
          <w:lang w:val="es-ES"/>
        </w:rPr>
      </w:pPr>
    </w:p>
    <w:p w14:paraId="7B71D61A" w14:textId="77777777" w:rsidR="00DC224A" w:rsidRPr="00467FFD" w:rsidRDefault="005716EC" w:rsidP="00DC224A">
      <w:pPr>
        <w:rPr>
          <w:i/>
          <w:iCs/>
          <w:lang w:val="es-ES"/>
          <w:rPrChange w:id="1467" w:author="AUTHOR">
            <w:rPr>
              <w:u w:val="single"/>
              <w:lang w:val="es-ES"/>
            </w:rPr>
          </w:rPrChange>
        </w:rPr>
      </w:pPr>
      <w:r w:rsidRPr="00467FFD">
        <w:rPr>
          <w:i/>
          <w:iCs/>
          <w:lang w:val="es-ES"/>
          <w:rPrChange w:id="1468" w:author="AUTHOR">
            <w:rPr>
              <w:u w:val="single"/>
              <w:lang w:val="es-ES"/>
            </w:rPr>
          </w:rPrChange>
        </w:rPr>
        <w:t xml:space="preserve">Pacientes con </w:t>
      </w:r>
      <w:r w:rsidR="00DC224A" w:rsidRPr="00467FFD">
        <w:rPr>
          <w:i/>
          <w:iCs/>
          <w:lang w:val="es-ES"/>
          <w:rPrChange w:id="1469" w:author="AUTHOR">
            <w:rPr>
              <w:u w:val="single"/>
              <w:lang w:val="es-ES"/>
            </w:rPr>
          </w:rPrChange>
        </w:rPr>
        <w:t>ACG</w:t>
      </w:r>
    </w:p>
    <w:p w14:paraId="592F8BAB" w14:textId="30337BCC" w:rsidR="00DC224A" w:rsidRPr="001E21B5" w:rsidRDefault="00DC224A" w:rsidP="00DC224A">
      <w:pPr>
        <w:rPr>
          <w:szCs w:val="22"/>
          <w:lang w:val="es-ES"/>
        </w:rPr>
      </w:pPr>
      <w:r w:rsidRPr="00606BCF">
        <w:rPr>
          <w:lang w:val="es-ES_tradnl"/>
        </w:rPr>
        <w:t xml:space="preserve">La </w:t>
      </w:r>
      <w:r w:rsidRPr="006C05BA">
        <w:rPr>
          <w:lang w:val="es-ES_tradnl"/>
        </w:rPr>
        <w:t>posología recomendada es una dosi</w:t>
      </w:r>
      <w:r w:rsidRPr="00C22F3F">
        <w:rPr>
          <w:lang w:val="es-ES_tradnl"/>
        </w:rPr>
        <w:t>s de 162</w:t>
      </w:r>
      <w:r>
        <w:rPr>
          <w:lang w:val="es-ES_tradnl"/>
        </w:rPr>
        <w:t> </w:t>
      </w:r>
      <w:r w:rsidRPr="00C22F3F">
        <w:rPr>
          <w:lang w:val="es-ES_tradnl"/>
        </w:rPr>
        <w:t xml:space="preserve">mg por vía subcutánea una vez por semana en combinación con una reducción gradual de glucocorticoides. Se puede usar </w:t>
      </w:r>
      <w:r w:rsidR="001D0713">
        <w:rPr>
          <w:szCs w:val="22"/>
          <w:lang w:val="es-ES"/>
        </w:rPr>
        <w:t>este medicamento</w:t>
      </w:r>
      <w:r w:rsidR="005716EC" w:rsidRPr="006868F5">
        <w:rPr>
          <w:szCs w:val="22"/>
          <w:lang w:val="es-ES"/>
        </w:rPr>
        <w:t xml:space="preserve"> </w:t>
      </w:r>
      <w:r w:rsidRPr="001E21B5">
        <w:rPr>
          <w:szCs w:val="22"/>
          <w:lang w:val="es-ES"/>
        </w:rPr>
        <w:t xml:space="preserve">en monoterapia </w:t>
      </w:r>
      <w:r w:rsidRPr="006868F5">
        <w:rPr>
          <w:szCs w:val="22"/>
          <w:lang w:val="es-ES"/>
        </w:rPr>
        <w:t xml:space="preserve">tras </w:t>
      </w:r>
      <w:r w:rsidRPr="001E21B5">
        <w:rPr>
          <w:szCs w:val="22"/>
          <w:lang w:val="es-ES"/>
        </w:rPr>
        <w:t>la suspensión de</w:t>
      </w:r>
      <w:r w:rsidRPr="006868F5">
        <w:rPr>
          <w:szCs w:val="22"/>
          <w:lang w:val="es-ES"/>
        </w:rPr>
        <w:t xml:space="preserve"> los glucocorticoid</w:t>
      </w:r>
      <w:r w:rsidRPr="001E21B5">
        <w:rPr>
          <w:szCs w:val="22"/>
          <w:lang w:val="es-ES"/>
        </w:rPr>
        <w:t>e</w:t>
      </w:r>
      <w:r w:rsidRPr="006868F5">
        <w:rPr>
          <w:szCs w:val="22"/>
          <w:lang w:val="es-ES"/>
        </w:rPr>
        <w:t>s.</w:t>
      </w:r>
    </w:p>
    <w:p w14:paraId="100E1270" w14:textId="0989DFAC" w:rsidR="00DC224A" w:rsidRPr="00C22F3F" w:rsidRDefault="005716EC" w:rsidP="00DC224A">
      <w:pPr>
        <w:rPr>
          <w:szCs w:val="22"/>
          <w:lang w:val="es-ES"/>
        </w:rPr>
      </w:pPr>
      <w:r>
        <w:rPr>
          <w:szCs w:val="22"/>
          <w:lang w:val="es-ES"/>
        </w:rPr>
        <w:t xml:space="preserve">Tocilizumab </w:t>
      </w:r>
      <w:r w:rsidR="00DC224A" w:rsidRPr="00606BCF">
        <w:rPr>
          <w:szCs w:val="22"/>
          <w:lang w:val="es-ES"/>
        </w:rPr>
        <w:t>en monoterapia no debe ser usado para el tratamien</w:t>
      </w:r>
      <w:r w:rsidR="00DC224A" w:rsidRPr="006C05BA">
        <w:rPr>
          <w:szCs w:val="22"/>
          <w:lang w:val="es-ES"/>
        </w:rPr>
        <w:t>to de recaídas agudas (ver sección</w:t>
      </w:r>
      <w:r w:rsidR="00470A27">
        <w:rPr>
          <w:szCs w:val="22"/>
          <w:lang w:val="es-ES"/>
        </w:rPr>
        <w:t> </w:t>
      </w:r>
      <w:r w:rsidR="00DC224A" w:rsidRPr="006C05BA">
        <w:rPr>
          <w:szCs w:val="22"/>
          <w:lang w:val="es-ES"/>
        </w:rPr>
        <w:t>4.4).</w:t>
      </w:r>
    </w:p>
    <w:p w14:paraId="06E61B12" w14:textId="77777777" w:rsidR="00DC224A" w:rsidRPr="00C22F3F" w:rsidRDefault="00DC224A" w:rsidP="00DC224A">
      <w:pPr>
        <w:rPr>
          <w:szCs w:val="22"/>
          <w:lang w:val="es-ES"/>
        </w:rPr>
      </w:pPr>
    </w:p>
    <w:p w14:paraId="44A946D9" w14:textId="095671A6" w:rsidR="00DC224A" w:rsidRDefault="00DC224A" w:rsidP="00DC224A">
      <w:pPr>
        <w:rPr>
          <w:lang w:val="es-ES"/>
        </w:rPr>
      </w:pPr>
      <w:r w:rsidRPr="00C22F3F">
        <w:rPr>
          <w:lang w:val="es-ES"/>
        </w:rPr>
        <w:t>Debido a la naturaleza crónica de ACG, tratamientos superiores a 52</w:t>
      </w:r>
      <w:r w:rsidR="001D0713" w:rsidRPr="00F30AB8">
        <w:rPr>
          <w:szCs w:val="22"/>
          <w:lang w:val="es-ES"/>
        </w:rPr>
        <w:t> </w:t>
      </w:r>
      <w:r w:rsidRPr="00C22F3F">
        <w:rPr>
          <w:lang w:val="es-ES"/>
        </w:rPr>
        <w:t>semanas se deben regir por la actividad de la enfermedad, el criterio del médico y la elección del paciente.</w:t>
      </w:r>
    </w:p>
    <w:p w14:paraId="2D0FCD59" w14:textId="77777777" w:rsidR="00DC224A" w:rsidRDefault="00DC224A" w:rsidP="00DC224A">
      <w:pPr>
        <w:rPr>
          <w:lang w:val="es-ES"/>
        </w:rPr>
      </w:pPr>
    </w:p>
    <w:p w14:paraId="524592FE" w14:textId="77777777" w:rsidR="00DC224A" w:rsidRPr="00467FFD" w:rsidRDefault="005716EC" w:rsidP="00FF2AFA">
      <w:pPr>
        <w:keepNext/>
        <w:rPr>
          <w:i/>
          <w:iCs/>
          <w:lang w:val="es-ES"/>
          <w:rPrChange w:id="1470" w:author="AUTHOR">
            <w:rPr>
              <w:u w:val="single"/>
              <w:lang w:val="es-ES"/>
            </w:rPr>
          </w:rPrChange>
        </w:rPr>
      </w:pPr>
      <w:r w:rsidRPr="00467FFD">
        <w:rPr>
          <w:i/>
          <w:iCs/>
          <w:lang w:val="es-ES"/>
          <w:rPrChange w:id="1471" w:author="AUTHOR">
            <w:rPr>
              <w:u w:val="single"/>
              <w:lang w:val="es-ES"/>
            </w:rPr>
          </w:rPrChange>
        </w:rPr>
        <w:t xml:space="preserve">Pacientes con </w:t>
      </w:r>
      <w:r w:rsidR="00DC224A" w:rsidRPr="00467FFD">
        <w:rPr>
          <w:i/>
          <w:iCs/>
          <w:lang w:val="es-ES"/>
          <w:rPrChange w:id="1472" w:author="AUTHOR">
            <w:rPr>
              <w:u w:val="single"/>
              <w:lang w:val="es-ES"/>
            </w:rPr>
          </w:rPrChange>
        </w:rPr>
        <w:t>AR y ACG</w:t>
      </w:r>
    </w:p>
    <w:p w14:paraId="5224F4F0" w14:textId="5452AE91" w:rsidR="00DC224A" w:rsidRPr="00F30AB8" w:rsidRDefault="00DC224A" w:rsidP="00FF2AFA">
      <w:pPr>
        <w:keepNext/>
        <w:rPr>
          <w:i/>
          <w:u w:val="single"/>
          <w:lang w:val="es-ES"/>
        </w:rPr>
      </w:pPr>
      <w:r w:rsidRPr="00F30AB8">
        <w:rPr>
          <w:i/>
          <w:u w:val="single"/>
          <w:lang w:val="es-ES"/>
        </w:rPr>
        <w:t>Ajustes de dosis si los valores de laboratorio están fuera de los parámetros normales (ver sección</w:t>
      </w:r>
      <w:r w:rsidR="00470A27" w:rsidRPr="00F30AB8">
        <w:rPr>
          <w:i/>
          <w:u w:val="single"/>
          <w:lang w:val="es-ES"/>
        </w:rPr>
        <w:t> </w:t>
      </w:r>
      <w:r w:rsidRPr="00F30AB8">
        <w:rPr>
          <w:i/>
          <w:u w:val="single"/>
          <w:lang w:val="es-ES"/>
        </w:rPr>
        <w:t>4.4).</w:t>
      </w:r>
    </w:p>
    <w:p w14:paraId="6ED56CC8" w14:textId="77777777" w:rsidR="00DC224A" w:rsidRPr="008A106B" w:rsidRDefault="00DC224A" w:rsidP="00FF2AFA">
      <w:pPr>
        <w:keepNext/>
        <w:rPr>
          <w:lang w:val="es-ES"/>
        </w:rPr>
      </w:pPr>
    </w:p>
    <w:p w14:paraId="0CBB2D72" w14:textId="77777777" w:rsidR="00DC224A" w:rsidRPr="008A106B" w:rsidRDefault="00DC224A" w:rsidP="00FF2AFA">
      <w:pPr>
        <w:keepNext/>
        <w:keepLines/>
        <w:rPr>
          <w:lang w:val="es-ES"/>
        </w:rPr>
      </w:pPr>
      <w:r w:rsidRPr="008A106B">
        <w:rPr>
          <w:lang w:val="es-ES"/>
        </w:rPr>
        <w:sym w:font="Symbol" w:char="F0B7"/>
      </w:r>
      <w:r w:rsidRPr="008A106B">
        <w:rPr>
          <w:lang w:val="es-ES"/>
        </w:rPr>
        <w:tab/>
        <w:t>Enzimas hepáticas fuera de los valores normales</w:t>
      </w:r>
    </w:p>
    <w:p w14:paraId="03CB1A67" w14:textId="77777777" w:rsidR="00DC224A" w:rsidRPr="008A106B" w:rsidRDefault="00DC224A" w:rsidP="00FF2AFA">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4"/>
        <w:gridCol w:w="7137"/>
      </w:tblGrid>
      <w:tr w:rsidR="00DC224A" w:rsidRPr="005A5612" w14:paraId="70BBB0C6" w14:textId="77777777" w:rsidTr="0072377D">
        <w:tc>
          <w:tcPr>
            <w:tcW w:w="2040" w:type="dxa"/>
          </w:tcPr>
          <w:p w14:paraId="21C0866F" w14:textId="77777777" w:rsidR="00DC224A" w:rsidRPr="005A5612" w:rsidRDefault="00DC224A" w:rsidP="00FF2AFA">
            <w:pPr>
              <w:pStyle w:val="TextTi12"/>
              <w:keepNext/>
              <w:keepLines/>
              <w:jc w:val="center"/>
              <w:rPr>
                <w:sz w:val="22"/>
                <w:szCs w:val="22"/>
              </w:rPr>
            </w:pPr>
            <w:r w:rsidRPr="005A5612">
              <w:rPr>
                <w:sz w:val="22"/>
                <w:szCs w:val="22"/>
              </w:rPr>
              <w:t>Valor de laboratorio</w:t>
            </w:r>
          </w:p>
        </w:tc>
        <w:tc>
          <w:tcPr>
            <w:tcW w:w="8040" w:type="dxa"/>
          </w:tcPr>
          <w:p w14:paraId="71F21FD2" w14:textId="77777777" w:rsidR="00DC224A" w:rsidRPr="005A5612" w:rsidRDefault="00DC224A" w:rsidP="00FF2AFA">
            <w:pPr>
              <w:pStyle w:val="TextTi12"/>
              <w:keepNext/>
              <w:keepLines/>
              <w:jc w:val="center"/>
              <w:rPr>
                <w:sz w:val="22"/>
                <w:szCs w:val="22"/>
              </w:rPr>
            </w:pPr>
            <w:r w:rsidRPr="005A5612">
              <w:rPr>
                <w:sz w:val="22"/>
                <w:szCs w:val="22"/>
              </w:rPr>
              <w:t>Acción</w:t>
            </w:r>
          </w:p>
        </w:tc>
      </w:tr>
      <w:tr w:rsidR="00DC224A" w:rsidRPr="00541248" w14:paraId="06F06B21" w14:textId="77777777" w:rsidTr="0072377D">
        <w:tc>
          <w:tcPr>
            <w:tcW w:w="2040" w:type="dxa"/>
          </w:tcPr>
          <w:p w14:paraId="6B7994F0" w14:textId="40DA134A" w:rsidR="00DC224A" w:rsidRPr="005A5612" w:rsidRDefault="00F05134" w:rsidP="00FF2AFA">
            <w:pPr>
              <w:pStyle w:val="TextTi12"/>
              <w:keepNext/>
              <w:keepLines/>
              <w:rPr>
                <w:sz w:val="22"/>
                <w:szCs w:val="22"/>
                <w:lang w:val="es-ES"/>
              </w:rPr>
            </w:pPr>
            <w:r w:rsidRPr="00F30AB8">
              <w:rPr>
                <w:rFonts w:eastAsia="MS Mincho"/>
                <w:sz w:val="22"/>
                <w:szCs w:val="22"/>
                <w:lang w:val="es-ES" w:eastAsia="ja-JP"/>
              </w:rPr>
              <w:t> &gt; 1 a 3 × </w:t>
            </w:r>
            <w:r w:rsidR="00DC224A" w:rsidRPr="005A5612">
              <w:rPr>
                <w:sz w:val="22"/>
                <w:szCs w:val="22"/>
                <w:lang w:val="es-ES"/>
              </w:rPr>
              <w:t xml:space="preserve">Límite superior de Normalidad (LSN) </w:t>
            </w:r>
          </w:p>
        </w:tc>
        <w:tc>
          <w:tcPr>
            <w:tcW w:w="8040" w:type="dxa"/>
          </w:tcPr>
          <w:p w14:paraId="3253A284" w14:textId="77777777" w:rsidR="00DC224A" w:rsidRPr="005A5612" w:rsidRDefault="00DC224A" w:rsidP="00FF2AFA">
            <w:pPr>
              <w:pStyle w:val="TextTi12"/>
              <w:keepNext/>
              <w:keepLines/>
              <w:rPr>
                <w:sz w:val="22"/>
                <w:szCs w:val="22"/>
                <w:lang w:val="es-ES"/>
              </w:rPr>
            </w:pPr>
            <w:r w:rsidRPr="005A5612">
              <w:rPr>
                <w:sz w:val="22"/>
                <w:szCs w:val="22"/>
                <w:lang w:val="es-ES"/>
              </w:rPr>
              <w:t xml:space="preserve">Si procede, modificar la dosis de la medicación concomitante </w:t>
            </w:r>
            <w:r>
              <w:rPr>
                <w:sz w:val="22"/>
                <w:szCs w:val="22"/>
                <w:lang w:val="es-ES"/>
              </w:rPr>
              <w:t xml:space="preserve">de </w:t>
            </w:r>
            <w:r w:rsidRPr="005A5612">
              <w:rPr>
                <w:sz w:val="22"/>
                <w:szCs w:val="22"/>
                <w:lang w:val="es-ES"/>
              </w:rPr>
              <w:t>FAMEs</w:t>
            </w:r>
            <w:r>
              <w:rPr>
                <w:sz w:val="22"/>
                <w:szCs w:val="22"/>
                <w:lang w:val="es-ES"/>
              </w:rPr>
              <w:t xml:space="preserve"> (AR) o agentes inmunomoduladores (ACG)</w:t>
            </w:r>
            <w:r w:rsidRPr="005A5612">
              <w:rPr>
                <w:sz w:val="22"/>
                <w:szCs w:val="22"/>
                <w:lang w:val="es-ES"/>
              </w:rPr>
              <w:t xml:space="preserve">. </w:t>
            </w:r>
          </w:p>
          <w:p w14:paraId="4D8E6803" w14:textId="16AF7D6B" w:rsidR="00DC224A" w:rsidRPr="005A5612" w:rsidRDefault="00DC224A" w:rsidP="00FF2AFA">
            <w:pPr>
              <w:pStyle w:val="TextTi12"/>
              <w:keepNext/>
              <w:keepLines/>
              <w:rPr>
                <w:lang w:val="es-ES_tradnl"/>
              </w:rPr>
            </w:pPr>
            <w:r w:rsidRPr="005A5612">
              <w:rPr>
                <w:sz w:val="22"/>
                <w:szCs w:val="22"/>
                <w:lang w:val="es-ES"/>
              </w:rPr>
              <w:t xml:space="preserve">Si el incremento continúa dentro de este rango, reducir la frecuencia de dosis de </w:t>
            </w:r>
            <w:r w:rsidR="00950051">
              <w:rPr>
                <w:sz w:val="22"/>
                <w:szCs w:val="22"/>
                <w:lang w:val="es-ES"/>
              </w:rPr>
              <w:t xml:space="preserve">tocilizumab </w:t>
            </w:r>
            <w:r w:rsidRPr="005A5612">
              <w:rPr>
                <w:sz w:val="22"/>
                <w:szCs w:val="22"/>
                <w:lang w:val="es-ES"/>
              </w:rPr>
              <w:t>a la inyección cada dos semanas o interrumpir la administración de</w:t>
            </w:r>
            <w:r w:rsidR="00950051">
              <w:rPr>
                <w:sz w:val="22"/>
                <w:szCs w:val="22"/>
                <w:lang w:val="es-ES"/>
              </w:rPr>
              <w:t>l tratamiento</w:t>
            </w:r>
            <w:r w:rsidRPr="005A5612">
              <w:rPr>
                <w:sz w:val="22"/>
                <w:szCs w:val="22"/>
                <w:lang w:val="es-ES"/>
              </w:rPr>
              <w:t xml:space="preserve"> hasta que los valores de </w:t>
            </w:r>
            <w:r w:rsidRPr="005A5612">
              <w:rPr>
                <w:sz w:val="22"/>
                <w:szCs w:val="22"/>
                <w:lang w:val="es-ES_tradnl"/>
              </w:rPr>
              <w:t>alanina aminotransferasa (ALT) o aspartato aminotransferasa</w:t>
            </w:r>
            <w:r>
              <w:rPr>
                <w:sz w:val="22"/>
                <w:szCs w:val="22"/>
                <w:lang w:val="es-ES_tradnl"/>
              </w:rPr>
              <w:t xml:space="preserve"> (AST)</w:t>
            </w:r>
            <w:r w:rsidRPr="005A5612">
              <w:rPr>
                <w:sz w:val="22"/>
                <w:szCs w:val="22"/>
                <w:lang w:val="es-ES_tradnl"/>
              </w:rPr>
              <w:t xml:space="preserve"> se normalicen.</w:t>
            </w:r>
          </w:p>
          <w:p w14:paraId="6B390E8F" w14:textId="656B3A06" w:rsidR="00DC224A" w:rsidRPr="005A5612" w:rsidRDefault="00DC224A" w:rsidP="00FF2AFA">
            <w:pPr>
              <w:pStyle w:val="TextTi12"/>
              <w:keepNext/>
              <w:keepLines/>
              <w:rPr>
                <w:sz w:val="22"/>
                <w:szCs w:val="22"/>
                <w:lang w:val="es-ES"/>
              </w:rPr>
            </w:pPr>
            <w:r w:rsidRPr="005A5612">
              <w:rPr>
                <w:sz w:val="22"/>
                <w:szCs w:val="22"/>
                <w:lang w:val="es-ES"/>
              </w:rPr>
              <w:t xml:space="preserve">Reestablecer la administración de </w:t>
            </w:r>
            <w:r w:rsidR="00950051">
              <w:rPr>
                <w:sz w:val="22"/>
                <w:szCs w:val="22"/>
                <w:lang w:val="es-ES"/>
              </w:rPr>
              <w:t>tocilizumab</w:t>
            </w:r>
            <w:r w:rsidR="00950051" w:rsidRPr="005A5612">
              <w:rPr>
                <w:sz w:val="22"/>
                <w:szCs w:val="22"/>
                <w:lang w:val="es-ES"/>
              </w:rPr>
              <w:t xml:space="preserve"> </w:t>
            </w:r>
            <w:r w:rsidRPr="005A5612">
              <w:rPr>
                <w:sz w:val="22"/>
                <w:szCs w:val="22"/>
                <w:lang w:val="es-ES"/>
              </w:rPr>
              <w:t>con la inyección semanal o cada dos semanas, según sea clínicamente apropiado.</w:t>
            </w:r>
          </w:p>
        </w:tc>
      </w:tr>
      <w:tr w:rsidR="00DC224A" w:rsidRPr="00AB3513" w14:paraId="34462F5F" w14:textId="77777777" w:rsidTr="0072377D">
        <w:tc>
          <w:tcPr>
            <w:tcW w:w="2040" w:type="dxa"/>
          </w:tcPr>
          <w:p w14:paraId="504A891C" w14:textId="16A72390" w:rsidR="00DC224A" w:rsidRPr="00AB3513" w:rsidRDefault="00F05134" w:rsidP="0072377D">
            <w:pPr>
              <w:pStyle w:val="TextTi12"/>
              <w:rPr>
                <w:sz w:val="22"/>
                <w:szCs w:val="22"/>
                <w:lang w:val="es-ES"/>
                <w:rPrChange w:id="1473" w:author="TCS" w:date="2026-03-19T15:07:00Z">
                  <w:rPr>
                    <w:sz w:val="22"/>
                    <w:szCs w:val="22"/>
                    <w:lang w:val="es-ES"/>
                  </w:rPr>
                </w:rPrChange>
              </w:rPr>
            </w:pPr>
            <w:r w:rsidRPr="00AB3513">
              <w:rPr>
                <w:rFonts w:eastAsia="MS Mincho"/>
                <w:sz w:val="22"/>
                <w:szCs w:val="22"/>
                <w:lang w:val="es-ES" w:eastAsia="ja-JP"/>
                <w:rPrChange w:id="1474" w:author="TCS" w:date="2026-03-19T15:07:00Z">
                  <w:rPr>
                    <w:rFonts w:eastAsia="MS Mincho"/>
                    <w:sz w:val="22"/>
                    <w:szCs w:val="22"/>
                    <w:lang w:val="es-ES" w:eastAsia="ja-JP"/>
                  </w:rPr>
                </w:rPrChange>
              </w:rPr>
              <w:t> </w:t>
            </w:r>
            <w:r w:rsidRPr="00AB3513">
              <w:rPr>
                <w:rFonts w:eastAsia="MS Mincho"/>
                <w:sz w:val="22"/>
                <w:szCs w:val="22"/>
                <w:lang w:val="en-GB" w:eastAsia="ja-JP"/>
                <w:rPrChange w:id="1475" w:author="TCS" w:date="2026-03-19T15:07:00Z">
                  <w:rPr>
                    <w:rFonts w:eastAsia="MS Mincho"/>
                    <w:sz w:val="22"/>
                    <w:szCs w:val="22"/>
                    <w:lang w:val="en-GB" w:eastAsia="ja-JP"/>
                  </w:rPr>
                </w:rPrChange>
              </w:rPr>
              <w:t>&gt; 3 a 5 × LSN</w:t>
            </w:r>
            <w:r w:rsidRPr="00AB3513" w:rsidDel="00F05134">
              <w:rPr>
                <w:rFonts w:eastAsia="MS Mincho"/>
                <w:sz w:val="22"/>
                <w:szCs w:val="22"/>
                <w:lang w:val="en-GB"/>
                <w:rPrChange w:id="1476" w:author="TCS" w:date="2026-03-19T15:07:00Z">
                  <w:rPr>
                    <w:rFonts w:ascii="Arial" w:eastAsia="MS Mincho" w:hAnsi="Arial" w:cs="Arial"/>
                    <w:sz w:val="22"/>
                    <w:szCs w:val="22"/>
                    <w:lang w:val="en-GB"/>
                  </w:rPr>
                </w:rPrChange>
              </w:rPr>
              <w:t xml:space="preserve"> </w:t>
            </w:r>
          </w:p>
          <w:p w14:paraId="567AD2E2" w14:textId="77777777" w:rsidR="00DC224A" w:rsidRPr="00AB3513" w:rsidRDefault="00DC224A" w:rsidP="0072377D">
            <w:pPr>
              <w:pStyle w:val="TextTi12"/>
              <w:jc w:val="left"/>
              <w:rPr>
                <w:sz w:val="22"/>
                <w:szCs w:val="22"/>
                <w:lang w:val="es-ES"/>
                <w:rPrChange w:id="1477" w:author="TCS" w:date="2026-03-19T15:07:00Z">
                  <w:rPr>
                    <w:sz w:val="22"/>
                    <w:szCs w:val="22"/>
                    <w:lang w:val="es-ES"/>
                  </w:rPr>
                </w:rPrChange>
              </w:rPr>
            </w:pPr>
          </w:p>
        </w:tc>
        <w:tc>
          <w:tcPr>
            <w:tcW w:w="8040" w:type="dxa"/>
          </w:tcPr>
          <w:p w14:paraId="40F90E87" w14:textId="6011DBE2" w:rsidR="00DC224A" w:rsidRPr="00AB3513" w:rsidRDefault="003532C2" w:rsidP="0072377D">
            <w:pPr>
              <w:rPr>
                <w:lang w:val="es-ES_tradnl"/>
                <w:rPrChange w:id="1478" w:author="TCS" w:date="2026-03-19T15:07:00Z">
                  <w:rPr>
                    <w:lang w:val="es-ES_tradnl"/>
                  </w:rPr>
                </w:rPrChange>
              </w:rPr>
            </w:pPr>
            <w:r w:rsidRPr="00AB3513">
              <w:rPr>
                <w:lang w:val="es-ES_tradnl"/>
                <w:rPrChange w:id="1479" w:author="TCS" w:date="2026-03-19T15:07:00Z">
                  <w:rPr>
                    <w:lang w:val="es-ES_tradnl"/>
                  </w:rPr>
                </w:rPrChange>
              </w:rPr>
              <w:t>Se d</w:t>
            </w:r>
            <w:del w:id="1480" w:author="AUTHOR">
              <w:r w:rsidR="00DC224A" w:rsidRPr="00AB3513" w:rsidDel="00522B20">
                <w:rPr>
                  <w:lang w:val="es-ES_tradnl"/>
                  <w:rPrChange w:id="1481" w:author="TCS" w:date="2026-03-19T15:07:00Z">
                    <w:rPr>
                      <w:lang w:val="es-ES_tradnl"/>
                    </w:rPr>
                  </w:rPrChange>
                </w:rPr>
                <w:delText>D</w:delText>
              </w:r>
            </w:del>
            <w:r w:rsidR="00DC224A" w:rsidRPr="00AB3513">
              <w:rPr>
                <w:lang w:val="es-ES_tradnl"/>
                <w:rPrChange w:id="1482" w:author="TCS" w:date="2026-03-19T15:07:00Z">
                  <w:rPr>
                    <w:lang w:val="es-ES_tradnl"/>
                  </w:rPr>
                </w:rPrChange>
              </w:rPr>
              <w:t xml:space="preserve">ebe interrumpir el tratamiento hasta que los valores sean </w:t>
            </w:r>
            <w:r w:rsidR="00950051" w:rsidRPr="00AB3513">
              <w:rPr>
                <w:rFonts w:eastAsia="MS Mincho"/>
                <w:szCs w:val="22"/>
                <w:lang w:val="en-GB"/>
                <w:rPrChange w:id="1483" w:author="TCS" w:date="2026-03-19T15:07:00Z">
                  <w:rPr>
                    <w:rFonts w:ascii="Arial" w:eastAsia="MS Mincho" w:hAnsi="Arial" w:cs="Arial"/>
                    <w:szCs w:val="22"/>
                    <w:lang w:val="en-GB"/>
                  </w:rPr>
                </w:rPrChange>
              </w:rPr>
              <w:sym w:font="Symbol" w:char="F03C"/>
            </w:r>
            <w:r w:rsidR="00950051" w:rsidRPr="00AB3513">
              <w:rPr>
                <w:rFonts w:eastAsia="MS Mincho"/>
                <w:sz w:val="10"/>
                <w:szCs w:val="22"/>
                <w:lang w:val="es-ES"/>
                <w:rPrChange w:id="1484" w:author="TCS" w:date="2026-03-19T15:07:00Z">
                  <w:rPr>
                    <w:rFonts w:ascii="Arial" w:eastAsia="MS Mincho" w:hAnsi="Arial" w:cs="Arial"/>
                    <w:sz w:val="10"/>
                    <w:szCs w:val="22"/>
                    <w:lang w:val="es-ES"/>
                  </w:rPr>
                </w:rPrChange>
              </w:rPr>
              <w:t> </w:t>
            </w:r>
            <w:r w:rsidR="00DC224A" w:rsidRPr="00AB3513">
              <w:rPr>
                <w:lang w:val="es-ES_tradnl"/>
                <w:rPrChange w:id="1485" w:author="TCS" w:date="2026-03-19T15:07:00Z">
                  <w:rPr>
                    <w:lang w:val="es-ES_tradnl"/>
                  </w:rPr>
                </w:rPrChange>
              </w:rPr>
              <w:t xml:space="preserve"> 3</w:t>
            </w:r>
            <w:r w:rsidR="00950051" w:rsidRPr="00AB3513">
              <w:rPr>
                <w:lang w:val="es-ES_tradnl"/>
                <w:rPrChange w:id="1486" w:author="TCS" w:date="2026-03-19T15:07:00Z">
                  <w:rPr>
                    <w:lang w:val="es-ES_tradnl"/>
                  </w:rPr>
                </w:rPrChange>
              </w:rPr>
              <w:t xml:space="preserve"> </w:t>
            </w:r>
            <w:r w:rsidR="00950051" w:rsidRPr="00AB3513">
              <w:rPr>
                <w:rFonts w:eastAsia="MS Mincho"/>
                <w:szCs w:val="22"/>
                <w:lang w:val="en-GB"/>
                <w:rPrChange w:id="1487" w:author="TCS" w:date="2026-03-19T15:07:00Z">
                  <w:rPr>
                    <w:rFonts w:ascii="Arial" w:eastAsia="MS Mincho" w:hAnsi="Arial" w:cs="Arial"/>
                    <w:szCs w:val="22"/>
                    <w:lang w:val="en-GB"/>
                  </w:rPr>
                </w:rPrChange>
              </w:rPr>
              <w:sym w:font="Symbol" w:char="F0B4"/>
            </w:r>
            <w:r w:rsidR="00DC224A" w:rsidRPr="00AB3513">
              <w:rPr>
                <w:lang w:val="es-ES_tradnl"/>
                <w:rPrChange w:id="1488" w:author="TCS" w:date="2026-03-19T15:07:00Z">
                  <w:rPr>
                    <w:lang w:val="es-ES_tradnl"/>
                  </w:rPr>
                </w:rPrChange>
              </w:rPr>
              <w:t xml:space="preserve"> LSN y seguir las recomendaciones indicadas arriba, para valores </w:t>
            </w:r>
            <w:r w:rsidR="00950051" w:rsidRPr="00AB3513">
              <w:rPr>
                <w:rFonts w:eastAsia="MS Mincho"/>
                <w:sz w:val="10"/>
                <w:szCs w:val="22"/>
                <w:lang w:val="es-ES"/>
                <w:rPrChange w:id="1489" w:author="TCS" w:date="2026-03-19T15:07:00Z">
                  <w:rPr>
                    <w:rFonts w:ascii="Arial" w:eastAsia="MS Mincho" w:hAnsi="Arial" w:cs="Arial"/>
                    <w:sz w:val="10"/>
                    <w:szCs w:val="22"/>
                    <w:lang w:val="es-ES"/>
                  </w:rPr>
                </w:rPrChange>
              </w:rPr>
              <w:t> </w:t>
            </w:r>
            <w:r w:rsidR="00950051" w:rsidRPr="00AB3513">
              <w:rPr>
                <w:rFonts w:eastAsia="MS Mincho"/>
                <w:szCs w:val="22"/>
                <w:lang w:val="en-GB"/>
                <w:rPrChange w:id="1490" w:author="TCS" w:date="2026-03-19T15:07:00Z">
                  <w:rPr>
                    <w:rFonts w:ascii="Arial" w:eastAsia="MS Mincho" w:hAnsi="Arial" w:cs="Arial"/>
                    <w:szCs w:val="22"/>
                    <w:lang w:val="en-GB"/>
                  </w:rPr>
                </w:rPrChange>
              </w:rPr>
              <w:sym w:font="Symbol" w:char="F03E"/>
            </w:r>
            <w:r w:rsidR="001D0713" w:rsidRPr="00AB3513">
              <w:rPr>
                <w:szCs w:val="22"/>
                <w:lang w:val="es-ES"/>
                <w:rPrChange w:id="1491" w:author="TCS" w:date="2026-03-19T15:07:00Z">
                  <w:rPr>
                    <w:szCs w:val="22"/>
                    <w:lang w:val="es-ES"/>
                  </w:rPr>
                </w:rPrChange>
              </w:rPr>
              <w:t> </w:t>
            </w:r>
            <w:r w:rsidR="00DC224A" w:rsidRPr="00AB3513">
              <w:rPr>
                <w:lang w:val="es-ES_tradnl"/>
                <w:rPrChange w:id="1492" w:author="TCS" w:date="2026-03-19T15:07:00Z">
                  <w:rPr>
                    <w:lang w:val="es-ES_tradnl"/>
                  </w:rPr>
                </w:rPrChange>
              </w:rPr>
              <w:t>1 a 3</w:t>
            </w:r>
            <w:r w:rsidR="00365E7F" w:rsidRPr="00AB3513">
              <w:rPr>
                <w:rFonts w:eastAsia="MS Mincho"/>
                <w:sz w:val="10"/>
                <w:szCs w:val="22"/>
                <w:lang w:val="es-ES"/>
                <w:rPrChange w:id="1493" w:author="TCS" w:date="2026-03-19T15:07:00Z">
                  <w:rPr>
                    <w:rFonts w:ascii="Arial" w:eastAsia="MS Mincho" w:hAnsi="Arial" w:cs="Arial"/>
                    <w:sz w:val="10"/>
                    <w:szCs w:val="22"/>
                    <w:lang w:val="es-ES"/>
                  </w:rPr>
                </w:rPrChange>
              </w:rPr>
              <w:t> </w:t>
            </w:r>
            <w:r w:rsidR="00365E7F" w:rsidRPr="00AB3513">
              <w:rPr>
                <w:rFonts w:eastAsia="MS Mincho"/>
                <w:szCs w:val="22"/>
                <w:lang w:val="en-GB"/>
                <w:rPrChange w:id="1494" w:author="TCS" w:date="2026-03-19T15:07:00Z">
                  <w:rPr>
                    <w:rFonts w:ascii="Arial" w:eastAsia="MS Mincho" w:hAnsi="Arial" w:cs="Arial"/>
                    <w:szCs w:val="22"/>
                    <w:lang w:val="en-GB"/>
                  </w:rPr>
                </w:rPrChange>
              </w:rPr>
              <w:sym w:font="Symbol" w:char="F0B4"/>
            </w:r>
            <w:r w:rsidR="00365E7F" w:rsidRPr="00AB3513">
              <w:rPr>
                <w:rFonts w:eastAsia="MS Mincho"/>
                <w:sz w:val="10"/>
                <w:szCs w:val="22"/>
                <w:lang w:val="es-ES"/>
                <w:rPrChange w:id="1495" w:author="TCS" w:date="2026-03-19T15:07:00Z">
                  <w:rPr>
                    <w:rFonts w:ascii="Arial" w:eastAsia="MS Mincho" w:hAnsi="Arial" w:cs="Arial"/>
                    <w:sz w:val="10"/>
                    <w:szCs w:val="22"/>
                    <w:lang w:val="es-ES"/>
                  </w:rPr>
                </w:rPrChange>
              </w:rPr>
              <w:t> </w:t>
            </w:r>
            <w:r w:rsidR="00365E7F" w:rsidRPr="00AB3513" w:rsidDel="00365E7F">
              <w:rPr>
                <w:lang w:val="es-ES_tradnl"/>
                <w:rPrChange w:id="1496" w:author="TCS" w:date="2026-03-19T15:07:00Z">
                  <w:rPr>
                    <w:lang w:val="es-ES_tradnl"/>
                  </w:rPr>
                </w:rPrChange>
              </w:rPr>
              <w:t xml:space="preserve"> </w:t>
            </w:r>
            <w:r w:rsidR="00DC224A" w:rsidRPr="00AB3513">
              <w:rPr>
                <w:lang w:val="es-ES_tradnl"/>
                <w:rPrChange w:id="1497" w:author="TCS" w:date="2026-03-19T15:07:00Z">
                  <w:rPr>
                    <w:lang w:val="es-ES_tradnl"/>
                  </w:rPr>
                </w:rPrChange>
              </w:rPr>
              <w:t xml:space="preserve">LSN. </w:t>
            </w:r>
          </w:p>
          <w:p w14:paraId="2DAF367F" w14:textId="77777777" w:rsidR="00DC224A" w:rsidRPr="00AB3513" w:rsidRDefault="00DC224A" w:rsidP="0072377D">
            <w:pPr>
              <w:rPr>
                <w:lang w:val="es-ES_tradnl"/>
                <w:rPrChange w:id="1498" w:author="TCS" w:date="2026-03-19T15:07:00Z">
                  <w:rPr>
                    <w:lang w:val="es-ES_tradnl"/>
                  </w:rPr>
                </w:rPrChange>
              </w:rPr>
            </w:pPr>
          </w:p>
          <w:p w14:paraId="35CA7DBB" w14:textId="1806D85F" w:rsidR="00DC224A" w:rsidRPr="00AB3513" w:rsidRDefault="00DC224A" w:rsidP="0072377D">
            <w:pPr>
              <w:pStyle w:val="TextTi12"/>
              <w:rPr>
                <w:sz w:val="22"/>
                <w:szCs w:val="22"/>
                <w:lang w:val="es-ES"/>
                <w:rPrChange w:id="1499" w:author="TCS" w:date="2026-03-19T15:07:00Z">
                  <w:rPr>
                    <w:sz w:val="22"/>
                    <w:szCs w:val="22"/>
                    <w:lang w:val="es-ES"/>
                  </w:rPr>
                </w:rPrChange>
              </w:rPr>
            </w:pPr>
            <w:r w:rsidRPr="00AB3513">
              <w:rPr>
                <w:sz w:val="22"/>
                <w:szCs w:val="22"/>
                <w:lang w:val="es-ES"/>
                <w:rPrChange w:id="1500" w:author="TCS" w:date="2026-03-19T15:07:00Z">
                  <w:rPr>
                    <w:sz w:val="22"/>
                    <w:szCs w:val="22"/>
                    <w:lang w:val="es-ES"/>
                  </w:rPr>
                </w:rPrChange>
              </w:rPr>
              <w:t xml:space="preserve">Si continúan los valores </w:t>
            </w:r>
            <w:r w:rsidR="00950051" w:rsidRPr="00AB3513">
              <w:rPr>
                <w:rFonts w:eastAsia="MS Mincho"/>
                <w:sz w:val="10"/>
                <w:szCs w:val="22"/>
                <w:lang w:val="es-ES"/>
                <w:rPrChange w:id="1501" w:author="TCS" w:date="2026-03-19T15:07:00Z">
                  <w:rPr>
                    <w:rFonts w:ascii="Arial" w:eastAsia="MS Mincho" w:hAnsi="Arial" w:cs="Arial"/>
                    <w:sz w:val="10"/>
                    <w:szCs w:val="22"/>
                    <w:lang w:val="es-ES"/>
                  </w:rPr>
                </w:rPrChange>
              </w:rPr>
              <w:t> </w:t>
            </w:r>
            <w:r w:rsidR="00950051" w:rsidRPr="00AB3513">
              <w:rPr>
                <w:rFonts w:eastAsia="MS Mincho"/>
                <w:sz w:val="22"/>
                <w:szCs w:val="22"/>
                <w:lang w:val="en-GB"/>
                <w:rPrChange w:id="1502" w:author="TCS" w:date="2026-03-19T15:07:00Z">
                  <w:rPr>
                    <w:rFonts w:ascii="Arial" w:eastAsia="MS Mincho" w:hAnsi="Arial" w:cs="Arial"/>
                    <w:sz w:val="22"/>
                    <w:szCs w:val="22"/>
                    <w:lang w:val="en-GB"/>
                  </w:rPr>
                </w:rPrChange>
              </w:rPr>
              <w:sym w:font="Symbol" w:char="F03E"/>
            </w:r>
            <w:r w:rsidR="001D0713" w:rsidRPr="00AB3513">
              <w:rPr>
                <w:szCs w:val="22"/>
                <w:lang w:val="es-ES"/>
                <w:rPrChange w:id="1503" w:author="TCS" w:date="2026-03-19T15:07:00Z">
                  <w:rPr>
                    <w:szCs w:val="22"/>
                    <w:lang w:val="es-ES"/>
                  </w:rPr>
                </w:rPrChange>
              </w:rPr>
              <w:t> </w:t>
            </w:r>
            <w:r w:rsidRPr="00AB3513">
              <w:rPr>
                <w:sz w:val="22"/>
                <w:szCs w:val="22"/>
                <w:lang w:val="es-ES"/>
                <w:rPrChange w:id="1504" w:author="TCS" w:date="2026-03-19T15:07:00Z">
                  <w:rPr>
                    <w:sz w:val="22"/>
                    <w:szCs w:val="22"/>
                    <w:lang w:val="es-ES"/>
                  </w:rPr>
                </w:rPrChange>
              </w:rPr>
              <w:t xml:space="preserve"> 3</w:t>
            </w:r>
            <w:r w:rsidR="00950051" w:rsidRPr="00AB3513">
              <w:rPr>
                <w:sz w:val="22"/>
                <w:szCs w:val="22"/>
                <w:lang w:val="es-ES"/>
                <w:rPrChange w:id="1505" w:author="TCS" w:date="2026-03-19T15:07:00Z">
                  <w:rPr>
                    <w:sz w:val="22"/>
                    <w:szCs w:val="22"/>
                    <w:lang w:val="es-ES"/>
                  </w:rPr>
                </w:rPrChange>
              </w:rPr>
              <w:t xml:space="preserve"> </w:t>
            </w:r>
            <w:r w:rsidR="00950051" w:rsidRPr="00AB3513">
              <w:rPr>
                <w:rFonts w:eastAsia="MS Mincho"/>
                <w:sz w:val="22"/>
                <w:szCs w:val="22"/>
                <w:lang w:val="en-GB"/>
                <w:rPrChange w:id="1506" w:author="TCS" w:date="2026-03-19T15:07:00Z">
                  <w:rPr>
                    <w:rFonts w:ascii="Arial" w:eastAsia="MS Mincho" w:hAnsi="Arial" w:cs="Arial"/>
                    <w:sz w:val="22"/>
                    <w:szCs w:val="22"/>
                    <w:lang w:val="en-GB"/>
                  </w:rPr>
                </w:rPrChange>
              </w:rPr>
              <w:sym w:font="Symbol" w:char="F0B4"/>
            </w:r>
            <w:r w:rsidRPr="00AB3513">
              <w:rPr>
                <w:sz w:val="22"/>
                <w:szCs w:val="22"/>
                <w:lang w:val="es-ES"/>
                <w:rPrChange w:id="1507" w:author="TCS" w:date="2026-03-19T15:07:00Z">
                  <w:rPr>
                    <w:sz w:val="22"/>
                    <w:szCs w:val="22"/>
                    <w:lang w:val="es-ES"/>
                  </w:rPr>
                </w:rPrChange>
              </w:rPr>
              <w:t xml:space="preserve"> LSN (confirmado por pruebas repetidas, ver sección</w:t>
            </w:r>
            <w:r w:rsidR="00470A27" w:rsidRPr="00AB3513">
              <w:rPr>
                <w:sz w:val="22"/>
                <w:szCs w:val="22"/>
                <w:lang w:val="es-ES"/>
                <w:rPrChange w:id="1508" w:author="TCS" w:date="2026-03-19T15:07:00Z">
                  <w:rPr>
                    <w:sz w:val="22"/>
                    <w:szCs w:val="22"/>
                    <w:lang w:val="es-ES"/>
                  </w:rPr>
                </w:rPrChange>
              </w:rPr>
              <w:t> </w:t>
            </w:r>
            <w:r w:rsidRPr="00AB3513">
              <w:rPr>
                <w:sz w:val="22"/>
                <w:szCs w:val="22"/>
                <w:lang w:val="es-ES"/>
                <w:rPrChange w:id="1509" w:author="TCS" w:date="2026-03-19T15:07:00Z">
                  <w:rPr>
                    <w:sz w:val="22"/>
                    <w:szCs w:val="22"/>
                    <w:lang w:val="es-ES"/>
                  </w:rPr>
                </w:rPrChange>
              </w:rPr>
              <w:t>4.4), hay que interrumpir el tratamiento.</w:t>
            </w:r>
          </w:p>
        </w:tc>
      </w:tr>
      <w:tr w:rsidR="00DC224A" w:rsidRPr="00AB3513" w14:paraId="298B22BB" w14:textId="77777777" w:rsidTr="0072377D">
        <w:tc>
          <w:tcPr>
            <w:tcW w:w="2040" w:type="dxa"/>
          </w:tcPr>
          <w:p w14:paraId="03943172" w14:textId="070CCEE4" w:rsidR="00DC224A" w:rsidRPr="00AB3513" w:rsidRDefault="00F05134" w:rsidP="0072377D">
            <w:pPr>
              <w:pStyle w:val="TextTi12"/>
              <w:rPr>
                <w:sz w:val="22"/>
                <w:szCs w:val="22"/>
                <w:rPrChange w:id="1510" w:author="TCS" w:date="2026-03-19T15:07:00Z">
                  <w:rPr>
                    <w:sz w:val="22"/>
                    <w:szCs w:val="22"/>
                  </w:rPr>
                </w:rPrChange>
              </w:rPr>
            </w:pPr>
            <w:r w:rsidRPr="00AB3513">
              <w:rPr>
                <w:rFonts w:eastAsia="MS Mincho"/>
                <w:sz w:val="22"/>
                <w:szCs w:val="22"/>
                <w:lang w:val="es-ES" w:eastAsia="ja-JP"/>
                <w:rPrChange w:id="1511" w:author="TCS" w:date="2026-03-19T15:07:00Z">
                  <w:rPr>
                    <w:rFonts w:eastAsia="MS Mincho"/>
                    <w:sz w:val="22"/>
                    <w:szCs w:val="22"/>
                    <w:lang w:val="es-ES" w:eastAsia="ja-JP"/>
                  </w:rPr>
                </w:rPrChange>
              </w:rPr>
              <w:t> </w:t>
            </w:r>
            <w:r w:rsidRPr="00AB3513">
              <w:rPr>
                <w:rFonts w:eastAsia="MS Mincho"/>
                <w:sz w:val="22"/>
                <w:szCs w:val="22"/>
                <w:lang w:val="en-GB" w:eastAsia="ja-JP"/>
                <w:rPrChange w:id="1512" w:author="TCS" w:date="2026-03-19T15:07:00Z">
                  <w:rPr>
                    <w:rFonts w:eastAsia="MS Mincho"/>
                    <w:sz w:val="22"/>
                    <w:szCs w:val="22"/>
                    <w:lang w:val="en-GB" w:eastAsia="ja-JP"/>
                  </w:rPr>
                </w:rPrChange>
              </w:rPr>
              <w:t>&gt; 5 × L</w:t>
            </w:r>
            <w:r w:rsidR="00DF4416" w:rsidRPr="00AB3513">
              <w:rPr>
                <w:rFonts w:eastAsia="MS Mincho"/>
                <w:sz w:val="22"/>
                <w:szCs w:val="22"/>
                <w:lang w:val="en-GB" w:eastAsia="ja-JP"/>
                <w:rPrChange w:id="1513" w:author="TCS" w:date="2026-03-19T15:07:00Z">
                  <w:rPr>
                    <w:rFonts w:eastAsia="MS Mincho"/>
                    <w:sz w:val="22"/>
                    <w:szCs w:val="22"/>
                    <w:lang w:val="en-GB" w:eastAsia="ja-JP"/>
                  </w:rPr>
                </w:rPrChange>
              </w:rPr>
              <w:t>S</w:t>
            </w:r>
            <w:r w:rsidRPr="00AB3513">
              <w:rPr>
                <w:rFonts w:eastAsia="MS Mincho"/>
                <w:sz w:val="22"/>
                <w:szCs w:val="22"/>
                <w:lang w:val="en-GB" w:eastAsia="ja-JP"/>
                <w:rPrChange w:id="1514" w:author="TCS" w:date="2026-03-19T15:07:00Z">
                  <w:rPr>
                    <w:rFonts w:eastAsia="MS Mincho"/>
                    <w:sz w:val="22"/>
                    <w:szCs w:val="22"/>
                    <w:lang w:val="en-GB" w:eastAsia="ja-JP"/>
                  </w:rPr>
                </w:rPrChange>
              </w:rPr>
              <w:t>N</w:t>
            </w:r>
          </w:p>
        </w:tc>
        <w:tc>
          <w:tcPr>
            <w:tcW w:w="8040" w:type="dxa"/>
          </w:tcPr>
          <w:p w14:paraId="6739A566" w14:textId="5138733A" w:rsidR="00DC224A" w:rsidRPr="00AB3513" w:rsidRDefault="00DC224A" w:rsidP="0072377D">
            <w:pPr>
              <w:pStyle w:val="TextTi12"/>
              <w:jc w:val="left"/>
              <w:rPr>
                <w:sz w:val="22"/>
                <w:szCs w:val="22"/>
                <w:lang w:val="es-ES"/>
                <w:rPrChange w:id="1515" w:author="TCS" w:date="2026-03-19T15:07:00Z">
                  <w:rPr>
                    <w:sz w:val="22"/>
                    <w:szCs w:val="22"/>
                    <w:lang w:val="es-ES"/>
                  </w:rPr>
                </w:rPrChange>
              </w:rPr>
            </w:pPr>
            <w:r w:rsidRPr="00AB3513">
              <w:rPr>
                <w:sz w:val="22"/>
                <w:szCs w:val="22"/>
                <w:lang w:val="es-ES"/>
                <w:rPrChange w:id="1516" w:author="TCS" w:date="2026-03-19T15:07:00Z">
                  <w:rPr>
                    <w:sz w:val="22"/>
                    <w:szCs w:val="22"/>
                    <w:lang w:val="es-ES"/>
                  </w:rPr>
                </w:rPrChange>
              </w:rPr>
              <w:t>Interrumpir el tratamiento.</w:t>
            </w:r>
          </w:p>
        </w:tc>
      </w:tr>
    </w:tbl>
    <w:p w14:paraId="59C03041" w14:textId="77777777" w:rsidR="00DC224A" w:rsidRPr="00AB3513" w:rsidRDefault="00DC224A" w:rsidP="00DC224A">
      <w:pPr>
        <w:rPr>
          <w:lang w:val="es-ES"/>
          <w:rPrChange w:id="1517" w:author="TCS" w:date="2026-03-19T15:07:00Z">
            <w:rPr>
              <w:lang w:val="es-ES"/>
            </w:rPr>
          </w:rPrChange>
        </w:rPr>
      </w:pPr>
    </w:p>
    <w:p w14:paraId="3D082307" w14:textId="77777777" w:rsidR="00DC224A" w:rsidRPr="00AB3513" w:rsidRDefault="00DC224A" w:rsidP="00DC224A">
      <w:pPr>
        <w:keepNext/>
        <w:keepLines/>
        <w:rPr>
          <w:lang w:val="es-ES"/>
          <w:rPrChange w:id="1518" w:author="TCS" w:date="2026-03-19T15:07:00Z">
            <w:rPr>
              <w:lang w:val="es-ES"/>
            </w:rPr>
          </w:rPrChange>
        </w:rPr>
      </w:pPr>
      <w:r w:rsidRPr="00AB3513">
        <w:rPr>
          <w:lang w:val="es-ES"/>
          <w:rPrChange w:id="1519" w:author="TCS" w:date="2026-03-19T15:07:00Z">
            <w:rPr>
              <w:lang w:val="es-ES"/>
            </w:rPr>
          </w:rPrChange>
        </w:rPr>
        <w:sym w:font="Symbol" w:char="F0B7"/>
      </w:r>
      <w:r w:rsidRPr="00AB3513">
        <w:rPr>
          <w:lang w:val="es-ES"/>
          <w:rPrChange w:id="1520" w:author="TCS" w:date="2026-03-19T15:07:00Z">
            <w:rPr>
              <w:lang w:val="es-ES"/>
            </w:rPr>
          </w:rPrChange>
        </w:rPr>
        <w:tab/>
        <w:t xml:space="preserve">Bajo Recuento Absoluto de Neutrófilos (RAN) </w:t>
      </w:r>
    </w:p>
    <w:p w14:paraId="7C348F38" w14:textId="77777777" w:rsidR="00DC224A" w:rsidRPr="00AB3513" w:rsidRDefault="00DC224A" w:rsidP="00DC224A">
      <w:pPr>
        <w:keepNext/>
        <w:keepLines/>
        <w:rPr>
          <w:lang w:val="es-ES"/>
          <w:rPrChange w:id="1521" w:author="TCS" w:date="2026-03-19T15:07:00Z">
            <w:rPr>
              <w:lang w:val="es-ES"/>
            </w:rPr>
          </w:rPrChange>
        </w:rPr>
      </w:pPr>
    </w:p>
    <w:p w14:paraId="076742B8" w14:textId="446809E9" w:rsidR="00DC224A" w:rsidRPr="00AB3513" w:rsidRDefault="00DC224A" w:rsidP="00DC224A">
      <w:pPr>
        <w:keepNext/>
        <w:keepLines/>
        <w:rPr>
          <w:lang w:val="es-ES"/>
          <w:rPrChange w:id="1522" w:author="TCS" w:date="2026-03-19T15:07:00Z">
            <w:rPr>
              <w:lang w:val="es-ES"/>
            </w:rPr>
          </w:rPrChange>
        </w:rPr>
      </w:pPr>
      <w:r w:rsidRPr="00AB3513">
        <w:rPr>
          <w:lang w:val="es-ES"/>
          <w:rPrChange w:id="1523" w:author="TCS" w:date="2026-03-19T15:07:00Z">
            <w:rPr>
              <w:lang w:val="es-ES"/>
            </w:rPr>
          </w:rPrChange>
        </w:rPr>
        <w:t xml:space="preserve">No se recomienda iniciar el tratamiento, en pacientes que no han sido tratados previamente con </w:t>
      </w:r>
      <w:r w:rsidR="00950051" w:rsidRPr="00AB3513">
        <w:rPr>
          <w:lang w:val="es-ES"/>
          <w:rPrChange w:id="1524" w:author="TCS" w:date="2026-03-19T15:07:00Z">
            <w:rPr>
              <w:lang w:val="es-ES"/>
            </w:rPr>
          </w:rPrChange>
        </w:rPr>
        <w:t>tocilizumab</w:t>
      </w:r>
      <w:r w:rsidRPr="00AB3513">
        <w:rPr>
          <w:lang w:val="es-ES"/>
          <w:rPrChange w:id="1525" w:author="TCS" w:date="2026-03-19T15:07:00Z">
            <w:rPr>
              <w:lang w:val="es-ES"/>
            </w:rPr>
          </w:rPrChange>
        </w:rPr>
        <w:t xml:space="preserve">, si el </w:t>
      </w:r>
      <w:ins w:id="1526" w:author="AUTHOR">
        <w:r w:rsidR="00B46D8D" w:rsidRPr="00AB3513">
          <w:rPr>
            <w:lang w:val="es-ES"/>
            <w:rPrChange w:id="1527" w:author="TCS" w:date="2026-03-19T15:07:00Z">
              <w:rPr>
                <w:lang w:val="es-ES"/>
              </w:rPr>
            </w:rPrChange>
          </w:rPr>
          <w:t>RAN</w:t>
        </w:r>
      </w:ins>
      <w:del w:id="1528" w:author="AUTHOR">
        <w:r w:rsidRPr="00AB3513" w:rsidDel="00B46D8D">
          <w:rPr>
            <w:lang w:val="es-ES"/>
            <w:rPrChange w:id="1529" w:author="TCS" w:date="2026-03-19T15:07:00Z">
              <w:rPr>
                <w:lang w:val="es-ES"/>
              </w:rPr>
            </w:rPrChange>
          </w:rPr>
          <w:delText>recuento absoluto de neutrófilos</w:delText>
        </w:r>
      </w:del>
      <w:r w:rsidRPr="00AB3513">
        <w:rPr>
          <w:lang w:val="es-ES"/>
          <w:rPrChange w:id="1530" w:author="TCS" w:date="2026-03-19T15:07:00Z">
            <w:rPr>
              <w:lang w:val="es-ES"/>
            </w:rPr>
          </w:rPrChange>
        </w:rPr>
        <w:t xml:space="preserve"> está por debajo de </w:t>
      </w:r>
      <w:r w:rsidRPr="00AB3513">
        <w:rPr>
          <w:bCs/>
          <w:lang w:val="es-ES"/>
          <w:rPrChange w:id="1531" w:author="TCS" w:date="2026-03-19T15:07:00Z">
            <w:rPr>
              <w:bCs/>
              <w:lang w:val="es-ES"/>
            </w:rPr>
          </w:rPrChange>
        </w:rPr>
        <w:t>2</w:t>
      </w:r>
      <w:r w:rsidR="00950051" w:rsidRPr="00AB3513">
        <w:rPr>
          <w:rFonts w:eastAsia="MS Mincho"/>
          <w:szCs w:val="22"/>
          <w:lang w:val="en-GB"/>
          <w:rPrChange w:id="1532" w:author="TCS" w:date="2026-03-19T15:07:00Z">
            <w:rPr>
              <w:rFonts w:ascii="Arial" w:eastAsia="MS Mincho" w:hAnsi="Arial" w:cs="Arial"/>
              <w:szCs w:val="22"/>
              <w:lang w:val="en-GB"/>
            </w:rPr>
          </w:rPrChange>
        </w:rPr>
        <w:sym w:font="Symbol" w:char="F0B4"/>
      </w:r>
      <w:r w:rsidRPr="00AB3513">
        <w:rPr>
          <w:bCs/>
          <w:lang w:val="es-ES"/>
          <w:rPrChange w:id="1533" w:author="TCS" w:date="2026-03-19T15:07:00Z">
            <w:rPr>
              <w:bCs/>
              <w:lang w:val="es-ES"/>
            </w:rPr>
          </w:rPrChange>
        </w:rPr>
        <w:t xml:space="preserve"> 10</w:t>
      </w:r>
      <w:r w:rsidRPr="00AB3513">
        <w:rPr>
          <w:bCs/>
          <w:vertAlign w:val="superscript"/>
          <w:lang w:val="es-ES"/>
          <w:rPrChange w:id="1534" w:author="TCS" w:date="2026-03-19T15:07:00Z">
            <w:rPr>
              <w:bCs/>
              <w:vertAlign w:val="superscript"/>
              <w:lang w:val="es-ES"/>
            </w:rPr>
          </w:rPrChange>
        </w:rPr>
        <w:t>9</w:t>
      </w:r>
      <w:r w:rsidRPr="00AB3513">
        <w:rPr>
          <w:bCs/>
          <w:lang w:val="es-ES"/>
          <w:rPrChange w:id="1535" w:author="TCS" w:date="2026-03-19T15:07:00Z">
            <w:rPr>
              <w:bCs/>
              <w:lang w:val="es-ES"/>
            </w:rPr>
          </w:rPrChange>
        </w:rPr>
        <w:t>/l.</w:t>
      </w:r>
    </w:p>
    <w:p w14:paraId="1F774B90" w14:textId="77777777" w:rsidR="00DC224A" w:rsidRPr="008A106B" w:rsidRDefault="00DC224A" w:rsidP="00DC224A">
      <w:pPr>
        <w:keepNext/>
        <w:keepLines/>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7083"/>
      </w:tblGrid>
      <w:tr w:rsidR="00DC224A" w:rsidRPr="005A5612" w14:paraId="680E8B9D" w14:textId="77777777" w:rsidTr="0072377D">
        <w:tc>
          <w:tcPr>
            <w:tcW w:w="2040" w:type="dxa"/>
          </w:tcPr>
          <w:p w14:paraId="3E9A8810" w14:textId="4B8B174F" w:rsidR="00DC224A" w:rsidRPr="005A5612" w:rsidRDefault="00DC224A">
            <w:pPr>
              <w:pStyle w:val="TextTi12"/>
              <w:keepNext/>
              <w:keepLines/>
              <w:jc w:val="center"/>
              <w:rPr>
                <w:sz w:val="22"/>
                <w:szCs w:val="22"/>
                <w:lang w:val="es-ES"/>
              </w:rPr>
            </w:pPr>
            <w:r w:rsidRPr="005A5612">
              <w:rPr>
                <w:sz w:val="22"/>
                <w:szCs w:val="22"/>
                <w:lang w:val="es-ES"/>
              </w:rPr>
              <w:t>Valores de laboratorio</w:t>
            </w:r>
            <w:r w:rsidRPr="005A5612">
              <w:rPr>
                <w:sz w:val="22"/>
                <w:szCs w:val="22"/>
                <w:lang w:val="es-ES"/>
              </w:rPr>
              <w:br/>
              <w:t>(células</w:t>
            </w:r>
            <w:r w:rsidR="00DF4416" w:rsidRPr="00F30AB8">
              <w:rPr>
                <w:rFonts w:eastAsia="MS Mincho"/>
                <w:sz w:val="22"/>
                <w:szCs w:val="22"/>
                <w:lang w:val="es-ES" w:eastAsia="ja-JP"/>
              </w:rPr>
              <w:t> × 10</w:t>
            </w:r>
            <w:r w:rsidR="00DF4416" w:rsidRPr="00F30AB8">
              <w:rPr>
                <w:rFonts w:eastAsia="MS Mincho"/>
                <w:sz w:val="22"/>
                <w:szCs w:val="22"/>
                <w:vertAlign w:val="superscript"/>
                <w:lang w:val="es-ES" w:eastAsia="ja-JP"/>
              </w:rPr>
              <w:t>9</w:t>
            </w:r>
            <w:r w:rsidR="00DF4416" w:rsidRPr="00F30AB8">
              <w:rPr>
                <w:rFonts w:eastAsia="MS Mincho"/>
                <w:sz w:val="22"/>
                <w:szCs w:val="22"/>
                <w:lang w:val="es-ES" w:eastAsia="ja-JP"/>
              </w:rPr>
              <w:t>/l</w:t>
            </w:r>
            <w:r w:rsidRPr="005A5612">
              <w:rPr>
                <w:sz w:val="22"/>
                <w:szCs w:val="22"/>
                <w:lang w:val="es-ES"/>
              </w:rPr>
              <w:t>)</w:t>
            </w:r>
          </w:p>
        </w:tc>
        <w:tc>
          <w:tcPr>
            <w:tcW w:w="8040" w:type="dxa"/>
          </w:tcPr>
          <w:p w14:paraId="4962A2DB" w14:textId="77777777" w:rsidR="00DC224A" w:rsidRPr="005A5612" w:rsidRDefault="00DC224A" w:rsidP="0072377D">
            <w:pPr>
              <w:pStyle w:val="TextTi12"/>
              <w:keepNext/>
              <w:keepLines/>
              <w:jc w:val="center"/>
              <w:rPr>
                <w:sz w:val="22"/>
                <w:szCs w:val="22"/>
                <w:lang w:val="fr-FR"/>
              </w:rPr>
            </w:pPr>
            <w:r w:rsidRPr="005A5612">
              <w:rPr>
                <w:sz w:val="22"/>
                <w:szCs w:val="22"/>
                <w:lang w:val="fr-FR"/>
              </w:rPr>
              <w:t>Acción</w:t>
            </w:r>
          </w:p>
        </w:tc>
      </w:tr>
      <w:tr w:rsidR="00DC224A" w:rsidRPr="005A5612" w14:paraId="01C1149A" w14:textId="77777777" w:rsidTr="0072377D">
        <w:tc>
          <w:tcPr>
            <w:tcW w:w="2040" w:type="dxa"/>
          </w:tcPr>
          <w:p w14:paraId="3F4296E7" w14:textId="1579B645" w:rsidR="00DF4416" w:rsidRDefault="00DF4416" w:rsidP="0072377D">
            <w:pPr>
              <w:pStyle w:val="TextTi12"/>
              <w:keepNext/>
              <w:keepLines/>
              <w:rPr>
                <w:sz w:val="22"/>
                <w:szCs w:val="22"/>
                <w:lang w:val="fr-FR"/>
              </w:rPr>
            </w:pPr>
          </w:p>
          <w:p w14:paraId="110F00FF" w14:textId="71808458" w:rsidR="00DC224A" w:rsidRPr="005A5612" w:rsidRDefault="00DF4416" w:rsidP="0072377D">
            <w:pPr>
              <w:pStyle w:val="TextTi12"/>
              <w:keepNext/>
              <w:keepLines/>
              <w:rPr>
                <w:sz w:val="22"/>
                <w:szCs w:val="22"/>
                <w:lang w:val="fr-FR"/>
              </w:rPr>
            </w:pPr>
            <w:r>
              <w:rPr>
                <w:sz w:val="22"/>
                <w:szCs w:val="22"/>
                <w:lang w:val="fr-FR"/>
              </w:rPr>
              <w:t>R</w:t>
            </w:r>
            <w:r w:rsidRPr="00945212">
              <w:rPr>
                <w:rFonts w:eastAsia="MS Mincho"/>
                <w:sz w:val="22"/>
                <w:szCs w:val="22"/>
                <w:lang w:val="en-GB" w:eastAsia="ja-JP"/>
              </w:rPr>
              <w:t>A</w:t>
            </w:r>
            <w:r>
              <w:rPr>
                <w:rFonts w:eastAsia="MS Mincho"/>
                <w:sz w:val="22"/>
                <w:szCs w:val="22"/>
                <w:lang w:val="en-GB" w:eastAsia="ja-JP"/>
              </w:rPr>
              <w:t>N</w:t>
            </w:r>
            <w:r w:rsidRPr="00945212">
              <w:rPr>
                <w:rFonts w:eastAsia="MS Mincho"/>
                <w:sz w:val="22"/>
                <w:szCs w:val="22"/>
                <w:lang w:val="en-GB" w:eastAsia="ja-JP"/>
              </w:rPr>
              <w:t xml:space="preserve"> &gt; 1 </w:t>
            </w:r>
            <w:r w:rsidR="00DC224A" w:rsidRPr="005A5612">
              <w:rPr>
                <w:sz w:val="22"/>
                <w:szCs w:val="22"/>
                <w:lang w:val="fr-FR"/>
              </w:rPr>
              <w:t xml:space="preserve"> </w:t>
            </w:r>
          </w:p>
        </w:tc>
        <w:tc>
          <w:tcPr>
            <w:tcW w:w="8040" w:type="dxa"/>
          </w:tcPr>
          <w:p w14:paraId="07A5ECE3" w14:textId="77777777" w:rsidR="00DC224A" w:rsidRPr="005A5612" w:rsidRDefault="00DC224A" w:rsidP="0072377D">
            <w:pPr>
              <w:keepNext/>
              <w:keepLines/>
              <w:rPr>
                <w:lang w:val="es-ES"/>
              </w:rPr>
            </w:pPr>
            <w:r w:rsidRPr="005A5612">
              <w:rPr>
                <w:szCs w:val="22"/>
                <w:lang w:val="es-ES"/>
              </w:rPr>
              <w:t>Mantener la dosis.</w:t>
            </w:r>
          </w:p>
          <w:p w14:paraId="037D876D" w14:textId="77777777" w:rsidR="00DC224A" w:rsidRPr="005A5612" w:rsidRDefault="00DC224A" w:rsidP="0072377D">
            <w:pPr>
              <w:pStyle w:val="TextTi12"/>
              <w:keepNext/>
              <w:keepLines/>
              <w:rPr>
                <w:sz w:val="22"/>
                <w:szCs w:val="22"/>
                <w:lang w:val="es-ES"/>
              </w:rPr>
            </w:pPr>
          </w:p>
        </w:tc>
      </w:tr>
      <w:tr w:rsidR="00DC224A" w:rsidRPr="00541248" w14:paraId="43C1B317" w14:textId="77777777" w:rsidTr="0072377D">
        <w:tc>
          <w:tcPr>
            <w:tcW w:w="2040" w:type="dxa"/>
          </w:tcPr>
          <w:p w14:paraId="67400DAB" w14:textId="77777777" w:rsidR="00DC224A" w:rsidRPr="005A5612" w:rsidRDefault="00DC224A" w:rsidP="0072377D">
            <w:pPr>
              <w:pStyle w:val="TextTi12"/>
              <w:keepNext/>
              <w:keepLines/>
              <w:rPr>
                <w:sz w:val="22"/>
                <w:szCs w:val="22"/>
                <w:lang w:val="fr-FR"/>
              </w:rPr>
            </w:pPr>
            <w:r>
              <w:rPr>
                <w:lang w:val="fr-FR"/>
              </w:rPr>
              <w:t>RAN 0,</w:t>
            </w:r>
            <w:r w:rsidRPr="005A5612">
              <w:rPr>
                <w:lang w:val="fr-FR"/>
              </w:rPr>
              <w:t>5 a 1</w:t>
            </w:r>
          </w:p>
        </w:tc>
        <w:tc>
          <w:tcPr>
            <w:tcW w:w="8040" w:type="dxa"/>
          </w:tcPr>
          <w:p w14:paraId="1F593C08" w14:textId="35CD066E" w:rsidR="00DC224A" w:rsidRPr="005A5612" w:rsidRDefault="00DC224A" w:rsidP="0072377D">
            <w:pPr>
              <w:pStyle w:val="TextTi12"/>
              <w:keepNext/>
              <w:keepLines/>
              <w:rPr>
                <w:sz w:val="22"/>
                <w:szCs w:val="22"/>
                <w:lang w:val="es-ES"/>
              </w:rPr>
            </w:pPr>
            <w:r w:rsidRPr="005A5612">
              <w:rPr>
                <w:sz w:val="22"/>
                <w:szCs w:val="22"/>
                <w:lang w:val="es-ES"/>
              </w:rPr>
              <w:t xml:space="preserve">Interrumpir </w:t>
            </w:r>
            <w:del w:id="1536" w:author="AUTHOR">
              <w:r w:rsidRPr="005A5612" w:rsidDel="008A2AD3">
                <w:rPr>
                  <w:sz w:val="22"/>
                  <w:szCs w:val="22"/>
                  <w:lang w:val="es-ES"/>
                </w:rPr>
                <w:delText>el tratamiento</w:delText>
              </w:r>
            </w:del>
            <w:ins w:id="1537" w:author="AUTHOR">
              <w:r w:rsidR="008A2AD3">
                <w:rPr>
                  <w:sz w:val="22"/>
                  <w:szCs w:val="22"/>
                  <w:lang w:val="es-ES"/>
                </w:rPr>
                <w:t>la administración</w:t>
              </w:r>
            </w:ins>
            <w:r w:rsidRPr="005A5612">
              <w:rPr>
                <w:sz w:val="22"/>
                <w:szCs w:val="22"/>
                <w:lang w:val="es-ES"/>
              </w:rPr>
              <w:t>.</w:t>
            </w:r>
          </w:p>
          <w:p w14:paraId="3D60C065" w14:textId="2953C1CA" w:rsidR="00DC224A" w:rsidRPr="005A5612" w:rsidRDefault="00DC224A" w:rsidP="0072377D">
            <w:pPr>
              <w:pStyle w:val="TextTi12"/>
              <w:keepNext/>
              <w:keepLines/>
              <w:rPr>
                <w:sz w:val="22"/>
                <w:szCs w:val="22"/>
                <w:lang w:val="es-ES"/>
              </w:rPr>
            </w:pPr>
            <w:r w:rsidRPr="005A5612">
              <w:rPr>
                <w:sz w:val="22"/>
                <w:szCs w:val="22"/>
                <w:lang w:val="es-ES"/>
              </w:rPr>
              <w:t xml:space="preserve">Cuando el RAN aumente </w:t>
            </w:r>
            <w:r w:rsidR="00DF4416" w:rsidRPr="00F30AB8">
              <w:rPr>
                <w:rFonts w:eastAsia="MS Mincho"/>
                <w:sz w:val="22"/>
                <w:szCs w:val="22"/>
                <w:lang w:val="es-ES" w:eastAsia="ja-JP"/>
              </w:rPr>
              <w:t>&gt; 1 × 10</w:t>
            </w:r>
            <w:r w:rsidR="00DF4416" w:rsidRPr="00F30AB8">
              <w:rPr>
                <w:rFonts w:eastAsia="MS Mincho"/>
                <w:sz w:val="22"/>
                <w:szCs w:val="22"/>
                <w:vertAlign w:val="superscript"/>
                <w:lang w:val="es-ES" w:eastAsia="ja-JP"/>
              </w:rPr>
              <w:t>9</w:t>
            </w:r>
            <w:r w:rsidR="00DF4416" w:rsidRPr="00F30AB8">
              <w:rPr>
                <w:rFonts w:eastAsia="MS Mincho"/>
                <w:sz w:val="22"/>
                <w:szCs w:val="22"/>
                <w:lang w:val="es-ES" w:eastAsia="ja-JP"/>
              </w:rPr>
              <w:t>/</w:t>
            </w:r>
            <w:r w:rsidR="00DF4416">
              <w:rPr>
                <w:rFonts w:eastAsia="MS Mincho"/>
                <w:sz w:val="22"/>
                <w:szCs w:val="22"/>
                <w:lang w:val="es-ES" w:eastAsia="ja-JP"/>
              </w:rPr>
              <w:t>l</w:t>
            </w:r>
            <w:r w:rsidRPr="005A5612">
              <w:rPr>
                <w:sz w:val="22"/>
                <w:szCs w:val="22"/>
                <w:lang w:val="es-ES"/>
              </w:rPr>
              <w:t xml:space="preserve"> reestablecer el tratamiento administrando una inyección cada dos semanas y aumentarlo a una inyección por semana, si es clínicamente apropiado.</w:t>
            </w:r>
          </w:p>
        </w:tc>
      </w:tr>
      <w:tr w:rsidR="00DC224A" w:rsidRPr="005A5612" w14:paraId="28C8B0C9" w14:textId="77777777" w:rsidTr="0072377D">
        <w:tc>
          <w:tcPr>
            <w:tcW w:w="2040" w:type="dxa"/>
          </w:tcPr>
          <w:p w14:paraId="79004F5F" w14:textId="155F6F8C" w:rsidR="00DC224A" w:rsidRPr="005A5612" w:rsidRDefault="00DF4416" w:rsidP="0072377D">
            <w:pPr>
              <w:pStyle w:val="TextTi12"/>
              <w:rPr>
                <w:sz w:val="22"/>
                <w:szCs w:val="22"/>
              </w:rPr>
            </w:pPr>
            <w:r>
              <w:rPr>
                <w:rFonts w:eastAsia="MS Mincho"/>
                <w:sz w:val="22"/>
                <w:szCs w:val="22"/>
                <w:lang w:val="en-GB" w:eastAsia="ja-JP"/>
              </w:rPr>
              <w:t>R</w:t>
            </w:r>
            <w:r w:rsidRPr="00945212">
              <w:rPr>
                <w:rFonts w:eastAsia="MS Mincho"/>
                <w:sz w:val="22"/>
                <w:szCs w:val="22"/>
                <w:lang w:val="en-GB" w:eastAsia="ja-JP"/>
              </w:rPr>
              <w:t>NC &lt; </w:t>
            </w:r>
            <w:r>
              <w:rPr>
                <w:rFonts w:eastAsia="MS Mincho"/>
                <w:sz w:val="22"/>
                <w:szCs w:val="22"/>
                <w:lang w:val="en-GB" w:eastAsia="ja-JP"/>
              </w:rPr>
              <w:t>0,</w:t>
            </w:r>
            <w:r w:rsidRPr="00945212">
              <w:rPr>
                <w:rFonts w:eastAsia="MS Mincho"/>
                <w:sz w:val="22"/>
                <w:szCs w:val="22"/>
                <w:lang w:val="en-GB" w:eastAsia="ja-JP"/>
              </w:rPr>
              <w:t>5</w:t>
            </w:r>
          </w:p>
        </w:tc>
        <w:tc>
          <w:tcPr>
            <w:tcW w:w="8040" w:type="dxa"/>
          </w:tcPr>
          <w:p w14:paraId="1BF1DD6F" w14:textId="09471DE3" w:rsidR="00DC224A" w:rsidRPr="005A5612" w:rsidRDefault="00DC224A" w:rsidP="0072377D">
            <w:pPr>
              <w:pStyle w:val="TextTi12"/>
              <w:rPr>
                <w:sz w:val="22"/>
                <w:szCs w:val="22"/>
                <w:lang w:val="es-ES"/>
              </w:rPr>
            </w:pPr>
            <w:r w:rsidRPr="005A5612">
              <w:rPr>
                <w:sz w:val="22"/>
                <w:szCs w:val="22"/>
                <w:lang w:val="es-ES"/>
              </w:rPr>
              <w:t>Interrumpir el tratamiento.</w:t>
            </w:r>
          </w:p>
        </w:tc>
      </w:tr>
    </w:tbl>
    <w:p w14:paraId="3632D11B" w14:textId="77777777" w:rsidR="00DC224A" w:rsidRPr="008A106B" w:rsidRDefault="00DC224A" w:rsidP="00DC224A">
      <w:pPr>
        <w:rPr>
          <w:lang w:val="es-ES"/>
        </w:rPr>
      </w:pPr>
    </w:p>
    <w:p w14:paraId="568CDA97" w14:textId="085240A5" w:rsidR="00DC224A" w:rsidRPr="008A106B" w:rsidRDefault="00DC224A" w:rsidP="00DC224A">
      <w:pPr>
        <w:keepNext/>
        <w:rPr>
          <w:lang w:val="es-ES"/>
        </w:rPr>
      </w:pPr>
      <w:r w:rsidRPr="008A106B">
        <w:rPr>
          <w:lang w:val="es-ES"/>
        </w:rPr>
        <w:lastRenderedPageBreak/>
        <w:sym w:font="Symbol" w:char="F0B7"/>
      </w:r>
      <w:r w:rsidRPr="008A106B">
        <w:rPr>
          <w:lang w:val="es-ES"/>
        </w:rPr>
        <w:tab/>
      </w:r>
      <w:r w:rsidR="00950051">
        <w:rPr>
          <w:lang w:val="es-ES"/>
        </w:rPr>
        <w:t>Pacientes con b</w:t>
      </w:r>
      <w:r w:rsidRPr="008A106B">
        <w:rPr>
          <w:lang w:val="es-ES"/>
        </w:rPr>
        <w:t>ajo recuento de plaquetas</w:t>
      </w:r>
    </w:p>
    <w:p w14:paraId="74AAAE44" w14:textId="77777777" w:rsidR="00DC224A" w:rsidRPr="008A106B" w:rsidRDefault="00DC224A" w:rsidP="00DC224A">
      <w:pPr>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7051"/>
      </w:tblGrid>
      <w:tr w:rsidR="00DC224A" w:rsidRPr="005A5612" w14:paraId="68691F34" w14:textId="77777777" w:rsidTr="0072377D">
        <w:tc>
          <w:tcPr>
            <w:tcW w:w="2040" w:type="dxa"/>
          </w:tcPr>
          <w:p w14:paraId="52EC579F" w14:textId="71E65CCC" w:rsidR="00DC224A" w:rsidRPr="005A5612" w:rsidRDefault="00DC224A" w:rsidP="0072377D">
            <w:pPr>
              <w:pStyle w:val="TextTi12"/>
              <w:keepNext/>
              <w:jc w:val="left"/>
              <w:rPr>
                <w:sz w:val="22"/>
                <w:szCs w:val="22"/>
                <w:lang w:val="es-ES"/>
              </w:rPr>
            </w:pPr>
            <w:r w:rsidRPr="005A5612">
              <w:rPr>
                <w:sz w:val="22"/>
                <w:szCs w:val="22"/>
                <w:lang w:val="es-ES"/>
              </w:rPr>
              <w:t>Valores de laboratorio</w:t>
            </w:r>
            <w:r w:rsidRPr="005A5612">
              <w:rPr>
                <w:sz w:val="22"/>
                <w:szCs w:val="22"/>
                <w:lang w:val="es-ES"/>
              </w:rPr>
              <w:br/>
              <w:t xml:space="preserve">(células </w:t>
            </w:r>
            <w:r w:rsidR="005A27A2" w:rsidRPr="00F30AB8">
              <w:rPr>
                <w:rFonts w:eastAsia="MS Mincho"/>
                <w:sz w:val="22"/>
                <w:szCs w:val="22"/>
                <w:lang w:val="es-ES" w:eastAsia="ja-JP"/>
              </w:rPr>
              <w:t> ×  10</w:t>
            </w:r>
            <w:r w:rsidR="005A27A2" w:rsidRPr="00F30AB8">
              <w:rPr>
                <w:rFonts w:eastAsia="MS Mincho"/>
                <w:sz w:val="22"/>
                <w:szCs w:val="22"/>
                <w:vertAlign w:val="superscript"/>
                <w:lang w:val="es-ES" w:eastAsia="ja-JP"/>
              </w:rPr>
              <w:t>3</w:t>
            </w:r>
            <w:r w:rsidR="005A27A2" w:rsidRPr="00F30AB8">
              <w:rPr>
                <w:rFonts w:eastAsia="MS Mincho"/>
                <w:sz w:val="22"/>
                <w:szCs w:val="22"/>
                <w:lang w:val="es-ES" w:eastAsia="ja-JP"/>
              </w:rPr>
              <w:t>/µl</w:t>
            </w:r>
            <w:r w:rsidRPr="005A5612">
              <w:rPr>
                <w:sz w:val="22"/>
                <w:szCs w:val="22"/>
                <w:lang w:val="es-ES"/>
              </w:rPr>
              <w:t>)</w:t>
            </w:r>
          </w:p>
        </w:tc>
        <w:tc>
          <w:tcPr>
            <w:tcW w:w="8040" w:type="dxa"/>
          </w:tcPr>
          <w:p w14:paraId="4FEA3E69" w14:textId="77777777" w:rsidR="00DC224A" w:rsidRPr="005A5612" w:rsidRDefault="00DC224A" w:rsidP="0072377D">
            <w:pPr>
              <w:pStyle w:val="TextTi12"/>
              <w:keepNext/>
              <w:jc w:val="center"/>
              <w:rPr>
                <w:sz w:val="22"/>
                <w:szCs w:val="22"/>
                <w:lang w:val="fr-FR"/>
              </w:rPr>
            </w:pPr>
            <w:r w:rsidRPr="005A5612">
              <w:rPr>
                <w:sz w:val="22"/>
                <w:szCs w:val="22"/>
                <w:lang w:val="fr-FR"/>
              </w:rPr>
              <w:t>Acción</w:t>
            </w:r>
          </w:p>
        </w:tc>
      </w:tr>
      <w:tr w:rsidR="00DC224A" w:rsidRPr="00541248" w14:paraId="62EAB84C" w14:textId="77777777" w:rsidTr="0072377D">
        <w:tc>
          <w:tcPr>
            <w:tcW w:w="2040" w:type="dxa"/>
          </w:tcPr>
          <w:p w14:paraId="23DEFEA9" w14:textId="77777777" w:rsidR="00DC224A" w:rsidRPr="005A5612" w:rsidRDefault="00DC224A" w:rsidP="0072377D">
            <w:pPr>
              <w:pStyle w:val="TextTi12"/>
              <w:keepNext/>
              <w:rPr>
                <w:sz w:val="22"/>
                <w:szCs w:val="22"/>
                <w:lang w:val="fr-FR"/>
              </w:rPr>
            </w:pPr>
            <w:r w:rsidRPr="005A5612">
              <w:rPr>
                <w:sz w:val="22"/>
                <w:szCs w:val="22"/>
                <w:lang w:val="fr-FR"/>
              </w:rPr>
              <w:t>50 a 100</w:t>
            </w:r>
          </w:p>
        </w:tc>
        <w:tc>
          <w:tcPr>
            <w:tcW w:w="8040" w:type="dxa"/>
          </w:tcPr>
          <w:p w14:paraId="3CDC5B08" w14:textId="6819C466" w:rsidR="00DC224A" w:rsidRPr="005A5612" w:rsidRDefault="00DC224A" w:rsidP="0072377D">
            <w:pPr>
              <w:pStyle w:val="TextTi12"/>
              <w:keepNext/>
              <w:rPr>
                <w:sz w:val="22"/>
                <w:szCs w:val="22"/>
                <w:lang w:val="es-ES"/>
              </w:rPr>
            </w:pPr>
            <w:r w:rsidRPr="005A5612">
              <w:rPr>
                <w:sz w:val="22"/>
                <w:szCs w:val="22"/>
                <w:lang w:val="es-ES"/>
              </w:rPr>
              <w:t xml:space="preserve">Interrumpir </w:t>
            </w:r>
            <w:del w:id="1538" w:author="AUTHOR">
              <w:r w:rsidRPr="005A5612" w:rsidDel="008A2AD3">
                <w:rPr>
                  <w:sz w:val="22"/>
                  <w:szCs w:val="22"/>
                  <w:lang w:val="es-ES"/>
                </w:rPr>
                <w:delText>el tratamiento</w:delText>
              </w:r>
            </w:del>
            <w:ins w:id="1539" w:author="AUTHOR">
              <w:r w:rsidR="008A2AD3">
                <w:rPr>
                  <w:sz w:val="22"/>
                  <w:szCs w:val="22"/>
                  <w:lang w:val="es-ES"/>
                </w:rPr>
                <w:t>la administración</w:t>
              </w:r>
            </w:ins>
            <w:r>
              <w:rPr>
                <w:sz w:val="22"/>
                <w:szCs w:val="22"/>
                <w:lang w:val="es-ES"/>
              </w:rPr>
              <w:t>.</w:t>
            </w:r>
            <w:r w:rsidRPr="005A5612">
              <w:rPr>
                <w:sz w:val="22"/>
                <w:szCs w:val="22"/>
                <w:lang w:val="es-ES"/>
              </w:rPr>
              <w:t xml:space="preserve"> </w:t>
            </w:r>
          </w:p>
          <w:p w14:paraId="6C9D203D" w14:textId="6190EC0F" w:rsidR="00DC224A" w:rsidRPr="005A5612" w:rsidRDefault="00DC224A">
            <w:pPr>
              <w:pStyle w:val="TextTi12"/>
              <w:keepNext/>
              <w:rPr>
                <w:sz w:val="22"/>
                <w:szCs w:val="22"/>
                <w:lang w:val="es-ES"/>
              </w:rPr>
            </w:pPr>
            <w:r w:rsidRPr="005A5612">
              <w:rPr>
                <w:sz w:val="22"/>
                <w:szCs w:val="22"/>
                <w:lang w:val="es-ES"/>
              </w:rPr>
              <w:t>Cuando el recuento de plaquetas</w:t>
            </w:r>
            <w:r>
              <w:rPr>
                <w:sz w:val="22"/>
                <w:szCs w:val="22"/>
                <w:lang w:val="es-ES"/>
              </w:rPr>
              <w:t xml:space="preserve"> </w:t>
            </w:r>
            <w:proofErr w:type="gramStart"/>
            <w:r>
              <w:rPr>
                <w:sz w:val="22"/>
                <w:szCs w:val="22"/>
                <w:lang w:val="es-ES"/>
              </w:rPr>
              <w:t>sea</w:t>
            </w:r>
            <w:r w:rsidRPr="005A5612">
              <w:rPr>
                <w:sz w:val="22"/>
                <w:szCs w:val="22"/>
                <w:lang w:val="es-ES"/>
              </w:rPr>
              <w:t xml:space="preserve"> </w:t>
            </w:r>
            <w:r w:rsidR="00950051" w:rsidRPr="00F30AB8">
              <w:rPr>
                <w:rFonts w:ascii="Arial" w:eastAsia="MS Mincho" w:hAnsi="Arial" w:cs="Arial"/>
                <w:sz w:val="10"/>
                <w:szCs w:val="22"/>
                <w:lang w:val="es-ES"/>
              </w:rPr>
              <w:t> </w:t>
            </w:r>
            <w:r w:rsidR="005A27A2" w:rsidRPr="00F30AB8">
              <w:rPr>
                <w:rFonts w:eastAsia="MS Mincho"/>
                <w:sz w:val="22"/>
                <w:szCs w:val="22"/>
                <w:lang w:val="es-ES" w:eastAsia="ja-JP"/>
              </w:rPr>
              <w:t>&gt;</w:t>
            </w:r>
            <w:proofErr w:type="gramEnd"/>
            <w:r w:rsidR="005A27A2" w:rsidRPr="00F30AB8">
              <w:rPr>
                <w:rFonts w:eastAsia="MS Mincho"/>
                <w:sz w:val="22"/>
                <w:szCs w:val="22"/>
                <w:lang w:val="es-ES" w:eastAsia="ja-JP"/>
              </w:rPr>
              <w:t> 100 × 10</w:t>
            </w:r>
            <w:r w:rsidR="005A27A2" w:rsidRPr="00F30AB8">
              <w:rPr>
                <w:rFonts w:eastAsia="MS Mincho"/>
                <w:sz w:val="22"/>
                <w:szCs w:val="22"/>
                <w:vertAlign w:val="superscript"/>
                <w:lang w:val="es-ES" w:eastAsia="ja-JP"/>
              </w:rPr>
              <w:t>3</w:t>
            </w:r>
            <w:r w:rsidR="005A27A2" w:rsidRPr="00F30AB8">
              <w:rPr>
                <w:rFonts w:eastAsia="MS Mincho"/>
                <w:sz w:val="22"/>
                <w:szCs w:val="22"/>
                <w:lang w:val="es-ES" w:eastAsia="ja-JP"/>
              </w:rPr>
              <w:t>/ </w:t>
            </w:r>
            <w:r w:rsidR="005A27A2" w:rsidRPr="00945212">
              <w:rPr>
                <w:rFonts w:eastAsia="MS Mincho"/>
                <w:sz w:val="22"/>
                <w:szCs w:val="22"/>
                <w:lang w:val="en-GB" w:eastAsia="ja-JP"/>
              </w:rPr>
              <w:t>μ</w:t>
            </w:r>
            <w:r w:rsidR="005A27A2" w:rsidRPr="00F30AB8">
              <w:rPr>
                <w:rFonts w:eastAsia="MS Mincho"/>
                <w:sz w:val="22"/>
                <w:szCs w:val="22"/>
                <w:lang w:val="es-ES" w:eastAsia="ja-JP"/>
              </w:rPr>
              <w:t>l</w:t>
            </w:r>
            <w:r w:rsidRPr="005A5612">
              <w:rPr>
                <w:sz w:val="22"/>
                <w:szCs w:val="22"/>
                <w:lang w:val="es-ES"/>
              </w:rPr>
              <w:t xml:space="preserve"> reestablecer el tratamiento administrando una inyección cada dos semanas y aumentarlo a una inyección por semana, si es clínicamente apropiado. </w:t>
            </w:r>
          </w:p>
        </w:tc>
      </w:tr>
      <w:tr w:rsidR="00DC224A" w:rsidRPr="005A5612" w14:paraId="2C611C8E" w14:textId="77777777" w:rsidTr="0072377D">
        <w:tc>
          <w:tcPr>
            <w:tcW w:w="2040" w:type="dxa"/>
          </w:tcPr>
          <w:p w14:paraId="61AD2A6D" w14:textId="5E8DD8AB" w:rsidR="00DC224A" w:rsidRPr="006868F5" w:rsidRDefault="005A27A2" w:rsidP="0072377D">
            <w:pPr>
              <w:pStyle w:val="TextTi12"/>
              <w:rPr>
                <w:sz w:val="22"/>
                <w:szCs w:val="22"/>
                <w:lang w:val="es-ES"/>
              </w:rPr>
            </w:pPr>
            <w:r w:rsidRPr="00F30AB8">
              <w:rPr>
                <w:rFonts w:eastAsia="MS Mincho"/>
                <w:sz w:val="22"/>
                <w:szCs w:val="22"/>
                <w:lang w:val="es-ES" w:eastAsia="ja-JP"/>
              </w:rPr>
              <w:t> </w:t>
            </w:r>
            <w:r w:rsidRPr="00717BE1">
              <w:rPr>
                <w:rFonts w:eastAsia="MS Mincho"/>
                <w:sz w:val="22"/>
                <w:szCs w:val="22"/>
                <w:lang w:val="en-GB" w:eastAsia="ja-JP"/>
              </w:rPr>
              <w:t>&lt;</w:t>
            </w:r>
            <w:r w:rsidRPr="00945212">
              <w:rPr>
                <w:rFonts w:eastAsia="MS Mincho"/>
                <w:sz w:val="22"/>
                <w:szCs w:val="22"/>
                <w:lang w:val="en-GB" w:eastAsia="ja-JP"/>
              </w:rPr>
              <w:t> 50</w:t>
            </w:r>
          </w:p>
        </w:tc>
        <w:tc>
          <w:tcPr>
            <w:tcW w:w="8040" w:type="dxa"/>
          </w:tcPr>
          <w:p w14:paraId="4B418A3D" w14:textId="02BE00A6" w:rsidR="00DC224A" w:rsidRPr="005A5612" w:rsidRDefault="00DC224A" w:rsidP="0072377D">
            <w:pPr>
              <w:pStyle w:val="TextTi12"/>
              <w:rPr>
                <w:sz w:val="22"/>
                <w:szCs w:val="22"/>
                <w:lang w:val="es-ES"/>
              </w:rPr>
            </w:pPr>
            <w:r w:rsidRPr="005A5612">
              <w:rPr>
                <w:sz w:val="22"/>
                <w:szCs w:val="22"/>
                <w:lang w:val="es-ES"/>
              </w:rPr>
              <w:t xml:space="preserve">Interrumpir el tratamiento. </w:t>
            </w:r>
          </w:p>
        </w:tc>
      </w:tr>
    </w:tbl>
    <w:p w14:paraId="2491379F" w14:textId="77777777" w:rsidR="00A0292D" w:rsidRDefault="00A0292D" w:rsidP="00DC224A">
      <w:pPr>
        <w:rPr>
          <w:u w:val="single"/>
          <w:lang w:val="es-ES"/>
        </w:rPr>
      </w:pPr>
    </w:p>
    <w:p w14:paraId="720FA5E7" w14:textId="77777777" w:rsidR="00A0292D" w:rsidRPr="00F30AB8" w:rsidRDefault="00950051" w:rsidP="00DC224A">
      <w:pPr>
        <w:rPr>
          <w:i/>
          <w:lang w:val="es-ES"/>
        </w:rPr>
      </w:pPr>
      <w:r w:rsidRPr="00F30AB8">
        <w:rPr>
          <w:i/>
          <w:lang w:val="es-ES"/>
        </w:rPr>
        <w:t xml:space="preserve">Pacientes con </w:t>
      </w:r>
      <w:r w:rsidR="00A0292D" w:rsidRPr="00F30AB8">
        <w:rPr>
          <w:i/>
          <w:lang w:val="es-ES"/>
        </w:rPr>
        <w:t>AR y ACG</w:t>
      </w:r>
    </w:p>
    <w:p w14:paraId="5D5C7245" w14:textId="77777777" w:rsidR="003532C2" w:rsidRDefault="003532C2" w:rsidP="00DC224A">
      <w:pPr>
        <w:rPr>
          <w:u w:val="single"/>
          <w:lang w:val="es-ES"/>
        </w:rPr>
      </w:pPr>
    </w:p>
    <w:p w14:paraId="3E98BBE0" w14:textId="77777777" w:rsidR="00DC224A" w:rsidRDefault="00DC224A" w:rsidP="00DC224A">
      <w:pPr>
        <w:rPr>
          <w:u w:val="single"/>
          <w:lang w:val="es-ES"/>
        </w:rPr>
      </w:pPr>
      <w:r>
        <w:rPr>
          <w:u w:val="single"/>
          <w:lang w:val="es-ES"/>
        </w:rPr>
        <w:t>Omisión</w:t>
      </w:r>
      <w:r w:rsidRPr="00286CDE">
        <w:rPr>
          <w:u w:val="single"/>
          <w:lang w:val="es-ES"/>
        </w:rPr>
        <w:t xml:space="preserve"> de dosis</w:t>
      </w:r>
    </w:p>
    <w:p w14:paraId="046C4F0E" w14:textId="2A182F3B" w:rsidR="00DC224A" w:rsidRPr="00FF1EDA" w:rsidRDefault="00DC224A" w:rsidP="00DC224A">
      <w:pPr>
        <w:rPr>
          <w:lang w:val="es-ES"/>
        </w:rPr>
      </w:pPr>
      <w:r w:rsidRPr="00766579">
        <w:rPr>
          <w:lang w:val="es-ES"/>
        </w:rPr>
        <w:t>Si un paciente no se administra la inyección de</w:t>
      </w:r>
      <w:r>
        <w:rPr>
          <w:lang w:val="es-ES"/>
        </w:rPr>
        <w:t xml:space="preserve"> </w:t>
      </w:r>
      <w:r w:rsidR="00950051">
        <w:rPr>
          <w:lang w:val="es-ES"/>
        </w:rPr>
        <w:t xml:space="preserve">tocilizumab </w:t>
      </w:r>
      <w:r>
        <w:rPr>
          <w:lang w:val="es-ES"/>
        </w:rPr>
        <w:t>subcutáneo semanal dentro de los 7</w:t>
      </w:r>
      <w:r w:rsidR="00035458">
        <w:rPr>
          <w:lang w:val="es-ES"/>
        </w:rPr>
        <w:t> </w:t>
      </w:r>
      <w:r>
        <w:rPr>
          <w:lang w:val="es-ES"/>
        </w:rPr>
        <w:t xml:space="preserve">días de la dosis programada, </w:t>
      </w:r>
      <w:r w:rsidR="00D15AB0">
        <w:rPr>
          <w:lang w:val="es-ES"/>
        </w:rPr>
        <w:t xml:space="preserve">se debe indicar al paciente que se debe </w:t>
      </w:r>
      <w:r>
        <w:rPr>
          <w:lang w:val="es-ES"/>
        </w:rPr>
        <w:t>administrar la dosis olvidada en el siguiente día programado.</w:t>
      </w:r>
      <w:r w:rsidRPr="00FF1EDA">
        <w:rPr>
          <w:color w:val="FFFF00"/>
          <w:lang w:val="es-ES"/>
        </w:rPr>
        <w:t xml:space="preserve"> </w:t>
      </w:r>
      <w:r w:rsidRPr="00CA1B1E">
        <w:rPr>
          <w:lang w:val="es-ES"/>
        </w:rPr>
        <w:t xml:space="preserve">Si un paciente que se administra </w:t>
      </w:r>
      <w:r w:rsidR="00950051">
        <w:rPr>
          <w:lang w:val="es-ES"/>
        </w:rPr>
        <w:t>tocilizumab</w:t>
      </w:r>
      <w:r w:rsidR="00950051" w:rsidRPr="00CA1B1E">
        <w:rPr>
          <w:lang w:val="es-ES"/>
        </w:rPr>
        <w:t xml:space="preserve"> </w:t>
      </w:r>
      <w:r w:rsidRPr="00CA1B1E">
        <w:rPr>
          <w:lang w:val="es-ES"/>
        </w:rPr>
        <w:t>subcutáneo cada dos semanas olvida la inyección subcutánea dentro de los 7</w:t>
      </w:r>
      <w:r w:rsidR="00035458">
        <w:rPr>
          <w:lang w:val="es-ES"/>
        </w:rPr>
        <w:t> </w:t>
      </w:r>
      <w:r>
        <w:rPr>
          <w:lang w:val="es-ES"/>
        </w:rPr>
        <w:t>días de la dosis programada, él</w:t>
      </w:r>
      <w:r w:rsidRPr="00CA1B1E">
        <w:rPr>
          <w:lang w:val="es-ES"/>
        </w:rPr>
        <w:t>/ella deberá ser instruido para administrarse la dosis olvidada inmediatamente y la siguiente dosis en el siguiente día programado.</w:t>
      </w:r>
    </w:p>
    <w:p w14:paraId="4A2174EC" w14:textId="77777777" w:rsidR="00DC224A" w:rsidRPr="00286CDE" w:rsidRDefault="00DC224A" w:rsidP="00DC224A">
      <w:pPr>
        <w:rPr>
          <w:lang w:val="es-ES"/>
        </w:rPr>
      </w:pPr>
    </w:p>
    <w:p w14:paraId="008F5B5A" w14:textId="77777777" w:rsidR="00DC224A" w:rsidRPr="008A106B" w:rsidRDefault="00DC224A" w:rsidP="00DC224A">
      <w:pPr>
        <w:keepNext/>
        <w:ind w:left="567" w:hanging="567"/>
        <w:rPr>
          <w:iCs/>
          <w:noProof/>
          <w:u w:val="single"/>
          <w:lang w:val="es-ES"/>
        </w:rPr>
      </w:pPr>
      <w:r w:rsidRPr="008A106B">
        <w:rPr>
          <w:iCs/>
          <w:u w:val="single"/>
          <w:lang w:val="es-ES_tradnl"/>
        </w:rPr>
        <w:t>Poblaciones especiales</w:t>
      </w:r>
    </w:p>
    <w:p w14:paraId="16B04877" w14:textId="77777777" w:rsidR="00DC224A" w:rsidRPr="008A106B" w:rsidRDefault="00DC224A" w:rsidP="00DC224A">
      <w:pPr>
        <w:rPr>
          <w:iCs/>
          <w:lang w:val="es-ES"/>
        </w:rPr>
      </w:pPr>
    </w:p>
    <w:p w14:paraId="03D8BCA0" w14:textId="7CD8B3B6" w:rsidR="00DC224A" w:rsidRDefault="00DC224A" w:rsidP="00DC224A">
      <w:pPr>
        <w:rPr>
          <w:i/>
          <w:iCs/>
          <w:lang w:val="es-ES_tradnl"/>
        </w:rPr>
      </w:pPr>
      <w:r w:rsidRPr="008A106B">
        <w:rPr>
          <w:i/>
          <w:iCs/>
          <w:lang w:val="es-ES_tradnl"/>
        </w:rPr>
        <w:t>Pacientes de edad avanzada</w:t>
      </w:r>
    </w:p>
    <w:p w14:paraId="2CC8F85E" w14:textId="20733FAF" w:rsidR="00DC224A" w:rsidRPr="008A106B" w:rsidRDefault="00DC224A" w:rsidP="00DC224A">
      <w:pPr>
        <w:rPr>
          <w:noProof/>
          <w:lang w:val="es-ES"/>
        </w:rPr>
      </w:pPr>
      <w:r w:rsidRPr="008A106B">
        <w:rPr>
          <w:lang w:val="es-ES_tradnl"/>
        </w:rPr>
        <w:t xml:space="preserve">No se requiere el ajuste de dosis en pacientes </w:t>
      </w:r>
      <w:r w:rsidR="001053FE">
        <w:rPr>
          <w:lang w:val="es-ES_tradnl"/>
        </w:rPr>
        <w:t xml:space="preserve">de edad avanzada </w:t>
      </w:r>
      <w:r w:rsidRPr="008A106B">
        <w:rPr>
          <w:lang w:val="es-ES_tradnl"/>
        </w:rPr>
        <w:t xml:space="preserve">de </w:t>
      </w:r>
      <w:r w:rsidR="001053FE">
        <w:rPr>
          <w:lang w:val="es-ES_tradnl"/>
        </w:rPr>
        <w:t>&gt;</w:t>
      </w:r>
      <w:r w:rsidR="00035458">
        <w:rPr>
          <w:lang w:val="es-ES_tradnl"/>
        </w:rPr>
        <w:t> </w:t>
      </w:r>
      <w:r w:rsidRPr="008A106B">
        <w:rPr>
          <w:lang w:val="es-ES_tradnl"/>
        </w:rPr>
        <w:t>65</w:t>
      </w:r>
      <w:r w:rsidR="00035458">
        <w:rPr>
          <w:lang w:val="es-ES_tradnl"/>
        </w:rPr>
        <w:t> </w:t>
      </w:r>
      <w:r w:rsidRPr="008A106B">
        <w:rPr>
          <w:lang w:val="es-ES_tradnl"/>
        </w:rPr>
        <w:t xml:space="preserve">años </w:t>
      </w:r>
      <w:r>
        <w:rPr>
          <w:lang w:val="es-ES_tradnl"/>
        </w:rPr>
        <w:t>de edad</w:t>
      </w:r>
      <w:r w:rsidRPr="008A106B">
        <w:rPr>
          <w:lang w:val="es-ES_tradnl"/>
        </w:rPr>
        <w:t>.</w:t>
      </w:r>
      <w:r w:rsidRPr="008A106B">
        <w:rPr>
          <w:noProof/>
          <w:lang w:val="es-ES"/>
        </w:rPr>
        <w:t xml:space="preserve"> </w:t>
      </w:r>
    </w:p>
    <w:p w14:paraId="34ECECC1" w14:textId="77777777" w:rsidR="00DC224A" w:rsidRPr="008A106B" w:rsidRDefault="00DC224A" w:rsidP="00DC224A">
      <w:pPr>
        <w:rPr>
          <w:noProof/>
          <w:lang w:val="es-ES"/>
        </w:rPr>
      </w:pPr>
    </w:p>
    <w:p w14:paraId="00436599" w14:textId="77777777" w:rsidR="00DC224A" w:rsidRDefault="00DC224A" w:rsidP="00DC224A">
      <w:pPr>
        <w:rPr>
          <w:i/>
          <w:iCs/>
          <w:lang w:val="es-ES_tradnl"/>
        </w:rPr>
      </w:pPr>
      <w:r w:rsidRPr="008A106B">
        <w:rPr>
          <w:i/>
          <w:iCs/>
          <w:lang w:val="es-ES_tradnl"/>
        </w:rPr>
        <w:t xml:space="preserve">Insuficiencia renal: </w:t>
      </w:r>
    </w:p>
    <w:p w14:paraId="349D4043" w14:textId="54936407" w:rsidR="00DC224A" w:rsidRPr="008A106B" w:rsidRDefault="00DC224A" w:rsidP="00DC224A">
      <w:pPr>
        <w:rPr>
          <w:noProof/>
          <w:lang w:val="es-ES"/>
        </w:rPr>
      </w:pPr>
      <w:r w:rsidRPr="008A106B">
        <w:rPr>
          <w:lang w:val="es-ES_tradnl"/>
        </w:rPr>
        <w:t>No se requiere ajuste de</w:t>
      </w:r>
      <w:r>
        <w:rPr>
          <w:lang w:val="es-ES_tradnl"/>
        </w:rPr>
        <w:t xml:space="preserve"> </w:t>
      </w:r>
      <w:r w:rsidRPr="008A106B">
        <w:rPr>
          <w:lang w:val="es-ES_tradnl"/>
        </w:rPr>
        <w:t>dosis en pacientes con insuficiencia renal leve</w:t>
      </w:r>
      <w:r>
        <w:rPr>
          <w:lang w:val="es-ES_tradnl"/>
        </w:rPr>
        <w:t xml:space="preserve"> o moderada</w:t>
      </w:r>
      <w:r w:rsidRPr="008A106B">
        <w:rPr>
          <w:lang w:val="es-ES_tradnl"/>
        </w:rPr>
        <w:t xml:space="preserve">. </w:t>
      </w:r>
      <w:r w:rsidR="009D1592">
        <w:rPr>
          <w:lang w:val="es-ES_tradnl"/>
        </w:rPr>
        <w:t>Tocilizumab</w:t>
      </w:r>
      <w:r w:rsidR="009D1592" w:rsidRPr="008A106B">
        <w:rPr>
          <w:lang w:val="es-ES_tradnl"/>
        </w:rPr>
        <w:t xml:space="preserve"> </w:t>
      </w:r>
      <w:r w:rsidRPr="008A106B">
        <w:rPr>
          <w:lang w:val="es-ES_tradnl"/>
        </w:rPr>
        <w:t>no ha sido estudiado en pacientes con insuficiencia renal grave (ver sección</w:t>
      </w:r>
      <w:r w:rsidR="00035458">
        <w:rPr>
          <w:lang w:val="es-ES_tradnl"/>
        </w:rPr>
        <w:t> </w:t>
      </w:r>
      <w:r w:rsidRPr="008A106B">
        <w:rPr>
          <w:lang w:val="es-ES_tradnl"/>
        </w:rPr>
        <w:t>5.2). La función renal debe ser estrechamente vigilada en estos pacientes.</w:t>
      </w:r>
    </w:p>
    <w:p w14:paraId="0FB729D7" w14:textId="77777777" w:rsidR="00DC224A" w:rsidRPr="008A106B" w:rsidRDefault="00DC224A" w:rsidP="00DC224A">
      <w:pPr>
        <w:rPr>
          <w:noProof/>
          <w:lang w:val="es-ES"/>
        </w:rPr>
      </w:pPr>
    </w:p>
    <w:p w14:paraId="00CCDF02" w14:textId="77777777" w:rsidR="00DC224A" w:rsidRDefault="00DC224A" w:rsidP="00DC224A">
      <w:pPr>
        <w:rPr>
          <w:i/>
          <w:iCs/>
          <w:noProof/>
          <w:lang w:val="es-ES"/>
        </w:rPr>
      </w:pPr>
      <w:r w:rsidRPr="008A106B">
        <w:rPr>
          <w:i/>
          <w:iCs/>
          <w:lang w:val="es-ES_tradnl"/>
        </w:rPr>
        <w:t>Insuficiencia hepática:</w:t>
      </w:r>
      <w:r w:rsidRPr="008A106B">
        <w:rPr>
          <w:i/>
          <w:iCs/>
          <w:noProof/>
          <w:lang w:val="es-ES"/>
        </w:rPr>
        <w:t xml:space="preserve"> </w:t>
      </w:r>
    </w:p>
    <w:p w14:paraId="4E940CE8" w14:textId="35713331" w:rsidR="00DC224A" w:rsidRPr="008A106B" w:rsidRDefault="00DC224A" w:rsidP="00DC224A">
      <w:pPr>
        <w:rPr>
          <w:lang w:val="es-ES_tradnl"/>
        </w:rPr>
      </w:pPr>
      <w:r w:rsidRPr="008A106B">
        <w:rPr>
          <w:lang w:val="es-ES_tradnl"/>
        </w:rPr>
        <w:t xml:space="preserve">No se ha estudiado </w:t>
      </w:r>
      <w:r w:rsidR="009D1592">
        <w:rPr>
          <w:lang w:val="es-ES_tradnl"/>
        </w:rPr>
        <w:t>tocilizumab</w:t>
      </w:r>
      <w:r w:rsidRPr="008A106B">
        <w:rPr>
          <w:lang w:val="es-ES_tradnl"/>
        </w:rPr>
        <w:t xml:space="preserve"> en pacientes con insuficiencia hepática.</w:t>
      </w:r>
      <w:r w:rsidRPr="008A106B">
        <w:rPr>
          <w:lang w:val="es-ES"/>
        </w:rPr>
        <w:t xml:space="preserve"> </w:t>
      </w:r>
      <w:r w:rsidRPr="008A106B">
        <w:rPr>
          <w:lang w:val="es-ES_tradnl"/>
        </w:rPr>
        <w:t>Por tanto, no pueden hacerse recomendaciones sobre la dosis.</w:t>
      </w:r>
    </w:p>
    <w:p w14:paraId="20BFF2D1" w14:textId="77777777" w:rsidR="00DC224A" w:rsidRDefault="00DC224A" w:rsidP="00DC224A">
      <w:pPr>
        <w:rPr>
          <w:lang w:val="es-ES_tradnl"/>
        </w:rPr>
      </w:pPr>
    </w:p>
    <w:p w14:paraId="7ED3110A" w14:textId="77777777" w:rsidR="00DC224A" w:rsidRPr="00494459" w:rsidRDefault="00DC224A" w:rsidP="00DC224A">
      <w:pPr>
        <w:keepNext/>
        <w:rPr>
          <w:i/>
          <w:lang w:val="es-ES_tradnl"/>
        </w:rPr>
      </w:pPr>
      <w:r w:rsidRPr="00494459">
        <w:rPr>
          <w:i/>
          <w:lang w:val="es-ES_tradnl"/>
        </w:rPr>
        <w:t>Población Pediátrica</w:t>
      </w:r>
    </w:p>
    <w:p w14:paraId="0241BA07" w14:textId="04B3EF7D" w:rsidR="00DC224A" w:rsidRDefault="00DC224A" w:rsidP="00DC224A">
      <w:pPr>
        <w:rPr>
          <w:lang w:val="es-ES_tradnl"/>
        </w:rPr>
      </w:pPr>
      <w:r>
        <w:rPr>
          <w:lang w:val="es-ES_tradnl"/>
        </w:rPr>
        <w:t xml:space="preserve">No se ha establecido la seguridad y la eficacia de la formulación subcutánea de </w:t>
      </w:r>
      <w:r w:rsidR="009D1592">
        <w:rPr>
          <w:lang w:val="es-ES_tradnl"/>
        </w:rPr>
        <w:t>tocilizumab</w:t>
      </w:r>
      <w:r>
        <w:rPr>
          <w:lang w:val="es-ES_tradnl"/>
        </w:rPr>
        <w:t xml:space="preserve"> en niños desde el nacimiento hasta los menores de </w:t>
      </w:r>
      <w:proofErr w:type="gramStart"/>
      <w:r>
        <w:rPr>
          <w:lang w:val="es-ES_tradnl"/>
        </w:rPr>
        <w:t>1</w:t>
      </w:r>
      <w:r w:rsidR="009D1592" w:rsidRPr="00F30AB8">
        <w:rPr>
          <w:noProof/>
          <w:szCs w:val="22"/>
          <w:lang w:val="es-ES"/>
        </w:rPr>
        <w:t> </w:t>
      </w:r>
      <w:r>
        <w:rPr>
          <w:lang w:val="es-ES_tradnl"/>
        </w:rPr>
        <w:t xml:space="preserve"> años</w:t>
      </w:r>
      <w:proofErr w:type="gramEnd"/>
      <w:r>
        <w:rPr>
          <w:lang w:val="es-ES_tradnl"/>
        </w:rPr>
        <w:t xml:space="preserve"> de edad. No hay datos disponibles.</w:t>
      </w:r>
    </w:p>
    <w:p w14:paraId="2E8A48BB" w14:textId="77777777" w:rsidR="00DC224A" w:rsidRPr="008A106B" w:rsidRDefault="00DC224A" w:rsidP="00DC224A">
      <w:pPr>
        <w:rPr>
          <w:lang w:val="es-ES_tradnl"/>
        </w:rPr>
      </w:pPr>
    </w:p>
    <w:p w14:paraId="0A14EB88" w14:textId="05F7470F" w:rsidR="00A0292D" w:rsidRDefault="00A0292D" w:rsidP="00DC224A">
      <w:pPr>
        <w:rPr>
          <w:lang w:val="es-ES_tradnl"/>
        </w:rPr>
      </w:pPr>
      <w:r w:rsidRPr="00FF2AFA">
        <w:rPr>
          <w:lang w:val="es-ES_tradnl"/>
        </w:rPr>
        <w:t xml:space="preserve">Un cambio de dosis sólo debe basarse en un cambio consistente en el peso corporal del paciente a lo largo del tiempo. </w:t>
      </w:r>
      <w:r w:rsidR="009D1592">
        <w:rPr>
          <w:lang w:val="es-ES_tradnl"/>
        </w:rPr>
        <w:t>tocilizumab</w:t>
      </w:r>
      <w:r w:rsidRPr="00FF2AFA">
        <w:rPr>
          <w:lang w:val="es-ES_tradnl"/>
        </w:rPr>
        <w:t xml:space="preserve"> </w:t>
      </w:r>
      <w:r w:rsidR="00750D78">
        <w:rPr>
          <w:lang w:val="es-ES_tradnl"/>
        </w:rPr>
        <w:t xml:space="preserve">se </w:t>
      </w:r>
      <w:r w:rsidRPr="00FF2AFA">
        <w:rPr>
          <w:lang w:val="es-ES_tradnl"/>
        </w:rPr>
        <w:t>puede usar solo ó en combinación con MTX.</w:t>
      </w:r>
    </w:p>
    <w:p w14:paraId="5F9C705C" w14:textId="77777777" w:rsidR="00A0292D" w:rsidRPr="00FF2AFA" w:rsidRDefault="00A0292D" w:rsidP="00DC224A">
      <w:pPr>
        <w:rPr>
          <w:i/>
          <w:u w:val="single"/>
          <w:lang w:val="es-ES_tradnl"/>
        </w:rPr>
      </w:pPr>
    </w:p>
    <w:p w14:paraId="0F8F5CDB" w14:textId="77777777" w:rsidR="000F7485" w:rsidRPr="000F7485" w:rsidRDefault="000F7485" w:rsidP="000F7485">
      <w:pPr>
        <w:rPr>
          <w:u w:val="single"/>
          <w:lang w:val="es-ES_tradnl"/>
        </w:rPr>
      </w:pPr>
      <w:r w:rsidRPr="000F7485">
        <w:rPr>
          <w:i/>
          <w:u w:val="single"/>
          <w:lang w:val="es-ES_tradnl"/>
        </w:rPr>
        <w:t>Pacientes</w:t>
      </w:r>
      <w:r w:rsidR="003532C2">
        <w:rPr>
          <w:i/>
          <w:u w:val="single"/>
          <w:lang w:val="es-ES_tradnl"/>
        </w:rPr>
        <w:t xml:space="preserve"> con</w:t>
      </w:r>
      <w:r w:rsidRPr="000F7485">
        <w:rPr>
          <w:i/>
          <w:u w:val="single"/>
          <w:lang w:val="es-ES_tradnl"/>
        </w:rPr>
        <w:t xml:space="preserve"> AIJs</w:t>
      </w:r>
    </w:p>
    <w:p w14:paraId="09E9F276" w14:textId="78A61237" w:rsidR="000F7485" w:rsidRPr="00FF2AFA" w:rsidRDefault="000F7485" w:rsidP="000F7485">
      <w:pPr>
        <w:rPr>
          <w:lang w:val="es-ES_tradnl"/>
        </w:rPr>
      </w:pPr>
      <w:r w:rsidRPr="00FF2AFA">
        <w:rPr>
          <w:lang w:val="es-ES_tradnl"/>
        </w:rPr>
        <w:t>En pacientes mayores de 12</w:t>
      </w:r>
      <w:r w:rsidR="009D1592" w:rsidRPr="00F30AB8">
        <w:rPr>
          <w:noProof/>
          <w:szCs w:val="22"/>
          <w:lang w:val="es-ES"/>
        </w:rPr>
        <w:t> </w:t>
      </w:r>
      <w:r w:rsidRPr="00FF2AFA">
        <w:rPr>
          <w:lang w:val="es-ES_tradnl"/>
        </w:rPr>
        <w:t>años de edad, la dosis recomendada es de 162</w:t>
      </w:r>
      <w:r w:rsidR="009D1592" w:rsidRPr="00F30AB8">
        <w:rPr>
          <w:noProof/>
          <w:szCs w:val="22"/>
          <w:lang w:val="es-ES"/>
        </w:rPr>
        <w:t> </w:t>
      </w:r>
      <w:r w:rsidRPr="00FF2AFA">
        <w:rPr>
          <w:lang w:val="es-ES_tradnl"/>
        </w:rPr>
        <w:t>mg por vía subcutánea una vez por semana en pacientes con un peso mayor o igual a 30</w:t>
      </w:r>
      <w:r w:rsidR="009D1592" w:rsidRPr="00F30AB8">
        <w:rPr>
          <w:noProof/>
          <w:szCs w:val="22"/>
          <w:lang w:val="es-ES"/>
        </w:rPr>
        <w:t> </w:t>
      </w:r>
      <w:r w:rsidRPr="00FF2AFA">
        <w:rPr>
          <w:lang w:val="es-ES_tradnl"/>
        </w:rPr>
        <w:t>kg, o de 162</w:t>
      </w:r>
      <w:r w:rsidR="009D1592" w:rsidRPr="00F30AB8">
        <w:rPr>
          <w:noProof/>
          <w:szCs w:val="22"/>
          <w:lang w:val="es-ES"/>
        </w:rPr>
        <w:t> </w:t>
      </w:r>
      <w:r w:rsidRPr="00FF2AFA">
        <w:rPr>
          <w:lang w:val="es-ES_tradnl"/>
        </w:rPr>
        <w:t>mg por vía subcutánea una vez cada 2</w:t>
      </w:r>
      <w:r w:rsidR="009D1592" w:rsidRPr="00F30AB8">
        <w:rPr>
          <w:noProof/>
          <w:szCs w:val="22"/>
          <w:lang w:val="es-ES"/>
        </w:rPr>
        <w:t> </w:t>
      </w:r>
      <w:r w:rsidRPr="00FF2AFA">
        <w:rPr>
          <w:lang w:val="es-ES_tradnl"/>
        </w:rPr>
        <w:t>semanas en pacientes con un peso menor de 30</w:t>
      </w:r>
      <w:r w:rsidR="009D1592" w:rsidRPr="00F30AB8">
        <w:rPr>
          <w:noProof/>
          <w:szCs w:val="22"/>
          <w:lang w:val="es-ES"/>
        </w:rPr>
        <w:t> </w:t>
      </w:r>
      <w:r w:rsidRPr="00FF2AFA">
        <w:rPr>
          <w:lang w:val="es-ES_tradnl"/>
        </w:rPr>
        <w:t xml:space="preserve">kg. </w:t>
      </w:r>
    </w:p>
    <w:p w14:paraId="6F07557B" w14:textId="77777777" w:rsidR="000F7485" w:rsidRPr="00FF2AFA" w:rsidRDefault="000F7485" w:rsidP="000F7485">
      <w:pPr>
        <w:rPr>
          <w:lang w:val="es-ES_tradnl"/>
        </w:rPr>
      </w:pPr>
    </w:p>
    <w:p w14:paraId="07674DDE" w14:textId="5B7CD287" w:rsidR="000F7485" w:rsidRPr="00FF2AFA" w:rsidRDefault="000F7485" w:rsidP="000F7485">
      <w:pPr>
        <w:rPr>
          <w:lang w:val="es-ES_tradnl"/>
        </w:rPr>
      </w:pPr>
      <w:r w:rsidRPr="00FF2AFA">
        <w:rPr>
          <w:lang w:val="es-ES_tradnl"/>
        </w:rPr>
        <w:t>La pluma precargada no debe usarse para tratar pacientes</w:t>
      </w:r>
      <w:r>
        <w:rPr>
          <w:lang w:val="es-ES_tradnl"/>
        </w:rPr>
        <w:t xml:space="preserve"> pediátricos</w:t>
      </w:r>
      <w:r w:rsidRPr="00FF2AFA">
        <w:rPr>
          <w:lang w:val="es-ES_tradnl"/>
        </w:rPr>
        <w:t xml:space="preserve"> </w:t>
      </w:r>
      <w:r w:rsidR="009D1592" w:rsidRPr="00B65EA9">
        <w:rPr>
          <w:rFonts w:eastAsia="MS Mincho"/>
          <w:szCs w:val="22"/>
          <w:lang w:val="en-GB"/>
        </w:rPr>
        <w:sym w:font="Symbol" w:char="F03C"/>
      </w:r>
      <w:r w:rsidRPr="00FF2AFA">
        <w:rPr>
          <w:lang w:val="es-ES_tradnl"/>
        </w:rPr>
        <w:t>12</w:t>
      </w:r>
      <w:r w:rsidR="009D1592" w:rsidRPr="00F30AB8">
        <w:rPr>
          <w:noProof/>
          <w:szCs w:val="22"/>
          <w:lang w:val="es-ES"/>
        </w:rPr>
        <w:t> </w:t>
      </w:r>
      <w:r w:rsidRPr="00FF2AFA">
        <w:rPr>
          <w:lang w:val="es-ES_tradnl"/>
        </w:rPr>
        <w:t>años de edad.</w:t>
      </w:r>
    </w:p>
    <w:p w14:paraId="2122ECA1" w14:textId="77777777" w:rsidR="000F7485" w:rsidRPr="00FF2AFA" w:rsidRDefault="000F7485" w:rsidP="000F7485">
      <w:pPr>
        <w:rPr>
          <w:lang w:val="es-ES_tradnl"/>
        </w:rPr>
      </w:pPr>
    </w:p>
    <w:p w14:paraId="53DCB20E" w14:textId="0C6910EB" w:rsidR="000F7485" w:rsidRPr="00FF2AFA" w:rsidRDefault="000F7485" w:rsidP="000F7485">
      <w:pPr>
        <w:rPr>
          <w:lang w:val="es-ES_tradnl"/>
        </w:rPr>
      </w:pPr>
      <w:r w:rsidRPr="00FF2AFA">
        <w:rPr>
          <w:lang w:val="es-ES_tradnl"/>
        </w:rPr>
        <w:t>Los pacientes deben tener un peso mínimo de 10</w:t>
      </w:r>
      <w:r w:rsidR="009D1592" w:rsidRPr="00F30AB8">
        <w:rPr>
          <w:noProof/>
          <w:szCs w:val="22"/>
          <w:lang w:val="es-ES"/>
        </w:rPr>
        <w:t> </w:t>
      </w:r>
      <w:r w:rsidRPr="00FF2AFA">
        <w:rPr>
          <w:lang w:val="es-ES_tradnl"/>
        </w:rPr>
        <w:t xml:space="preserve">kg cuando sean tratados con </w:t>
      </w:r>
      <w:r w:rsidR="009D1592">
        <w:rPr>
          <w:lang w:val="es-ES_tradnl"/>
        </w:rPr>
        <w:t>tocilizumab</w:t>
      </w:r>
      <w:r w:rsidRPr="00FF2AFA">
        <w:rPr>
          <w:lang w:val="es-ES_tradnl"/>
        </w:rPr>
        <w:t xml:space="preserve"> subcutáneo.</w:t>
      </w:r>
    </w:p>
    <w:p w14:paraId="54A7AD8F" w14:textId="77777777" w:rsidR="000F7485" w:rsidRPr="000F7485" w:rsidRDefault="000F7485" w:rsidP="000F7485">
      <w:pPr>
        <w:rPr>
          <w:u w:val="single"/>
          <w:lang w:val="es-ES_tradnl"/>
        </w:rPr>
      </w:pPr>
    </w:p>
    <w:p w14:paraId="3FBA250F" w14:textId="77777777" w:rsidR="000F7485" w:rsidRPr="00F30AB8" w:rsidRDefault="000F7485" w:rsidP="00D93101">
      <w:pPr>
        <w:keepNext/>
        <w:keepLines/>
        <w:rPr>
          <w:u w:val="single"/>
          <w:lang w:val="es-ES_tradnl"/>
        </w:rPr>
      </w:pPr>
      <w:r w:rsidRPr="000F7485">
        <w:rPr>
          <w:i/>
          <w:u w:val="single"/>
          <w:lang w:val="es-ES_tradnl"/>
        </w:rPr>
        <w:lastRenderedPageBreak/>
        <w:t xml:space="preserve">Pacientes </w:t>
      </w:r>
      <w:r w:rsidR="003532C2">
        <w:rPr>
          <w:i/>
          <w:u w:val="single"/>
          <w:lang w:val="es-ES_tradnl"/>
        </w:rPr>
        <w:t xml:space="preserve">con </w:t>
      </w:r>
      <w:r w:rsidRPr="000F7485">
        <w:rPr>
          <w:i/>
          <w:u w:val="single"/>
          <w:lang w:val="es-ES_tradnl"/>
        </w:rPr>
        <w:t>AIJp:</w:t>
      </w:r>
    </w:p>
    <w:p w14:paraId="632C8FAE" w14:textId="7617F4EF" w:rsidR="000F7485" w:rsidRPr="00FF2AFA" w:rsidRDefault="00283DFE" w:rsidP="00D93101">
      <w:pPr>
        <w:keepNext/>
        <w:keepLines/>
        <w:rPr>
          <w:lang w:val="es-ES_tradnl"/>
        </w:rPr>
      </w:pPr>
      <w:r w:rsidRPr="001D0713">
        <w:rPr>
          <w:lang w:val="es-ES_tradnl"/>
        </w:rPr>
        <w:t>La posología</w:t>
      </w:r>
      <w:r>
        <w:rPr>
          <w:lang w:val="es-ES_tradnl"/>
        </w:rPr>
        <w:t xml:space="preserve"> recomendada e</w:t>
      </w:r>
      <w:r w:rsidR="000F7485" w:rsidRPr="00FF2AFA">
        <w:rPr>
          <w:lang w:val="es-ES_tradnl"/>
        </w:rPr>
        <w:t>n pacientes mayores de 12</w:t>
      </w:r>
      <w:r w:rsidR="009D1592" w:rsidRPr="00F30AB8">
        <w:rPr>
          <w:noProof/>
          <w:szCs w:val="22"/>
          <w:lang w:val="es-ES"/>
        </w:rPr>
        <w:t> </w:t>
      </w:r>
      <w:r w:rsidR="000F7485" w:rsidRPr="00FF2AFA">
        <w:rPr>
          <w:lang w:val="es-ES_tradnl"/>
        </w:rPr>
        <w:t>años de edad, es de 162</w:t>
      </w:r>
      <w:r w:rsidR="009D1592" w:rsidRPr="00F30AB8">
        <w:rPr>
          <w:noProof/>
          <w:szCs w:val="22"/>
          <w:lang w:val="es-ES"/>
        </w:rPr>
        <w:t> </w:t>
      </w:r>
      <w:r w:rsidR="000F7485" w:rsidRPr="00FF2AFA">
        <w:rPr>
          <w:lang w:val="es-ES_tradnl"/>
        </w:rPr>
        <w:t>mg por vía subcutánea una vez cada 2</w:t>
      </w:r>
      <w:r w:rsidR="009D1592" w:rsidRPr="00F30AB8">
        <w:rPr>
          <w:noProof/>
          <w:szCs w:val="22"/>
          <w:lang w:val="es-ES"/>
        </w:rPr>
        <w:t> </w:t>
      </w:r>
      <w:r w:rsidR="000F7485" w:rsidRPr="00FF2AFA">
        <w:rPr>
          <w:lang w:val="es-ES_tradnl"/>
        </w:rPr>
        <w:t>semanas en pacientes con un peso mayor o igual a 30</w:t>
      </w:r>
      <w:r w:rsidR="009D1592" w:rsidRPr="00F30AB8">
        <w:rPr>
          <w:noProof/>
          <w:szCs w:val="22"/>
          <w:lang w:val="es-ES"/>
        </w:rPr>
        <w:t> </w:t>
      </w:r>
      <w:r w:rsidR="000F7485" w:rsidRPr="00FF2AFA">
        <w:rPr>
          <w:lang w:val="es-ES_tradnl"/>
        </w:rPr>
        <w:t>kg, o de 162</w:t>
      </w:r>
      <w:r w:rsidR="009D1592" w:rsidRPr="00F30AB8">
        <w:rPr>
          <w:noProof/>
          <w:szCs w:val="22"/>
          <w:lang w:val="es-ES"/>
        </w:rPr>
        <w:t> </w:t>
      </w:r>
      <w:r w:rsidR="000F7485" w:rsidRPr="00FF2AFA">
        <w:rPr>
          <w:lang w:val="es-ES_tradnl"/>
        </w:rPr>
        <w:t>mg por vía subcutánea una vez cada 3</w:t>
      </w:r>
      <w:r w:rsidR="009D1592" w:rsidRPr="00F30AB8">
        <w:rPr>
          <w:noProof/>
          <w:szCs w:val="22"/>
          <w:lang w:val="es-ES"/>
        </w:rPr>
        <w:t> </w:t>
      </w:r>
      <w:r w:rsidR="000F7485" w:rsidRPr="00FF2AFA">
        <w:rPr>
          <w:lang w:val="es-ES_tradnl"/>
        </w:rPr>
        <w:t>semanas en pacientes con un peso menor de 30</w:t>
      </w:r>
      <w:r w:rsidR="009D1592" w:rsidRPr="00F30AB8">
        <w:rPr>
          <w:noProof/>
          <w:szCs w:val="22"/>
          <w:lang w:val="es-ES"/>
        </w:rPr>
        <w:t> </w:t>
      </w:r>
      <w:r w:rsidR="000F7485" w:rsidRPr="00FF2AFA">
        <w:rPr>
          <w:lang w:val="es-ES_tradnl"/>
        </w:rPr>
        <w:t>kg.</w:t>
      </w:r>
    </w:p>
    <w:p w14:paraId="3F91013E" w14:textId="77777777" w:rsidR="000F7485" w:rsidRPr="00FF2AFA" w:rsidRDefault="000F7485" w:rsidP="000F7485">
      <w:pPr>
        <w:rPr>
          <w:lang w:val="es-ES_tradnl"/>
        </w:rPr>
      </w:pPr>
    </w:p>
    <w:p w14:paraId="38E98B1B" w14:textId="2FE1D25C" w:rsidR="000F7485" w:rsidRDefault="000F7485" w:rsidP="000F7485">
      <w:pPr>
        <w:rPr>
          <w:lang w:val="es-ES_tradnl"/>
        </w:rPr>
      </w:pPr>
      <w:r w:rsidRPr="00FF2AFA">
        <w:rPr>
          <w:lang w:val="es-ES_tradnl"/>
        </w:rPr>
        <w:t>La plu</w:t>
      </w:r>
      <w:r>
        <w:rPr>
          <w:lang w:val="es-ES_tradnl"/>
        </w:rPr>
        <w:t xml:space="preserve">ma precargada no debe usarse para tratar pacientes pediátricos </w:t>
      </w:r>
      <w:r w:rsidR="009D1592" w:rsidRPr="00B65EA9">
        <w:rPr>
          <w:rFonts w:eastAsia="MS Mincho"/>
          <w:szCs w:val="22"/>
          <w:lang w:val="en-GB"/>
        </w:rPr>
        <w:sym w:font="Symbol" w:char="F03C"/>
      </w:r>
      <w:r>
        <w:rPr>
          <w:lang w:val="es-ES_tradnl"/>
        </w:rPr>
        <w:t>12</w:t>
      </w:r>
      <w:r w:rsidR="009D1592" w:rsidRPr="00F30AB8">
        <w:rPr>
          <w:noProof/>
          <w:szCs w:val="22"/>
          <w:lang w:val="es-ES"/>
        </w:rPr>
        <w:t> </w:t>
      </w:r>
      <w:r>
        <w:rPr>
          <w:lang w:val="es-ES_tradnl"/>
        </w:rPr>
        <w:t>años de edad.</w:t>
      </w:r>
    </w:p>
    <w:p w14:paraId="728A4DA4" w14:textId="77777777" w:rsidR="000F7485" w:rsidRDefault="000F7485" w:rsidP="000F7485">
      <w:pPr>
        <w:rPr>
          <w:lang w:val="es-ES_tradnl"/>
        </w:rPr>
      </w:pPr>
    </w:p>
    <w:p w14:paraId="3ED18DAE" w14:textId="77777777" w:rsidR="009D1592" w:rsidRPr="00F30AB8" w:rsidRDefault="009D1592" w:rsidP="00F30AB8">
      <w:pPr>
        <w:keepNext/>
        <w:keepLines/>
        <w:rPr>
          <w:i/>
          <w:u w:val="single"/>
          <w:lang w:val="es-ES_tradnl"/>
        </w:rPr>
      </w:pPr>
      <w:r w:rsidRPr="000F7485">
        <w:rPr>
          <w:i/>
          <w:u w:val="single"/>
          <w:lang w:val="es-ES_tradnl"/>
        </w:rPr>
        <w:t xml:space="preserve">Pacientes </w:t>
      </w:r>
      <w:r w:rsidR="003532C2">
        <w:rPr>
          <w:i/>
          <w:u w:val="single"/>
          <w:lang w:val="es-ES_tradnl"/>
        </w:rPr>
        <w:t xml:space="preserve">con </w:t>
      </w:r>
      <w:r w:rsidRPr="000F7485">
        <w:rPr>
          <w:i/>
          <w:u w:val="single"/>
          <w:lang w:val="es-ES_tradnl"/>
        </w:rPr>
        <w:t>AIJs</w:t>
      </w:r>
      <w:r>
        <w:rPr>
          <w:u w:val="single"/>
          <w:lang w:val="es-ES_tradnl"/>
        </w:rPr>
        <w:t xml:space="preserve"> y </w:t>
      </w:r>
      <w:r w:rsidRPr="000F7485">
        <w:rPr>
          <w:i/>
          <w:u w:val="single"/>
          <w:lang w:val="es-ES_tradnl"/>
        </w:rPr>
        <w:t>AIJp:</w:t>
      </w:r>
    </w:p>
    <w:p w14:paraId="083524DB" w14:textId="054FD750" w:rsidR="000F7485" w:rsidRPr="00F30AB8" w:rsidRDefault="000F7485" w:rsidP="000F7485">
      <w:pPr>
        <w:rPr>
          <w:lang w:val="es-ES_tradnl"/>
        </w:rPr>
      </w:pPr>
      <w:r w:rsidRPr="00F30AB8">
        <w:rPr>
          <w:lang w:val="es-ES_tradnl"/>
        </w:rPr>
        <w:t>Ajustes de dosis si los valores de laboratorio están fuera de los parámetros normales</w:t>
      </w:r>
    </w:p>
    <w:p w14:paraId="79D39476" w14:textId="77777777" w:rsidR="000F7485" w:rsidRPr="000F7485" w:rsidRDefault="000F7485" w:rsidP="000F7485">
      <w:pPr>
        <w:rPr>
          <w:u w:val="single"/>
          <w:lang w:val="es-ES_tradnl"/>
        </w:rPr>
      </w:pPr>
    </w:p>
    <w:p w14:paraId="44F367D5" w14:textId="77777777" w:rsidR="000F7485" w:rsidRDefault="000F7485" w:rsidP="000F7485">
      <w:pPr>
        <w:rPr>
          <w:u w:val="single"/>
          <w:lang w:val="es-ES"/>
        </w:rPr>
      </w:pPr>
      <w:r w:rsidRPr="00F30AB8">
        <w:rPr>
          <w:lang w:val="es-ES"/>
        </w:rPr>
        <w:t>Si procede, la dosis concomitante de MTX y/o de otra medicación pueden ser modificadas o suspendidas y la dosis de tocilizumab interrumpida hasta que la situación clínica haya sido evaluada</w:t>
      </w:r>
      <w:r w:rsidRPr="00F30AB8">
        <w:rPr>
          <w:lang w:val="es-ES_tradnl"/>
        </w:rPr>
        <w:t xml:space="preserve">. </w:t>
      </w:r>
      <w:r w:rsidRPr="00F30AB8">
        <w:rPr>
          <w:lang w:val="es-ES"/>
        </w:rPr>
        <w:t>Como en los pacientes con AIJs o AIJp hay diversas comorbilidades que pueden afectar a los valores de laboratorio, la decisión de suspender tocilizumab por unos valores de laboratorio anómalos debe estar basada en la evaluación individual del médico para cada paciente</w:t>
      </w:r>
      <w:r w:rsidRPr="000F7485">
        <w:rPr>
          <w:u w:val="single"/>
          <w:lang w:val="es-ES"/>
        </w:rPr>
        <w:t>.</w:t>
      </w:r>
    </w:p>
    <w:p w14:paraId="48E31EAF" w14:textId="77777777" w:rsidR="009A1C1F" w:rsidRPr="006616E4" w:rsidRDefault="009A1C1F" w:rsidP="009A1C1F">
      <w:pPr>
        <w:rPr>
          <w:noProof/>
          <w:lang w:val="es-ES"/>
        </w:rPr>
      </w:pPr>
    </w:p>
    <w:p w14:paraId="4C1D0447" w14:textId="77777777" w:rsidR="009A1C1F" w:rsidRDefault="009A1C1F" w:rsidP="009A1C1F">
      <w:pPr>
        <w:keepNext/>
        <w:keepLines/>
        <w:tabs>
          <w:tab w:val="left" w:pos="709"/>
        </w:tabs>
        <w:ind w:left="714" w:hanging="357"/>
        <w:rPr>
          <w:lang w:val="es-ES_tradnl"/>
        </w:rPr>
      </w:pPr>
      <w:r w:rsidRPr="008A106B">
        <w:rPr>
          <w:lang w:val="es-ES"/>
        </w:rPr>
        <w:sym w:font="Symbol" w:char="F0B7"/>
      </w:r>
      <w:r>
        <w:rPr>
          <w:lang w:val="es-ES"/>
        </w:rPr>
        <w:tab/>
      </w:r>
      <w:r>
        <w:rPr>
          <w:lang w:val="es-ES_tradnl"/>
        </w:rPr>
        <w:t>Enzimas hepáticas fuera de los valores normales</w:t>
      </w:r>
    </w:p>
    <w:p w14:paraId="1039F66E" w14:textId="77777777" w:rsidR="009219B8" w:rsidRDefault="009219B8" w:rsidP="009A1C1F">
      <w:pPr>
        <w:keepNext/>
        <w:keepLines/>
        <w:tabs>
          <w:tab w:val="left" w:pos="709"/>
        </w:tabs>
        <w:ind w:left="714" w:hanging="357"/>
        <w:rPr>
          <w:lang w:val="es-ES_tradn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6004"/>
      </w:tblGrid>
      <w:tr w:rsidR="009A1C1F" w:rsidRPr="008B5E8B" w14:paraId="7FAF90BD" w14:textId="77777777" w:rsidTr="006979B8">
        <w:tc>
          <w:tcPr>
            <w:tcW w:w="1796" w:type="dxa"/>
          </w:tcPr>
          <w:p w14:paraId="1AAF9D40" w14:textId="77777777" w:rsidR="009A1C1F" w:rsidRPr="00F30AB8" w:rsidRDefault="009A1C1F" w:rsidP="006979B8">
            <w:pPr>
              <w:pStyle w:val="TextTi12"/>
              <w:keepNext/>
              <w:keepLines/>
              <w:jc w:val="center"/>
              <w:rPr>
                <w:rFonts w:eastAsia="MS Mincho"/>
                <w:bCs/>
                <w:sz w:val="22"/>
                <w:szCs w:val="22"/>
              </w:rPr>
            </w:pPr>
            <w:r w:rsidRPr="00F30AB8">
              <w:rPr>
                <w:rFonts w:eastAsia="MS Mincho"/>
                <w:bCs/>
                <w:sz w:val="22"/>
                <w:szCs w:val="22"/>
              </w:rPr>
              <w:t>Valores de laboratorio</w:t>
            </w:r>
          </w:p>
        </w:tc>
        <w:tc>
          <w:tcPr>
            <w:tcW w:w="6004" w:type="dxa"/>
          </w:tcPr>
          <w:p w14:paraId="5E305812" w14:textId="77777777" w:rsidR="009A1C1F" w:rsidRPr="00F30AB8" w:rsidRDefault="009A1C1F" w:rsidP="006979B8">
            <w:pPr>
              <w:pStyle w:val="TextTi12"/>
              <w:keepNext/>
              <w:keepLines/>
              <w:jc w:val="center"/>
              <w:rPr>
                <w:rFonts w:eastAsia="MS Mincho"/>
                <w:bCs/>
                <w:sz w:val="22"/>
                <w:szCs w:val="22"/>
              </w:rPr>
            </w:pPr>
            <w:r w:rsidRPr="00F30AB8">
              <w:rPr>
                <w:rFonts w:eastAsia="MS Mincho"/>
                <w:bCs/>
                <w:sz w:val="22"/>
                <w:szCs w:val="22"/>
              </w:rPr>
              <w:t>Acción</w:t>
            </w:r>
          </w:p>
        </w:tc>
      </w:tr>
      <w:tr w:rsidR="009A1C1F" w:rsidRPr="00541248" w14:paraId="0573A2AB" w14:textId="77777777" w:rsidTr="006979B8">
        <w:tc>
          <w:tcPr>
            <w:tcW w:w="1796" w:type="dxa"/>
          </w:tcPr>
          <w:p w14:paraId="6953F41A" w14:textId="428041C1" w:rsidR="009A1C1F" w:rsidRDefault="009A1C1F" w:rsidP="006979B8">
            <w:pPr>
              <w:pStyle w:val="TextTi12"/>
              <w:keepNext/>
              <w:keepLines/>
              <w:rPr>
                <w:rFonts w:eastAsia="MS Mincho"/>
                <w:sz w:val="22"/>
                <w:szCs w:val="22"/>
              </w:rPr>
            </w:pPr>
          </w:p>
          <w:p w14:paraId="0D509993" w14:textId="346E9DA3" w:rsidR="005A27A2" w:rsidRPr="008B5E8B" w:rsidRDefault="005A27A2" w:rsidP="006979B8">
            <w:pPr>
              <w:pStyle w:val="TextTi12"/>
              <w:keepNext/>
              <w:keepLines/>
              <w:rPr>
                <w:rFonts w:eastAsia="MS Mincho"/>
                <w:sz w:val="22"/>
                <w:szCs w:val="22"/>
              </w:rPr>
            </w:pPr>
            <w:r w:rsidRPr="00945212">
              <w:rPr>
                <w:rFonts w:eastAsia="MS Mincho"/>
                <w:szCs w:val="22"/>
                <w:lang w:val="en-GB"/>
              </w:rPr>
              <w:t> </w:t>
            </w:r>
            <w:r w:rsidRPr="00F97C8F">
              <w:rPr>
                <w:rFonts w:eastAsia="MS Mincho"/>
                <w:sz w:val="22"/>
                <w:szCs w:val="22"/>
                <w:lang w:val="en-GB"/>
              </w:rPr>
              <w:t>&gt;</w:t>
            </w:r>
            <w:r w:rsidRPr="00945212">
              <w:rPr>
                <w:rFonts w:eastAsia="MS Mincho"/>
                <w:szCs w:val="22"/>
                <w:lang w:val="en-GB"/>
              </w:rPr>
              <w:t> </w:t>
            </w:r>
            <w:r>
              <w:rPr>
                <w:noProof/>
                <w:szCs w:val="22"/>
                <w:lang w:val="en-GB"/>
              </w:rPr>
              <w:t>1 a</w:t>
            </w:r>
            <w:r w:rsidRPr="00945212">
              <w:rPr>
                <w:noProof/>
                <w:szCs w:val="22"/>
                <w:lang w:val="en-GB"/>
              </w:rPr>
              <w:t xml:space="preserve"> 3 × L</w:t>
            </w:r>
            <w:r>
              <w:rPr>
                <w:noProof/>
                <w:szCs w:val="22"/>
                <w:lang w:val="en-GB"/>
              </w:rPr>
              <w:t>S</w:t>
            </w:r>
            <w:r w:rsidRPr="00945212">
              <w:rPr>
                <w:noProof/>
                <w:szCs w:val="22"/>
                <w:lang w:val="en-GB"/>
              </w:rPr>
              <w:t>N</w:t>
            </w:r>
          </w:p>
        </w:tc>
        <w:tc>
          <w:tcPr>
            <w:tcW w:w="6004" w:type="dxa"/>
          </w:tcPr>
          <w:p w14:paraId="68205A11" w14:textId="77777777" w:rsidR="009A1C1F" w:rsidRPr="005A5612" w:rsidRDefault="009A1C1F" w:rsidP="006979B8">
            <w:pPr>
              <w:pStyle w:val="TextTi12"/>
              <w:keepNext/>
              <w:keepLines/>
              <w:rPr>
                <w:sz w:val="22"/>
                <w:szCs w:val="22"/>
                <w:lang w:val="es-ES"/>
              </w:rPr>
            </w:pPr>
            <w:r w:rsidRPr="005A5612">
              <w:rPr>
                <w:sz w:val="22"/>
                <w:szCs w:val="22"/>
                <w:lang w:val="es-ES"/>
              </w:rPr>
              <w:t xml:space="preserve">Si procede, modificar la dosis de la medicación concomitante de MTX. </w:t>
            </w:r>
          </w:p>
          <w:p w14:paraId="3C2C2AD3" w14:textId="1112AA6A" w:rsidR="009A1C1F" w:rsidRPr="006616E4" w:rsidRDefault="009A1C1F" w:rsidP="006979B8">
            <w:pPr>
              <w:pStyle w:val="TextTi12"/>
              <w:keepNext/>
              <w:keepLines/>
              <w:rPr>
                <w:rFonts w:eastAsia="MS Mincho"/>
                <w:sz w:val="22"/>
                <w:szCs w:val="22"/>
                <w:lang w:val="es-ES"/>
              </w:rPr>
            </w:pPr>
            <w:r w:rsidRPr="005A5612">
              <w:rPr>
                <w:sz w:val="22"/>
                <w:szCs w:val="22"/>
                <w:lang w:val="es-ES"/>
              </w:rPr>
              <w:t>En este rango</w:t>
            </w:r>
            <w:r>
              <w:rPr>
                <w:sz w:val="22"/>
                <w:szCs w:val="22"/>
                <w:lang w:val="es-ES"/>
              </w:rPr>
              <w:t>,</w:t>
            </w:r>
            <w:r w:rsidRPr="005A5612">
              <w:rPr>
                <w:sz w:val="22"/>
                <w:szCs w:val="22"/>
                <w:lang w:val="es-ES"/>
              </w:rPr>
              <w:t xml:space="preserve"> cuando persisten los aumentos, se debe interrumpir </w:t>
            </w:r>
            <w:r w:rsidR="009D1592" w:rsidRPr="00F30AB8">
              <w:rPr>
                <w:noProof/>
                <w:szCs w:val="22"/>
                <w:lang w:val="es-ES"/>
              </w:rPr>
              <w:t>tocilizumab</w:t>
            </w:r>
            <w:r>
              <w:rPr>
                <w:sz w:val="22"/>
                <w:szCs w:val="22"/>
                <w:lang w:val="es-ES"/>
              </w:rPr>
              <w:t xml:space="preserve"> hasta que los valores de ALT/</w:t>
            </w:r>
            <w:r w:rsidRPr="005A5612">
              <w:rPr>
                <w:sz w:val="22"/>
                <w:szCs w:val="22"/>
                <w:lang w:val="es-ES"/>
              </w:rPr>
              <w:t>AST se normalicen.</w:t>
            </w:r>
          </w:p>
        </w:tc>
      </w:tr>
      <w:tr w:rsidR="009A1C1F" w:rsidRPr="00541248" w14:paraId="2355ED6F" w14:textId="77777777" w:rsidTr="006979B8">
        <w:tc>
          <w:tcPr>
            <w:tcW w:w="1796" w:type="dxa"/>
          </w:tcPr>
          <w:p w14:paraId="497F4879" w14:textId="77777777" w:rsidR="009A1C1F" w:rsidRPr="00F30AB8" w:rsidRDefault="009A1C1F" w:rsidP="00F30AB8">
            <w:pPr>
              <w:pStyle w:val="TextTi12"/>
              <w:rPr>
                <w:rFonts w:eastAsia="MS Mincho"/>
                <w:sz w:val="22"/>
                <w:szCs w:val="22"/>
                <w:lang w:val="es-ES"/>
              </w:rPr>
            </w:pPr>
          </w:p>
          <w:p w14:paraId="37B799C6" w14:textId="3012396E" w:rsidR="005A27A2" w:rsidRPr="00F30AB8" w:rsidRDefault="005A27A2" w:rsidP="005A27A2">
            <w:pPr>
              <w:pStyle w:val="Standard1"/>
              <w:keepNext/>
              <w:keepLines/>
              <w:ind w:left="9"/>
              <w:rPr>
                <w:rFonts w:ascii="Times New Roman" w:eastAsia="Times New Roman" w:hAnsi="Times New Roman"/>
                <w:sz w:val="22"/>
                <w:szCs w:val="20"/>
                <w:lang w:val="es-ES_tradnl" w:eastAsia="ja-JP"/>
              </w:rPr>
            </w:pPr>
            <w:r w:rsidRPr="00F30AB8">
              <w:rPr>
                <w:rFonts w:ascii="Times New Roman" w:eastAsia="Times New Roman" w:hAnsi="Times New Roman"/>
                <w:sz w:val="22"/>
                <w:szCs w:val="20"/>
                <w:lang w:val="es-ES_tradnl" w:eastAsia="ja-JP"/>
              </w:rPr>
              <w:t> &gt; 3 × LSN a 5 × LSN</w:t>
            </w:r>
          </w:p>
          <w:p w14:paraId="2CEB7693" w14:textId="4BA9F6B6" w:rsidR="005A27A2" w:rsidRPr="008B5E8B" w:rsidRDefault="005A27A2" w:rsidP="00F30AB8">
            <w:pPr>
              <w:pStyle w:val="TextTi12"/>
              <w:rPr>
                <w:rFonts w:eastAsia="MS Mincho"/>
                <w:sz w:val="22"/>
                <w:szCs w:val="22"/>
              </w:rPr>
            </w:pPr>
          </w:p>
        </w:tc>
        <w:tc>
          <w:tcPr>
            <w:tcW w:w="6004" w:type="dxa"/>
          </w:tcPr>
          <w:p w14:paraId="6030AF94" w14:textId="77777777" w:rsidR="009A1C1F" w:rsidRPr="005A5612" w:rsidRDefault="009A1C1F" w:rsidP="006979B8">
            <w:pPr>
              <w:pStyle w:val="TextTi12"/>
              <w:rPr>
                <w:sz w:val="22"/>
                <w:szCs w:val="22"/>
                <w:lang w:val="es-ES"/>
              </w:rPr>
            </w:pPr>
            <w:r w:rsidRPr="005A5612">
              <w:rPr>
                <w:sz w:val="22"/>
                <w:szCs w:val="22"/>
                <w:lang w:val="es-ES"/>
              </w:rPr>
              <w:t xml:space="preserve">Si procede, modificar la dosis de la medicación concomitante de MTX. </w:t>
            </w:r>
          </w:p>
          <w:p w14:paraId="46CCBA39" w14:textId="6A0CC04C" w:rsidR="009A1C1F" w:rsidRDefault="003532C2" w:rsidP="006979B8">
            <w:pPr>
              <w:rPr>
                <w:lang w:val="es-ES_tradnl"/>
              </w:rPr>
            </w:pPr>
            <w:r>
              <w:rPr>
                <w:lang w:val="es-ES_tradnl"/>
              </w:rPr>
              <w:t>Se d</w:t>
            </w:r>
            <w:r w:rsidR="009A1C1F" w:rsidRPr="005A5612">
              <w:rPr>
                <w:lang w:val="es-ES_tradnl"/>
              </w:rPr>
              <w:t xml:space="preserve">ebe interrumpir el tratamiento con </w:t>
            </w:r>
            <w:r w:rsidR="009D1592" w:rsidRPr="00F30AB8">
              <w:rPr>
                <w:noProof/>
                <w:szCs w:val="22"/>
                <w:lang w:val="es-ES"/>
              </w:rPr>
              <w:t>tocilizumab</w:t>
            </w:r>
            <w:r w:rsidR="009A1C1F" w:rsidRPr="005A5612">
              <w:rPr>
                <w:lang w:val="es-ES_tradnl"/>
              </w:rPr>
              <w:t xml:space="preserve"> hasta que los valores sean </w:t>
            </w:r>
            <w:r w:rsidR="005A27A2" w:rsidRPr="00F30AB8">
              <w:rPr>
                <w:noProof/>
                <w:szCs w:val="22"/>
                <w:lang w:val="es-ES"/>
              </w:rPr>
              <w:t>&lt; 3 × L</w:t>
            </w:r>
            <w:r w:rsidR="005A27A2">
              <w:rPr>
                <w:noProof/>
                <w:szCs w:val="22"/>
                <w:lang w:val="es-ES"/>
              </w:rPr>
              <w:t>S</w:t>
            </w:r>
            <w:r w:rsidR="005A27A2" w:rsidRPr="00F30AB8">
              <w:rPr>
                <w:noProof/>
                <w:szCs w:val="22"/>
                <w:lang w:val="es-ES"/>
              </w:rPr>
              <w:t>N</w:t>
            </w:r>
            <w:r w:rsidR="009A1C1F" w:rsidRPr="005A5612">
              <w:rPr>
                <w:lang w:val="es-ES_tradnl"/>
              </w:rPr>
              <w:t xml:space="preserve"> y seguir las recomendaciones indicadas arriba, para valores </w:t>
            </w:r>
            <w:r w:rsidR="005A27A2" w:rsidRPr="00F30AB8">
              <w:rPr>
                <w:noProof/>
                <w:szCs w:val="22"/>
                <w:lang w:val="es-ES"/>
              </w:rPr>
              <w:t>&gt; </w:t>
            </w:r>
            <w:r w:rsidR="005A27A2">
              <w:rPr>
                <w:noProof/>
                <w:szCs w:val="22"/>
                <w:lang w:val="es-ES"/>
              </w:rPr>
              <w:t>1 a</w:t>
            </w:r>
            <w:r w:rsidR="005A27A2" w:rsidRPr="00F30AB8">
              <w:rPr>
                <w:noProof/>
                <w:szCs w:val="22"/>
                <w:lang w:val="es-ES"/>
              </w:rPr>
              <w:t xml:space="preserve"> 3 × </w:t>
            </w:r>
            <w:r w:rsidR="005A27A2" w:rsidRPr="00F30AB8">
              <w:rPr>
                <w:szCs w:val="22"/>
                <w:lang w:val="es-ES"/>
              </w:rPr>
              <w:t>L</w:t>
            </w:r>
            <w:r w:rsidR="005A27A2">
              <w:rPr>
                <w:szCs w:val="22"/>
                <w:lang w:val="es-ES"/>
              </w:rPr>
              <w:t>S</w:t>
            </w:r>
            <w:r w:rsidR="005A27A2" w:rsidRPr="00F30AB8">
              <w:rPr>
                <w:szCs w:val="22"/>
                <w:lang w:val="es-ES"/>
              </w:rPr>
              <w:t>N.</w:t>
            </w:r>
            <w:r w:rsidR="009A1C1F" w:rsidRPr="005A5612">
              <w:rPr>
                <w:lang w:val="es-ES_tradnl"/>
              </w:rPr>
              <w:t xml:space="preserve"> </w:t>
            </w:r>
          </w:p>
          <w:p w14:paraId="37110768" w14:textId="77777777" w:rsidR="009A1C1F" w:rsidRPr="006616E4" w:rsidRDefault="009A1C1F" w:rsidP="006979B8">
            <w:pPr>
              <w:rPr>
                <w:lang w:val="es-ES_tradnl"/>
              </w:rPr>
            </w:pPr>
          </w:p>
        </w:tc>
      </w:tr>
      <w:tr w:rsidR="009A1C1F" w:rsidRPr="00541248" w14:paraId="28C5BEBF" w14:textId="77777777" w:rsidTr="006979B8">
        <w:tc>
          <w:tcPr>
            <w:tcW w:w="1796" w:type="dxa"/>
          </w:tcPr>
          <w:p w14:paraId="4E792911" w14:textId="64A52D9D" w:rsidR="009A1C1F" w:rsidRPr="00F30AB8" w:rsidRDefault="009A1C1F" w:rsidP="006979B8">
            <w:pPr>
              <w:pStyle w:val="TextTi12"/>
              <w:rPr>
                <w:rFonts w:eastAsia="MS Mincho"/>
                <w:szCs w:val="22"/>
                <w:lang w:val="es-ES"/>
              </w:rPr>
            </w:pPr>
          </w:p>
          <w:p w14:paraId="32828E32" w14:textId="62D54647" w:rsidR="005A27A2" w:rsidRPr="008B5E8B" w:rsidRDefault="005A27A2" w:rsidP="006979B8">
            <w:pPr>
              <w:pStyle w:val="TextTi12"/>
              <w:rPr>
                <w:rFonts w:eastAsia="MS Mincho"/>
                <w:sz w:val="22"/>
                <w:szCs w:val="22"/>
              </w:rPr>
            </w:pPr>
            <w:r w:rsidRPr="00F30AB8">
              <w:rPr>
                <w:rFonts w:eastAsia="MS Mincho"/>
                <w:szCs w:val="22"/>
                <w:lang w:val="es-ES"/>
              </w:rPr>
              <w:t> </w:t>
            </w:r>
            <w:r w:rsidRPr="00F97C8F">
              <w:rPr>
                <w:rFonts w:eastAsia="MS Mincho"/>
                <w:sz w:val="22"/>
                <w:szCs w:val="22"/>
                <w:lang w:val="en-GB"/>
              </w:rPr>
              <w:t>&gt;</w:t>
            </w:r>
            <w:r w:rsidRPr="00945212">
              <w:rPr>
                <w:rFonts w:eastAsia="MS Mincho"/>
                <w:szCs w:val="22"/>
                <w:lang w:val="en-GB"/>
              </w:rPr>
              <w:t> </w:t>
            </w:r>
            <w:r w:rsidRPr="00945212">
              <w:rPr>
                <w:noProof/>
                <w:szCs w:val="22"/>
                <w:lang w:val="en-GB"/>
              </w:rPr>
              <w:t>5 × L</w:t>
            </w:r>
            <w:r>
              <w:rPr>
                <w:noProof/>
                <w:szCs w:val="22"/>
                <w:lang w:val="en-GB"/>
              </w:rPr>
              <w:t>S</w:t>
            </w:r>
            <w:r w:rsidRPr="00945212">
              <w:rPr>
                <w:noProof/>
                <w:szCs w:val="22"/>
                <w:lang w:val="en-GB"/>
              </w:rPr>
              <w:t>N</w:t>
            </w:r>
          </w:p>
        </w:tc>
        <w:tc>
          <w:tcPr>
            <w:tcW w:w="6004" w:type="dxa"/>
          </w:tcPr>
          <w:p w14:paraId="5595E9F5" w14:textId="70DD1CED" w:rsidR="009A1C1F" w:rsidRPr="006616E4" w:rsidRDefault="009A1C1F" w:rsidP="006979B8">
            <w:pPr>
              <w:pStyle w:val="TextTi12"/>
              <w:rPr>
                <w:rFonts w:eastAsia="MS Mincho"/>
                <w:sz w:val="22"/>
                <w:szCs w:val="22"/>
                <w:lang w:val="es-ES"/>
              </w:rPr>
            </w:pPr>
            <w:r w:rsidRPr="006616E4">
              <w:rPr>
                <w:rFonts w:eastAsia="MS Mincho"/>
                <w:sz w:val="22"/>
                <w:szCs w:val="22"/>
                <w:lang w:val="es-ES"/>
              </w:rPr>
              <w:t xml:space="preserve">Interrumpir </w:t>
            </w:r>
            <w:del w:id="1540" w:author="AUTHOR">
              <w:r w:rsidRPr="006616E4" w:rsidDel="008A2AD3">
                <w:rPr>
                  <w:rFonts w:eastAsia="MS Mincho"/>
                  <w:sz w:val="22"/>
                  <w:szCs w:val="22"/>
                  <w:lang w:val="es-ES"/>
                </w:rPr>
                <w:delText>el tratamiento</w:delText>
              </w:r>
            </w:del>
            <w:ins w:id="1541" w:author="AUTHOR">
              <w:r w:rsidR="008A2AD3">
                <w:rPr>
                  <w:rFonts w:eastAsia="MS Mincho"/>
                  <w:sz w:val="22"/>
                  <w:szCs w:val="22"/>
                  <w:lang w:val="es-ES"/>
                </w:rPr>
                <w:t>la administración</w:t>
              </w:r>
            </w:ins>
            <w:r w:rsidRPr="006616E4">
              <w:rPr>
                <w:rFonts w:eastAsia="MS Mincho"/>
                <w:sz w:val="22"/>
                <w:szCs w:val="22"/>
                <w:lang w:val="es-ES"/>
              </w:rPr>
              <w:t xml:space="preserve"> con</w:t>
            </w:r>
            <w:r w:rsidRPr="00FE1FC6">
              <w:rPr>
                <w:rFonts w:eastAsia="MS Mincho"/>
                <w:sz w:val="22"/>
                <w:szCs w:val="22"/>
                <w:lang w:val="es-ES"/>
              </w:rPr>
              <w:t xml:space="preserve"> </w:t>
            </w:r>
            <w:r w:rsidR="00FE1FC6" w:rsidRPr="00F30AB8">
              <w:rPr>
                <w:noProof/>
                <w:sz w:val="22"/>
                <w:szCs w:val="22"/>
                <w:lang w:val="es-ES"/>
              </w:rPr>
              <w:t>tocilizumab</w:t>
            </w:r>
            <w:r w:rsidRPr="006616E4">
              <w:rPr>
                <w:rFonts w:eastAsia="MS Mincho"/>
                <w:sz w:val="22"/>
                <w:szCs w:val="22"/>
                <w:lang w:val="es-ES"/>
              </w:rPr>
              <w:t xml:space="preserve">. </w:t>
            </w:r>
          </w:p>
          <w:p w14:paraId="733D3504" w14:textId="6DE9BA5B" w:rsidR="009A1C1F" w:rsidRDefault="009A1C1F" w:rsidP="006979B8">
            <w:pPr>
              <w:rPr>
                <w:noProof/>
                <w:lang w:val="es-ES"/>
              </w:rPr>
            </w:pPr>
            <w:r w:rsidRPr="005A5612">
              <w:rPr>
                <w:noProof/>
                <w:lang w:val="es-ES"/>
              </w:rPr>
              <w:t xml:space="preserve">La decisión de suspender </w:t>
            </w:r>
            <w:r w:rsidR="009D1592">
              <w:rPr>
                <w:noProof/>
                <w:lang w:val="es-ES"/>
              </w:rPr>
              <w:t xml:space="preserve">el tratamiento </w:t>
            </w:r>
            <w:r>
              <w:rPr>
                <w:noProof/>
                <w:lang w:val="es-ES"/>
              </w:rPr>
              <w:t>en AIJs o AIJp</w:t>
            </w:r>
            <w:r w:rsidRPr="005A5612">
              <w:rPr>
                <w:noProof/>
                <w:lang w:val="es-ES"/>
              </w:rPr>
              <w:t xml:space="preserve"> por unos valores de laboratorio an</w:t>
            </w:r>
            <w:r>
              <w:rPr>
                <w:noProof/>
                <w:lang w:val="es-ES"/>
              </w:rPr>
              <w:t>ó</w:t>
            </w:r>
            <w:r w:rsidRPr="005A5612">
              <w:rPr>
                <w:noProof/>
                <w:lang w:val="es-ES"/>
              </w:rPr>
              <w:t>malos debe estar basada en la evaluación individual del médico para cada paciente.</w:t>
            </w:r>
          </w:p>
          <w:p w14:paraId="0E27D291" w14:textId="77777777" w:rsidR="009A1C1F" w:rsidRPr="006616E4" w:rsidRDefault="009A1C1F" w:rsidP="006979B8">
            <w:pPr>
              <w:rPr>
                <w:noProof/>
                <w:lang w:val="es-ES"/>
              </w:rPr>
            </w:pPr>
          </w:p>
        </w:tc>
      </w:tr>
    </w:tbl>
    <w:p w14:paraId="45337676" w14:textId="77777777" w:rsidR="009A1C1F" w:rsidRDefault="009A1C1F" w:rsidP="009A1C1F">
      <w:pPr>
        <w:rPr>
          <w:lang w:val="es-ES"/>
        </w:rPr>
      </w:pPr>
    </w:p>
    <w:p w14:paraId="625454DF" w14:textId="77777777" w:rsidR="009A1C1F" w:rsidRDefault="009A1C1F" w:rsidP="00FF2AFA">
      <w:pPr>
        <w:keepNext/>
        <w:keepLines/>
        <w:tabs>
          <w:tab w:val="left" w:pos="709"/>
        </w:tabs>
        <w:ind w:left="714" w:hanging="357"/>
        <w:rPr>
          <w:lang w:val="es-ES"/>
        </w:rPr>
      </w:pPr>
      <w:r w:rsidRPr="008A106B">
        <w:rPr>
          <w:lang w:val="es-ES"/>
        </w:rPr>
        <w:lastRenderedPageBreak/>
        <w:sym w:font="Symbol" w:char="F0B7"/>
      </w:r>
      <w:r>
        <w:rPr>
          <w:lang w:val="es-ES"/>
        </w:rPr>
        <w:tab/>
        <w:t>Bajo Recuento Absoluto de Neutrófilos (RAN)</w:t>
      </w:r>
    </w:p>
    <w:p w14:paraId="5848DE34" w14:textId="77777777" w:rsidR="009219B8" w:rsidRDefault="009219B8" w:rsidP="00FF2AFA">
      <w:pPr>
        <w:keepNext/>
        <w:keepLines/>
        <w:tabs>
          <w:tab w:val="left" w:pos="709"/>
        </w:tabs>
        <w:ind w:left="714" w:hanging="357"/>
        <w:rPr>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6"/>
        <w:gridCol w:w="6617"/>
      </w:tblGrid>
      <w:tr w:rsidR="009A1C1F" w:rsidRPr="008B5E8B" w14:paraId="5C26C1CB" w14:textId="77777777" w:rsidTr="006979B8">
        <w:tc>
          <w:tcPr>
            <w:tcW w:w="1035" w:type="dxa"/>
          </w:tcPr>
          <w:p w14:paraId="7E816001" w14:textId="56216FD7" w:rsidR="009A1C1F" w:rsidRPr="00F30AB8" w:rsidRDefault="009A1C1F">
            <w:pPr>
              <w:pStyle w:val="TextTi12"/>
              <w:keepNext/>
              <w:keepLines/>
              <w:jc w:val="center"/>
              <w:rPr>
                <w:rFonts w:eastAsia="MS Mincho"/>
                <w:bCs/>
                <w:sz w:val="22"/>
                <w:szCs w:val="22"/>
                <w:lang w:val="es-ES"/>
              </w:rPr>
            </w:pPr>
            <w:r w:rsidRPr="00F30AB8">
              <w:rPr>
                <w:rFonts w:eastAsia="MS Mincho"/>
                <w:bCs/>
                <w:sz w:val="22"/>
                <w:szCs w:val="22"/>
                <w:lang w:val="es-ES"/>
              </w:rPr>
              <w:t>Valores de laboratorio</w:t>
            </w:r>
            <w:r w:rsidRPr="00F30AB8">
              <w:rPr>
                <w:rFonts w:eastAsia="MS Mincho"/>
                <w:bCs/>
                <w:sz w:val="22"/>
                <w:szCs w:val="22"/>
                <w:lang w:val="es-ES"/>
              </w:rPr>
              <w:br/>
              <w:t>(células</w:t>
            </w:r>
            <w:r w:rsidR="005A27A2" w:rsidRPr="00F30AB8">
              <w:rPr>
                <w:noProof/>
                <w:szCs w:val="22"/>
                <w:lang w:val="es-ES"/>
              </w:rPr>
              <w:t> × 10</w:t>
            </w:r>
            <w:r w:rsidR="005A27A2" w:rsidRPr="00F30AB8">
              <w:rPr>
                <w:noProof/>
                <w:szCs w:val="22"/>
                <w:vertAlign w:val="superscript"/>
                <w:lang w:val="es-ES"/>
              </w:rPr>
              <w:t>9</w:t>
            </w:r>
            <w:r w:rsidR="005A27A2">
              <w:rPr>
                <w:noProof/>
                <w:szCs w:val="22"/>
                <w:lang w:val="es-ES"/>
              </w:rPr>
              <w:t>l</w:t>
            </w:r>
            <w:r w:rsidRPr="00F30AB8">
              <w:rPr>
                <w:rFonts w:eastAsia="MS Mincho"/>
                <w:bCs/>
                <w:sz w:val="22"/>
                <w:szCs w:val="22"/>
                <w:lang w:val="es-ES"/>
              </w:rPr>
              <w:t>)</w:t>
            </w:r>
          </w:p>
        </w:tc>
        <w:tc>
          <w:tcPr>
            <w:tcW w:w="6660" w:type="dxa"/>
          </w:tcPr>
          <w:p w14:paraId="444D14E1" w14:textId="77777777" w:rsidR="009A1C1F" w:rsidRPr="00F30AB8" w:rsidRDefault="009A1C1F" w:rsidP="00FF2AFA">
            <w:pPr>
              <w:pStyle w:val="TextTi12"/>
              <w:keepNext/>
              <w:keepLines/>
              <w:jc w:val="center"/>
              <w:rPr>
                <w:rFonts w:eastAsia="MS Mincho"/>
                <w:bCs/>
                <w:sz w:val="22"/>
                <w:szCs w:val="22"/>
              </w:rPr>
            </w:pPr>
            <w:r w:rsidRPr="00F30AB8">
              <w:rPr>
                <w:rFonts w:eastAsia="MS Mincho"/>
                <w:bCs/>
                <w:sz w:val="22"/>
                <w:szCs w:val="22"/>
              </w:rPr>
              <w:t>Acción</w:t>
            </w:r>
          </w:p>
        </w:tc>
      </w:tr>
      <w:tr w:rsidR="009A1C1F" w:rsidRPr="008B5E8B" w14:paraId="0C1451F7" w14:textId="77777777" w:rsidTr="006979B8">
        <w:tc>
          <w:tcPr>
            <w:tcW w:w="1035" w:type="dxa"/>
          </w:tcPr>
          <w:p w14:paraId="525B132A" w14:textId="131E7B7B" w:rsidR="005A27A2" w:rsidRDefault="005A27A2" w:rsidP="00FF2AFA">
            <w:pPr>
              <w:pStyle w:val="TextTi12"/>
              <w:keepNext/>
              <w:keepLines/>
              <w:rPr>
                <w:rFonts w:eastAsia="MS Mincho"/>
                <w:sz w:val="22"/>
                <w:szCs w:val="22"/>
              </w:rPr>
            </w:pPr>
          </w:p>
          <w:p w14:paraId="55E58294" w14:textId="6A373DF5" w:rsidR="009A1C1F" w:rsidRPr="008B5E8B" w:rsidRDefault="005A27A2" w:rsidP="00FF2AFA">
            <w:pPr>
              <w:pStyle w:val="TextTi12"/>
              <w:keepNext/>
              <w:keepLines/>
              <w:rPr>
                <w:rFonts w:eastAsia="MS Mincho"/>
                <w:sz w:val="22"/>
                <w:szCs w:val="22"/>
              </w:rPr>
            </w:pPr>
            <w:r>
              <w:rPr>
                <w:noProof/>
                <w:szCs w:val="22"/>
                <w:lang w:val="en-GB"/>
              </w:rPr>
              <w:t>RAN</w:t>
            </w:r>
            <w:r w:rsidRPr="00945212">
              <w:rPr>
                <w:noProof/>
                <w:szCs w:val="22"/>
                <w:lang w:val="en-GB"/>
              </w:rPr>
              <w:t xml:space="preserve"> &gt; 1 </w:t>
            </w:r>
            <w:r w:rsidR="009A1C1F" w:rsidRPr="008B5E8B">
              <w:rPr>
                <w:rFonts w:eastAsia="MS Mincho"/>
                <w:sz w:val="22"/>
                <w:szCs w:val="22"/>
              </w:rPr>
              <w:t xml:space="preserve"> </w:t>
            </w:r>
          </w:p>
        </w:tc>
        <w:tc>
          <w:tcPr>
            <w:tcW w:w="6660" w:type="dxa"/>
          </w:tcPr>
          <w:p w14:paraId="60CF4EF1" w14:textId="77777777" w:rsidR="009A1C1F" w:rsidRPr="006616E4" w:rsidRDefault="009A1C1F" w:rsidP="00FF2AFA">
            <w:pPr>
              <w:keepNext/>
              <w:keepLines/>
              <w:rPr>
                <w:lang w:val="es-ES"/>
              </w:rPr>
            </w:pPr>
            <w:r w:rsidRPr="005A5612">
              <w:rPr>
                <w:szCs w:val="22"/>
                <w:lang w:val="es-ES"/>
              </w:rPr>
              <w:t>Mantener la dosis.</w:t>
            </w:r>
          </w:p>
        </w:tc>
      </w:tr>
      <w:tr w:rsidR="009A1C1F" w:rsidRPr="00541248" w14:paraId="7ADE21D9" w14:textId="77777777" w:rsidTr="006979B8">
        <w:tc>
          <w:tcPr>
            <w:tcW w:w="1035" w:type="dxa"/>
          </w:tcPr>
          <w:p w14:paraId="02991F1D" w14:textId="77777777" w:rsidR="009A1C1F" w:rsidRPr="008B5E8B" w:rsidRDefault="009A1C1F" w:rsidP="00FF2AFA">
            <w:pPr>
              <w:pStyle w:val="TextTi12"/>
              <w:keepNext/>
              <w:keepLines/>
              <w:rPr>
                <w:rFonts w:eastAsia="MS Mincho"/>
                <w:sz w:val="22"/>
                <w:szCs w:val="22"/>
              </w:rPr>
            </w:pPr>
            <w:r>
              <w:rPr>
                <w:rFonts w:eastAsia="MS Mincho"/>
                <w:sz w:val="22"/>
                <w:szCs w:val="22"/>
              </w:rPr>
              <w:t>R</w:t>
            </w:r>
            <w:r w:rsidRPr="008B5E8B">
              <w:rPr>
                <w:rFonts w:eastAsia="MS Mincho"/>
                <w:sz w:val="22"/>
                <w:szCs w:val="22"/>
              </w:rPr>
              <w:t>AN</w:t>
            </w:r>
            <w:r>
              <w:rPr>
                <w:rFonts w:eastAsia="MS Mincho"/>
                <w:sz w:val="22"/>
                <w:szCs w:val="22"/>
              </w:rPr>
              <w:t xml:space="preserve"> 0,</w:t>
            </w:r>
            <w:r w:rsidRPr="008B5E8B">
              <w:rPr>
                <w:rFonts w:eastAsia="MS Mincho"/>
                <w:sz w:val="22"/>
                <w:szCs w:val="22"/>
              </w:rPr>
              <w:t xml:space="preserve">5 </w:t>
            </w:r>
            <w:r>
              <w:rPr>
                <w:rFonts w:eastAsia="MS Mincho"/>
                <w:sz w:val="22"/>
                <w:szCs w:val="22"/>
              </w:rPr>
              <w:t>a</w:t>
            </w:r>
            <w:r w:rsidRPr="008B5E8B">
              <w:rPr>
                <w:rFonts w:eastAsia="MS Mincho"/>
                <w:sz w:val="22"/>
                <w:szCs w:val="22"/>
              </w:rPr>
              <w:t xml:space="preserve"> 1</w:t>
            </w:r>
          </w:p>
        </w:tc>
        <w:tc>
          <w:tcPr>
            <w:tcW w:w="6660" w:type="dxa"/>
          </w:tcPr>
          <w:p w14:paraId="474B5FB8" w14:textId="2694AFF5" w:rsidR="009A1C1F" w:rsidRPr="005A5612" w:rsidRDefault="009A1C1F" w:rsidP="00FF2AFA">
            <w:pPr>
              <w:pStyle w:val="TextTi12"/>
              <w:keepNext/>
              <w:keepLines/>
              <w:rPr>
                <w:sz w:val="22"/>
                <w:szCs w:val="22"/>
                <w:lang w:val="es-ES"/>
              </w:rPr>
            </w:pPr>
            <w:r w:rsidRPr="005A5612">
              <w:rPr>
                <w:sz w:val="22"/>
                <w:szCs w:val="22"/>
                <w:lang w:val="es-ES"/>
              </w:rPr>
              <w:t xml:space="preserve">Interrumpir </w:t>
            </w:r>
            <w:del w:id="1542" w:author="AUTHOR">
              <w:r w:rsidRPr="005A5612" w:rsidDel="008A2AD3">
                <w:rPr>
                  <w:sz w:val="22"/>
                  <w:szCs w:val="22"/>
                  <w:lang w:val="es-ES"/>
                </w:rPr>
                <w:delText xml:space="preserve">el tratamiento </w:delText>
              </w:r>
            </w:del>
            <w:ins w:id="1543" w:author="AUTHOR">
              <w:r w:rsidR="008A2AD3">
                <w:rPr>
                  <w:sz w:val="22"/>
                  <w:szCs w:val="22"/>
                  <w:lang w:val="es-ES"/>
                </w:rPr>
                <w:t>la administración</w:t>
              </w:r>
              <w:r w:rsidR="004A6B8D">
                <w:rPr>
                  <w:sz w:val="22"/>
                  <w:szCs w:val="22"/>
                  <w:lang w:val="es-ES"/>
                </w:rPr>
                <w:t xml:space="preserve"> de</w:t>
              </w:r>
            </w:ins>
            <w:del w:id="1544" w:author="AUTHOR">
              <w:r w:rsidRPr="005A5612" w:rsidDel="004A6B8D">
                <w:rPr>
                  <w:sz w:val="22"/>
                  <w:szCs w:val="22"/>
                  <w:lang w:val="es-ES"/>
                </w:rPr>
                <w:delText>con</w:delText>
              </w:r>
            </w:del>
            <w:r w:rsidRPr="005A5612">
              <w:rPr>
                <w:sz w:val="22"/>
                <w:szCs w:val="22"/>
                <w:lang w:val="es-ES"/>
              </w:rPr>
              <w:t xml:space="preserve"> </w:t>
            </w:r>
            <w:r w:rsidR="00FE1FC6" w:rsidRPr="00F30AB8">
              <w:rPr>
                <w:noProof/>
                <w:sz w:val="22"/>
                <w:szCs w:val="22"/>
                <w:lang w:val="es-ES"/>
              </w:rPr>
              <w:t>tocilizumab</w:t>
            </w:r>
            <w:r w:rsidR="00FE1FC6">
              <w:rPr>
                <w:sz w:val="22"/>
                <w:szCs w:val="22"/>
                <w:lang w:val="es-ES"/>
              </w:rPr>
              <w:t>.</w:t>
            </w:r>
          </w:p>
          <w:p w14:paraId="31A3FAED" w14:textId="533378C3" w:rsidR="009A1C1F" w:rsidRPr="006616E4" w:rsidRDefault="009A1C1F">
            <w:pPr>
              <w:pStyle w:val="TextTi12"/>
              <w:keepNext/>
              <w:keepLines/>
              <w:rPr>
                <w:rFonts w:eastAsia="MS Mincho"/>
                <w:sz w:val="22"/>
                <w:szCs w:val="22"/>
                <w:lang w:val="es-ES"/>
              </w:rPr>
            </w:pPr>
            <w:r w:rsidRPr="006616E4">
              <w:rPr>
                <w:rFonts w:eastAsia="MS Mincho"/>
                <w:sz w:val="22"/>
                <w:szCs w:val="22"/>
                <w:lang w:val="es-ES"/>
              </w:rPr>
              <w:t>Cuando RAN au</w:t>
            </w:r>
            <w:r>
              <w:rPr>
                <w:rFonts w:eastAsia="MS Mincho"/>
                <w:sz w:val="22"/>
                <w:szCs w:val="22"/>
                <w:lang w:val="es-ES"/>
              </w:rPr>
              <w:t xml:space="preserve">mente a </w:t>
            </w:r>
            <w:r w:rsidR="005A27A2" w:rsidRPr="00F30AB8">
              <w:rPr>
                <w:noProof/>
                <w:szCs w:val="22"/>
                <w:lang w:val="es-ES"/>
              </w:rPr>
              <w:t>&gt; 1 × 10</w:t>
            </w:r>
            <w:r w:rsidR="005A27A2" w:rsidRPr="00F30AB8">
              <w:rPr>
                <w:noProof/>
                <w:szCs w:val="22"/>
                <w:vertAlign w:val="superscript"/>
                <w:lang w:val="es-ES"/>
              </w:rPr>
              <w:t>9</w:t>
            </w:r>
            <w:r w:rsidR="005A27A2" w:rsidRPr="00F30AB8">
              <w:rPr>
                <w:noProof/>
                <w:szCs w:val="22"/>
                <w:lang w:val="es-ES"/>
              </w:rPr>
              <w:t>/</w:t>
            </w:r>
            <w:proofErr w:type="gramStart"/>
            <w:r w:rsidR="005A27A2">
              <w:rPr>
                <w:noProof/>
                <w:szCs w:val="22"/>
                <w:lang w:val="es-ES"/>
              </w:rPr>
              <w:t>l</w:t>
            </w:r>
            <w:r w:rsidR="005A27A2" w:rsidRPr="00F30AB8">
              <w:rPr>
                <w:noProof/>
                <w:szCs w:val="22"/>
                <w:lang w:val="es-ES"/>
              </w:rPr>
              <w:t xml:space="preserve"> </w:t>
            </w:r>
            <w:r w:rsidRPr="006616E4">
              <w:rPr>
                <w:rFonts w:eastAsia="MS Mincho"/>
                <w:sz w:val="22"/>
                <w:szCs w:val="22"/>
                <w:lang w:val="es-ES"/>
              </w:rPr>
              <w:t xml:space="preserve"> </w:t>
            </w:r>
            <w:r>
              <w:rPr>
                <w:rFonts w:eastAsia="MS Mincho"/>
                <w:sz w:val="22"/>
                <w:szCs w:val="22"/>
                <w:lang w:val="es-ES"/>
              </w:rPr>
              <w:t>reestablecer</w:t>
            </w:r>
            <w:proofErr w:type="gramEnd"/>
            <w:r>
              <w:rPr>
                <w:rFonts w:eastAsia="MS Mincho"/>
                <w:sz w:val="22"/>
                <w:szCs w:val="22"/>
                <w:lang w:val="es-ES"/>
              </w:rPr>
              <w:t xml:space="preserve"> el tratamiento con </w:t>
            </w:r>
            <w:r w:rsidR="00FE1FC6" w:rsidRPr="00FE1FC6">
              <w:rPr>
                <w:rFonts w:eastAsia="MS Mincho"/>
                <w:sz w:val="22"/>
                <w:szCs w:val="22"/>
                <w:lang w:val="es-ES"/>
              </w:rPr>
              <w:t>tocilizumab</w:t>
            </w:r>
            <w:r w:rsidR="00FE1FC6">
              <w:rPr>
                <w:rFonts w:eastAsia="MS Mincho"/>
                <w:sz w:val="22"/>
                <w:szCs w:val="22"/>
                <w:lang w:val="es-ES"/>
              </w:rPr>
              <w:t>.</w:t>
            </w:r>
            <w:r w:rsidRPr="006616E4">
              <w:rPr>
                <w:rFonts w:eastAsia="MS Mincho"/>
                <w:sz w:val="22"/>
                <w:szCs w:val="22"/>
                <w:lang w:val="es-ES"/>
              </w:rPr>
              <w:t xml:space="preserve"> </w:t>
            </w:r>
          </w:p>
        </w:tc>
      </w:tr>
      <w:tr w:rsidR="009A1C1F" w:rsidRPr="00541248" w14:paraId="28E21430" w14:textId="77777777" w:rsidTr="006979B8">
        <w:tc>
          <w:tcPr>
            <w:tcW w:w="1035" w:type="dxa"/>
          </w:tcPr>
          <w:p w14:paraId="36C5742C" w14:textId="2604C5EA" w:rsidR="009A1C1F" w:rsidRPr="008B5E8B" w:rsidRDefault="005A27A2" w:rsidP="00FF2AFA">
            <w:pPr>
              <w:pStyle w:val="TextTi12"/>
              <w:keepNext/>
              <w:keepLines/>
              <w:rPr>
                <w:rFonts w:eastAsia="MS Mincho"/>
                <w:sz w:val="22"/>
                <w:szCs w:val="22"/>
              </w:rPr>
            </w:pPr>
            <w:r>
              <w:rPr>
                <w:noProof/>
                <w:szCs w:val="22"/>
                <w:lang w:val="en-GB"/>
              </w:rPr>
              <w:t>RAN</w:t>
            </w:r>
            <w:r w:rsidRPr="00945212">
              <w:rPr>
                <w:noProof/>
                <w:szCs w:val="22"/>
                <w:lang w:val="en-GB"/>
              </w:rPr>
              <w:t> &lt; </w:t>
            </w:r>
            <w:r>
              <w:rPr>
                <w:noProof/>
                <w:szCs w:val="22"/>
                <w:lang w:val="en-GB"/>
              </w:rPr>
              <w:t>0,</w:t>
            </w:r>
            <w:r w:rsidRPr="00945212">
              <w:rPr>
                <w:noProof/>
                <w:szCs w:val="22"/>
                <w:lang w:val="en-GB"/>
              </w:rPr>
              <w:t>5</w:t>
            </w:r>
          </w:p>
        </w:tc>
        <w:tc>
          <w:tcPr>
            <w:tcW w:w="6660" w:type="dxa"/>
          </w:tcPr>
          <w:p w14:paraId="50069D04" w14:textId="1A638FB9" w:rsidR="009A1C1F" w:rsidRPr="00EF2448" w:rsidRDefault="009A1C1F" w:rsidP="00FF2AFA">
            <w:pPr>
              <w:pStyle w:val="TextTi12"/>
              <w:keepNext/>
              <w:keepLines/>
              <w:rPr>
                <w:rFonts w:eastAsia="MS Mincho"/>
                <w:sz w:val="22"/>
                <w:szCs w:val="22"/>
                <w:lang w:val="es-ES"/>
              </w:rPr>
            </w:pPr>
            <w:r w:rsidRPr="00EF2448">
              <w:rPr>
                <w:rFonts w:eastAsia="MS Mincho"/>
                <w:sz w:val="22"/>
                <w:szCs w:val="22"/>
                <w:lang w:val="es-ES"/>
              </w:rPr>
              <w:t xml:space="preserve">Interrumpir </w:t>
            </w:r>
            <w:del w:id="1545" w:author="AUTHOR">
              <w:r w:rsidRPr="00EF2448" w:rsidDel="004A6B8D">
                <w:rPr>
                  <w:rFonts w:eastAsia="MS Mincho"/>
                  <w:sz w:val="22"/>
                  <w:szCs w:val="22"/>
                  <w:lang w:val="es-ES"/>
                </w:rPr>
                <w:delText>el tratamiento</w:delText>
              </w:r>
            </w:del>
            <w:ins w:id="1546" w:author="AUTHOR">
              <w:r w:rsidR="004A6B8D">
                <w:rPr>
                  <w:rFonts w:eastAsia="MS Mincho"/>
                  <w:sz w:val="22"/>
                  <w:szCs w:val="22"/>
                  <w:lang w:val="es-ES"/>
                </w:rPr>
                <w:t>la administración de</w:t>
              </w:r>
            </w:ins>
            <w:del w:id="1547" w:author="AUTHOR">
              <w:r w:rsidRPr="00EF2448" w:rsidDel="004A6B8D">
                <w:rPr>
                  <w:rFonts w:eastAsia="MS Mincho"/>
                  <w:sz w:val="22"/>
                  <w:szCs w:val="22"/>
                  <w:lang w:val="es-ES"/>
                </w:rPr>
                <w:delText xml:space="preserve"> con</w:delText>
              </w:r>
            </w:del>
            <w:r w:rsidRPr="00EF2448">
              <w:rPr>
                <w:rFonts w:eastAsia="MS Mincho"/>
                <w:sz w:val="22"/>
                <w:szCs w:val="22"/>
                <w:lang w:val="es-ES"/>
              </w:rPr>
              <w:t xml:space="preserve"> </w:t>
            </w:r>
            <w:r w:rsidR="00FE1FC6" w:rsidRPr="00F30AB8">
              <w:rPr>
                <w:noProof/>
                <w:sz w:val="22"/>
                <w:szCs w:val="22"/>
                <w:lang w:val="es-ES"/>
              </w:rPr>
              <w:t>tocilizumab</w:t>
            </w:r>
            <w:r w:rsidR="00FE1FC6">
              <w:rPr>
                <w:rFonts w:eastAsia="MS Mincho"/>
                <w:sz w:val="22"/>
                <w:szCs w:val="22"/>
                <w:lang w:val="es-ES"/>
              </w:rPr>
              <w:t>.</w:t>
            </w:r>
          </w:p>
          <w:p w14:paraId="28C284E9" w14:textId="6D98DE04" w:rsidR="009A1C1F" w:rsidRDefault="009A1C1F" w:rsidP="00FF2AFA">
            <w:pPr>
              <w:keepNext/>
              <w:keepLines/>
              <w:rPr>
                <w:noProof/>
                <w:lang w:val="es-ES"/>
              </w:rPr>
            </w:pPr>
            <w:r w:rsidRPr="005A5612">
              <w:rPr>
                <w:noProof/>
                <w:lang w:val="es-ES"/>
              </w:rPr>
              <w:t xml:space="preserve">La decisión de suspender </w:t>
            </w:r>
            <w:r w:rsidR="00FE1FC6" w:rsidRPr="00F30AB8">
              <w:rPr>
                <w:noProof/>
                <w:szCs w:val="22"/>
                <w:lang w:val="es-ES"/>
              </w:rPr>
              <w:t>tocilizumab</w:t>
            </w:r>
            <w:r>
              <w:rPr>
                <w:noProof/>
                <w:lang w:val="es-ES"/>
              </w:rPr>
              <w:t xml:space="preserve"> en AIJs o AIJp</w:t>
            </w:r>
            <w:r w:rsidRPr="005A5612">
              <w:rPr>
                <w:noProof/>
                <w:lang w:val="es-ES"/>
              </w:rPr>
              <w:t xml:space="preserve"> por unos valores de laboratorio anómalos debe estar basada en la evaluación individual del médico  para cada paciente.</w:t>
            </w:r>
          </w:p>
          <w:p w14:paraId="4971AC0C" w14:textId="77777777" w:rsidR="009A1C1F" w:rsidRPr="006616E4" w:rsidRDefault="009A1C1F" w:rsidP="00FF2AFA">
            <w:pPr>
              <w:keepNext/>
              <w:keepLines/>
              <w:rPr>
                <w:noProof/>
                <w:lang w:val="es-ES"/>
              </w:rPr>
            </w:pPr>
          </w:p>
        </w:tc>
      </w:tr>
    </w:tbl>
    <w:p w14:paraId="042D4863" w14:textId="77777777" w:rsidR="009A1C1F" w:rsidRDefault="009A1C1F" w:rsidP="009A1C1F">
      <w:pPr>
        <w:tabs>
          <w:tab w:val="left" w:pos="709"/>
        </w:tabs>
        <w:ind w:left="720"/>
        <w:rPr>
          <w:lang w:val="es-ES"/>
        </w:rPr>
      </w:pPr>
      <w:r w:rsidRPr="00243657">
        <w:rPr>
          <w:lang w:val="es-ES"/>
        </w:rPr>
        <w:t xml:space="preserve"> </w:t>
      </w:r>
    </w:p>
    <w:p w14:paraId="583EB45D" w14:textId="77777777" w:rsidR="009A1C1F" w:rsidRDefault="009A1C1F" w:rsidP="009A1C1F">
      <w:pPr>
        <w:keepNext/>
        <w:keepLines/>
        <w:tabs>
          <w:tab w:val="left" w:pos="709"/>
        </w:tabs>
        <w:ind w:left="714" w:hanging="357"/>
        <w:rPr>
          <w:lang w:val="es-ES"/>
        </w:rPr>
      </w:pPr>
      <w:r w:rsidRPr="008A106B">
        <w:rPr>
          <w:lang w:val="es-ES"/>
        </w:rPr>
        <w:sym w:font="Symbol" w:char="F0B7"/>
      </w:r>
      <w:r>
        <w:rPr>
          <w:lang w:val="es-ES"/>
        </w:rPr>
        <w:tab/>
        <w:t>Bajo recuento de plaquetas</w:t>
      </w:r>
    </w:p>
    <w:p w14:paraId="789A28AD" w14:textId="77777777" w:rsidR="009219B8" w:rsidRDefault="009219B8" w:rsidP="009A1C1F">
      <w:pPr>
        <w:keepNext/>
        <w:keepLines/>
        <w:tabs>
          <w:tab w:val="left" w:pos="709"/>
        </w:tabs>
        <w:ind w:left="714" w:hanging="357"/>
        <w:rPr>
          <w:lang w:val="es-E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5998"/>
      </w:tblGrid>
      <w:tr w:rsidR="009A1C1F" w:rsidRPr="008B5E8B" w14:paraId="66087257" w14:textId="77777777" w:rsidTr="006979B8">
        <w:tc>
          <w:tcPr>
            <w:tcW w:w="1697" w:type="dxa"/>
          </w:tcPr>
          <w:p w14:paraId="4D176D55" w14:textId="0FEEFBF3" w:rsidR="009A1C1F" w:rsidRPr="003532C2" w:rsidRDefault="009A1C1F" w:rsidP="006979B8">
            <w:pPr>
              <w:pStyle w:val="TextTi12"/>
              <w:keepNext/>
              <w:keepLines/>
              <w:jc w:val="center"/>
              <w:rPr>
                <w:rFonts w:eastAsia="MS Mincho"/>
                <w:bCs/>
                <w:sz w:val="22"/>
                <w:szCs w:val="22"/>
                <w:lang w:val="es-ES"/>
              </w:rPr>
            </w:pPr>
            <w:r w:rsidRPr="00F30AB8">
              <w:rPr>
                <w:rFonts w:eastAsia="MS Mincho"/>
                <w:bCs/>
                <w:sz w:val="22"/>
                <w:szCs w:val="22"/>
                <w:lang w:val="es-ES"/>
              </w:rPr>
              <w:t>Valores de laboratorio</w:t>
            </w:r>
            <w:r w:rsidRPr="00F30AB8">
              <w:rPr>
                <w:rFonts w:eastAsia="MS Mincho"/>
                <w:bCs/>
                <w:sz w:val="22"/>
                <w:szCs w:val="22"/>
                <w:lang w:val="es-ES"/>
              </w:rPr>
              <w:br/>
              <w:t>(células</w:t>
            </w:r>
            <w:r w:rsidR="005A27A2" w:rsidRPr="00F30AB8">
              <w:rPr>
                <w:noProof/>
                <w:szCs w:val="22"/>
                <w:lang w:val="es-ES"/>
              </w:rPr>
              <w:t> × 10</w:t>
            </w:r>
            <w:r w:rsidR="005A27A2" w:rsidRPr="00F30AB8">
              <w:rPr>
                <w:noProof/>
                <w:szCs w:val="22"/>
                <w:vertAlign w:val="superscript"/>
                <w:lang w:val="es-ES"/>
              </w:rPr>
              <w:t>3</w:t>
            </w:r>
            <w:r w:rsidR="005A27A2" w:rsidRPr="00F30AB8">
              <w:rPr>
                <w:noProof/>
                <w:szCs w:val="22"/>
                <w:lang w:val="es-ES"/>
              </w:rPr>
              <w:t>/µl</w:t>
            </w:r>
            <w:r w:rsidRPr="00F30AB8">
              <w:rPr>
                <w:rFonts w:eastAsia="MS Mincho"/>
                <w:bCs/>
                <w:sz w:val="22"/>
                <w:szCs w:val="22"/>
                <w:lang w:val="es-ES"/>
              </w:rPr>
              <w:t>)</w:t>
            </w:r>
          </w:p>
        </w:tc>
        <w:tc>
          <w:tcPr>
            <w:tcW w:w="5998" w:type="dxa"/>
          </w:tcPr>
          <w:p w14:paraId="16CA32B8" w14:textId="77777777" w:rsidR="009A1C1F" w:rsidRPr="003532C2" w:rsidRDefault="009A1C1F" w:rsidP="006979B8">
            <w:pPr>
              <w:pStyle w:val="TextTi12"/>
              <w:keepNext/>
              <w:keepLines/>
              <w:jc w:val="center"/>
              <w:rPr>
                <w:rFonts w:eastAsia="MS Mincho"/>
                <w:bCs/>
                <w:sz w:val="22"/>
                <w:szCs w:val="22"/>
              </w:rPr>
            </w:pPr>
            <w:r w:rsidRPr="00F30AB8">
              <w:rPr>
                <w:rFonts w:eastAsia="MS Mincho"/>
                <w:bCs/>
                <w:sz w:val="22"/>
                <w:szCs w:val="22"/>
              </w:rPr>
              <w:t>Acción</w:t>
            </w:r>
          </w:p>
        </w:tc>
      </w:tr>
      <w:tr w:rsidR="009A1C1F" w:rsidRPr="00541248" w14:paraId="522D3764" w14:textId="77777777" w:rsidTr="006979B8">
        <w:tc>
          <w:tcPr>
            <w:tcW w:w="1697" w:type="dxa"/>
          </w:tcPr>
          <w:p w14:paraId="6D1767F7" w14:textId="77777777" w:rsidR="009A1C1F" w:rsidRPr="008B5E8B" w:rsidRDefault="009A1C1F" w:rsidP="006979B8">
            <w:pPr>
              <w:pStyle w:val="TextTi12"/>
              <w:keepNext/>
              <w:keepLines/>
              <w:rPr>
                <w:rFonts w:eastAsia="MS Mincho"/>
                <w:sz w:val="22"/>
                <w:szCs w:val="22"/>
              </w:rPr>
            </w:pPr>
            <w:r w:rsidRPr="008B5E8B">
              <w:rPr>
                <w:rFonts w:eastAsia="MS Mincho"/>
                <w:sz w:val="22"/>
                <w:szCs w:val="22"/>
              </w:rPr>
              <w:t xml:space="preserve">50 </w:t>
            </w:r>
            <w:r>
              <w:rPr>
                <w:rFonts w:eastAsia="MS Mincho"/>
                <w:sz w:val="22"/>
                <w:szCs w:val="22"/>
              </w:rPr>
              <w:t>a</w:t>
            </w:r>
            <w:r w:rsidRPr="008B5E8B">
              <w:rPr>
                <w:rFonts w:eastAsia="MS Mincho"/>
                <w:sz w:val="22"/>
                <w:szCs w:val="22"/>
              </w:rPr>
              <w:t xml:space="preserve"> 100</w:t>
            </w:r>
          </w:p>
        </w:tc>
        <w:tc>
          <w:tcPr>
            <w:tcW w:w="5998" w:type="dxa"/>
          </w:tcPr>
          <w:p w14:paraId="35FC724E" w14:textId="77777777" w:rsidR="009A1C1F" w:rsidRPr="005A5612" w:rsidRDefault="009A1C1F" w:rsidP="006979B8">
            <w:pPr>
              <w:pStyle w:val="TextTi12"/>
              <w:keepNext/>
              <w:keepLines/>
              <w:rPr>
                <w:sz w:val="22"/>
                <w:szCs w:val="22"/>
                <w:lang w:val="es-ES"/>
              </w:rPr>
            </w:pPr>
            <w:r w:rsidRPr="005A5612">
              <w:rPr>
                <w:sz w:val="22"/>
                <w:szCs w:val="22"/>
                <w:lang w:val="es-ES"/>
              </w:rPr>
              <w:t>Si procede, modificar la dosis de la medicación concomitante de MTX</w:t>
            </w:r>
            <w:r w:rsidR="00FE1FC6">
              <w:rPr>
                <w:sz w:val="22"/>
                <w:szCs w:val="22"/>
                <w:lang w:val="es-ES"/>
              </w:rPr>
              <w:t>.</w:t>
            </w:r>
            <w:r w:rsidRPr="005A5612">
              <w:rPr>
                <w:sz w:val="22"/>
                <w:szCs w:val="22"/>
                <w:lang w:val="es-ES"/>
              </w:rPr>
              <w:t xml:space="preserve"> </w:t>
            </w:r>
          </w:p>
          <w:p w14:paraId="30B9F2AD" w14:textId="4D803DCB" w:rsidR="009A1C1F" w:rsidRPr="005A5612" w:rsidRDefault="009A1C1F" w:rsidP="006979B8">
            <w:pPr>
              <w:pStyle w:val="TextTi12"/>
              <w:keepNext/>
              <w:keepLines/>
              <w:rPr>
                <w:sz w:val="22"/>
                <w:szCs w:val="22"/>
                <w:lang w:val="es-ES"/>
              </w:rPr>
            </w:pPr>
            <w:r w:rsidRPr="005A5612">
              <w:rPr>
                <w:sz w:val="22"/>
                <w:szCs w:val="22"/>
                <w:lang w:val="es-ES"/>
              </w:rPr>
              <w:t xml:space="preserve">Interrumpir </w:t>
            </w:r>
            <w:del w:id="1548" w:author="AUTHOR">
              <w:r w:rsidRPr="005A5612" w:rsidDel="004A6B8D">
                <w:rPr>
                  <w:sz w:val="22"/>
                  <w:szCs w:val="22"/>
                  <w:lang w:val="es-ES"/>
                </w:rPr>
                <w:delText>el tratamiento</w:delText>
              </w:r>
            </w:del>
            <w:ins w:id="1549" w:author="AUTHOR">
              <w:r w:rsidR="004A6B8D">
                <w:rPr>
                  <w:sz w:val="22"/>
                  <w:szCs w:val="22"/>
                  <w:lang w:val="es-ES"/>
                </w:rPr>
                <w:t>la administración</w:t>
              </w:r>
            </w:ins>
            <w:r w:rsidRPr="005A5612">
              <w:rPr>
                <w:sz w:val="22"/>
                <w:szCs w:val="22"/>
                <w:lang w:val="es-ES"/>
              </w:rPr>
              <w:t>.</w:t>
            </w:r>
          </w:p>
          <w:p w14:paraId="689FB69B" w14:textId="595DF00A" w:rsidR="009A1C1F" w:rsidRPr="006616E4" w:rsidRDefault="009A1C1F">
            <w:pPr>
              <w:pStyle w:val="TextTi12"/>
              <w:keepNext/>
              <w:keepLines/>
              <w:rPr>
                <w:rFonts w:eastAsia="MS Mincho"/>
                <w:sz w:val="22"/>
                <w:szCs w:val="22"/>
                <w:lang w:val="es-ES"/>
              </w:rPr>
            </w:pPr>
            <w:r w:rsidRPr="006616E4">
              <w:rPr>
                <w:rFonts w:eastAsia="MS Mincho"/>
                <w:sz w:val="22"/>
                <w:szCs w:val="22"/>
                <w:lang w:val="es-ES"/>
              </w:rPr>
              <w:t xml:space="preserve">Cuando el recuento de plaquetas sea </w:t>
            </w:r>
            <w:r w:rsidR="005A27A2" w:rsidRPr="00F30AB8">
              <w:rPr>
                <w:szCs w:val="22"/>
                <w:lang w:val="es-ES"/>
              </w:rPr>
              <w:t> &gt; 100 × 10</w:t>
            </w:r>
            <w:r w:rsidR="005A27A2" w:rsidRPr="00F30AB8">
              <w:rPr>
                <w:szCs w:val="22"/>
                <w:vertAlign w:val="superscript"/>
                <w:lang w:val="es-ES"/>
              </w:rPr>
              <w:t>3</w:t>
            </w:r>
            <w:r w:rsidR="005A27A2" w:rsidRPr="00F30AB8">
              <w:rPr>
                <w:szCs w:val="22"/>
                <w:lang w:val="es-ES"/>
              </w:rPr>
              <w:t>/</w:t>
            </w:r>
            <w:r w:rsidR="005A27A2" w:rsidRPr="00F30AB8">
              <w:rPr>
                <w:noProof/>
                <w:szCs w:val="22"/>
                <w:lang w:val="es-ES"/>
              </w:rPr>
              <w:t>µ</w:t>
            </w:r>
            <w:r w:rsidR="005A27A2">
              <w:rPr>
                <w:noProof/>
                <w:szCs w:val="22"/>
                <w:lang w:val="es-ES"/>
              </w:rPr>
              <w:t>l</w:t>
            </w:r>
            <w:r w:rsidRPr="006616E4">
              <w:rPr>
                <w:rFonts w:eastAsia="MS Mincho"/>
                <w:sz w:val="22"/>
                <w:szCs w:val="22"/>
                <w:lang w:val="es-ES"/>
              </w:rPr>
              <w:t xml:space="preserve"> r</w:t>
            </w:r>
            <w:r>
              <w:rPr>
                <w:rFonts w:eastAsia="MS Mincho"/>
                <w:sz w:val="22"/>
                <w:szCs w:val="22"/>
                <w:lang w:val="es-ES"/>
              </w:rPr>
              <w:t>eestablecer</w:t>
            </w:r>
            <w:r w:rsidRPr="006616E4">
              <w:rPr>
                <w:rFonts w:eastAsia="MS Mincho"/>
                <w:sz w:val="22"/>
                <w:szCs w:val="22"/>
                <w:lang w:val="es-ES"/>
              </w:rPr>
              <w:t xml:space="preserve"> el tratamiento</w:t>
            </w:r>
            <w:r w:rsidR="00FE1FC6">
              <w:rPr>
                <w:rFonts w:eastAsia="MS Mincho"/>
                <w:sz w:val="22"/>
                <w:szCs w:val="22"/>
                <w:lang w:val="es-ES"/>
              </w:rPr>
              <w:t>.</w:t>
            </w:r>
          </w:p>
        </w:tc>
      </w:tr>
      <w:tr w:rsidR="009A1C1F" w:rsidRPr="00541248" w14:paraId="1E226D8E" w14:textId="77777777" w:rsidTr="006979B8">
        <w:tc>
          <w:tcPr>
            <w:tcW w:w="1697" w:type="dxa"/>
          </w:tcPr>
          <w:p w14:paraId="0EA345CA" w14:textId="44E84FEB" w:rsidR="005A27A2" w:rsidRPr="00F30AB8" w:rsidRDefault="005A27A2" w:rsidP="006979B8">
            <w:pPr>
              <w:pStyle w:val="TextTi12"/>
              <w:rPr>
                <w:rFonts w:eastAsia="MS Mincho"/>
                <w:sz w:val="22"/>
                <w:szCs w:val="22"/>
                <w:lang w:val="es-ES"/>
              </w:rPr>
            </w:pPr>
          </w:p>
          <w:p w14:paraId="2BB2E46D" w14:textId="4469F91B" w:rsidR="009A1C1F" w:rsidRPr="008B5E8B" w:rsidRDefault="005A27A2" w:rsidP="006979B8">
            <w:pPr>
              <w:pStyle w:val="TextTi12"/>
              <w:rPr>
                <w:rFonts w:eastAsia="MS Mincho"/>
                <w:sz w:val="22"/>
                <w:szCs w:val="22"/>
              </w:rPr>
            </w:pPr>
            <w:r w:rsidRPr="00F30AB8">
              <w:rPr>
                <w:rFonts w:eastAsia="MS Mincho"/>
                <w:szCs w:val="22"/>
                <w:lang w:val="es-ES"/>
              </w:rPr>
              <w:t> </w:t>
            </w:r>
            <w:r w:rsidRPr="00F97C8F">
              <w:rPr>
                <w:rFonts w:eastAsia="MS Mincho"/>
                <w:sz w:val="22"/>
                <w:szCs w:val="22"/>
                <w:lang w:val="en-GB"/>
              </w:rPr>
              <w:t>&lt;</w:t>
            </w:r>
            <w:r w:rsidRPr="00945212">
              <w:rPr>
                <w:rFonts w:eastAsia="MS Mincho"/>
                <w:szCs w:val="22"/>
                <w:lang w:val="en-GB"/>
              </w:rPr>
              <w:t> </w:t>
            </w:r>
            <w:r w:rsidRPr="00945212">
              <w:rPr>
                <w:noProof/>
                <w:szCs w:val="22"/>
                <w:lang w:val="en-GB"/>
              </w:rPr>
              <w:t xml:space="preserve">50 </w:t>
            </w:r>
            <w:r w:rsidR="009A1C1F" w:rsidRPr="008B5E8B">
              <w:rPr>
                <w:rFonts w:eastAsia="MS Mincho"/>
                <w:sz w:val="22"/>
                <w:szCs w:val="22"/>
              </w:rPr>
              <w:t xml:space="preserve"> </w:t>
            </w:r>
          </w:p>
        </w:tc>
        <w:tc>
          <w:tcPr>
            <w:tcW w:w="5998" w:type="dxa"/>
          </w:tcPr>
          <w:p w14:paraId="08F1EF0F" w14:textId="1C70A764" w:rsidR="009A1C1F" w:rsidRPr="006616E4" w:rsidRDefault="009A1C1F" w:rsidP="006979B8">
            <w:pPr>
              <w:pStyle w:val="TextTi12"/>
              <w:rPr>
                <w:rFonts w:eastAsia="MS Mincho"/>
                <w:sz w:val="22"/>
                <w:szCs w:val="22"/>
                <w:lang w:val="es-ES"/>
              </w:rPr>
            </w:pPr>
            <w:r w:rsidRPr="006616E4">
              <w:rPr>
                <w:rFonts w:eastAsia="MS Mincho"/>
                <w:sz w:val="22"/>
                <w:szCs w:val="22"/>
                <w:lang w:val="es-ES"/>
              </w:rPr>
              <w:t xml:space="preserve">Interrumpir </w:t>
            </w:r>
            <w:del w:id="1550" w:author="AUTHOR">
              <w:r w:rsidRPr="006616E4" w:rsidDel="004A6B8D">
                <w:rPr>
                  <w:rFonts w:eastAsia="MS Mincho"/>
                  <w:sz w:val="22"/>
                  <w:szCs w:val="22"/>
                  <w:lang w:val="es-ES"/>
                </w:rPr>
                <w:delText>el tratamiento con</w:delText>
              </w:r>
            </w:del>
            <w:ins w:id="1551" w:author="AUTHOR">
              <w:r w:rsidR="004A6B8D">
                <w:rPr>
                  <w:rFonts w:eastAsia="MS Mincho"/>
                  <w:sz w:val="22"/>
                  <w:szCs w:val="22"/>
                  <w:lang w:val="es-ES"/>
                </w:rPr>
                <w:t>la administración de</w:t>
              </w:r>
            </w:ins>
            <w:r w:rsidRPr="006616E4">
              <w:rPr>
                <w:rFonts w:eastAsia="MS Mincho"/>
                <w:sz w:val="22"/>
                <w:szCs w:val="22"/>
                <w:lang w:val="es-ES"/>
              </w:rPr>
              <w:t xml:space="preserve"> </w:t>
            </w:r>
            <w:r w:rsidR="00FE1FC6" w:rsidRPr="00554BAE">
              <w:rPr>
                <w:noProof/>
                <w:sz w:val="22"/>
                <w:szCs w:val="22"/>
                <w:lang w:val="es-ES"/>
              </w:rPr>
              <w:t>tocilizumab</w:t>
            </w:r>
            <w:r w:rsidRPr="006616E4">
              <w:rPr>
                <w:rFonts w:eastAsia="MS Mincho"/>
                <w:sz w:val="22"/>
                <w:szCs w:val="22"/>
                <w:lang w:val="es-ES"/>
              </w:rPr>
              <w:t xml:space="preserve">. </w:t>
            </w:r>
          </w:p>
          <w:p w14:paraId="446CD489" w14:textId="2E6ABF07" w:rsidR="009A1C1F" w:rsidRPr="006616E4" w:rsidRDefault="009A1C1F" w:rsidP="00DE55C8">
            <w:pPr>
              <w:pStyle w:val="TextTi12"/>
              <w:rPr>
                <w:rFonts w:eastAsia="MS Mincho"/>
                <w:sz w:val="22"/>
                <w:szCs w:val="22"/>
                <w:lang w:val="es-ES"/>
              </w:rPr>
            </w:pPr>
            <w:r w:rsidRPr="006868F5">
              <w:rPr>
                <w:noProof/>
                <w:sz w:val="22"/>
                <w:szCs w:val="22"/>
                <w:lang w:val="es-ES"/>
              </w:rPr>
              <w:t xml:space="preserve">La decisión de suspender </w:t>
            </w:r>
            <w:r w:rsidR="00035458">
              <w:rPr>
                <w:noProof/>
                <w:sz w:val="22"/>
                <w:szCs w:val="22"/>
                <w:lang w:val="es-ES"/>
              </w:rPr>
              <w:t xml:space="preserve">el tratamiento </w:t>
            </w:r>
            <w:r>
              <w:rPr>
                <w:noProof/>
                <w:sz w:val="22"/>
                <w:szCs w:val="22"/>
                <w:lang w:val="es-ES"/>
              </w:rPr>
              <w:t xml:space="preserve"> en </w:t>
            </w:r>
            <w:r>
              <w:rPr>
                <w:noProof/>
                <w:lang w:val="es-ES"/>
              </w:rPr>
              <w:t xml:space="preserve">AIJs o </w:t>
            </w:r>
            <w:r>
              <w:rPr>
                <w:noProof/>
                <w:sz w:val="22"/>
                <w:szCs w:val="22"/>
                <w:lang w:val="es-ES"/>
              </w:rPr>
              <w:t>AIJp</w:t>
            </w:r>
            <w:r w:rsidRPr="006868F5">
              <w:rPr>
                <w:noProof/>
                <w:sz w:val="22"/>
                <w:szCs w:val="22"/>
                <w:lang w:val="es-ES"/>
              </w:rPr>
              <w:t xml:space="preserve"> por unos valores de laboratorio anómalos debe estar basada en la evaluación individual del médico  para cada paciente</w:t>
            </w:r>
            <w:r>
              <w:rPr>
                <w:noProof/>
                <w:sz w:val="22"/>
                <w:szCs w:val="22"/>
                <w:lang w:val="es-ES"/>
              </w:rPr>
              <w:t>.</w:t>
            </w:r>
          </w:p>
        </w:tc>
      </w:tr>
    </w:tbl>
    <w:p w14:paraId="29D195A3" w14:textId="77777777" w:rsidR="009A1C1F" w:rsidRPr="000F7485" w:rsidRDefault="009A1C1F" w:rsidP="000F7485">
      <w:pPr>
        <w:rPr>
          <w:u w:val="single"/>
          <w:lang w:val="es-ES"/>
        </w:rPr>
      </w:pPr>
    </w:p>
    <w:p w14:paraId="686658C4" w14:textId="77777777" w:rsidR="00C7154A" w:rsidRDefault="00C7154A" w:rsidP="00C7154A">
      <w:pPr>
        <w:rPr>
          <w:noProof/>
          <w:lang w:val="es-ES"/>
        </w:rPr>
      </w:pPr>
      <w:r w:rsidRPr="008A106B">
        <w:rPr>
          <w:noProof/>
          <w:lang w:val="es-ES"/>
        </w:rPr>
        <w:t xml:space="preserve">En pacientes con </w:t>
      </w:r>
      <w:r>
        <w:rPr>
          <w:noProof/>
          <w:lang w:val="es-ES"/>
        </w:rPr>
        <w:t xml:space="preserve">AIJs o </w:t>
      </w:r>
      <w:r w:rsidRPr="008A106B">
        <w:rPr>
          <w:noProof/>
          <w:lang w:val="es-ES"/>
        </w:rPr>
        <w:t>AIJ</w:t>
      </w:r>
      <w:r>
        <w:rPr>
          <w:noProof/>
          <w:lang w:val="es-ES"/>
        </w:rPr>
        <w:t>p</w:t>
      </w:r>
      <w:r w:rsidRPr="008A106B">
        <w:rPr>
          <w:noProof/>
          <w:lang w:val="es-ES"/>
        </w:rPr>
        <w:t xml:space="preserve"> no se ha estudiado el efecto de las reducciones de dosis debidas a una anomalía en los valores de laboratorio.</w:t>
      </w:r>
    </w:p>
    <w:p w14:paraId="39684D24" w14:textId="77777777" w:rsidR="00C7154A" w:rsidRPr="008A106B" w:rsidRDefault="00C7154A" w:rsidP="00C7154A">
      <w:pPr>
        <w:rPr>
          <w:noProof/>
          <w:lang w:val="es-ES"/>
        </w:rPr>
      </w:pPr>
    </w:p>
    <w:p w14:paraId="7164342B" w14:textId="502F43B0" w:rsidR="00C7154A" w:rsidRDefault="00C7154A" w:rsidP="00C7154A">
      <w:pPr>
        <w:rPr>
          <w:lang w:val="es-ES"/>
        </w:rPr>
      </w:pPr>
      <w:r>
        <w:rPr>
          <w:lang w:val="es-ES"/>
        </w:rPr>
        <w:t xml:space="preserve">No se ha establecido la seguridad y eficacia de la formulación subcutánea de </w:t>
      </w:r>
      <w:r w:rsidR="00FE1FC6" w:rsidRPr="00554BAE">
        <w:rPr>
          <w:noProof/>
          <w:szCs w:val="22"/>
          <w:lang w:val="es-ES"/>
        </w:rPr>
        <w:t>tocilizumab</w:t>
      </w:r>
      <w:r>
        <w:rPr>
          <w:lang w:val="es-ES"/>
        </w:rPr>
        <w:t xml:space="preserve"> en niños con </w:t>
      </w:r>
      <w:r w:rsidRPr="006616E4">
        <w:rPr>
          <w:lang w:val="es-ES"/>
        </w:rPr>
        <w:t>otro</w:t>
      </w:r>
      <w:r w:rsidRPr="000C6FE2">
        <w:rPr>
          <w:lang w:val="es-ES"/>
        </w:rPr>
        <w:t xml:space="preserve">s </w:t>
      </w:r>
      <w:r w:rsidRPr="006616E4">
        <w:rPr>
          <w:lang w:val="es-ES"/>
        </w:rPr>
        <w:t>procesos distinto</w:t>
      </w:r>
      <w:r w:rsidRPr="000C6FE2">
        <w:rPr>
          <w:lang w:val="es-ES"/>
        </w:rPr>
        <w:t>s a</w:t>
      </w:r>
      <w:r w:rsidRPr="008F5C9C">
        <w:rPr>
          <w:noProof/>
          <w:lang w:val="es-ES"/>
        </w:rPr>
        <w:t xml:space="preserve"> </w:t>
      </w:r>
      <w:r>
        <w:rPr>
          <w:noProof/>
          <w:lang w:val="es-ES"/>
        </w:rPr>
        <w:t>AIJs o</w:t>
      </w:r>
      <w:r w:rsidRPr="000C6FE2">
        <w:rPr>
          <w:lang w:val="es-ES"/>
        </w:rPr>
        <w:t xml:space="preserve"> AIJp.</w:t>
      </w:r>
    </w:p>
    <w:p w14:paraId="2C324A83" w14:textId="77777777" w:rsidR="00C7154A" w:rsidRDefault="00C7154A" w:rsidP="00C7154A">
      <w:pPr>
        <w:rPr>
          <w:lang w:val="es-ES"/>
        </w:rPr>
      </w:pPr>
    </w:p>
    <w:p w14:paraId="206144DB" w14:textId="718C6B1A" w:rsidR="00C7154A" w:rsidRDefault="00C7154A" w:rsidP="00C7154A">
      <w:pPr>
        <w:rPr>
          <w:lang w:val="es-ES"/>
        </w:rPr>
      </w:pPr>
      <w:r w:rsidRPr="00C077EF">
        <w:rPr>
          <w:lang w:val="es-ES"/>
        </w:rPr>
        <w:t xml:space="preserve">Los datos disponibles con la formulación </w:t>
      </w:r>
      <w:r w:rsidR="00FE1FC6">
        <w:rPr>
          <w:lang w:val="es-ES"/>
        </w:rPr>
        <w:t>intravenosa</w:t>
      </w:r>
      <w:r w:rsidR="00FE1FC6" w:rsidRPr="00C077EF">
        <w:rPr>
          <w:lang w:val="es-ES"/>
        </w:rPr>
        <w:t xml:space="preserve"> </w:t>
      </w:r>
      <w:r w:rsidRPr="00C077EF">
        <w:rPr>
          <w:lang w:val="es-ES"/>
        </w:rPr>
        <w:t>sugieren que la mejoría clínica se observa dentro de las 12</w:t>
      </w:r>
      <w:r w:rsidR="00035458">
        <w:rPr>
          <w:lang w:val="es-ES"/>
        </w:rPr>
        <w:t> </w:t>
      </w:r>
      <w:r w:rsidRPr="00C077EF">
        <w:rPr>
          <w:lang w:val="es-ES"/>
        </w:rPr>
        <w:t xml:space="preserve">semanas </w:t>
      </w:r>
      <w:r>
        <w:rPr>
          <w:lang w:val="es-ES"/>
        </w:rPr>
        <w:t xml:space="preserve">tras </w:t>
      </w:r>
      <w:r w:rsidRPr="00C077EF">
        <w:rPr>
          <w:lang w:val="es-ES"/>
        </w:rPr>
        <w:t>inicia</w:t>
      </w:r>
      <w:r>
        <w:rPr>
          <w:lang w:val="es-ES"/>
        </w:rPr>
        <w:t xml:space="preserve">r </w:t>
      </w:r>
      <w:r w:rsidRPr="00C077EF">
        <w:rPr>
          <w:lang w:val="es-ES"/>
        </w:rPr>
        <w:t xml:space="preserve">el tratamiento con </w:t>
      </w:r>
      <w:r w:rsidR="00FE1FC6" w:rsidRPr="00554BAE">
        <w:rPr>
          <w:noProof/>
          <w:szCs w:val="22"/>
          <w:lang w:val="es-ES"/>
        </w:rPr>
        <w:t>tocilizumab</w:t>
      </w:r>
      <w:r w:rsidRPr="00C077EF">
        <w:rPr>
          <w:lang w:val="es-ES"/>
        </w:rPr>
        <w:t xml:space="preserve">. La </w:t>
      </w:r>
      <w:r>
        <w:rPr>
          <w:lang w:val="es-ES"/>
        </w:rPr>
        <w:t xml:space="preserve">continuación del tratamiento </w:t>
      </w:r>
      <w:r w:rsidRPr="00C077EF">
        <w:rPr>
          <w:lang w:val="es-ES"/>
        </w:rPr>
        <w:t>debe ser cuidadosamente reconsiderad</w:t>
      </w:r>
      <w:r w:rsidR="00283DFE">
        <w:rPr>
          <w:lang w:val="es-ES"/>
        </w:rPr>
        <w:t>a</w:t>
      </w:r>
      <w:r w:rsidRPr="00C077EF">
        <w:rPr>
          <w:lang w:val="es-ES"/>
        </w:rPr>
        <w:t xml:space="preserve"> en un paciente que no muestr</w:t>
      </w:r>
      <w:r>
        <w:rPr>
          <w:lang w:val="es-ES"/>
        </w:rPr>
        <w:t>e</w:t>
      </w:r>
      <w:r w:rsidRPr="00C077EF">
        <w:rPr>
          <w:lang w:val="es-ES"/>
        </w:rPr>
        <w:t xml:space="preserve"> ninguna mejor</w:t>
      </w:r>
      <w:r>
        <w:rPr>
          <w:lang w:val="es-ES"/>
        </w:rPr>
        <w:t>í</w:t>
      </w:r>
      <w:r w:rsidRPr="00C077EF">
        <w:rPr>
          <w:lang w:val="es-ES"/>
        </w:rPr>
        <w:t>a dentro de este período de tiempo.</w:t>
      </w:r>
    </w:p>
    <w:p w14:paraId="4E9B410D" w14:textId="77777777" w:rsidR="00C7154A" w:rsidRDefault="00C7154A" w:rsidP="00C7154A">
      <w:pPr>
        <w:rPr>
          <w:lang w:val="es-ES"/>
        </w:rPr>
      </w:pPr>
    </w:p>
    <w:p w14:paraId="351B721B" w14:textId="77777777" w:rsidR="00C7154A" w:rsidRPr="00467FFD" w:rsidRDefault="00C7154A" w:rsidP="00C7154A">
      <w:pPr>
        <w:rPr>
          <w:i/>
          <w:iCs/>
          <w:u w:val="single"/>
          <w:lang w:val="es-ES"/>
          <w:rPrChange w:id="1552" w:author="AUTHOR">
            <w:rPr>
              <w:lang w:val="es-ES"/>
            </w:rPr>
          </w:rPrChange>
        </w:rPr>
      </w:pPr>
      <w:r w:rsidRPr="00467FFD">
        <w:rPr>
          <w:i/>
          <w:iCs/>
          <w:u w:val="single"/>
          <w:lang w:val="es-ES"/>
          <w:rPrChange w:id="1553" w:author="AUTHOR">
            <w:rPr>
              <w:lang w:val="es-ES"/>
            </w:rPr>
          </w:rPrChange>
        </w:rPr>
        <w:t>Omisión de dosis</w:t>
      </w:r>
    </w:p>
    <w:p w14:paraId="78F53C3D" w14:textId="6A7CB29F" w:rsidR="00C7154A" w:rsidRDefault="00C7154A" w:rsidP="00C7154A">
      <w:pPr>
        <w:rPr>
          <w:lang w:val="es-ES"/>
        </w:rPr>
      </w:pPr>
      <w:r>
        <w:rPr>
          <w:lang w:val="es-ES"/>
        </w:rPr>
        <w:t xml:space="preserve">Si un paciente con AIJs no se administra la inyección de </w:t>
      </w:r>
      <w:r w:rsidR="00FE1FC6" w:rsidRPr="00554BAE">
        <w:rPr>
          <w:noProof/>
          <w:szCs w:val="22"/>
          <w:lang w:val="es-ES"/>
        </w:rPr>
        <w:t>tocilizumab</w:t>
      </w:r>
      <w:r>
        <w:rPr>
          <w:lang w:val="es-ES"/>
        </w:rPr>
        <w:t xml:space="preserve"> subcutáneo semanal dentro de los 7</w:t>
      </w:r>
      <w:r w:rsidR="00035458">
        <w:rPr>
          <w:lang w:val="es-ES"/>
        </w:rPr>
        <w:t> </w:t>
      </w:r>
      <w:r>
        <w:rPr>
          <w:lang w:val="es-ES"/>
        </w:rPr>
        <w:t>días de la dosis programada, él/ella deberá ser instruido para administrarse la dosis olvidada en el siguiente día programado.</w:t>
      </w:r>
      <w:r w:rsidRPr="00FF1EDA">
        <w:rPr>
          <w:color w:val="FFFF00"/>
          <w:lang w:val="es-ES"/>
        </w:rPr>
        <w:t xml:space="preserve"> </w:t>
      </w:r>
      <w:r w:rsidRPr="00CA1B1E">
        <w:rPr>
          <w:lang w:val="es-ES"/>
        </w:rPr>
        <w:t xml:space="preserve">Si un paciente que se administra </w:t>
      </w:r>
      <w:r w:rsidR="00FE1FC6" w:rsidRPr="00554BAE">
        <w:rPr>
          <w:noProof/>
          <w:szCs w:val="22"/>
          <w:lang w:val="es-ES"/>
        </w:rPr>
        <w:t>tocilizumab</w:t>
      </w:r>
      <w:r w:rsidRPr="00CA1B1E">
        <w:rPr>
          <w:lang w:val="es-ES"/>
        </w:rPr>
        <w:t xml:space="preserve"> subcutáneo cada </w:t>
      </w:r>
      <w:r w:rsidR="00035458">
        <w:rPr>
          <w:lang w:val="es-ES"/>
        </w:rPr>
        <w:t>2 </w:t>
      </w:r>
      <w:r w:rsidRPr="00CA1B1E">
        <w:rPr>
          <w:lang w:val="es-ES"/>
        </w:rPr>
        <w:t xml:space="preserve">semanas </w:t>
      </w:r>
      <w:r w:rsidRPr="00CA1B1E">
        <w:rPr>
          <w:lang w:val="es-ES"/>
        </w:rPr>
        <w:lastRenderedPageBreak/>
        <w:t>olvida la inyección subcutánea dentro de los 7</w:t>
      </w:r>
      <w:r w:rsidR="00035458">
        <w:rPr>
          <w:lang w:val="es-ES"/>
        </w:rPr>
        <w:t> </w:t>
      </w:r>
      <w:r w:rsidRPr="00CA1B1E">
        <w:rPr>
          <w:lang w:val="es-ES"/>
        </w:rPr>
        <w:t>días de la dosis programada, él /ella deberá ser instruido para administrarse la dosis olvidada inmediatamente y la siguiente dosis en el siguiente día programado</w:t>
      </w:r>
      <w:r>
        <w:rPr>
          <w:lang w:val="es-ES"/>
        </w:rPr>
        <w:t>.</w:t>
      </w:r>
    </w:p>
    <w:p w14:paraId="7314E678" w14:textId="77777777" w:rsidR="00C7154A" w:rsidRDefault="00C7154A" w:rsidP="00C7154A">
      <w:pPr>
        <w:rPr>
          <w:u w:val="single"/>
          <w:lang w:val="es-ES"/>
        </w:rPr>
      </w:pPr>
    </w:p>
    <w:p w14:paraId="03DA829B" w14:textId="77291071" w:rsidR="00C7154A" w:rsidRPr="006616E4" w:rsidRDefault="00C7154A" w:rsidP="00C7154A">
      <w:pPr>
        <w:rPr>
          <w:lang w:val="es-ES"/>
        </w:rPr>
      </w:pPr>
      <w:r>
        <w:rPr>
          <w:lang w:val="es-ES"/>
        </w:rPr>
        <w:t xml:space="preserve">Si un paciente con AIJp no se administra la inyección subcutánea de </w:t>
      </w:r>
      <w:r w:rsidR="006D39DC" w:rsidRPr="00554BAE">
        <w:rPr>
          <w:noProof/>
          <w:szCs w:val="22"/>
          <w:lang w:val="es-ES"/>
        </w:rPr>
        <w:t>tocilizumab</w:t>
      </w:r>
      <w:r>
        <w:rPr>
          <w:lang w:val="es-ES"/>
        </w:rPr>
        <w:t xml:space="preserve"> dentro de los 7</w:t>
      </w:r>
      <w:r w:rsidR="00035458">
        <w:rPr>
          <w:lang w:val="es-ES"/>
        </w:rPr>
        <w:t> </w:t>
      </w:r>
      <w:r>
        <w:rPr>
          <w:lang w:val="es-ES"/>
        </w:rPr>
        <w:t>días de la dosis programada, se debe indicar al paciente que se debe administrar la dosis olvidada tan pronto como lo recuerde y administrarse la siguiente dosis en el siguiente día programado.</w:t>
      </w:r>
      <w:r w:rsidRPr="00FF1EDA">
        <w:rPr>
          <w:color w:val="FFFF00"/>
          <w:lang w:val="es-ES"/>
        </w:rPr>
        <w:t xml:space="preserve"> </w:t>
      </w:r>
      <w:r w:rsidRPr="0098172C">
        <w:rPr>
          <w:lang w:val="es-ES"/>
        </w:rPr>
        <w:t xml:space="preserve">Si un paciente </w:t>
      </w:r>
      <w:r>
        <w:rPr>
          <w:lang w:val="es-ES"/>
        </w:rPr>
        <w:t>no</w:t>
      </w:r>
      <w:r w:rsidRPr="00CA1B1E">
        <w:rPr>
          <w:lang w:val="es-ES"/>
        </w:rPr>
        <w:t xml:space="preserve"> se administra </w:t>
      </w:r>
      <w:r>
        <w:rPr>
          <w:lang w:val="es-ES"/>
        </w:rPr>
        <w:t xml:space="preserve">la inyección subcutánea de </w:t>
      </w:r>
      <w:r w:rsidR="006D39DC" w:rsidRPr="00554BAE">
        <w:rPr>
          <w:noProof/>
          <w:szCs w:val="22"/>
          <w:lang w:val="es-ES"/>
        </w:rPr>
        <w:t>tocilizumab</w:t>
      </w:r>
      <w:r w:rsidRPr="00CA1B1E">
        <w:rPr>
          <w:lang w:val="es-ES"/>
        </w:rPr>
        <w:t xml:space="preserve"> </w:t>
      </w:r>
      <w:r>
        <w:rPr>
          <w:lang w:val="es-ES"/>
        </w:rPr>
        <w:t>pasados</w:t>
      </w:r>
      <w:r w:rsidRPr="00CA1B1E">
        <w:rPr>
          <w:lang w:val="es-ES"/>
        </w:rPr>
        <w:t xml:space="preserve"> 7</w:t>
      </w:r>
      <w:r w:rsidR="00035458">
        <w:rPr>
          <w:lang w:val="es-ES"/>
        </w:rPr>
        <w:t> </w:t>
      </w:r>
      <w:r w:rsidRPr="00CA1B1E">
        <w:rPr>
          <w:lang w:val="es-ES"/>
        </w:rPr>
        <w:t>días de la dosis programada</w:t>
      </w:r>
      <w:r>
        <w:rPr>
          <w:lang w:val="es-ES"/>
        </w:rPr>
        <w:t xml:space="preserve"> o no está seguro de cúando </w:t>
      </w:r>
      <w:r w:rsidR="006D39DC">
        <w:rPr>
          <w:lang w:val="es-ES"/>
        </w:rPr>
        <w:t xml:space="preserve">se lo </w:t>
      </w:r>
      <w:r>
        <w:rPr>
          <w:lang w:val="es-ES"/>
        </w:rPr>
        <w:t>debe inyectar, consulte al médico o farmacéutico.</w:t>
      </w:r>
    </w:p>
    <w:p w14:paraId="70D13545" w14:textId="77777777" w:rsidR="00A0292D" w:rsidRPr="00FF2AFA" w:rsidRDefault="00A0292D" w:rsidP="00DC224A">
      <w:pPr>
        <w:rPr>
          <w:u w:val="single"/>
          <w:lang w:val="es-ES"/>
        </w:rPr>
      </w:pPr>
    </w:p>
    <w:p w14:paraId="24F5846A" w14:textId="77777777" w:rsidR="00DC224A" w:rsidRPr="008A106B" w:rsidRDefault="00DC224A" w:rsidP="00DC224A">
      <w:pPr>
        <w:rPr>
          <w:u w:val="single"/>
          <w:lang w:val="es-ES_tradnl"/>
        </w:rPr>
      </w:pPr>
      <w:r w:rsidRPr="008A106B">
        <w:rPr>
          <w:u w:val="single"/>
          <w:lang w:val="es-ES_tradnl"/>
        </w:rPr>
        <w:t>Forma de administración</w:t>
      </w:r>
    </w:p>
    <w:p w14:paraId="79E5A328" w14:textId="77777777" w:rsidR="001D0713" w:rsidDel="000C57B3" w:rsidRDefault="001D0713" w:rsidP="00DC224A">
      <w:pPr>
        <w:rPr>
          <w:del w:id="1554" w:author="AUTHOR"/>
          <w:noProof/>
          <w:szCs w:val="22"/>
          <w:lang w:val="es-ES"/>
        </w:rPr>
      </w:pPr>
    </w:p>
    <w:p w14:paraId="79B12EC3" w14:textId="7D68C82B" w:rsidR="00DC224A" w:rsidRDefault="001D0713" w:rsidP="00DC224A">
      <w:pPr>
        <w:rPr>
          <w:lang w:val="es-ES_tradnl"/>
        </w:rPr>
      </w:pPr>
      <w:r>
        <w:rPr>
          <w:noProof/>
          <w:szCs w:val="22"/>
          <w:lang w:val="es-ES"/>
        </w:rPr>
        <w:t xml:space="preserve">Este </w:t>
      </w:r>
      <w:proofErr w:type="gramStart"/>
      <w:r>
        <w:rPr>
          <w:noProof/>
          <w:szCs w:val="22"/>
          <w:lang w:val="es-ES"/>
        </w:rPr>
        <w:t xml:space="preserve">medicamento </w:t>
      </w:r>
      <w:r w:rsidR="00DC224A">
        <w:rPr>
          <w:lang w:val="es-ES_tradnl"/>
        </w:rPr>
        <w:t xml:space="preserve"> es</w:t>
      </w:r>
      <w:proofErr w:type="gramEnd"/>
      <w:r w:rsidR="00DC224A">
        <w:rPr>
          <w:lang w:val="es-ES_tradnl"/>
        </w:rPr>
        <w:t xml:space="preserve"> p</w:t>
      </w:r>
      <w:r w:rsidR="00DC224A" w:rsidRPr="00286CDE">
        <w:rPr>
          <w:lang w:val="es-ES_tradnl"/>
        </w:rPr>
        <w:t>ara uso subcutáneo.</w:t>
      </w:r>
    </w:p>
    <w:p w14:paraId="1D5BEB26" w14:textId="5B85ACB6" w:rsidR="00DC224A" w:rsidRDefault="00DC224A" w:rsidP="00DC224A">
      <w:pPr>
        <w:rPr>
          <w:lang w:val="es-ES_tradnl"/>
        </w:rPr>
      </w:pPr>
      <w:r w:rsidRPr="00286CDE">
        <w:rPr>
          <w:lang w:val="es-ES_tradnl"/>
        </w:rPr>
        <w:t xml:space="preserve">Después de una adecuada formación en técnicas de inyección, los pacientes pueden autoinyectarse </w:t>
      </w:r>
      <w:r w:rsidR="006D39DC">
        <w:rPr>
          <w:lang w:val="es-ES_tradnl"/>
        </w:rPr>
        <w:t>este medicamento</w:t>
      </w:r>
      <w:r w:rsidR="006D39DC" w:rsidRPr="00286CDE">
        <w:rPr>
          <w:lang w:val="es-ES_tradnl"/>
        </w:rPr>
        <w:t xml:space="preserve"> </w:t>
      </w:r>
      <w:r w:rsidRPr="00286CDE">
        <w:rPr>
          <w:lang w:val="es-ES_tradnl"/>
        </w:rPr>
        <w:t>si su médico determina que es lo apropiado</w:t>
      </w:r>
      <w:r>
        <w:rPr>
          <w:lang w:val="es-ES_tradnl"/>
        </w:rPr>
        <w:t>.</w:t>
      </w:r>
      <w:r w:rsidRPr="00286CDE">
        <w:rPr>
          <w:lang w:val="es-ES_tradnl"/>
        </w:rPr>
        <w:t xml:space="preserve"> Todo el contenido (0,9</w:t>
      </w:r>
      <w:r w:rsidR="00035458">
        <w:rPr>
          <w:lang w:val="es-ES_tradnl"/>
        </w:rPr>
        <w:t> </w:t>
      </w:r>
      <w:r w:rsidRPr="00286CDE">
        <w:rPr>
          <w:lang w:val="es-ES_tradnl"/>
        </w:rPr>
        <w:t xml:space="preserve">ml) de la </w:t>
      </w:r>
      <w:r>
        <w:rPr>
          <w:lang w:val="es-ES_tradnl"/>
        </w:rPr>
        <w:t>pluma</w:t>
      </w:r>
      <w:r w:rsidRPr="00286CDE">
        <w:rPr>
          <w:lang w:val="es-ES_tradnl"/>
        </w:rPr>
        <w:t xml:space="preserve"> precargada deberá administrarse como inyección subcutánea. Las zonas recomendad</w:t>
      </w:r>
      <w:r>
        <w:rPr>
          <w:lang w:val="es-ES_tradnl"/>
        </w:rPr>
        <w:t>a</w:t>
      </w:r>
      <w:r w:rsidRPr="00286CDE">
        <w:rPr>
          <w:lang w:val="es-ES_tradnl"/>
        </w:rPr>
        <w:t xml:space="preserve">s para la inyección (abdomen, muslos y parte superior del brazo) deberán alternarse y las inyecciones nunca deben administrarse en lunares, cicatrices, o en áreas donde la piel </w:t>
      </w:r>
      <w:r>
        <w:rPr>
          <w:lang w:val="es-ES_tradnl"/>
        </w:rPr>
        <w:t>este</w:t>
      </w:r>
      <w:r w:rsidRPr="00286CDE">
        <w:rPr>
          <w:lang w:val="es-ES_tradnl"/>
        </w:rPr>
        <w:t xml:space="preserve"> sensible, magullada, roja, dura o no intacta.</w:t>
      </w:r>
    </w:p>
    <w:p w14:paraId="6A58D177" w14:textId="77777777" w:rsidR="00DC224A" w:rsidRDefault="00DC224A" w:rsidP="00DC224A">
      <w:pPr>
        <w:rPr>
          <w:lang w:val="es-ES_tradnl"/>
        </w:rPr>
      </w:pPr>
    </w:p>
    <w:p w14:paraId="6C68B910" w14:textId="323FBBA7" w:rsidR="00DC224A" w:rsidRDefault="00DC224A" w:rsidP="00DC224A">
      <w:pPr>
        <w:rPr>
          <w:lang w:val="es-ES_tradnl"/>
        </w:rPr>
      </w:pPr>
      <w:r>
        <w:rPr>
          <w:lang w:val="es-ES_tradnl"/>
        </w:rPr>
        <w:t xml:space="preserve">La pluma precargada no </w:t>
      </w:r>
      <w:r w:rsidR="003532C2">
        <w:rPr>
          <w:lang w:val="es-ES_tradnl"/>
        </w:rPr>
        <w:t xml:space="preserve">se </w:t>
      </w:r>
      <w:r>
        <w:rPr>
          <w:lang w:val="es-ES_tradnl"/>
        </w:rPr>
        <w:t>debe agitar.</w:t>
      </w:r>
    </w:p>
    <w:p w14:paraId="08909E2A" w14:textId="77777777" w:rsidR="00DC224A" w:rsidRPr="008A106B" w:rsidRDefault="00DC224A" w:rsidP="00DC224A">
      <w:pPr>
        <w:rPr>
          <w:lang w:val="es-ES_tradnl"/>
        </w:rPr>
      </w:pPr>
    </w:p>
    <w:p w14:paraId="2F1074C5" w14:textId="520EC0F8" w:rsidR="00DC224A" w:rsidRPr="008A106B" w:rsidRDefault="00DC224A" w:rsidP="00DC224A">
      <w:pPr>
        <w:rPr>
          <w:lang w:val="es-ES_tradnl"/>
        </w:rPr>
      </w:pPr>
      <w:r>
        <w:rPr>
          <w:lang w:val="es-ES_tradnl"/>
        </w:rPr>
        <w:t xml:space="preserve">Para consultar las instrucciones detalladas para la administración de RoActemra en pluma precargada se incluyen en el </w:t>
      </w:r>
      <w:r w:rsidRPr="00286CDE">
        <w:rPr>
          <w:lang w:val="es-ES_tradnl"/>
        </w:rPr>
        <w:t>prospecto</w:t>
      </w:r>
      <w:r w:rsidRPr="008A106B">
        <w:rPr>
          <w:lang w:val="es-ES_tradnl"/>
        </w:rPr>
        <w:t>,</w:t>
      </w:r>
      <w:r>
        <w:rPr>
          <w:lang w:val="es-ES_tradnl"/>
        </w:rPr>
        <w:t xml:space="preserve"> </w:t>
      </w:r>
      <w:r w:rsidRPr="008A106B">
        <w:rPr>
          <w:lang w:val="es-ES_tradnl"/>
        </w:rPr>
        <w:t>ver sección</w:t>
      </w:r>
      <w:r w:rsidR="00035458">
        <w:rPr>
          <w:lang w:val="es-ES_tradnl"/>
        </w:rPr>
        <w:t> </w:t>
      </w:r>
      <w:r w:rsidRPr="008A106B">
        <w:rPr>
          <w:lang w:val="es-ES_tradnl"/>
        </w:rPr>
        <w:t>6.6.</w:t>
      </w:r>
    </w:p>
    <w:p w14:paraId="255C764C" w14:textId="77777777" w:rsidR="00DC224A" w:rsidRDefault="00DC224A" w:rsidP="00DC224A">
      <w:pPr>
        <w:ind w:left="567" w:hanging="567"/>
        <w:rPr>
          <w:b/>
          <w:bCs/>
          <w:lang w:val="es-ES_tradnl"/>
        </w:rPr>
      </w:pPr>
    </w:p>
    <w:p w14:paraId="6732F515" w14:textId="77777777" w:rsidR="00DC224A" w:rsidRDefault="00DC224A" w:rsidP="00DC224A">
      <w:pPr>
        <w:keepNext/>
        <w:keepLines/>
        <w:ind w:left="567" w:hanging="567"/>
        <w:rPr>
          <w:b/>
          <w:bCs/>
          <w:lang w:val="es-ES_tradnl"/>
        </w:rPr>
      </w:pPr>
      <w:r w:rsidRPr="008A106B">
        <w:rPr>
          <w:b/>
          <w:bCs/>
          <w:lang w:val="es-ES"/>
        </w:rPr>
        <w:t>4.3</w:t>
      </w:r>
      <w:r w:rsidRPr="008A106B">
        <w:rPr>
          <w:b/>
          <w:bCs/>
          <w:lang w:val="es-ES"/>
        </w:rPr>
        <w:tab/>
      </w:r>
      <w:r w:rsidRPr="008A106B">
        <w:rPr>
          <w:b/>
          <w:bCs/>
          <w:lang w:val="es-ES_tradnl"/>
        </w:rPr>
        <w:t>Contraindicaciones</w:t>
      </w:r>
    </w:p>
    <w:p w14:paraId="28F11EAA" w14:textId="77777777" w:rsidR="00DC224A" w:rsidRDefault="00DC224A" w:rsidP="00DC224A">
      <w:pPr>
        <w:keepNext/>
        <w:keepLines/>
        <w:ind w:left="567" w:hanging="567"/>
        <w:rPr>
          <w:b/>
          <w:bCs/>
          <w:lang w:val="es-ES_tradnl"/>
        </w:rPr>
      </w:pPr>
    </w:p>
    <w:p w14:paraId="45323926" w14:textId="1B0DD8FD" w:rsidR="00DC224A" w:rsidRPr="008A106B" w:rsidRDefault="00DC224A" w:rsidP="00DC224A">
      <w:pPr>
        <w:keepNext/>
        <w:keepLines/>
        <w:rPr>
          <w:lang w:val="es-ES_tradnl"/>
        </w:rPr>
      </w:pPr>
      <w:r w:rsidRPr="008A106B">
        <w:rPr>
          <w:lang w:val="es-ES_tradnl"/>
        </w:rPr>
        <w:t>Hipersensibilidad al principio activo o a alguno de los excipientes incluidos en la sección</w:t>
      </w:r>
      <w:r w:rsidR="00035458">
        <w:rPr>
          <w:lang w:val="es-ES_tradnl"/>
        </w:rPr>
        <w:t> </w:t>
      </w:r>
      <w:r w:rsidRPr="008A106B">
        <w:rPr>
          <w:lang w:val="es-ES_tradnl"/>
        </w:rPr>
        <w:t>6.1.</w:t>
      </w:r>
    </w:p>
    <w:p w14:paraId="32C73508" w14:textId="77777777" w:rsidR="00DC224A" w:rsidRPr="008A106B" w:rsidRDefault="00DC224A" w:rsidP="00DC224A">
      <w:pPr>
        <w:keepNext/>
        <w:keepLines/>
        <w:rPr>
          <w:lang w:val="es-ES_tradnl"/>
        </w:rPr>
      </w:pPr>
    </w:p>
    <w:p w14:paraId="1F4A3FA9" w14:textId="7D4A3527" w:rsidR="00DC224A" w:rsidRPr="008A106B" w:rsidRDefault="00DC224A" w:rsidP="00DC224A">
      <w:pPr>
        <w:keepNext/>
        <w:keepLines/>
        <w:rPr>
          <w:lang w:val="es-ES"/>
        </w:rPr>
      </w:pPr>
      <w:r w:rsidRPr="008A106B">
        <w:rPr>
          <w:lang w:val="es-ES_tradnl"/>
        </w:rPr>
        <w:t>Infecciones graves y activas (ver sección</w:t>
      </w:r>
      <w:r w:rsidR="00035458">
        <w:rPr>
          <w:lang w:val="es-ES_tradnl"/>
        </w:rPr>
        <w:t> </w:t>
      </w:r>
      <w:r w:rsidRPr="008A106B">
        <w:rPr>
          <w:lang w:val="es-ES_tradnl"/>
        </w:rPr>
        <w:t>4.4)</w:t>
      </w:r>
      <w:r>
        <w:rPr>
          <w:lang w:val="es-ES_tradnl"/>
        </w:rPr>
        <w:t>.</w:t>
      </w:r>
    </w:p>
    <w:p w14:paraId="7E79025E" w14:textId="77777777" w:rsidR="00DC224A" w:rsidRPr="008A106B" w:rsidRDefault="00DC224A" w:rsidP="00DC224A">
      <w:pPr>
        <w:keepNext/>
        <w:keepLines/>
        <w:ind w:left="567" w:hanging="567"/>
        <w:rPr>
          <w:lang w:val="es-ES"/>
        </w:rPr>
      </w:pPr>
    </w:p>
    <w:p w14:paraId="035CD766" w14:textId="77777777" w:rsidR="00DC224A" w:rsidRDefault="00DC224A" w:rsidP="00DC224A">
      <w:pPr>
        <w:ind w:left="567" w:hanging="567"/>
        <w:rPr>
          <w:b/>
          <w:bCs/>
          <w:lang w:val="es-ES_tradnl"/>
        </w:rPr>
      </w:pPr>
      <w:r w:rsidRPr="008A106B">
        <w:rPr>
          <w:b/>
          <w:bCs/>
          <w:lang w:val="es-ES"/>
        </w:rPr>
        <w:t>4.4</w:t>
      </w:r>
      <w:r w:rsidRPr="008A106B">
        <w:rPr>
          <w:b/>
          <w:bCs/>
          <w:lang w:val="es-ES"/>
        </w:rPr>
        <w:tab/>
      </w:r>
      <w:r w:rsidRPr="008A106B">
        <w:rPr>
          <w:b/>
          <w:bCs/>
          <w:lang w:val="es-ES_tradnl"/>
        </w:rPr>
        <w:t>Advertencias y precauciones especiales de empleo</w:t>
      </w:r>
    </w:p>
    <w:p w14:paraId="1BC0124A" w14:textId="77777777" w:rsidR="006C5226" w:rsidRDefault="006C5226" w:rsidP="00DC224A">
      <w:pPr>
        <w:ind w:left="567" w:hanging="567"/>
        <w:rPr>
          <w:b/>
          <w:bCs/>
          <w:lang w:val="es-ES_tradnl"/>
        </w:rPr>
      </w:pPr>
    </w:p>
    <w:p w14:paraId="328A5722" w14:textId="77777777" w:rsidR="006C5226" w:rsidRDefault="006C5226" w:rsidP="006C5226">
      <w:pPr>
        <w:keepNext/>
        <w:autoSpaceDE w:val="0"/>
        <w:autoSpaceDN w:val="0"/>
        <w:adjustRightInd w:val="0"/>
        <w:rPr>
          <w:szCs w:val="22"/>
          <w:lang w:val="es-ES"/>
        </w:rPr>
      </w:pPr>
      <w:r>
        <w:rPr>
          <w:szCs w:val="22"/>
          <w:lang w:val="es-ES"/>
        </w:rPr>
        <w:t xml:space="preserve">La formulación subcutánea de </w:t>
      </w:r>
      <w:r w:rsidRPr="001148B5">
        <w:rPr>
          <w:szCs w:val="22"/>
          <w:lang w:val="es-ES"/>
        </w:rPr>
        <w:t xml:space="preserve">RoActemra </w:t>
      </w:r>
      <w:r>
        <w:rPr>
          <w:szCs w:val="22"/>
          <w:lang w:val="es-ES"/>
        </w:rPr>
        <w:t>no está indicada para su administración por vía intravenosa.</w:t>
      </w:r>
    </w:p>
    <w:p w14:paraId="003D7A50" w14:textId="77777777" w:rsidR="006D39DC" w:rsidRDefault="006D39DC" w:rsidP="00DC224A">
      <w:pPr>
        <w:ind w:left="567" w:hanging="567"/>
        <w:rPr>
          <w:b/>
          <w:bCs/>
          <w:lang w:val="es-ES_tradnl"/>
        </w:rPr>
      </w:pPr>
    </w:p>
    <w:p w14:paraId="518A0310" w14:textId="22E611CE" w:rsidR="00DC224A" w:rsidRPr="00F30AB8" w:rsidRDefault="006D39DC" w:rsidP="00F30AB8">
      <w:pPr>
        <w:rPr>
          <w:szCs w:val="22"/>
          <w:lang w:val="es-ES"/>
        </w:rPr>
      </w:pPr>
      <w:r w:rsidRPr="00F30AB8">
        <w:rPr>
          <w:szCs w:val="22"/>
          <w:lang w:val="es-ES"/>
        </w:rPr>
        <w:t xml:space="preserve">La formulación subcutánea de RoActemra no está indicada para su administración en niños con AIJs con un peso menor de 10 </w:t>
      </w:r>
      <w:r w:rsidR="00035458">
        <w:rPr>
          <w:szCs w:val="22"/>
          <w:lang w:val="es-ES"/>
        </w:rPr>
        <w:t>k</w:t>
      </w:r>
      <w:r w:rsidRPr="00F30AB8">
        <w:rPr>
          <w:szCs w:val="22"/>
          <w:lang w:val="es-ES"/>
        </w:rPr>
        <w:t>g.</w:t>
      </w:r>
    </w:p>
    <w:p w14:paraId="36A458E7" w14:textId="77777777" w:rsidR="006D39DC" w:rsidRDefault="006D39DC" w:rsidP="00DC224A">
      <w:pPr>
        <w:ind w:left="567" w:hanging="567"/>
        <w:rPr>
          <w:b/>
          <w:bCs/>
          <w:lang w:val="es-ES_tradnl"/>
        </w:rPr>
      </w:pPr>
    </w:p>
    <w:p w14:paraId="59F360D8" w14:textId="77777777" w:rsidR="00DC224A" w:rsidRDefault="00DC224A" w:rsidP="00DC224A">
      <w:pPr>
        <w:rPr>
          <w:u w:val="single"/>
          <w:lang w:val="es-ES_tradnl"/>
        </w:rPr>
      </w:pPr>
      <w:r w:rsidRPr="00F30AB8">
        <w:rPr>
          <w:u w:val="single"/>
          <w:lang w:val="es-ES_tradnl"/>
        </w:rPr>
        <w:t>Trazabilidad</w:t>
      </w:r>
    </w:p>
    <w:p w14:paraId="68D730E2" w14:textId="77777777" w:rsidR="00035458" w:rsidRPr="00F30AB8" w:rsidRDefault="00035458" w:rsidP="00DC224A">
      <w:pPr>
        <w:rPr>
          <w:u w:val="single"/>
          <w:lang w:val="es-ES_tradnl"/>
        </w:rPr>
      </w:pPr>
    </w:p>
    <w:p w14:paraId="227B35F4" w14:textId="77777777" w:rsidR="00DC224A" w:rsidRPr="00C555F2" w:rsidRDefault="00DC224A" w:rsidP="00DC224A">
      <w:pPr>
        <w:rPr>
          <w:lang w:val="es-ES_tradnl"/>
        </w:rPr>
      </w:pPr>
      <w:r w:rsidRPr="00C555F2">
        <w:rPr>
          <w:lang w:val="es-ES_tradnl"/>
        </w:rPr>
        <w:t xml:space="preserve">Para mejorar la trazabilidad de los medicamentos biológicos, </w:t>
      </w:r>
      <w:r w:rsidR="00EB51B9">
        <w:rPr>
          <w:lang w:val="es-ES_tradnl"/>
        </w:rPr>
        <w:t xml:space="preserve">el nombre </w:t>
      </w:r>
      <w:r w:rsidRPr="00C555F2">
        <w:rPr>
          <w:lang w:val="es-ES_tradnl"/>
        </w:rPr>
        <w:t>del medicamento y el número de lote administrado debe estar claramente registrado (o declarado) en la historia clínica del paciente.</w:t>
      </w:r>
    </w:p>
    <w:p w14:paraId="6BD1A209" w14:textId="77777777" w:rsidR="00DC224A" w:rsidRPr="006868F5" w:rsidRDefault="00DC224A" w:rsidP="00DC224A">
      <w:pPr>
        <w:ind w:left="567" w:hanging="567"/>
        <w:outlineLvl w:val="0"/>
        <w:rPr>
          <w:b/>
          <w:lang w:val="es-ES_tradnl"/>
        </w:rPr>
      </w:pPr>
    </w:p>
    <w:p w14:paraId="64422FA6" w14:textId="77777777" w:rsidR="006D39DC" w:rsidRPr="00F30AB8" w:rsidRDefault="006D39DC" w:rsidP="00DC224A">
      <w:pPr>
        <w:ind w:left="567" w:hanging="567"/>
        <w:outlineLvl w:val="0"/>
        <w:rPr>
          <w:noProof/>
          <w:szCs w:val="22"/>
          <w:u w:val="single"/>
          <w:lang w:val="es-ES"/>
        </w:rPr>
      </w:pPr>
      <w:r w:rsidRPr="00F30AB8">
        <w:rPr>
          <w:noProof/>
          <w:szCs w:val="22"/>
          <w:u w:val="single"/>
          <w:lang w:val="es-ES"/>
        </w:rPr>
        <w:t>Todas las indicaciones</w:t>
      </w:r>
    </w:p>
    <w:p w14:paraId="5A2AE139" w14:textId="77777777" w:rsidR="006D39DC" w:rsidRPr="00F30AB8" w:rsidRDefault="006D39DC" w:rsidP="00DC224A">
      <w:pPr>
        <w:ind w:left="567" w:hanging="567"/>
        <w:outlineLvl w:val="0"/>
        <w:rPr>
          <w:noProof/>
          <w:szCs w:val="22"/>
          <w:u w:val="single"/>
          <w:lang w:val="es-ES"/>
        </w:rPr>
      </w:pPr>
    </w:p>
    <w:p w14:paraId="3A0F3374" w14:textId="77777777" w:rsidR="00DC224A" w:rsidRPr="008A106B" w:rsidRDefault="00DC224A" w:rsidP="00DC224A">
      <w:pPr>
        <w:ind w:left="567" w:hanging="567"/>
        <w:outlineLvl w:val="0"/>
        <w:rPr>
          <w:lang w:val="es-ES"/>
        </w:rPr>
      </w:pPr>
      <w:r w:rsidRPr="008A106B">
        <w:rPr>
          <w:i/>
          <w:iCs/>
          <w:lang w:val="es-ES_tradnl"/>
        </w:rPr>
        <w:t>Infecciones</w:t>
      </w:r>
      <w:r w:rsidRPr="008A106B">
        <w:rPr>
          <w:i/>
          <w:iCs/>
          <w:lang w:val="es-ES"/>
        </w:rPr>
        <w:t xml:space="preserve"> </w:t>
      </w:r>
    </w:p>
    <w:p w14:paraId="7435CA9F" w14:textId="1D95B7B3" w:rsidR="00DC224A" w:rsidRPr="008A106B" w:rsidRDefault="00DC224A" w:rsidP="00DC224A">
      <w:pPr>
        <w:rPr>
          <w:lang w:val="es-ES_tradnl"/>
        </w:rPr>
      </w:pPr>
      <w:r w:rsidRPr="008A106B">
        <w:rPr>
          <w:lang w:val="es-ES_tradnl"/>
        </w:rPr>
        <w:t>Se han notificado infecciones graves y en algunos casos mortales en pacientes que reciben agentes inmunosupresores</w:t>
      </w:r>
      <w:r>
        <w:rPr>
          <w:lang w:val="es-ES_tradnl"/>
        </w:rPr>
        <w:t>,</w:t>
      </w:r>
      <w:r w:rsidRPr="008A106B">
        <w:rPr>
          <w:lang w:val="es-ES_tradnl"/>
        </w:rPr>
        <w:t xml:space="preserve"> incluido </w:t>
      </w:r>
      <w:r w:rsidR="006D39DC" w:rsidRPr="00554BAE">
        <w:rPr>
          <w:noProof/>
          <w:szCs w:val="22"/>
          <w:lang w:val="es-ES"/>
        </w:rPr>
        <w:t>tocilizumab</w:t>
      </w:r>
      <w:r w:rsidRPr="008A106B">
        <w:rPr>
          <w:lang w:val="es-ES_tradnl"/>
        </w:rPr>
        <w:t xml:space="preserve"> (ver sección</w:t>
      </w:r>
      <w:r w:rsidR="001D0713" w:rsidRPr="00F30AB8">
        <w:rPr>
          <w:szCs w:val="22"/>
          <w:lang w:val="es-ES"/>
        </w:rPr>
        <w:t> </w:t>
      </w:r>
      <w:r w:rsidR="001D0713" w:rsidRPr="008A106B" w:rsidDel="001D0713">
        <w:rPr>
          <w:lang w:val="es-ES_tradnl"/>
        </w:rPr>
        <w:t xml:space="preserve"> </w:t>
      </w:r>
      <w:r w:rsidRPr="008A106B">
        <w:rPr>
          <w:lang w:val="es-ES_tradnl"/>
        </w:rPr>
        <w:t>4.8</w:t>
      </w:r>
      <w:del w:id="1555" w:author="AUTHOR">
        <w:r w:rsidDel="00B46D8D">
          <w:rPr>
            <w:lang w:val="es-ES_tradnl"/>
          </w:rPr>
          <w:delText xml:space="preserve"> Reacciones adversas</w:delText>
        </w:r>
      </w:del>
      <w:r w:rsidRPr="008A106B">
        <w:rPr>
          <w:lang w:val="es-ES_tradnl"/>
        </w:rPr>
        <w:t xml:space="preserve">). No </w:t>
      </w:r>
      <w:r w:rsidR="006D39DC">
        <w:rPr>
          <w:lang w:val="es-ES_tradnl"/>
        </w:rPr>
        <w:t xml:space="preserve">se </w:t>
      </w:r>
      <w:r w:rsidRPr="008A106B">
        <w:rPr>
          <w:lang w:val="es-ES_tradnl"/>
        </w:rPr>
        <w:t xml:space="preserve">debe iniciar el tratamiento </w:t>
      </w:r>
      <w:del w:id="1556" w:author="AUTHOR">
        <w:r w:rsidRPr="008A106B" w:rsidDel="004A6B8D">
          <w:rPr>
            <w:lang w:val="es-ES_tradnl"/>
          </w:rPr>
          <w:delText>c</w:delText>
        </w:r>
      </w:del>
      <w:r w:rsidRPr="008A106B">
        <w:rPr>
          <w:lang w:val="es-ES_tradnl"/>
        </w:rPr>
        <w:t>en pacientes con infecciones activas (ver sección</w:t>
      </w:r>
      <w:r w:rsidR="001D0713" w:rsidRPr="00F30AB8">
        <w:rPr>
          <w:szCs w:val="22"/>
          <w:lang w:val="es-ES"/>
        </w:rPr>
        <w:t> </w:t>
      </w:r>
      <w:r w:rsidR="001D0713" w:rsidRPr="008A106B" w:rsidDel="001D0713">
        <w:rPr>
          <w:lang w:val="es-ES_tradnl"/>
        </w:rPr>
        <w:t xml:space="preserve"> </w:t>
      </w:r>
      <w:r w:rsidRPr="008A106B">
        <w:rPr>
          <w:lang w:val="es-ES_tradnl"/>
        </w:rPr>
        <w:t>4.3).</w:t>
      </w:r>
      <w:r w:rsidRPr="008A106B">
        <w:rPr>
          <w:lang w:val="es-ES"/>
        </w:rPr>
        <w:t xml:space="preserve"> </w:t>
      </w:r>
      <w:r w:rsidRPr="008A106B">
        <w:rPr>
          <w:lang w:val="es-ES_tradnl"/>
        </w:rPr>
        <w:t xml:space="preserve">Se debe interrumpir la administración de </w:t>
      </w:r>
      <w:r w:rsidR="006D39DC" w:rsidRPr="00554BAE">
        <w:rPr>
          <w:noProof/>
          <w:szCs w:val="22"/>
          <w:lang w:val="es-ES"/>
        </w:rPr>
        <w:t>tocilizumab</w:t>
      </w:r>
      <w:r w:rsidRPr="008A106B">
        <w:rPr>
          <w:lang w:val="es-ES_tradnl"/>
        </w:rPr>
        <w:t xml:space="preserve"> si un paciente desarrolla una infección grave, hasta que la infección esté controlada (ver sección</w:t>
      </w:r>
      <w:r w:rsidR="00035458">
        <w:rPr>
          <w:lang w:val="es-ES_tradnl"/>
        </w:rPr>
        <w:t> </w:t>
      </w:r>
      <w:r w:rsidRPr="008A106B">
        <w:rPr>
          <w:lang w:val="es-ES_tradnl"/>
        </w:rPr>
        <w:t>4.8).</w:t>
      </w:r>
      <w:r w:rsidRPr="008A106B">
        <w:rPr>
          <w:lang w:val="es-ES"/>
        </w:rPr>
        <w:t xml:space="preserve"> </w:t>
      </w:r>
      <w:r w:rsidRPr="008A106B">
        <w:rPr>
          <w:lang w:val="es-ES_tradnl"/>
        </w:rPr>
        <w:t>Los profesionales sanitarios deben tener precaución</w:t>
      </w:r>
      <w:r>
        <w:rPr>
          <w:lang w:val="es-ES_tradnl"/>
        </w:rPr>
        <w:t>,</w:t>
      </w:r>
      <w:r w:rsidRPr="008A106B">
        <w:rPr>
          <w:lang w:val="es-ES_tradnl"/>
        </w:rPr>
        <w:t xml:space="preserve"> cuando consideren el uso de </w:t>
      </w:r>
      <w:r w:rsidR="006D39DC">
        <w:rPr>
          <w:lang w:val="es-ES_tradnl"/>
        </w:rPr>
        <w:t>este medicamento</w:t>
      </w:r>
      <w:r w:rsidR="006D39DC" w:rsidRPr="008A106B">
        <w:rPr>
          <w:lang w:val="es-ES_tradnl"/>
        </w:rPr>
        <w:t xml:space="preserve"> </w:t>
      </w:r>
      <w:r w:rsidRPr="008A106B">
        <w:rPr>
          <w:lang w:val="es-ES_tradnl"/>
        </w:rPr>
        <w:t>en pacientes con un historial de infecciones recurrentes o crónicas o con procesos subyacentes (p.ej.</w:t>
      </w:r>
      <w:r>
        <w:rPr>
          <w:lang w:val="es-ES_tradnl"/>
        </w:rPr>
        <w:t>,</w:t>
      </w:r>
      <w:r w:rsidRPr="008A106B">
        <w:rPr>
          <w:lang w:val="es-ES_tradnl"/>
        </w:rPr>
        <w:t xml:space="preserve"> diverticulitis, diabetes y enfermedad pulmonar intersticial) que puedan predisponer a los pacientes a infecciones.</w:t>
      </w:r>
    </w:p>
    <w:p w14:paraId="4EAB1BAA" w14:textId="77777777" w:rsidR="00DC224A" w:rsidRPr="008A106B" w:rsidRDefault="00DC224A" w:rsidP="00DC224A">
      <w:pPr>
        <w:rPr>
          <w:lang w:val="es-ES"/>
        </w:rPr>
      </w:pPr>
    </w:p>
    <w:p w14:paraId="155123CC" w14:textId="655C1EDE" w:rsidR="00DC224A" w:rsidRPr="008A106B" w:rsidRDefault="00DC224A" w:rsidP="00DC224A">
      <w:pPr>
        <w:rPr>
          <w:lang w:val="es-ES_tradnl"/>
        </w:rPr>
      </w:pPr>
      <w:r w:rsidRPr="004550D7">
        <w:rPr>
          <w:lang w:val="es-ES_tradnl"/>
        </w:rPr>
        <w:t>Se recomienda</w:t>
      </w:r>
      <w:r w:rsidRPr="008A106B">
        <w:rPr>
          <w:lang w:val="es-ES_tradnl"/>
        </w:rPr>
        <w:t xml:space="preserve"> estar alerta para la detección oportuna de infecciones graves en pacientes que reciben </w:t>
      </w:r>
      <w:r>
        <w:rPr>
          <w:lang w:val="es-ES_tradnl"/>
        </w:rPr>
        <w:t xml:space="preserve">agentes inmunosupresores como </w:t>
      </w:r>
      <w:r w:rsidR="006D39DC" w:rsidRPr="00554BAE">
        <w:rPr>
          <w:noProof/>
          <w:szCs w:val="22"/>
          <w:lang w:val="es-ES"/>
        </w:rPr>
        <w:t>tocilizumab</w:t>
      </w:r>
      <w:r w:rsidRPr="008A106B">
        <w:rPr>
          <w:lang w:val="es-ES_tradnl"/>
        </w:rPr>
        <w:t xml:space="preserve">, ya que los signos y síntomas de la inflamación aguda </w:t>
      </w:r>
      <w:r w:rsidRPr="008A106B">
        <w:rPr>
          <w:lang w:val="es-ES_tradnl"/>
        </w:rPr>
        <w:lastRenderedPageBreak/>
        <w:t>pueden reducirse, debido a la supresión de</w:t>
      </w:r>
      <w:r>
        <w:rPr>
          <w:lang w:val="es-ES_tradnl"/>
        </w:rPr>
        <w:t xml:space="preserve"> los reactantes de fase aguda</w:t>
      </w:r>
      <w:r w:rsidRPr="008A106B">
        <w:rPr>
          <w:lang w:val="es-ES_tradnl"/>
        </w:rPr>
        <w:t xml:space="preserve">. Cuando se evalúe una potencial infección en un paciente hay que tener en cuenta los efectos de </w:t>
      </w:r>
      <w:r w:rsidR="006D39DC" w:rsidRPr="00554BAE">
        <w:rPr>
          <w:noProof/>
          <w:szCs w:val="22"/>
          <w:lang w:val="es-ES"/>
        </w:rPr>
        <w:t>tocilizumab</w:t>
      </w:r>
      <w:r w:rsidRPr="008A106B">
        <w:rPr>
          <w:lang w:val="es-ES_tradnl"/>
        </w:rPr>
        <w:t xml:space="preserve"> sobre la proteína C reactiva (PCR), neutrófilos y los signos y síntomas de la infección. </w:t>
      </w:r>
      <w:r w:rsidRPr="008A106B">
        <w:rPr>
          <w:lang w:val="es-ES"/>
        </w:rPr>
        <w:t xml:space="preserve">Se </w:t>
      </w:r>
      <w:r w:rsidRPr="008A106B">
        <w:rPr>
          <w:lang w:val="es-ES_tradnl"/>
        </w:rPr>
        <w:t xml:space="preserve">deben dar instrucciones precisas a los pacientes </w:t>
      </w:r>
      <w:r w:rsidR="006D39DC" w:rsidRPr="006D39DC">
        <w:rPr>
          <w:lang w:val="es-ES_tradnl"/>
        </w:rPr>
        <w:t>(incluye niños más pequeños con AIJs o AIJp que pueden ser menos capaces de comunicar sus síntomas)</w:t>
      </w:r>
      <w:r w:rsidR="006D39DC">
        <w:rPr>
          <w:lang w:val="es-ES_tradnl"/>
        </w:rPr>
        <w:t xml:space="preserve"> </w:t>
      </w:r>
      <w:r w:rsidR="00096E1B">
        <w:rPr>
          <w:lang w:val="es-ES_tradnl"/>
        </w:rPr>
        <w:t xml:space="preserve">y a los padres/cuidadores de pacientes con AIJs o AIJp </w:t>
      </w:r>
      <w:r w:rsidRPr="008A106B">
        <w:rPr>
          <w:lang w:val="es-ES_tradnl"/>
        </w:rPr>
        <w:t>para que contacten inmediatamente con su profesional sanitario cuando aparezca cualquier síntoma que sugiera infección, para asegurar una evaluación rápida y un tratamiento adecuado.</w:t>
      </w:r>
    </w:p>
    <w:p w14:paraId="64D7172F" w14:textId="77777777" w:rsidR="00DC224A" w:rsidRPr="008A106B" w:rsidRDefault="00DC224A" w:rsidP="00DC224A">
      <w:pPr>
        <w:rPr>
          <w:lang w:val="es-ES_tradnl"/>
        </w:rPr>
      </w:pPr>
    </w:p>
    <w:p w14:paraId="2AA14A41" w14:textId="77777777" w:rsidR="00DC224A" w:rsidRPr="008A106B" w:rsidRDefault="00DC224A" w:rsidP="00DC224A">
      <w:pPr>
        <w:rPr>
          <w:i/>
          <w:lang w:val="es-ES_tradnl"/>
        </w:rPr>
      </w:pPr>
      <w:r w:rsidRPr="008A106B">
        <w:rPr>
          <w:i/>
          <w:lang w:val="es-ES_tradnl"/>
        </w:rPr>
        <w:t>Tuberculosis</w:t>
      </w:r>
    </w:p>
    <w:p w14:paraId="08AA73D6" w14:textId="4F1B4692" w:rsidR="00DC224A" w:rsidRPr="008A106B" w:rsidRDefault="00DC224A" w:rsidP="00DC224A">
      <w:pPr>
        <w:rPr>
          <w:lang w:val="es-ES_tradnl"/>
        </w:rPr>
      </w:pPr>
      <w:r w:rsidRPr="008A106B">
        <w:rPr>
          <w:lang w:val="es-ES_tradnl"/>
        </w:rPr>
        <w:t>Al igual que en otros tratamientos biológicos, se recomienda realizar a</w:t>
      </w:r>
      <w:r>
        <w:rPr>
          <w:lang w:val="es-ES_tradnl"/>
        </w:rPr>
        <w:t xml:space="preserve"> todos</w:t>
      </w:r>
      <w:r w:rsidRPr="008A106B">
        <w:rPr>
          <w:lang w:val="es-ES_tradnl"/>
        </w:rPr>
        <w:t xml:space="preserve"> los pacientes un cribado de infección latente de tuberculosis</w:t>
      </w:r>
      <w:r w:rsidR="00035458">
        <w:rPr>
          <w:lang w:val="es-ES_tradnl"/>
        </w:rPr>
        <w:t xml:space="preserve"> (TB)</w:t>
      </w:r>
      <w:r>
        <w:rPr>
          <w:lang w:val="es-ES_tradnl"/>
        </w:rPr>
        <w:t>,</w:t>
      </w:r>
      <w:r w:rsidRPr="008A106B">
        <w:rPr>
          <w:lang w:val="es-ES_tradnl"/>
        </w:rPr>
        <w:t xml:space="preserve"> antes de comenzar el tratamiento con </w:t>
      </w:r>
      <w:r w:rsidR="006D39DC" w:rsidRPr="00554BAE">
        <w:rPr>
          <w:noProof/>
          <w:szCs w:val="22"/>
          <w:lang w:val="es-ES"/>
        </w:rPr>
        <w:t>tocilizumab</w:t>
      </w:r>
      <w:r w:rsidRPr="008A106B">
        <w:rPr>
          <w:lang w:val="es-ES_tradnl"/>
        </w:rPr>
        <w:t>.</w:t>
      </w:r>
      <w:r w:rsidRPr="008A106B">
        <w:rPr>
          <w:lang w:val="es-ES"/>
        </w:rPr>
        <w:t xml:space="preserve"> </w:t>
      </w:r>
      <w:r w:rsidRPr="008A106B">
        <w:rPr>
          <w:lang w:val="es-ES_tradnl"/>
        </w:rPr>
        <w:t xml:space="preserve">Los pacientes con tuberculosis latente deben recibir tratamiento estándar con antimicobacteriano antes de comenzar el tratamiento con </w:t>
      </w:r>
      <w:r w:rsidR="006D39DC" w:rsidRPr="00554BAE">
        <w:rPr>
          <w:noProof/>
          <w:szCs w:val="22"/>
          <w:lang w:val="es-ES"/>
        </w:rPr>
        <w:t>tocilizumab</w:t>
      </w:r>
      <w:r w:rsidRPr="008A106B">
        <w:rPr>
          <w:lang w:val="es-ES_tradnl"/>
        </w:rPr>
        <w:t>.</w:t>
      </w:r>
      <w:r w:rsidRPr="008A106B">
        <w:rPr>
          <w:lang w:val="es-ES"/>
        </w:rPr>
        <w:t xml:space="preserve"> Los profesionales sanitarios deben recordar el riesgo que existe de falsos negativos</w:t>
      </w:r>
      <w:r>
        <w:rPr>
          <w:lang w:val="es-ES"/>
        </w:rPr>
        <w:t xml:space="preserve"> al realizar la prueba cutánea </w:t>
      </w:r>
      <w:r w:rsidRPr="008A106B">
        <w:rPr>
          <w:lang w:val="es-ES"/>
        </w:rPr>
        <w:t xml:space="preserve">de la tuberculina </w:t>
      </w:r>
      <w:r w:rsidRPr="008A106B">
        <w:rPr>
          <w:lang w:val="es-ES_tradnl"/>
        </w:rPr>
        <w:t>y la detección del gamma interferón, especialmente en pacientes que están gravemente enfermos o inmunodeprimidos.</w:t>
      </w:r>
    </w:p>
    <w:p w14:paraId="0E2A9284" w14:textId="77777777" w:rsidR="00DC224A" w:rsidRPr="008A106B" w:rsidRDefault="00DC224A" w:rsidP="00DC224A">
      <w:pPr>
        <w:rPr>
          <w:lang w:val="es-ES_tradnl"/>
        </w:rPr>
      </w:pPr>
    </w:p>
    <w:p w14:paraId="12438728" w14:textId="646F279A" w:rsidR="00DC224A" w:rsidRPr="008A106B" w:rsidRDefault="00DC224A" w:rsidP="00DC224A">
      <w:pPr>
        <w:rPr>
          <w:lang w:val="es-ES"/>
        </w:rPr>
      </w:pPr>
      <w:r w:rsidRPr="008A106B">
        <w:rPr>
          <w:lang w:val="es-ES_tradnl"/>
        </w:rPr>
        <w:t xml:space="preserve">Se debe dar instrucciones a los pacientes </w:t>
      </w:r>
      <w:r w:rsidR="00096E1B">
        <w:rPr>
          <w:lang w:val="es-ES_tradnl"/>
        </w:rPr>
        <w:t xml:space="preserve">y a los padres/cuidadores de pacientes con AIJs o AIJp </w:t>
      </w:r>
      <w:r w:rsidRPr="008A106B">
        <w:rPr>
          <w:lang w:val="es-ES_tradnl"/>
        </w:rPr>
        <w:t>para que acudan al médico si se presentan signos y síntomas (por ejempl</w:t>
      </w:r>
      <w:r>
        <w:rPr>
          <w:lang w:val="es-ES_tradnl"/>
        </w:rPr>
        <w:t>o, tos persistente, debilidad /</w:t>
      </w:r>
      <w:r w:rsidRPr="008A106B">
        <w:rPr>
          <w:lang w:val="es-ES_tradnl"/>
        </w:rPr>
        <w:t xml:space="preserve">pérdida de peso, fiebre baja) que puedan sugerir </w:t>
      </w:r>
      <w:r>
        <w:rPr>
          <w:lang w:val="es-ES_tradnl"/>
        </w:rPr>
        <w:t xml:space="preserve">una infección por tuberculosis, </w:t>
      </w:r>
      <w:r w:rsidRPr="008A106B">
        <w:rPr>
          <w:lang w:val="es-ES_tradnl"/>
        </w:rPr>
        <w:t xml:space="preserve">se produzca durante o después del tratamiento con </w:t>
      </w:r>
      <w:r w:rsidR="006D39DC">
        <w:rPr>
          <w:lang w:val="es-ES_tradnl"/>
        </w:rPr>
        <w:t>este medicamento</w:t>
      </w:r>
      <w:r w:rsidRPr="008A106B">
        <w:rPr>
          <w:lang w:val="es-ES_tradnl"/>
        </w:rPr>
        <w:t>.</w:t>
      </w:r>
    </w:p>
    <w:p w14:paraId="43A4BBA9" w14:textId="77777777" w:rsidR="00DC224A" w:rsidRPr="008A106B" w:rsidRDefault="00DC224A" w:rsidP="00DC224A">
      <w:pPr>
        <w:rPr>
          <w:lang w:val="es-ES"/>
        </w:rPr>
      </w:pPr>
    </w:p>
    <w:p w14:paraId="21C009BA" w14:textId="77777777" w:rsidR="00DC224A" w:rsidRPr="008A106B" w:rsidRDefault="00DC224A" w:rsidP="00DC224A">
      <w:pPr>
        <w:rPr>
          <w:i/>
          <w:lang w:val="es-ES"/>
        </w:rPr>
      </w:pPr>
      <w:r w:rsidRPr="008A106B">
        <w:rPr>
          <w:i/>
          <w:lang w:val="es-ES"/>
        </w:rPr>
        <w:t xml:space="preserve">Reactivación viral </w:t>
      </w:r>
    </w:p>
    <w:p w14:paraId="5F41FB69" w14:textId="4AC7B780" w:rsidR="00DC224A" w:rsidRPr="008A106B" w:rsidRDefault="00DC224A" w:rsidP="00DC224A">
      <w:pPr>
        <w:rPr>
          <w:rFonts w:eastAsia="SimSun"/>
          <w:lang w:val="es-ES" w:eastAsia="zh-CN"/>
        </w:rPr>
      </w:pPr>
      <w:r w:rsidRPr="008A106B">
        <w:rPr>
          <w:rFonts w:eastAsia="SimSun"/>
          <w:lang w:val="es-ES" w:eastAsia="zh-CN"/>
        </w:rPr>
        <w:t>Se ha notificado reactivación viral (por ejemplo</w:t>
      </w:r>
      <w:r>
        <w:rPr>
          <w:rFonts w:eastAsia="SimSun"/>
          <w:lang w:val="es-ES" w:eastAsia="zh-CN"/>
        </w:rPr>
        <w:t>,</w:t>
      </w:r>
      <w:r w:rsidRPr="008A106B">
        <w:rPr>
          <w:rFonts w:eastAsia="SimSun"/>
          <w:lang w:val="es-ES" w:eastAsia="zh-CN"/>
        </w:rPr>
        <w:t xml:space="preserve"> virus de la hepatitis B) en pacientes con AR que estaban en tratamiento con terapias biológicas. En los ensayos clínicos con </w:t>
      </w:r>
      <w:r w:rsidR="006D39DC" w:rsidRPr="00554BAE">
        <w:rPr>
          <w:noProof/>
          <w:szCs w:val="22"/>
          <w:lang w:val="es-ES"/>
        </w:rPr>
        <w:t>tocilizumab</w:t>
      </w:r>
      <w:r w:rsidRPr="008A106B">
        <w:rPr>
          <w:rFonts w:eastAsia="SimSun"/>
          <w:lang w:val="es-ES" w:eastAsia="zh-CN"/>
        </w:rPr>
        <w:t xml:space="preserve">, se excluyeron los pacientes con </w:t>
      </w:r>
      <w:del w:id="1557" w:author="AUTHOR">
        <w:r w:rsidRPr="008A106B" w:rsidDel="00802C8A">
          <w:rPr>
            <w:rFonts w:eastAsia="SimSun"/>
            <w:lang w:val="es-ES" w:eastAsia="zh-CN"/>
          </w:rPr>
          <w:delText xml:space="preserve">screening </w:delText>
        </w:r>
      </w:del>
      <w:ins w:id="1558" w:author="AUTHOR">
        <w:r w:rsidR="00802C8A">
          <w:rPr>
            <w:rFonts w:eastAsia="SimSun"/>
            <w:lang w:val="es-ES" w:eastAsia="zh-CN"/>
          </w:rPr>
          <w:t>resultado</w:t>
        </w:r>
        <w:r w:rsidR="00802C8A" w:rsidRPr="008A106B">
          <w:rPr>
            <w:rFonts w:eastAsia="SimSun"/>
            <w:lang w:val="es-ES" w:eastAsia="zh-CN"/>
          </w:rPr>
          <w:t xml:space="preserve"> </w:t>
        </w:r>
      </w:ins>
      <w:r w:rsidRPr="008A106B">
        <w:rPr>
          <w:rFonts w:eastAsia="SimSun"/>
          <w:lang w:val="es-ES" w:eastAsia="zh-CN"/>
        </w:rPr>
        <w:t>positivo para hepatitis.</w:t>
      </w:r>
    </w:p>
    <w:p w14:paraId="0156D8FE" w14:textId="77777777" w:rsidR="00DC224A" w:rsidRPr="008A106B" w:rsidRDefault="00DC224A" w:rsidP="00DC224A">
      <w:pPr>
        <w:autoSpaceDE w:val="0"/>
        <w:autoSpaceDN w:val="0"/>
        <w:adjustRightInd w:val="0"/>
        <w:rPr>
          <w:rFonts w:ascii="TimesNewRomanPSMT" w:eastAsia="SimSun" w:hAnsi="TimesNewRomanPSMT" w:cs="TimesNewRomanPSMT"/>
          <w:sz w:val="21"/>
          <w:szCs w:val="21"/>
          <w:lang w:val="es-ES" w:eastAsia="zh-CN"/>
        </w:rPr>
      </w:pPr>
    </w:p>
    <w:p w14:paraId="7BCF46AF" w14:textId="77777777" w:rsidR="00DC224A" w:rsidRPr="008A106B" w:rsidRDefault="00DC224A" w:rsidP="00DC224A">
      <w:pPr>
        <w:rPr>
          <w:i/>
          <w:iCs/>
          <w:lang w:val="es-ES"/>
        </w:rPr>
      </w:pPr>
      <w:r w:rsidRPr="008A106B">
        <w:rPr>
          <w:i/>
          <w:iCs/>
          <w:lang w:val="es-ES_tradnl"/>
        </w:rPr>
        <w:t>Complicaciones de la diverticulitis</w:t>
      </w:r>
    </w:p>
    <w:p w14:paraId="59D7B38A" w14:textId="28691398" w:rsidR="00DC224A" w:rsidRPr="008A106B" w:rsidRDefault="00DC224A" w:rsidP="00DC224A">
      <w:pPr>
        <w:rPr>
          <w:lang w:val="es-ES"/>
        </w:rPr>
      </w:pPr>
      <w:r w:rsidRPr="008A106B">
        <w:rPr>
          <w:lang w:val="es-ES_tradnl"/>
        </w:rPr>
        <w:t>Se han notificado casos poco frecuentes de perforaciones diverticulares como complicaciones de una diverticulitis</w:t>
      </w:r>
      <w:r>
        <w:rPr>
          <w:lang w:val="es-ES_tradnl"/>
        </w:rPr>
        <w:t xml:space="preserve"> </w:t>
      </w:r>
      <w:r w:rsidRPr="008A106B">
        <w:rPr>
          <w:lang w:val="es-ES_tradnl"/>
        </w:rPr>
        <w:t xml:space="preserve">en pacientes </w:t>
      </w:r>
      <w:r>
        <w:rPr>
          <w:lang w:val="es-ES_tradnl"/>
        </w:rPr>
        <w:t xml:space="preserve">tratados con </w:t>
      </w:r>
      <w:r w:rsidR="006D39DC" w:rsidRPr="00554BAE">
        <w:rPr>
          <w:noProof/>
          <w:szCs w:val="22"/>
          <w:lang w:val="es-ES"/>
        </w:rPr>
        <w:t>tocilizumab</w:t>
      </w:r>
      <w:r w:rsidRPr="008A106B">
        <w:rPr>
          <w:lang w:val="es-ES_tradnl"/>
        </w:rPr>
        <w:t xml:space="preserve"> (ver sección</w:t>
      </w:r>
      <w:r w:rsidR="00035458">
        <w:rPr>
          <w:lang w:val="es-ES_tradnl"/>
        </w:rPr>
        <w:t> </w:t>
      </w:r>
      <w:r w:rsidRPr="008A106B">
        <w:rPr>
          <w:lang w:val="es-ES_tradnl"/>
        </w:rPr>
        <w:t>4.8)</w:t>
      </w:r>
      <w:r>
        <w:rPr>
          <w:lang w:val="es-ES_tradnl"/>
        </w:rPr>
        <w:t xml:space="preserve">. </w:t>
      </w:r>
      <w:r w:rsidR="006D39DC">
        <w:rPr>
          <w:lang w:val="es-ES_tradnl"/>
        </w:rPr>
        <w:t>Este medicamento se</w:t>
      </w:r>
      <w:r w:rsidR="006D39DC" w:rsidRPr="008A106B">
        <w:rPr>
          <w:lang w:val="es-ES_tradnl"/>
        </w:rPr>
        <w:t xml:space="preserve"> </w:t>
      </w:r>
      <w:r w:rsidRPr="008A106B">
        <w:rPr>
          <w:lang w:val="es-ES_tradnl"/>
        </w:rPr>
        <w:t>debe utilizar con precaución en pacientes con antecedentes de ulceración intestinal o diverticulitis.</w:t>
      </w:r>
      <w:r w:rsidRPr="008A106B">
        <w:rPr>
          <w:lang w:val="es-ES"/>
        </w:rPr>
        <w:t xml:space="preserve"> </w:t>
      </w:r>
      <w:r w:rsidRPr="008A106B">
        <w:rPr>
          <w:lang w:val="es-ES_tradnl"/>
        </w:rPr>
        <w:t>Los pacientes que presenten síntomas potencialmente indicativos de diverticulitis complicada, como dolor abdominal, hemorragia y/o cambio inexplicado en los hábitos intestinales con fiebre</w:t>
      </w:r>
      <w:r>
        <w:rPr>
          <w:lang w:val="es-ES_tradnl"/>
        </w:rPr>
        <w:t>,</w:t>
      </w:r>
      <w:r w:rsidRPr="008A106B">
        <w:rPr>
          <w:lang w:val="es-ES_tradnl"/>
        </w:rPr>
        <w:t xml:space="preserve"> deben ser evaluados rápidamente para la identificación precoz de diverticulitis, que puede asociarse con perforación gastrointestinal.</w:t>
      </w:r>
    </w:p>
    <w:p w14:paraId="430FA633" w14:textId="77777777" w:rsidR="00DC224A" w:rsidRPr="008A106B" w:rsidRDefault="00DC224A" w:rsidP="00DC224A">
      <w:pPr>
        <w:ind w:left="567" w:hanging="567"/>
        <w:outlineLvl w:val="0"/>
        <w:rPr>
          <w:bCs/>
          <w:lang w:val="es-ES"/>
        </w:rPr>
      </w:pPr>
    </w:p>
    <w:p w14:paraId="4A67D00A" w14:textId="77777777" w:rsidR="00DC224A" w:rsidRPr="008A106B" w:rsidRDefault="00DC224A" w:rsidP="00DC224A">
      <w:pPr>
        <w:keepNext/>
        <w:keepLines/>
        <w:ind w:left="561" w:hanging="561"/>
        <w:outlineLvl w:val="0"/>
        <w:rPr>
          <w:i/>
          <w:iCs/>
          <w:lang w:val="es-ES"/>
        </w:rPr>
      </w:pPr>
      <w:r w:rsidRPr="008A106B">
        <w:rPr>
          <w:i/>
          <w:iCs/>
          <w:lang w:val="es-ES_tradnl"/>
        </w:rPr>
        <w:t>Reacciones de hipersensibilidad</w:t>
      </w:r>
    </w:p>
    <w:p w14:paraId="0BA4DD7D" w14:textId="7ACEFAFB" w:rsidR="00DC224A" w:rsidRPr="008A106B" w:rsidRDefault="00DC224A" w:rsidP="00DC224A">
      <w:pPr>
        <w:keepNext/>
        <w:keepLines/>
        <w:rPr>
          <w:lang w:val="es-ES"/>
        </w:rPr>
      </w:pPr>
      <w:r w:rsidRPr="008A106B">
        <w:rPr>
          <w:lang w:val="es-ES_tradnl"/>
        </w:rPr>
        <w:t>Se han notificado reacciones de hipersensibilidad graves</w:t>
      </w:r>
      <w:r>
        <w:rPr>
          <w:lang w:val="es-ES_tradnl"/>
        </w:rPr>
        <w:t>,</w:t>
      </w:r>
      <w:r w:rsidRPr="008A106B">
        <w:rPr>
          <w:lang w:val="es-ES_tradnl"/>
        </w:rPr>
        <w:t xml:space="preserve"> </w:t>
      </w:r>
      <w:r>
        <w:rPr>
          <w:lang w:val="es-ES_tradnl"/>
        </w:rPr>
        <w:t xml:space="preserve">incluyendo anafilaxis </w:t>
      </w:r>
      <w:r w:rsidRPr="008A106B">
        <w:rPr>
          <w:lang w:val="es-ES_tradnl"/>
        </w:rPr>
        <w:t xml:space="preserve">asociadas </w:t>
      </w:r>
      <w:r>
        <w:rPr>
          <w:lang w:val="es-ES_tradnl"/>
        </w:rPr>
        <w:t>a</w:t>
      </w:r>
      <w:r w:rsidRPr="008A106B">
        <w:rPr>
          <w:lang w:val="es-ES_tradnl"/>
        </w:rPr>
        <w:t xml:space="preserve"> </w:t>
      </w:r>
      <w:r w:rsidR="006D39DC" w:rsidRPr="00554BAE">
        <w:rPr>
          <w:noProof/>
          <w:szCs w:val="22"/>
          <w:lang w:val="es-ES"/>
        </w:rPr>
        <w:t>tocilizumab</w:t>
      </w:r>
      <w:r w:rsidRPr="008A106B">
        <w:rPr>
          <w:lang w:val="es-ES_tradnl"/>
        </w:rPr>
        <w:t xml:space="preserve"> (ver sección</w:t>
      </w:r>
      <w:r w:rsidR="00035458">
        <w:rPr>
          <w:lang w:val="es-ES_tradnl"/>
        </w:rPr>
        <w:t> </w:t>
      </w:r>
      <w:r w:rsidRPr="008A106B">
        <w:rPr>
          <w:lang w:val="es-ES_tradnl"/>
        </w:rPr>
        <w:t>4.8).</w:t>
      </w:r>
      <w:r w:rsidRPr="008A106B">
        <w:rPr>
          <w:lang w:val="es-ES"/>
        </w:rPr>
        <w:t xml:space="preserve"> </w:t>
      </w:r>
      <w:r w:rsidRPr="008A106B">
        <w:rPr>
          <w:lang w:val="es-ES_tradnl"/>
        </w:rPr>
        <w:t xml:space="preserve">Estas reacciones pueden ser más graves y potencialmente mortales en pacientes que han experimentado reacciones de hipersensibilidad durante </w:t>
      </w:r>
      <w:r>
        <w:rPr>
          <w:lang w:val="es-ES_tradnl"/>
        </w:rPr>
        <w:t>tratamientos</w:t>
      </w:r>
      <w:r w:rsidRPr="008A106B">
        <w:rPr>
          <w:lang w:val="es-ES_tradnl"/>
        </w:rPr>
        <w:t xml:space="preserve"> previ</w:t>
      </w:r>
      <w:r>
        <w:rPr>
          <w:lang w:val="es-ES_tradnl"/>
        </w:rPr>
        <w:t>o</w:t>
      </w:r>
      <w:r w:rsidRPr="008A106B">
        <w:rPr>
          <w:lang w:val="es-ES_tradnl"/>
        </w:rPr>
        <w:t>s</w:t>
      </w:r>
      <w:r>
        <w:rPr>
          <w:lang w:val="es-ES_tradnl"/>
        </w:rPr>
        <w:t xml:space="preserve"> con </w:t>
      </w:r>
      <w:r w:rsidR="006D39DC" w:rsidRPr="00554BAE">
        <w:rPr>
          <w:noProof/>
          <w:szCs w:val="22"/>
          <w:lang w:val="es-ES"/>
        </w:rPr>
        <w:t>tocilizumab</w:t>
      </w:r>
      <w:r w:rsidRPr="008A106B">
        <w:rPr>
          <w:lang w:val="es-ES_tradnl"/>
        </w:rPr>
        <w:t xml:space="preserve">, incluso si han recibido premedicación con esteroides y antihistamínicos. Si se produce una reacción anafiláctica u otra hipersensibilidad grave, el tratamiento </w:t>
      </w:r>
      <w:r>
        <w:rPr>
          <w:lang w:val="es-ES_tradnl"/>
        </w:rPr>
        <w:t>con</w:t>
      </w:r>
      <w:r w:rsidRPr="008A106B">
        <w:rPr>
          <w:lang w:val="es-ES_tradnl"/>
        </w:rPr>
        <w:t xml:space="preserve"> </w:t>
      </w:r>
      <w:r w:rsidR="006D39DC" w:rsidRPr="00554BAE">
        <w:rPr>
          <w:noProof/>
          <w:szCs w:val="22"/>
          <w:lang w:val="es-ES"/>
        </w:rPr>
        <w:t>tocilizumab</w:t>
      </w:r>
      <w:r w:rsidRPr="008A106B">
        <w:rPr>
          <w:lang w:val="es-ES_tradnl"/>
        </w:rPr>
        <w:t xml:space="preserve"> debe interrumpirse inmediatamente</w:t>
      </w:r>
      <w:r>
        <w:rPr>
          <w:lang w:val="es-ES_tradnl"/>
        </w:rPr>
        <w:t>,</w:t>
      </w:r>
      <w:r w:rsidRPr="008A106B">
        <w:rPr>
          <w:lang w:val="es-ES_tradnl"/>
        </w:rPr>
        <w:t xml:space="preserve"> </w:t>
      </w:r>
      <w:r>
        <w:rPr>
          <w:lang w:val="es-ES_tradnl"/>
        </w:rPr>
        <w:t>iniciar un tratamiento apropiado y se debe</w:t>
      </w:r>
      <w:r w:rsidRPr="008A106B">
        <w:rPr>
          <w:lang w:val="es-ES_tradnl"/>
        </w:rPr>
        <w:t xml:space="preserve"> suspend</w:t>
      </w:r>
      <w:r>
        <w:rPr>
          <w:lang w:val="es-ES_tradnl"/>
        </w:rPr>
        <w:t xml:space="preserve">er </w:t>
      </w:r>
      <w:r w:rsidR="006D39DC">
        <w:rPr>
          <w:szCs w:val="22"/>
          <w:lang w:val="es-ES" w:eastAsia="de-DE"/>
        </w:rPr>
        <w:t>el tratamiento</w:t>
      </w:r>
      <w:r w:rsidR="006D39DC">
        <w:rPr>
          <w:lang w:val="es-ES_tradnl"/>
        </w:rPr>
        <w:t xml:space="preserve"> </w:t>
      </w:r>
      <w:r w:rsidRPr="008A106B">
        <w:rPr>
          <w:lang w:val="es-ES_tradnl"/>
        </w:rPr>
        <w:t>definitivamente</w:t>
      </w:r>
      <w:r>
        <w:rPr>
          <w:lang w:val="es-ES_tradnl"/>
        </w:rPr>
        <w:t>.</w:t>
      </w:r>
    </w:p>
    <w:p w14:paraId="4ED1AD52" w14:textId="77777777" w:rsidR="00DC224A" w:rsidRPr="008A106B" w:rsidRDefault="00DC224A" w:rsidP="00DC224A">
      <w:pPr>
        <w:ind w:left="567" w:hanging="567"/>
        <w:outlineLvl w:val="0"/>
        <w:rPr>
          <w:i/>
          <w:iCs/>
          <w:lang w:val="es-ES_tradnl"/>
        </w:rPr>
      </w:pPr>
    </w:p>
    <w:p w14:paraId="5CF3035F" w14:textId="77777777" w:rsidR="00DC224A" w:rsidRPr="008A106B" w:rsidRDefault="00DC224A" w:rsidP="00DC224A">
      <w:pPr>
        <w:ind w:left="567" w:hanging="567"/>
        <w:outlineLvl w:val="0"/>
        <w:rPr>
          <w:i/>
          <w:iCs/>
          <w:lang w:val="es-ES"/>
        </w:rPr>
      </w:pPr>
      <w:r w:rsidRPr="008A106B">
        <w:rPr>
          <w:i/>
          <w:iCs/>
          <w:lang w:val="es-ES_tradnl"/>
        </w:rPr>
        <w:t>Enfermedad hepática activa e insuficiencia hepática</w:t>
      </w:r>
    </w:p>
    <w:p w14:paraId="71D53285" w14:textId="3FA4C8F0" w:rsidR="00DC224A" w:rsidRPr="008A106B" w:rsidRDefault="00DC224A" w:rsidP="00DC224A">
      <w:pPr>
        <w:rPr>
          <w:lang w:val="es-ES"/>
        </w:rPr>
      </w:pPr>
      <w:r w:rsidRPr="008A106B">
        <w:rPr>
          <w:lang w:val="es-ES_tradnl"/>
        </w:rPr>
        <w:t xml:space="preserve">El tratamiento con </w:t>
      </w:r>
      <w:r w:rsidR="006D39DC" w:rsidRPr="00554BAE">
        <w:rPr>
          <w:noProof/>
          <w:szCs w:val="22"/>
          <w:lang w:val="es-ES"/>
        </w:rPr>
        <w:t>tocilizumab</w:t>
      </w:r>
      <w:r w:rsidRPr="008A106B">
        <w:rPr>
          <w:lang w:val="es-ES_tradnl"/>
        </w:rPr>
        <w:t>, especialmente cuando se administra simultáneamente con MTX, puede estar asociado a elevaciones de las transaminasas hepáticas, por tanto, debe tenerse precaución al valorar el tratamiento de pacientes con enfermedad hepática activa o insuficiencia hepática, (ver sección</w:t>
      </w:r>
      <w:r w:rsidR="00035458">
        <w:rPr>
          <w:lang w:val="es-ES_tradnl"/>
        </w:rPr>
        <w:t> </w:t>
      </w:r>
      <w:r w:rsidRPr="008A106B">
        <w:rPr>
          <w:lang w:val="es-ES_tradnl"/>
        </w:rPr>
        <w:t>4.2 y 4.8).</w:t>
      </w:r>
    </w:p>
    <w:p w14:paraId="1AFFFE72" w14:textId="77777777" w:rsidR="00DC224A" w:rsidRPr="008A106B" w:rsidRDefault="00DC224A" w:rsidP="00DC224A">
      <w:pPr>
        <w:rPr>
          <w:lang w:val="es-ES"/>
        </w:rPr>
      </w:pPr>
    </w:p>
    <w:p w14:paraId="69D12511" w14:textId="77777777" w:rsidR="00DC224A" w:rsidRPr="008A106B" w:rsidRDefault="00236DFB" w:rsidP="00DC224A">
      <w:pPr>
        <w:rPr>
          <w:i/>
          <w:iCs/>
          <w:lang w:val="es-ES"/>
        </w:rPr>
      </w:pPr>
      <w:r>
        <w:rPr>
          <w:i/>
          <w:iCs/>
          <w:lang w:val="es-ES_tradnl"/>
        </w:rPr>
        <w:t>Hepatotoxicidad</w:t>
      </w:r>
    </w:p>
    <w:p w14:paraId="1787EC39" w14:textId="4C692F85" w:rsidR="00DC224A" w:rsidRDefault="00236DFB" w:rsidP="00DC224A">
      <w:pPr>
        <w:rPr>
          <w:lang w:val="es-ES_tradnl"/>
        </w:rPr>
      </w:pPr>
      <w:r>
        <w:rPr>
          <w:lang w:val="es-ES_tradnl"/>
        </w:rPr>
        <w:t>S</w:t>
      </w:r>
      <w:r w:rsidR="00DC224A" w:rsidRPr="008A106B">
        <w:rPr>
          <w:lang w:val="es-ES_tradnl"/>
        </w:rPr>
        <w:t xml:space="preserve">e han notificado frecuentemente elevaciones leves y moderadas transitorias o intermitentes de las transaminasas hepáticas con el tratamiento con </w:t>
      </w:r>
      <w:r w:rsidR="006D39DC" w:rsidRPr="00554BAE">
        <w:rPr>
          <w:noProof/>
          <w:szCs w:val="22"/>
          <w:lang w:val="es-ES"/>
        </w:rPr>
        <w:t>tocilizumab</w:t>
      </w:r>
      <w:r w:rsidR="00DC224A" w:rsidRPr="008A106B">
        <w:rPr>
          <w:lang w:val="es-ES_tradnl"/>
        </w:rPr>
        <w:t xml:space="preserve"> (ver sección</w:t>
      </w:r>
      <w:r w:rsidR="00035458">
        <w:rPr>
          <w:lang w:val="es-ES_tradnl"/>
        </w:rPr>
        <w:t> </w:t>
      </w:r>
      <w:r w:rsidR="00DC224A" w:rsidRPr="008A106B">
        <w:rPr>
          <w:lang w:val="es-ES_tradnl"/>
        </w:rPr>
        <w:t>4.8).</w:t>
      </w:r>
      <w:r w:rsidR="00DC224A" w:rsidRPr="008A106B">
        <w:rPr>
          <w:lang w:val="es-ES"/>
        </w:rPr>
        <w:t xml:space="preserve"> </w:t>
      </w:r>
      <w:r w:rsidR="00DC224A" w:rsidRPr="008A106B">
        <w:rPr>
          <w:lang w:val="es-ES_tradnl"/>
        </w:rPr>
        <w:t xml:space="preserve">Se observó un aumento de la frecuencia de estas elevaciones cuando se usaron </w:t>
      </w:r>
      <w:r w:rsidR="006D39DC">
        <w:rPr>
          <w:lang w:val="es-ES_tradnl"/>
        </w:rPr>
        <w:t>medicamentos</w:t>
      </w:r>
      <w:r w:rsidR="00517607">
        <w:rPr>
          <w:lang w:val="es-ES_tradnl"/>
        </w:rPr>
        <w:t>,</w:t>
      </w:r>
      <w:r w:rsidR="00DC224A" w:rsidRPr="008A106B">
        <w:rPr>
          <w:lang w:val="es-ES_tradnl"/>
        </w:rPr>
        <w:t xml:space="preserve"> </w:t>
      </w:r>
      <w:r w:rsidR="00517607">
        <w:rPr>
          <w:lang w:val="es-ES_tradnl"/>
        </w:rPr>
        <w:t xml:space="preserve">los cuales se conocen por </w:t>
      </w:r>
      <w:r w:rsidR="00B37F1E">
        <w:rPr>
          <w:lang w:val="es-ES_tradnl"/>
        </w:rPr>
        <w:t>produci</w:t>
      </w:r>
      <w:r w:rsidR="00517607">
        <w:rPr>
          <w:lang w:val="es-ES_tradnl"/>
        </w:rPr>
        <w:t>r</w:t>
      </w:r>
      <w:r w:rsidR="00DC224A" w:rsidRPr="008A106B">
        <w:rPr>
          <w:lang w:val="es-ES_tradnl"/>
        </w:rPr>
        <w:t xml:space="preserve"> hepatot</w:t>
      </w:r>
      <w:r w:rsidR="00D54DB5">
        <w:rPr>
          <w:lang w:val="es-ES_tradnl"/>
        </w:rPr>
        <w:t>o</w:t>
      </w:r>
      <w:r w:rsidR="00DC224A" w:rsidRPr="008A106B">
        <w:rPr>
          <w:lang w:val="es-ES_tradnl"/>
        </w:rPr>
        <w:t>xic</w:t>
      </w:r>
      <w:r w:rsidR="00517607">
        <w:rPr>
          <w:lang w:val="es-ES_tradnl"/>
        </w:rPr>
        <w:t>idad</w:t>
      </w:r>
      <w:r w:rsidR="00DC224A" w:rsidRPr="008A106B">
        <w:rPr>
          <w:lang w:val="es-ES_tradnl"/>
        </w:rPr>
        <w:t xml:space="preserve"> (p. ej., MTX) en combinación con </w:t>
      </w:r>
      <w:r w:rsidR="006D39DC" w:rsidRPr="00554BAE">
        <w:rPr>
          <w:noProof/>
          <w:szCs w:val="22"/>
          <w:lang w:val="es-ES"/>
        </w:rPr>
        <w:t>tocilizumab</w:t>
      </w:r>
      <w:r w:rsidR="00DC224A" w:rsidRPr="008A106B">
        <w:rPr>
          <w:lang w:val="es-ES_tradnl"/>
        </w:rPr>
        <w:t>. Se debe considerar realizar otras pruebas hepáticas, incluida bilirrubina, cuando este clínicamente indicado</w:t>
      </w:r>
      <w:r w:rsidR="00DC224A">
        <w:rPr>
          <w:lang w:val="es-ES_tradnl"/>
        </w:rPr>
        <w:t>.</w:t>
      </w:r>
    </w:p>
    <w:p w14:paraId="547E0186" w14:textId="77777777" w:rsidR="00236DFB" w:rsidRDefault="00236DFB" w:rsidP="00DC224A">
      <w:pPr>
        <w:rPr>
          <w:lang w:val="es-ES_tradnl"/>
        </w:rPr>
      </w:pPr>
    </w:p>
    <w:p w14:paraId="010D6214" w14:textId="7F17D198" w:rsidR="00236DFB" w:rsidRPr="008A106B" w:rsidRDefault="00236DFB" w:rsidP="00DC224A">
      <w:pPr>
        <w:rPr>
          <w:lang w:val="es-ES"/>
        </w:rPr>
      </w:pPr>
      <w:r>
        <w:rPr>
          <w:lang w:val="es-ES_tradnl"/>
        </w:rPr>
        <w:lastRenderedPageBreak/>
        <w:t>Se han observado casos graves de daño hepático</w:t>
      </w:r>
      <w:r w:rsidR="00827BE7">
        <w:rPr>
          <w:lang w:val="es-ES_tradnl"/>
        </w:rPr>
        <w:t xml:space="preserve"> inducido por medicamentos</w:t>
      </w:r>
      <w:r>
        <w:rPr>
          <w:lang w:val="es-ES_tradnl"/>
        </w:rPr>
        <w:t xml:space="preserve">, incluyendo fallo hepático agudo, hepatitis e ictericia con </w:t>
      </w:r>
      <w:r w:rsidR="006D39DC" w:rsidRPr="00554BAE">
        <w:rPr>
          <w:noProof/>
          <w:szCs w:val="22"/>
          <w:lang w:val="es-ES"/>
        </w:rPr>
        <w:t>tocilizumab</w:t>
      </w:r>
      <w:r>
        <w:rPr>
          <w:lang w:val="es-ES_tradnl"/>
        </w:rPr>
        <w:t xml:space="preserve"> (ver sección</w:t>
      </w:r>
      <w:r w:rsidR="00035458">
        <w:rPr>
          <w:lang w:val="es-ES_tradnl"/>
        </w:rPr>
        <w:t> </w:t>
      </w:r>
      <w:r>
        <w:rPr>
          <w:lang w:val="es-ES_tradnl"/>
        </w:rPr>
        <w:t>4.8). El daño hepático grave ocurrió entre 2 semanas hasta más de 5 años después de ini</w:t>
      </w:r>
      <w:r w:rsidR="00C468AC">
        <w:rPr>
          <w:lang w:val="es-ES_tradnl"/>
        </w:rPr>
        <w:t xml:space="preserve">ciar </w:t>
      </w:r>
      <w:r w:rsidR="006D39DC">
        <w:rPr>
          <w:lang w:val="es-ES_tradnl"/>
        </w:rPr>
        <w:t>el tratamiento</w:t>
      </w:r>
      <w:r w:rsidR="00C468AC">
        <w:rPr>
          <w:lang w:val="es-ES_tradnl"/>
        </w:rPr>
        <w:t>. Se han notificado</w:t>
      </w:r>
      <w:r>
        <w:rPr>
          <w:lang w:val="es-ES_tradnl"/>
        </w:rPr>
        <w:t xml:space="preserve"> casos de fallo hepático que han precisado trasplante hepático. Aconseje a los pacientes que soliciten asistencia médica inmediata si experimentan signos y síntomas de </w:t>
      </w:r>
      <w:del w:id="1559" w:author="AUTHOR">
        <w:r w:rsidDel="00FF2229">
          <w:rPr>
            <w:lang w:val="es-ES_tradnl"/>
          </w:rPr>
          <w:delText xml:space="preserve">fallo </w:delText>
        </w:r>
      </w:del>
      <w:ins w:id="1560" w:author="AUTHOR">
        <w:r w:rsidR="00FF2229">
          <w:rPr>
            <w:lang w:val="es-ES_tradnl"/>
          </w:rPr>
          <w:t xml:space="preserve">daño </w:t>
        </w:r>
      </w:ins>
      <w:r>
        <w:rPr>
          <w:lang w:val="es-ES_tradnl"/>
        </w:rPr>
        <w:t>hepático.</w:t>
      </w:r>
    </w:p>
    <w:p w14:paraId="7978380F" w14:textId="77777777" w:rsidR="00DC224A" w:rsidRPr="008A106B" w:rsidRDefault="00DC224A" w:rsidP="00DC224A">
      <w:pPr>
        <w:rPr>
          <w:lang w:val="es-ES"/>
        </w:rPr>
      </w:pPr>
    </w:p>
    <w:p w14:paraId="140B8A65" w14:textId="45262BE5" w:rsidR="00DC224A" w:rsidRPr="00AB3513" w:rsidRDefault="00CC0773" w:rsidP="00DC224A">
      <w:pPr>
        <w:rPr>
          <w:lang w:val="es-ES_tradnl"/>
          <w:rPrChange w:id="1561" w:author="TCS" w:date="2026-03-19T15:08:00Z">
            <w:rPr>
              <w:lang w:val="es-ES_tradnl"/>
            </w:rPr>
          </w:rPrChange>
        </w:rPr>
      </w:pPr>
      <w:r>
        <w:rPr>
          <w:lang w:val="es-ES_tradnl"/>
        </w:rPr>
        <w:t>Se d</w:t>
      </w:r>
      <w:r w:rsidR="00DC224A" w:rsidRPr="008A106B">
        <w:rPr>
          <w:lang w:val="es-ES_tradnl"/>
        </w:rPr>
        <w:t xml:space="preserve">ebe tener precaución al valorar el inicio del tratamiento  en pacientes con elevación de las </w:t>
      </w:r>
      <w:r w:rsidR="00DC224A" w:rsidRPr="00AB3513">
        <w:rPr>
          <w:lang w:val="es-ES_tradnl"/>
          <w:rPrChange w:id="1562" w:author="TCS" w:date="2026-03-19T15:08:00Z">
            <w:rPr>
              <w:lang w:val="es-ES_tradnl"/>
            </w:rPr>
          </w:rPrChange>
        </w:rPr>
        <w:t xml:space="preserve">transaminasas ALT o AST </w:t>
      </w:r>
      <w:r w:rsidR="006D39DC" w:rsidRPr="00AB3513">
        <w:rPr>
          <w:rFonts w:eastAsia="MS Mincho"/>
          <w:sz w:val="10"/>
          <w:szCs w:val="22"/>
          <w:lang w:val="es-ES"/>
          <w:rPrChange w:id="1563" w:author="TCS" w:date="2026-03-19T15:08:00Z">
            <w:rPr>
              <w:rFonts w:ascii="Arial" w:eastAsia="MS Mincho" w:hAnsi="Arial" w:cs="Arial"/>
              <w:sz w:val="10"/>
              <w:szCs w:val="22"/>
              <w:lang w:val="es-ES"/>
            </w:rPr>
          </w:rPrChange>
        </w:rPr>
        <w:t> </w:t>
      </w:r>
      <w:r w:rsidR="006D39DC" w:rsidRPr="00AB3513">
        <w:rPr>
          <w:rFonts w:eastAsia="MS Mincho"/>
          <w:szCs w:val="22"/>
          <w:lang w:val="en-GB"/>
          <w:rPrChange w:id="1564" w:author="TCS" w:date="2026-03-19T15:08:00Z">
            <w:rPr>
              <w:rFonts w:ascii="Arial" w:eastAsia="MS Mincho" w:hAnsi="Arial" w:cs="Arial"/>
              <w:szCs w:val="22"/>
              <w:lang w:val="en-GB"/>
            </w:rPr>
          </w:rPrChange>
        </w:rPr>
        <w:sym w:font="Symbol" w:char="F03E"/>
      </w:r>
      <w:r w:rsidR="00DC224A" w:rsidRPr="00AB3513">
        <w:rPr>
          <w:lang w:val="es-ES_tradnl"/>
          <w:rPrChange w:id="1565" w:author="TCS" w:date="2026-03-19T15:08:00Z">
            <w:rPr>
              <w:lang w:val="es-ES_tradnl"/>
            </w:rPr>
          </w:rPrChange>
        </w:rPr>
        <w:t xml:space="preserve"> 1,5 </w:t>
      </w:r>
      <w:r w:rsidR="006D39DC" w:rsidRPr="00AB3513">
        <w:rPr>
          <w:rFonts w:eastAsia="MS Mincho"/>
          <w:szCs w:val="22"/>
          <w:lang w:val="en-GB"/>
          <w:rPrChange w:id="1566" w:author="TCS" w:date="2026-03-19T15:08:00Z">
            <w:rPr>
              <w:rFonts w:ascii="Arial" w:eastAsia="MS Mincho" w:hAnsi="Arial" w:cs="Arial"/>
              <w:szCs w:val="22"/>
              <w:lang w:val="en-GB"/>
            </w:rPr>
          </w:rPrChange>
        </w:rPr>
        <w:sym w:font="Symbol" w:char="F0B4"/>
      </w:r>
      <w:r w:rsidR="00DC224A" w:rsidRPr="00AB3513">
        <w:rPr>
          <w:lang w:val="es-ES_tradnl"/>
          <w:rPrChange w:id="1567" w:author="TCS" w:date="2026-03-19T15:08:00Z">
            <w:rPr>
              <w:lang w:val="es-ES_tradnl"/>
            </w:rPr>
          </w:rPrChange>
        </w:rPr>
        <w:t xml:space="preserve"> LSN.</w:t>
      </w:r>
      <w:r w:rsidR="00DC224A" w:rsidRPr="00AB3513">
        <w:rPr>
          <w:lang w:val="es-ES"/>
          <w:rPrChange w:id="1568" w:author="TCS" w:date="2026-03-19T15:08:00Z">
            <w:rPr>
              <w:lang w:val="es-ES"/>
            </w:rPr>
          </w:rPrChange>
        </w:rPr>
        <w:t xml:space="preserve"> </w:t>
      </w:r>
      <w:r w:rsidR="00DC224A" w:rsidRPr="00AB3513">
        <w:rPr>
          <w:lang w:val="es-ES_tradnl"/>
          <w:rPrChange w:id="1569" w:author="TCS" w:date="2026-03-19T15:08:00Z">
            <w:rPr>
              <w:lang w:val="es-ES_tradnl"/>
            </w:rPr>
          </w:rPrChange>
        </w:rPr>
        <w:t xml:space="preserve">No se recomienda el tratamiento en pacientes con ALT o AST </w:t>
      </w:r>
      <w:r w:rsidR="006D39DC" w:rsidRPr="00AB3513">
        <w:rPr>
          <w:rFonts w:eastAsia="MS Mincho"/>
          <w:sz w:val="10"/>
          <w:szCs w:val="22"/>
          <w:lang w:val="es-ES"/>
          <w:rPrChange w:id="1570" w:author="TCS" w:date="2026-03-19T15:08:00Z">
            <w:rPr>
              <w:rFonts w:ascii="Arial" w:eastAsia="MS Mincho" w:hAnsi="Arial" w:cs="Arial"/>
              <w:sz w:val="10"/>
              <w:szCs w:val="22"/>
              <w:lang w:val="es-ES"/>
            </w:rPr>
          </w:rPrChange>
        </w:rPr>
        <w:t> </w:t>
      </w:r>
      <w:r w:rsidR="006D39DC" w:rsidRPr="00AB3513">
        <w:rPr>
          <w:rFonts w:eastAsia="MS Mincho"/>
          <w:szCs w:val="22"/>
          <w:lang w:val="en-GB"/>
          <w:rPrChange w:id="1571" w:author="TCS" w:date="2026-03-19T15:08:00Z">
            <w:rPr>
              <w:rFonts w:ascii="Arial" w:eastAsia="MS Mincho" w:hAnsi="Arial" w:cs="Arial"/>
              <w:szCs w:val="22"/>
              <w:lang w:val="en-GB"/>
            </w:rPr>
          </w:rPrChange>
        </w:rPr>
        <w:sym w:font="Symbol" w:char="F03E"/>
      </w:r>
      <w:r w:rsidR="00DC224A" w:rsidRPr="00AB3513">
        <w:rPr>
          <w:lang w:val="es-ES_tradnl"/>
          <w:rPrChange w:id="1572" w:author="TCS" w:date="2026-03-19T15:08:00Z">
            <w:rPr>
              <w:lang w:val="es-ES_tradnl"/>
            </w:rPr>
          </w:rPrChange>
        </w:rPr>
        <w:t xml:space="preserve"> 5 </w:t>
      </w:r>
      <w:r w:rsidR="006D39DC" w:rsidRPr="00AB3513">
        <w:rPr>
          <w:rFonts w:eastAsia="MS Mincho"/>
          <w:szCs w:val="22"/>
          <w:lang w:val="en-GB"/>
          <w:rPrChange w:id="1573" w:author="TCS" w:date="2026-03-19T15:08:00Z">
            <w:rPr>
              <w:rFonts w:ascii="Arial" w:eastAsia="MS Mincho" w:hAnsi="Arial" w:cs="Arial"/>
              <w:szCs w:val="22"/>
              <w:lang w:val="en-GB"/>
            </w:rPr>
          </w:rPrChange>
        </w:rPr>
        <w:sym w:font="Symbol" w:char="F0B4"/>
      </w:r>
      <w:r w:rsidR="00DC224A" w:rsidRPr="00AB3513">
        <w:rPr>
          <w:lang w:val="es-ES_tradnl"/>
          <w:rPrChange w:id="1574" w:author="TCS" w:date="2026-03-19T15:08:00Z">
            <w:rPr>
              <w:lang w:val="es-ES_tradnl"/>
            </w:rPr>
          </w:rPrChange>
        </w:rPr>
        <w:t xml:space="preserve"> LSN al inicio.</w:t>
      </w:r>
    </w:p>
    <w:p w14:paraId="19C8F5C6" w14:textId="77777777" w:rsidR="00DC224A" w:rsidRPr="00AB3513" w:rsidRDefault="00DC224A" w:rsidP="00DC224A">
      <w:pPr>
        <w:rPr>
          <w:lang w:val="es-ES"/>
          <w:rPrChange w:id="1575" w:author="TCS" w:date="2026-03-19T15:08:00Z">
            <w:rPr>
              <w:lang w:val="es-ES"/>
            </w:rPr>
          </w:rPrChange>
        </w:rPr>
      </w:pPr>
    </w:p>
    <w:p w14:paraId="4D895F6E" w14:textId="3A34ADD4" w:rsidR="00DC224A" w:rsidRPr="00AB3513" w:rsidRDefault="00DC224A" w:rsidP="00DC224A">
      <w:pPr>
        <w:rPr>
          <w:lang w:val="es-ES"/>
          <w:rPrChange w:id="1576" w:author="TCS" w:date="2026-03-19T15:08:00Z">
            <w:rPr>
              <w:lang w:val="es-ES"/>
            </w:rPr>
          </w:rPrChange>
        </w:rPr>
      </w:pPr>
      <w:r w:rsidRPr="00AB3513">
        <w:rPr>
          <w:lang w:val="es-ES"/>
          <w:rPrChange w:id="1577" w:author="TCS" w:date="2026-03-19T15:08:00Z">
            <w:rPr>
              <w:lang w:val="es-ES"/>
            </w:rPr>
          </w:rPrChange>
        </w:rPr>
        <w:t>En pacientes con AR</w:t>
      </w:r>
      <w:r w:rsidR="00096E1B" w:rsidRPr="00AB3513">
        <w:rPr>
          <w:lang w:val="es-ES"/>
          <w:rPrChange w:id="1578" w:author="TCS" w:date="2026-03-19T15:08:00Z">
            <w:rPr>
              <w:lang w:val="es-ES"/>
            </w:rPr>
          </w:rPrChange>
        </w:rPr>
        <w:t>,</w:t>
      </w:r>
      <w:r w:rsidR="00170671" w:rsidRPr="00AB3513">
        <w:rPr>
          <w:lang w:val="es-ES"/>
          <w:rPrChange w:id="1579" w:author="TCS" w:date="2026-03-19T15:08:00Z">
            <w:rPr>
              <w:lang w:val="es-ES"/>
            </w:rPr>
          </w:rPrChange>
        </w:rPr>
        <w:t xml:space="preserve"> </w:t>
      </w:r>
      <w:r w:rsidRPr="00AB3513">
        <w:rPr>
          <w:lang w:val="es-ES"/>
          <w:rPrChange w:id="1580" w:author="TCS" w:date="2026-03-19T15:08:00Z">
            <w:rPr>
              <w:lang w:val="es-ES"/>
            </w:rPr>
          </w:rPrChange>
        </w:rPr>
        <w:t>ACG</w:t>
      </w:r>
      <w:r w:rsidR="00170671" w:rsidRPr="00AB3513">
        <w:rPr>
          <w:lang w:val="es-ES"/>
          <w:rPrChange w:id="1581" w:author="TCS" w:date="2026-03-19T15:08:00Z">
            <w:rPr>
              <w:lang w:val="es-ES"/>
            </w:rPr>
          </w:rPrChange>
        </w:rPr>
        <w:t>,</w:t>
      </w:r>
      <w:r w:rsidR="00096E1B" w:rsidRPr="00AB3513">
        <w:rPr>
          <w:lang w:val="es-ES"/>
          <w:rPrChange w:id="1582" w:author="TCS" w:date="2026-03-19T15:08:00Z">
            <w:rPr>
              <w:lang w:val="es-ES"/>
            </w:rPr>
          </w:rPrChange>
        </w:rPr>
        <w:t xml:space="preserve"> AIJp y AIJs, </w:t>
      </w:r>
      <w:r w:rsidRPr="00AB3513">
        <w:rPr>
          <w:lang w:val="es-ES"/>
          <w:rPrChange w:id="1583" w:author="TCS" w:date="2026-03-19T15:08:00Z">
            <w:rPr>
              <w:lang w:val="es-ES"/>
            </w:rPr>
          </w:rPrChange>
        </w:rPr>
        <w:t xml:space="preserve">se deben vigilar </w:t>
      </w:r>
      <w:r w:rsidR="00236DFB" w:rsidRPr="00AB3513">
        <w:rPr>
          <w:lang w:val="es-ES_tradnl"/>
          <w:rPrChange w:id="1584" w:author="TCS" w:date="2026-03-19T15:08:00Z">
            <w:rPr>
              <w:lang w:val="es-ES_tradnl"/>
            </w:rPr>
          </w:rPrChange>
        </w:rPr>
        <w:t xml:space="preserve">la </w:t>
      </w:r>
      <w:r w:rsidRPr="00AB3513">
        <w:rPr>
          <w:lang w:val="es-ES_tradnl"/>
          <w:rPrChange w:id="1585" w:author="TCS" w:date="2026-03-19T15:08:00Z">
            <w:rPr>
              <w:lang w:val="es-ES_tradnl"/>
            </w:rPr>
          </w:rPrChange>
        </w:rPr>
        <w:t xml:space="preserve">ALT </w:t>
      </w:r>
      <w:r w:rsidR="00236DFB" w:rsidRPr="00AB3513">
        <w:rPr>
          <w:lang w:val="es-ES_tradnl"/>
          <w:rPrChange w:id="1586" w:author="TCS" w:date="2026-03-19T15:08:00Z">
            <w:rPr>
              <w:lang w:val="es-ES_tradnl"/>
            </w:rPr>
          </w:rPrChange>
        </w:rPr>
        <w:t>/</w:t>
      </w:r>
      <w:r w:rsidRPr="00AB3513">
        <w:rPr>
          <w:lang w:val="es-ES_tradnl"/>
          <w:rPrChange w:id="1587" w:author="TCS" w:date="2026-03-19T15:08:00Z">
            <w:rPr>
              <w:lang w:val="es-ES_tradnl"/>
            </w:rPr>
          </w:rPrChange>
        </w:rPr>
        <w:t>AST cada 4 y 8</w:t>
      </w:r>
      <w:r w:rsidR="00035458" w:rsidRPr="00AB3513">
        <w:rPr>
          <w:lang w:val="es-ES_tradnl"/>
          <w:rPrChange w:id="1588" w:author="TCS" w:date="2026-03-19T15:08:00Z">
            <w:rPr>
              <w:lang w:val="es-ES_tradnl"/>
            </w:rPr>
          </w:rPrChange>
        </w:rPr>
        <w:t> </w:t>
      </w:r>
      <w:r w:rsidRPr="00AB3513">
        <w:rPr>
          <w:lang w:val="es-ES_tradnl"/>
          <w:rPrChange w:id="1589" w:author="TCS" w:date="2026-03-19T15:08:00Z">
            <w:rPr>
              <w:lang w:val="es-ES_tradnl"/>
            </w:rPr>
          </w:rPrChange>
        </w:rPr>
        <w:t>semanas los 6</w:t>
      </w:r>
      <w:r w:rsidR="00035458" w:rsidRPr="00AB3513">
        <w:rPr>
          <w:lang w:val="es-ES_tradnl"/>
          <w:rPrChange w:id="1590" w:author="TCS" w:date="2026-03-19T15:08:00Z">
            <w:rPr>
              <w:lang w:val="es-ES_tradnl"/>
            </w:rPr>
          </w:rPrChange>
        </w:rPr>
        <w:t> </w:t>
      </w:r>
      <w:r w:rsidRPr="00AB3513">
        <w:rPr>
          <w:lang w:val="es-ES_tradnl"/>
          <w:rPrChange w:id="1591" w:author="TCS" w:date="2026-03-19T15:08:00Z">
            <w:rPr>
              <w:lang w:val="es-ES_tradnl"/>
            </w:rPr>
          </w:rPrChange>
        </w:rPr>
        <w:t>primeros meses de tratamiento y a partir de entonces cada 12</w:t>
      </w:r>
      <w:r w:rsidR="00CC0773" w:rsidRPr="00AB3513">
        <w:rPr>
          <w:szCs w:val="22"/>
          <w:lang w:val="es-ES"/>
          <w:rPrChange w:id="1592" w:author="TCS" w:date="2026-03-19T15:08:00Z">
            <w:rPr>
              <w:szCs w:val="22"/>
              <w:lang w:val="es-ES"/>
            </w:rPr>
          </w:rPrChange>
        </w:rPr>
        <w:t> </w:t>
      </w:r>
      <w:r w:rsidRPr="00AB3513">
        <w:rPr>
          <w:lang w:val="es-ES_tradnl"/>
          <w:rPrChange w:id="1593" w:author="TCS" w:date="2026-03-19T15:08:00Z">
            <w:rPr>
              <w:lang w:val="es-ES_tradnl"/>
            </w:rPr>
          </w:rPrChange>
        </w:rPr>
        <w:t xml:space="preserve">semanas. Para las modificaciones </w:t>
      </w:r>
      <w:ins w:id="1594" w:author="AUTHOR">
        <w:r w:rsidR="00FF2229" w:rsidRPr="00AB3513">
          <w:rPr>
            <w:lang w:val="es-ES_tradnl"/>
            <w:rPrChange w:id="1595" w:author="TCS" w:date="2026-03-19T15:08:00Z">
              <w:rPr>
                <w:lang w:val="es-ES_tradnl"/>
              </w:rPr>
            </w:rPrChange>
          </w:rPr>
          <w:t xml:space="preserve">recomendadas </w:t>
        </w:r>
      </w:ins>
      <w:r w:rsidRPr="00AB3513">
        <w:rPr>
          <w:lang w:val="es-ES_tradnl"/>
          <w:rPrChange w:id="1596" w:author="TCS" w:date="2026-03-19T15:08:00Z">
            <w:rPr>
              <w:lang w:val="es-ES_tradnl"/>
            </w:rPr>
          </w:rPrChange>
        </w:rPr>
        <w:t xml:space="preserve">de </w:t>
      </w:r>
      <w:proofErr w:type="gramStart"/>
      <w:r w:rsidRPr="00AB3513">
        <w:rPr>
          <w:lang w:val="es-ES_tradnl"/>
          <w:rPrChange w:id="1597" w:author="TCS" w:date="2026-03-19T15:08:00Z">
            <w:rPr>
              <w:lang w:val="es-ES_tradnl"/>
            </w:rPr>
          </w:rPrChange>
        </w:rPr>
        <w:t>la</w:t>
      </w:r>
      <w:r w:rsidR="00AD2A7B" w:rsidRPr="00AB3513">
        <w:rPr>
          <w:lang w:val="es-ES_tradnl"/>
          <w:rPrChange w:id="1598" w:author="TCS" w:date="2026-03-19T15:08:00Z">
            <w:rPr>
              <w:lang w:val="es-ES_tradnl"/>
            </w:rPr>
          </w:rPrChange>
        </w:rPr>
        <w:t xml:space="preserve"> </w:t>
      </w:r>
      <w:r w:rsidRPr="00AB3513">
        <w:rPr>
          <w:lang w:val="es-ES_tradnl"/>
          <w:rPrChange w:id="1599" w:author="TCS" w:date="2026-03-19T15:08:00Z">
            <w:rPr>
              <w:lang w:val="es-ES_tradnl"/>
            </w:rPr>
          </w:rPrChange>
        </w:rPr>
        <w:t>dosis basadas</w:t>
      </w:r>
      <w:proofErr w:type="gramEnd"/>
      <w:r w:rsidRPr="00AB3513">
        <w:rPr>
          <w:lang w:val="es-ES_tradnl"/>
          <w:rPrChange w:id="1600" w:author="TCS" w:date="2026-03-19T15:08:00Z">
            <w:rPr>
              <w:lang w:val="es-ES_tradnl"/>
            </w:rPr>
          </w:rPrChange>
        </w:rPr>
        <w:t xml:space="preserve"> en </w:t>
      </w:r>
      <w:r w:rsidR="00AD2A7B" w:rsidRPr="00AB3513">
        <w:rPr>
          <w:lang w:val="es-ES_tradnl"/>
          <w:rPrChange w:id="1601" w:author="TCS" w:date="2026-03-19T15:08:00Z">
            <w:rPr>
              <w:lang w:val="es-ES_tradnl"/>
            </w:rPr>
          </w:rPrChange>
        </w:rPr>
        <w:t xml:space="preserve">los niveles de </w:t>
      </w:r>
      <w:r w:rsidRPr="00AB3513">
        <w:rPr>
          <w:lang w:val="es-ES_tradnl"/>
          <w:rPrChange w:id="1602" w:author="TCS" w:date="2026-03-19T15:08:00Z">
            <w:rPr>
              <w:lang w:val="es-ES_tradnl"/>
            </w:rPr>
          </w:rPrChange>
        </w:rPr>
        <w:t>transaminasas</w:t>
      </w:r>
      <w:r w:rsidR="00AD2A7B" w:rsidRPr="00AB3513">
        <w:rPr>
          <w:lang w:val="es-ES_tradnl"/>
          <w:rPrChange w:id="1603" w:author="TCS" w:date="2026-03-19T15:08:00Z">
            <w:rPr>
              <w:lang w:val="es-ES_tradnl"/>
            </w:rPr>
          </w:rPrChange>
        </w:rPr>
        <w:t xml:space="preserve">, incluyendo discontinuación de </w:t>
      </w:r>
      <w:r w:rsidR="00AE2FF6" w:rsidRPr="00AB3513">
        <w:rPr>
          <w:noProof/>
          <w:szCs w:val="22"/>
          <w:lang w:val="es-ES"/>
          <w:rPrChange w:id="1604" w:author="TCS" w:date="2026-03-19T15:08:00Z">
            <w:rPr>
              <w:noProof/>
              <w:szCs w:val="22"/>
              <w:lang w:val="es-ES"/>
            </w:rPr>
          </w:rPrChange>
        </w:rPr>
        <w:t>tocilizumab</w:t>
      </w:r>
      <w:r w:rsidRPr="00AB3513">
        <w:rPr>
          <w:lang w:val="es-ES_tradnl"/>
          <w:rPrChange w:id="1605" w:author="TCS" w:date="2026-03-19T15:08:00Z">
            <w:rPr>
              <w:lang w:val="es-ES_tradnl"/>
            </w:rPr>
          </w:rPrChange>
        </w:rPr>
        <w:t xml:space="preserve"> ver sección 4.2.</w:t>
      </w:r>
      <w:r w:rsidRPr="00AB3513">
        <w:rPr>
          <w:lang w:val="es-ES"/>
          <w:rPrChange w:id="1606" w:author="TCS" w:date="2026-03-19T15:08:00Z">
            <w:rPr>
              <w:lang w:val="es-ES"/>
            </w:rPr>
          </w:rPrChange>
        </w:rPr>
        <w:t xml:space="preserve"> </w:t>
      </w:r>
      <w:r w:rsidRPr="00AB3513">
        <w:rPr>
          <w:lang w:val="es-ES_tradnl"/>
          <w:rPrChange w:id="1607" w:author="TCS" w:date="2026-03-19T15:08:00Z">
            <w:rPr>
              <w:lang w:val="es-ES_tradnl"/>
            </w:rPr>
          </w:rPrChange>
        </w:rPr>
        <w:t xml:space="preserve">En elevaciones de ALT o AST </w:t>
      </w:r>
      <w:r w:rsidR="00AE2FF6" w:rsidRPr="00AB3513">
        <w:rPr>
          <w:rFonts w:eastAsia="MS Mincho"/>
          <w:sz w:val="10"/>
          <w:szCs w:val="22"/>
          <w:lang w:val="es-ES"/>
          <w:rPrChange w:id="1608" w:author="TCS" w:date="2026-03-19T15:08:00Z">
            <w:rPr>
              <w:rFonts w:ascii="Arial" w:eastAsia="MS Mincho" w:hAnsi="Arial" w:cs="Arial"/>
              <w:sz w:val="10"/>
              <w:szCs w:val="22"/>
              <w:lang w:val="es-ES"/>
            </w:rPr>
          </w:rPrChange>
        </w:rPr>
        <w:t> </w:t>
      </w:r>
      <w:r w:rsidR="00AE2FF6" w:rsidRPr="00AB3513">
        <w:rPr>
          <w:rFonts w:eastAsia="MS Mincho"/>
          <w:szCs w:val="22"/>
          <w:lang w:val="en-GB"/>
          <w:rPrChange w:id="1609" w:author="TCS" w:date="2026-03-19T15:08:00Z">
            <w:rPr>
              <w:rFonts w:ascii="Arial" w:eastAsia="MS Mincho" w:hAnsi="Arial" w:cs="Arial"/>
              <w:szCs w:val="22"/>
              <w:lang w:val="en-GB"/>
            </w:rPr>
          </w:rPrChange>
        </w:rPr>
        <w:sym w:font="Symbol" w:char="F03E"/>
      </w:r>
      <w:r w:rsidRPr="00AB3513">
        <w:rPr>
          <w:lang w:val="es-ES_tradnl"/>
          <w:rPrChange w:id="1610" w:author="TCS" w:date="2026-03-19T15:08:00Z">
            <w:rPr>
              <w:lang w:val="es-ES_tradnl"/>
            </w:rPr>
          </w:rPrChange>
        </w:rPr>
        <w:t xml:space="preserve"> 3-5 </w:t>
      </w:r>
      <w:r w:rsidR="00AE2FF6" w:rsidRPr="00AB3513">
        <w:rPr>
          <w:rFonts w:eastAsia="MS Mincho"/>
          <w:szCs w:val="22"/>
          <w:lang w:val="en-GB"/>
          <w:rPrChange w:id="1611" w:author="TCS" w:date="2026-03-19T15:08:00Z">
            <w:rPr>
              <w:rFonts w:ascii="Arial" w:eastAsia="MS Mincho" w:hAnsi="Arial" w:cs="Arial"/>
              <w:szCs w:val="22"/>
              <w:lang w:val="en-GB"/>
            </w:rPr>
          </w:rPrChange>
        </w:rPr>
        <w:sym w:font="Symbol" w:char="F0B4"/>
      </w:r>
      <w:r w:rsidRPr="00AB3513">
        <w:rPr>
          <w:lang w:val="es-ES_tradnl"/>
          <w:rPrChange w:id="1612" w:author="TCS" w:date="2026-03-19T15:08:00Z">
            <w:rPr>
              <w:lang w:val="es-ES_tradnl"/>
            </w:rPr>
          </w:rPrChange>
        </w:rPr>
        <w:t xml:space="preserve"> LSN, </w:t>
      </w:r>
      <w:r w:rsidR="00AE2FF6" w:rsidRPr="00AB3513">
        <w:rPr>
          <w:lang w:val="es-ES_tradnl"/>
          <w:rPrChange w:id="1613" w:author="TCS" w:date="2026-03-19T15:08:00Z">
            <w:rPr>
              <w:lang w:val="es-ES_tradnl"/>
            </w:rPr>
          </w:rPrChange>
        </w:rPr>
        <w:t xml:space="preserve">se </w:t>
      </w:r>
      <w:r w:rsidRPr="00AB3513">
        <w:rPr>
          <w:lang w:val="es-ES_tradnl"/>
          <w:rPrChange w:id="1614" w:author="TCS" w:date="2026-03-19T15:08:00Z">
            <w:rPr>
              <w:lang w:val="es-ES_tradnl"/>
            </w:rPr>
          </w:rPrChange>
        </w:rPr>
        <w:t>debe interrumpir el tratamiento.</w:t>
      </w:r>
      <w:r w:rsidRPr="00AB3513">
        <w:rPr>
          <w:lang w:val="es-ES"/>
          <w:rPrChange w:id="1615" w:author="TCS" w:date="2026-03-19T15:08:00Z">
            <w:rPr>
              <w:lang w:val="es-ES"/>
            </w:rPr>
          </w:rPrChange>
        </w:rPr>
        <w:t xml:space="preserve"> </w:t>
      </w:r>
      <w:r w:rsidRPr="00AB3513">
        <w:rPr>
          <w:lang w:val="es-ES_tradnl"/>
          <w:rPrChange w:id="1616" w:author="TCS" w:date="2026-03-19T15:08:00Z">
            <w:rPr>
              <w:lang w:val="es-ES_tradnl"/>
            </w:rPr>
          </w:rPrChange>
        </w:rPr>
        <w:t> </w:t>
      </w:r>
      <w:r w:rsidRPr="00AB3513" w:rsidDel="007866BB">
        <w:rPr>
          <w:lang w:val="es-ES_tradnl"/>
          <w:rPrChange w:id="1617" w:author="TCS" w:date="2026-03-19T15:08:00Z">
            <w:rPr>
              <w:lang w:val="es-ES_tradnl"/>
            </w:rPr>
          </w:rPrChange>
        </w:rPr>
        <w:t xml:space="preserve"> </w:t>
      </w:r>
    </w:p>
    <w:p w14:paraId="2A1EE923" w14:textId="77777777" w:rsidR="00DC224A" w:rsidRPr="00AB3513" w:rsidRDefault="00DC224A" w:rsidP="00DC224A">
      <w:pPr>
        <w:rPr>
          <w:rFonts w:eastAsia="SimSun"/>
          <w:szCs w:val="22"/>
          <w:lang w:val="es-ES" w:eastAsia="zh-CN"/>
          <w:rPrChange w:id="1618" w:author="TCS" w:date="2026-03-19T15:08:00Z">
            <w:rPr>
              <w:rFonts w:eastAsia="SimSun"/>
              <w:szCs w:val="22"/>
              <w:lang w:val="es-ES" w:eastAsia="zh-CN"/>
            </w:rPr>
          </w:rPrChange>
        </w:rPr>
      </w:pPr>
    </w:p>
    <w:p w14:paraId="7EE2A5F3" w14:textId="77777777" w:rsidR="00DC224A" w:rsidRPr="00AB3513" w:rsidRDefault="00DC224A" w:rsidP="00DC224A">
      <w:pPr>
        <w:rPr>
          <w:i/>
          <w:iCs/>
          <w:lang w:val="es-ES"/>
          <w:rPrChange w:id="1619" w:author="TCS" w:date="2026-03-19T15:08:00Z">
            <w:rPr>
              <w:i/>
              <w:iCs/>
              <w:lang w:val="es-ES"/>
            </w:rPr>
          </w:rPrChange>
        </w:rPr>
      </w:pPr>
      <w:r w:rsidRPr="00AB3513">
        <w:rPr>
          <w:i/>
          <w:iCs/>
          <w:lang w:val="es-ES_tradnl"/>
          <w:rPrChange w:id="1620" w:author="TCS" w:date="2026-03-19T15:08:00Z">
            <w:rPr>
              <w:i/>
              <w:iCs/>
              <w:lang w:val="es-ES_tradnl"/>
            </w:rPr>
          </w:rPrChange>
        </w:rPr>
        <w:t>Efectos hematológicos</w:t>
      </w:r>
    </w:p>
    <w:p w14:paraId="58054AFF" w14:textId="2EBF5F73" w:rsidR="00DC224A" w:rsidRPr="00AB3513" w:rsidRDefault="00DC224A" w:rsidP="00DC224A">
      <w:pPr>
        <w:rPr>
          <w:lang w:val="es-ES"/>
          <w:rPrChange w:id="1621" w:author="TCS" w:date="2026-03-19T15:08:00Z">
            <w:rPr>
              <w:lang w:val="es-ES"/>
            </w:rPr>
          </w:rPrChange>
        </w:rPr>
      </w:pPr>
      <w:r w:rsidRPr="00AB3513">
        <w:rPr>
          <w:lang w:val="es-ES_tradnl"/>
          <w:rPrChange w:id="1622" w:author="TCS" w:date="2026-03-19T15:08:00Z">
            <w:rPr>
              <w:lang w:val="es-ES_tradnl"/>
            </w:rPr>
          </w:rPrChange>
        </w:rPr>
        <w:t xml:space="preserve">Se han producido descensos de los recuentos de neutrófilos y plaquetas después del tratamiento con </w:t>
      </w:r>
      <w:r w:rsidR="00AE2FF6" w:rsidRPr="00AB3513">
        <w:rPr>
          <w:noProof/>
          <w:szCs w:val="22"/>
          <w:lang w:val="es-ES"/>
          <w:rPrChange w:id="1623" w:author="TCS" w:date="2026-03-19T15:08:00Z">
            <w:rPr>
              <w:noProof/>
              <w:szCs w:val="22"/>
              <w:lang w:val="es-ES"/>
            </w:rPr>
          </w:rPrChange>
        </w:rPr>
        <w:t>tocilizumab</w:t>
      </w:r>
      <w:r w:rsidRPr="00AB3513">
        <w:rPr>
          <w:lang w:val="es-ES_tradnl"/>
          <w:rPrChange w:id="1624" w:author="TCS" w:date="2026-03-19T15:08:00Z">
            <w:rPr>
              <w:lang w:val="es-ES_tradnl"/>
            </w:rPr>
          </w:rPrChange>
        </w:rPr>
        <w:t xml:space="preserve"> 8 mg/kg en combinación con MTX (ver sección</w:t>
      </w:r>
      <w:r w:rsidR="00042DC3" w:rsidRPr="00AB3513">
        <w:rPr>
          <w:lang w:val="es-ES_tradnl"/>
          <w:rPrChange w:id="1625" w:author="TCS" w:date="2026-03-19T15:08:00Z">
            <w:rPr>
              <w:lang w:val="es-ES_tradnl"/>
            </w:rPr>
          </w:rPrChange>
        </w:rPr>
        <w:t> </w:t>
      </w:r>
      <w:r w:rsidRPr="00AB3513">
        <w:rPr>
          <w:lang w:val="es-ES_tradnl"/>
          <w:rPrChange w:id="1626" w:author="TCS" w:date="2026-03-19T15:08:00Z">
            <w:rPr>
              <w:lang w:val="es-ES_tradnl"/>
            </w:rPr>
          </w:rPrChange>
        </w:rPr>
        <w:t>4.8).</w:t>
      </w:r>
      <w:r w:rsidRPr="00AB3513">
        <w:rPr>
          <w:lang w:val="es-ES"/>
          <w:rPrChange w:id="1627" w:author="TCS" w:date="2026-03-19T15:08:00Z">
            <w:rPr>
              <w:lang w:val="es-ES"/>
            </w:rPr>
          </w:rPrChange>
        </w:rPr>
        <w:t xml:space="preserve"> El riesgo de neutropenia puede aumentar en pacientes que han sido previamente tratados con antagonistas del TNF.</w:t>
      </w:r>
    </w:p>
    <w:p w14:paraId="5E1AEBE1" w14:textId="77777777" w:rsidR="00DC224A" w:rsidRPr="00AB3513" w:rsidRDefault="00DC224A" w:rsidP="00DC224A">
      <w:pPr>
        <w:rPr>
          <w:lang w:val="es-ES"/>
          <w:rPrChange w:id="1628" w:author="TCS" w:date="2026-03-19T15:08:00Z">
            <w:rPr>
              <w:lang w:val="es-ES"/>
            </w:rPr>
          </w:rPrChange>
        </w:rPr>
      </w:pPr>
    </w:p>
    <w:p w14:paraId="49D80F5F" w14:textId="38C5CB22" w:rsidR="00DC224A" w:rsidRPr="00AB3513" w:rsidRDefault="00DC224A" w:rsidP="00DC224A">
      <w:pPr>
        <w:rPr>
          <w:lang w:val="es-ES_tradnl"/>
          <w:rPrChange w:id="1629" w:author="TCS" w:date="2026-03-19T15:08:00Z">
            <w:rPr>
              <w:lang w:val="es-ES_tradnl"/>
            </w:rPr>
          </w:rPrChange>
        </w:rPr>
      </w:pPr>
      <w:r w:rsidRPr="00AB3513">
        <w:rPr>
          <w:lang w:val="es-ES"/>
          <w:rPrChange w:id="1630" w:author="TCS" w:date="2026-03-19T15:08:00Z">
            <w:rPr>
              <w:lang w:val="es-ES"/>
            </w:rPr>
          </w:rPrChange>
        </w:rPr>
        <w:t xml:space="preserve">No se recomienda iniciar el tratamiento, en pacientes que no han sido tratados previamente con </w:t>
      </w:r>
      <w:r w:rsidR="00AE2FF6" w:rsidRPr="00AB3513">
        <w:rPr>
          <w:noProof/>
          <w:szCs w:val="22"/>
          <w:lang w:val="es-ES"/>
          <w:rPrChange w:id="1631" w:author="TCS" w:date="2026-03-19T15:08:00Z">
            <w:rPr>
              <w:noProof/>
              <w:szCs w:val="22"/>
              <w:lang w:val="es-ES"/>
            </w:rPr>
          </w:rPrChange>
        </w:rPr>
        <w:t>tocilizumab</w:t>
      </w:r>
      <w:r w:rsidRPr="00AB3513">
        <w:rPr>
          <w:lang w:val="es-ES"/>
          <w:rPrChange w:id="1632" w:author="TCS" w:date="2026-03-19T15:08:00Z">
            <w:rPr>
              <w:lang w:val="es-ES"/>
            </w:rPr>
          </w:rPrChange>
        </w:rPr>
        <w:t xml:space="preserve">, si el RAN está por debajo de </w:t>
      </w:r>
      <w:r w:rsidRPr="00AB3513">
        <w:rPr>
          <w:bCs/>
          <w:lang w:val="es-ES"/>
          <w:rPrChange w:id="1633" w:author="TCS" w:date="2026-03-19T15:08:00Z">
            <w:rPr>
              <w:bCs/>
              <w:lang w:val="es-ES"/>
            </w:rPr>
          </w:rPrChange>
        </w:rPr>
        <w:t xml:space="preserve">2 </w:t>
      </w:r>
      <w:r w:rsidR="00AE2FF6" w:rsidRPr="00AB3513">
        <w:rPr>
          <w:rFonts w:eastAsia="MS Mincho"/>
          <w:szCs w:val="22"/>
          <w:lang w:val="en-GB"/>
          <w:rPrChange w:id="1634" w:author="TCS" w:date="2026-03-19T15:08:00Z">
            <w:rPr>
              <w:rFonts w:ascii="Arial" w:eastAsia="MS Mincho" w:hAnsi="Arial" w:cs="Arial"/>
              <w:szCs w:val="22"/>
              <w:lang w:val="en-GB"/>
            </w:rPr>
          </w:rPrChange>
        </w:rPr>
        <w:sym w:font="Symbol" w:char="F0B4"/>
      </w:r>
      <w:r w:rsidRPr="00AB3513">
        <w:rPr>
          <w:bCs/>
          <w:lang w:val="es-ES"/>
          <w:rPrChange w:id="1635" w:author="TCS" w:date="2026-03-19T15:08:00Z">
            <w:rPr>
              <w:bCs/>
              <w:lang w:val="es-ES"/>
            </w:rPr>
          </w:rPrChange>
        </w:rPr>
        <w:t xml:space="preserve"> 10</w:t>
      </w:r>
      <w:r w:rsidRPr="00AB3513">
        <w:rPr>
          <w:bCs/>
          <w:vertAlign w:val="superscript"/>
          <w:lang w:val="es-ES"/>
          <w:rPrChange w:id="1636" w:author="TCS" w:date="2026-03-19T15:08:00Z">
            <w:rPr>
              <w:bCs/>
              <w:vertAlign w:val="superscript"/>
              <w:lang w:val="es-ES"/>
            </w:rPr>
          </w:rPrChange>
        </w:rPr>
        <w:t>9</w:t>
      </w:r>
      <w:r w:rsidRPr="00AB3513">
        <w:rPr>
          <w:bCs/>
          <w:lang w:val="es-ES"/>
          <w:rPrChange w:id="1637" w:author="TCS" w:date="2026-03-19T15:08:00Z">
            <w:rPr>
              <w:bCs/>
              <w:lang w:val="es-ES"/>
            </w:rPr>
          </w:rPrChange>
        </w:rPr>
        <w:t>/l.</w:t>
      </w:r>
      <w:r w:rsidRPr="00AB3513">
        <w:rPr>
          <w:lang w:val="es-ES"/>
          <w:rPrChange w:id="1638" w:author="TCS" w:date="2026-03-19T15:08:00Z">
            <w:rPr>
              <w:lang w:val="es-ES"/>
            </w:rPr>
          </w:rPrChange>
        </w:rPr>
        <w:t xml:space="preserve"> </w:t>
      </w:r>
      <w:r w:rsidRPr="00AB3513">
        <w:rPr>
          <w:lang w:val="es-ES_tradnl"/>
          <w:rPrChange w:id="1639" w:author="TCS" w:date="2026-03-19T15:08:00Z">
            <w:rPr>
              <w:lang w:val="es-ES_tradnl"/>
            </w:rPr>
          </w:rPrChange>
        </w:rPr>
        <w:t>Debe tenerse precaución al valorar el inicio del tratamiento en pacientes con un recuento bajo de plaquetas (es decir, recuento de plaquetas por debajo de 100 x 10</w:t>
      </w:r>
      <w:r w:rsidRPr="00AB3513">
        <w:rPr>
          <w:vertAlign w:val="superscript"/>
          <w:lang w:val="es-ES_tradnl"/>
          <w:rPrChange w:id="1640" w:author="TCS" w:date="2026-03-19T15:08:00Z">
            <w:rPr>
              <w:vertAlign w:val="superscript"/>
              <w:lang w:val="es-ES_tradnl"/>
            </w:rPr>
          </w:rPrChange>
        </w:rPr>
        <w:t>3</w:t>
      </w:r>
      <w:r w:rsidRPr="00AB3513">
        <w:rPr>
          <w:lang w:val="es-ES_tradnl"/>
          <w:rPrChange w:id="1641" w:author="TCS" w:date="2026-03-19T15:08:00Z">
            <w:rPr>
              <w:lang w:val="es-ES_tradnl"/>
            </w:rPr>
          </w:rPrChange>
        </w:rPr>
        <w:t>/μl).</w:t>
      </w:r>
      <w:r w:rsidRPr="00AB3513">
        <w:rPr>
          <w:lang w:val="es-ES"/>
          <w:rPrChange w:id="1642" w:author="TCS" w:date="2026-03-19T15:08:00Z">
            <w:rPr>
              <w:lang w:val="es-ES"/>
            </w:rPr>
          </w:rPrChange>
        </w:rPr>
        <w:t xml:space="preserve"> </w:t>
      </w:r>
      <w:r w:rsidRPr="00AB3513">
        <w:rPr>
          <w:lang w:val="es-ES_tradnl"/>
          <w:rPrChange w:id="1643" w:author="TCS" w:date="2026-03-19T15:08:00Z">
            <w:rPr>
              <w:lang w:val="es-ES_tradnl"/>
            </w:rPr>
          </w:rPrChange>
        </w:rPr>
        <w:t xml:space="preserve">No se recomienda continuar el tratamiento en pacientes que desarrollen un recuento absoluto de neutrófilos </w:t>
      </w:r>
      <w:r w:rsidR="00AE2FF6" w:rsidRPr="00AB3513">
        <w:rPr>
          <w:rFonts w:eastAsia="MS Mincho"/>
          <w:sz w:val="10"/>
          <w:szCs w:val="22"/>
          <w:lang w:val="es-ES"/>
          <w:rPrChange w:id="1644" w:author="TCS" w:date="2026-03-19T15:08:00Z">
            <w:rPr>
              <w:rFonts w:eastAsia="MS Mincho"/>
              <w:sz w:val="10"/>
              <w:szCs w:val="22"/>
              <w:lang w:val="es-ES"/>
            </w:rPr>
          </w:rPrChange>
        </w:rPr>
        <w:t> </w:t>
      </w:r>
      <w:r w:rsidR="00AE2FF6" w:rsidRPr="00AB3513">
        <w:rPr>
          <w:rFonts w:eastAsia="MS Mincho"/>
          <w:szCs w:val="22"/>
          <w:lang w:val="en-GB"/>
          <w:rPrChange w:id="1645" w:author="TCS" w:date="2026-03-19T15:08:00Z">
            <w:rPr>
              <w:rFonts w:eastAsia="MS Mincho"/>
              <w:szCs w:val="22"/>
              <w:lang w:val="en-GB"/>
            </w:rPr>
          </w:rPrChange>
        </w:rPr>
        <w:sym w:font="Symbol" w:char="F03C"/>
      </w:r>
      <w:r w:rsidRPr="00AB3513">
        <w:rPr>
          <w:lang w:val="es-ES_tradnl"/>
          <w:rPrChange w:id="1646" w:author="TCS" w:date="2026-03-19T15:08:00Z">
            <w:rPr>
              <w:lang w:val="es-ES_tradnl"/>
            </w:rPr>
          </w:rPrChange>
        </w:rPr>
        <w:t xml:space="preserve"> 0,5 </w:t>
      </w:r>
      <w:r w:rsidR="00AE2FF6" w:rsidRPr="00AB3513">
        <w:rPr>
          <w:rFonts w:eastAsia="MS Mincho"/>
          <w:szCs w:val="22"/>
          <w:lang w:val="en-GB"/>
          <w:rPrChange w:id="1647" w:author="TCS" w:date="2026-03-19T15:08:00Z">
            <w:rPr>
              <w:rFonts w:ascii="Arial" w:eastAsia="MS Mincho" w:hAnsi="Arial" w:cs="Arial"/>
              <w:szCs w:val="22"/>
              <w:lang w:val="en-GB"/>
            </w:rPr>
          </w:rPrChange>
        </w:rPr>
        <w:sym w:font="Symbol" w:char="F0B4"/>
      </w:r>
      <w:r w:rsidRPr="00AB3513">
        <w:rPr>
          <w:lang w:val="es-ES_tradnl"/>
          <w:rPrChange w:id="1648" w:author="TCS" w:date="2026-03-19T15:08:00Z">
            <w:rPr>
              <w:lang w:val="es-ES_tradnl"/>
            </w:rPr>
          </w:rPrChange>
        </w:rPr>
        <w:t xml:space="preserve"> 10</w:t>
      </w:r>
      <w:r w:rsidRPr="00AB3513">
        <w:rPr>
          <w:vertAlign w:val="superscript"/>
          <w:lang w:val="es-ES_tradnl"/>
          <w:rPrChange w:id="1649" w:author="TCS" w:date="2026-03-19T15:08:00Z">
            <w:rPr>
              <w:vertAlign w:val="superscript"/>
              <w:lang w:val="es-ES_tradnl"/>
            </w:rPr>
          </w:rPrChange>
        </w:rPr>
        <w:t>9</w:t>
      </w:r>
      <w:r w:rsidRPr="00AB3513">
        <w:rPr>
          <w:lang w:val="es-ES_tradnl"/>
          <w:rPrChange w:id="1650" w:author="TCS" w:date="2026-03-19T15:08:00Z">
            <w:rPr>
              <w:lang w:val="es-ES_tradnl"/>
            </w:rPr>
          </w:rPrChange>
        </w:rPr>
        <w:t xml:space="preserve">/l o un recuento de plaquetas </w:t>
      </w:r>
      <w:r w:rsidR="00AE2FF6" w:rsidRPr="00AB3513">
        <w:rPr>
          <w:rFonts w:eastAsia="MS Mincho"/>
          <w:sz w:val="10"/>
          <w:szCs w:val="22"/>
          <w:lang w:val="es-ES"/>
          <w:rPrChange w:id="1651" w:author="TCS" w:date="2026-03-19T15:08:00Z">
            <w:rPr>
              <w:rFonts w:eastAsia="MS Mincho"/>
              <w:sz w:val="10"/>
              <w:szCs w:val="22"/>
              <w:lang w:val="es-ES"/>
            </w:rPr>
          </w:rPrChange>
        </w:rPr>
        <w:t> </w:t>
      </w:r>
      <w:r w:rsidR="00AE2FF6" w:rsidRPr="00AB3513">
        <w:rPr>
          <w:rFonts w:eastAsia="MS Mincho"/>
          <w:szCs w:val="22"/>
          <w:lang w:val="en-GB"/>
          <w:rPrChange w:id="1652" w:author="TCS" w:date="2026-03-19T15:08:00Z">
            <w:rPr>
              <w:rFonts w:eastAsia="MS Mincho"/>
              <w:szCs w:val="22"/>
              <w:lang w:val="en-GB"/>
            </w:rPr>
          </w:rPrChange>
        </w:rPr>
        <w:sym w:font="Symbol" w:char="F03C"/>
      </w:r>
      <w:r w:rsidRPr="00AB3513">
        <w:rPr>
          <w:lang w:val="es-ES_tradnl"/>
          <w:rPrChange w:id="1653" w:author="TCS" w:date="2026-03-19T15:08:00Z">
            <w:rPr>
              <w:lang w:val="es-ES_tradnl"/>
            </w:rPr>
          </w:rPrChange>
        </w:rPr>
        <w:t xml:space="preserve"> 50 </w:t>
      </w:r>
      <w:r w:rsidR="00AE2FF6" w:rsidRPr="00AB3513">
        <w:rPr>
          <w:rFonts w:eastAsia="MS Mincho"/>
          <w:szCs w:val="22"/>
          <w:lang w:val="en-GB"/>
          <w:rPrChange w:id="1654" w:author="TCS" w:date="2026-03-19T15:08:00Z">
            <w:rPr>
              <w:rFonts w:ascii="Arial" w:eastAsia="MS Mincho" w:hAnsi="Arial" w:cs="Arial"/>
              <w:szCs w:val="22"/>
              <w:lang w:val="en-GB"/>
            </w:rPr>
          </w:rPrChange>
        </w:rPr>
        <w:sym w:font="Symbol" w:char="F0B4"/>
      </w:r>
      <w:r w:rsidRPr="00AB3513">
        <w:rPr>
          <w:lang w:val="es-ES_tradnl"/>
          <w:rPrChange w:id="1655" w:author="TCS" w:date="2026-03-19T15:08:00Z">
            <w:rPr>
              <w:lang w:val="es-ES_tradnl"/>
            </w:rPr>
          </w:rPrChange>
        </w:rPr>
        <w:t xml:space="preserve"> 10</w:t>
      </w:r>
      <w:r w:rsidRPr="00AB3513">
        <w:rPr>
          <w:vertAlign w:val="superscript"/>
          <w:lang w:val="es-ES_tradnl"/>
          <w:rPrChange w:id="1656" w:author="TCS" w:date="2026-03-19T15:08:00Z">
            <w:rPr>
              <w:vertAlign w:val="superscript"/>
              <w:lang w:val="es-ES_tradnl"/>
            </w:rPr>
          </w:rPrChange>
        </w:rPr>
        <w:t>3</w:t>
      </w:r>
      <w:r w:rsidRPr="00AB3513">
        <w:rPr>
          <w:lang w:val="es-ES_tradnl"/>
          <w:rPrChange w:id="1657" w:author="TCS" w:date="2026-03-19T15:08:00Z">
            <w:rPr>
              <w:lang w:val="es-ES_tradnl"/>
            </w:rPr>
          </w:rPrChange>
        </w:rPr>
        <w:t>/μl.</w:t>
      </w:r>
    </w:p>
    <w:p w14:paraId="00D29A4A" w14:textId="77777777" w:rsidR="00DC224A" w:rsidRPr="00F30AB8" w:rsidRDefault="00DC224A" w:rsidP="00DC224A">
      <w:pPr>
        <w:rPr>
          <w:lang w:val="es-ES_tradnl"/>
        </w:rPr>
      </w:pPr>
    </w:p>
    <w:p w14:paraId="2A75B624" w14:textId="170EB7B6" w:rsidR="00DC224A" w:rsidRPr="008A106B" w:rsidRDefault="00DC224A" w:rsidP="00DC224A">
      <w:pPr>
        <w:rPr>
          <w:lang w:val="es-ES"/>
        </w:rPr>
      </w:pPr>
      <w:r w:rsidRPr="008A106B">
        <w:rPr>
          <w:lang w:val="es-ES"/>
        </w:rPr>
        <w:t>La neutropenia grave se puede asociar con un aumento del riesgo de infecciones graves</w:t>
      </w:r>
      <w:r>
        <w:rPr>
          <w:lang w:val="es-ES"/>
        </w:rPr>
        <w:t>,</w:t>
      </w:r>
      <w:r w:rsidRPr="008A106B">
        <w:rPr>
          <w:lang w:val="es-ES"/>
        </w:rPr>
        <w:t xml:space="preserve"> aunque no se ha observado una clara asociación entre el descenso de neutrófilos y la aparición de infecciones graves en los ensayos clínicos realizados con </w:t>
      </w:r>
      <w:r w:rsidR="00AE2FF6" w:rsidRPr="00554BAE">
        <w:rPr>
          <w:noProof/>
          <w:szCs w:val="22"/>
          <w:lang w:val="es-ES"/>
        </w:rPr>
        <w:t>tocilizumab</w:t>
      </w:r>
      <w:r w:rsidRPr="008A106B">
        <w:rPr>
          <w:lang w:val="es-ES"/>
        </w:rPr>
        <w:t xml:space="preserve"> hasta la fecha.</w:t>
      </w:r>
    </w:p>
    <w:p w14:paraId="00D951D5" w14:textId="77777777" w:rsidR="00DC224A" w:rsidRPr="008A106B" w:rsidRDefault="00DC224A" w:rsidP="00DC224A">
      <w:pPr>
        <w:rPr>
          <w:lang w:val="es-ES"/>
        </w:rPr>
      </w:pPr>
    </w:p>
    <w:p w14:paraId="2C2513B0" w14:textId="2AAA8B39" w:rsidR="00DC224A" w:rsidRDefault="00DC224A" w:rsidP="00DC224A">
      <w:pPr>
        <w:rPr>
          <w:lang w:val="es-ES_tradnl"/>
        </w:rPr>
      </w:pPr>
      <w:r w:rsidRPr="008A106B">
        <w:rPr>
          <w:lang w:val="es-ES_tradnl"/>
        </w:rPr>
        <w:t>En pacientes con AR</w:t>
      </w:r>
      <w:r>
        <w:rPr>
          <w:lang w:val="es-ES_tradnl"/>
        </w:rPr>
        <w:t xml:space="preserve"> y ACG</w:t>
      </w:r>
      <w:r w:rsidRPr="008A106B">
        <w:rPr>
          <w:lang w:val="es-ES_tradnl"/>
        </w:rPr>
        <w:t xml:space="preserve"> el recuento de neutrófilos y plaquetas debe vigilarse de 4 a 8 semanas después del comienzo del tratamiento y posteriormente, siguiendo las recomendaciones de la práctica clínica habitual. Para las modificaciones de dosis basadas en RAN y recuento de plaquetas</w:t>
      </w:r>
      <w:r>
        <w:rPr>
          <w:lang w:val="es-ES_tradnl"/>
        </w:rPr>
        <w:t>,</w:t>
      </w:r>
      <w:r w:rsidRPr="008A106B">
        <w:rPr>
          <w:lang w:val="es-ES_tradnl"/>
        </w:rPr>
        <w:t xml:space="preserve"> ver </w:t>
      </w:r>
      <w:proofErr w:type="gramStart"/>
      <w:r w:rsidRPr="008A106B">
        <w:rPr>
          <w:lang w:val="es-ES_tradnl"/>
        </w:rPr>
        <w:t>sección</w:t>
      </w:r>
      <w:r w:rsidR="00CC0773" w:rsidRPr="00F30AB8">
        <w:rPr>
          <w:szCs w:val="22"/>
          <w:lang w:val="es-ES"/>
        </w:rPr>
        <w:t> </w:t>
      </w:r>
      <w:r w:rsidR="00CC0773" w:rsidRPr="008A106B" w:rsidDel="00CC0773">
        <w:rPr>
          <w:lang w:val="es-ES_tradnl"/>
        </w:rPr>
        <w:t xml:space="preserve"> </w:t>
      </w:r>
      <w:r w:rsidRPr="008A106B">
        <w:rPr>
          <w:lang w:val="es-ES_tradnl"/>
        </w:rPr>
        <w:t>4.2.</w:t>
      </w:r>
      <w:proofErr w:type="gramEnd"/>
    </w:p>
    <w:p w14:paraId="257104B8" w14:textId="77777777" w:rsidR="00096E1B" w:rsidRDefault="00096E1B" w:rsidP="00DC224A">
      <w:pPr>
        <w:rPr>
          <w:lang w:val="es-ES_tradnl"/>
        </w:rPr>
      </w:pPr>
    </w:p>
    <w:p w14:paraId="7BCECFE5" w14:textId="6BABD5D5" w:rsidR="00096E1B" w:rsidRPr="008A106B" w:rsidRDefault="00096E1B" w:rsidP="00DC224A">
      <w:pPr>
        <w:rPr>
          <w:lang w:val="es-ES_tradnl"/>
        </w:rPr>
      </w:pPr>
      <w:r>
        <w:rPr>
          <w:lang w:val="es-ES_tradnl"/>
        </w:rPr>
        <w:t xml:space="preserve">En pacientes con AIJs y AIJp, </w:t>
      </w:r>
      <w:r w:rsidR="00281E08">
        <w:rPr>
          <w:lang w:val="es-ES_tradnl"/>
        </w:rPr>
        <w:t xml:space="preserve">se </w:t>
      </w:r>
      <w:r>
        <w:rPr>
          <w:lang w:val="es-ES_tradnl"/>
        </w:rPr>
        <w:t>deben monitorizar</w:t>
      </w:r>
      <w:r w:rsidR="00281E08" w:rsidRPr="00FF2AFA">
        <w:rPr>
          <w:lang w:val="es-ES"/>
        </w:rPr>
        <w:t xml:space="preserve"> </w:t>
      </w:r>
      <w:r w:rsidR="00281E08" w:rsidRPr="00281E08">
        <w:rPr>
          <w:lang w:val="es-ES_tradnl"/>
        </w:rPr>
        <w:t>los neutrófilos y plaquetas</w:t>
      </w:r>
      <w:r>
        <w:rPr>
          <w:lang w:val="es-ES_tradnl"/>
        </w:rPr>
        <w:t xml:space="preserve"> en el momento de la segunda administración y posteriormente de acuerdo a buena práctica clínica (ver </w:t>
      </w:r>
      <w:proofErr w:type="gramStart"/>
      <w:r>
        <w:rPr>
          <w:lang w:val="es-ES_tradnl"/>
        </w:rPr>
        <w:t>sección</w:t>
      </w:r>
      <w:r w:rsidR="00CC0773" w:rsidRPr="00F30AB8">
        <w:rPr>
          <w:szCs w:val="22"/>
          <w:lang w:val="es-ES"/>
        </w:rPr>
        <w:t> </w:t>
      </w:r>
      <w:r w:rsidR="00CC0773" w:rsidDel="00CC0773">
        <w:rPr>
          <w:lang w:val="es-ES_tradnl"/>
        </w:rPr>
        <w:t xml:space="preserve"> </w:t>
      </w:r>
      <w:r>
        <w:rPr>
          <w:lang w:val="es-ES_tradnl"/>
        </w:rPr>
        <w:t>4.2</w:t>
      </w:r>
      <w:proofErr w:type="gramEnd"/>
      <w:r>
        <w:rPr>
          <w:lang w:val="es-ES_tradnl"/>
        </w:rPr>
        <w:t>).</w:t>
      </w:r>
    </w:p>
    <w:p w14:paraId="480A8837" w14:textId="77777777" w:rsidR="00DC224A" w:rsidRPr="008A106B" w:rsidRDefault="00DC224A" w:rsidP="00DC224A">
      <w:pPr>
        <w:rPr>
          <w:lang w:val="es-ES_tradnl"/>
        </w:rPr>
      </w:pPr>
    </w:p>
    <w:p w14:paraId="571881EB" w14:textId="77777777" w:rsidR="00DC224A" w:rsidRPr="008A106B" w:rsidRDefault="00DC224A" w:rsidP="00DC224A">
      <w:pPr>
        <w:keepNext/>
        <w:keepLines/>
        <w:rPr>
          <w:i/>
          <w:iCs/>
          <w:lang w:val="es-ES_tradnl"/>
        </w:rPr>
      </w:pPr>
      <w:r w:rsidRPr="008A106B">
        <w:rPr>
          <w:i/>
          <w:iCs/>
          <w:lang w:val="es-ES_tradnl"/>
        </w:rPr>
        <w:t>Parámetros lipídicos</w:t>
      </w:r>
    </w:p>
    <w:p w14:paraId="623CE957" w14:textId="3A373B33" w:rsidR="00DC224A" w:rsidRPr="008A106B" w:rsidRDefault="00DC224A" w:rsidP="00DC224A">
      <w:pPr>
        <w:keepNext/>
        <w:keepLines/>
        <w:rPr>
          <w:lang w:val="es-ES_tradnl"/>
        </w:rPr>
      </w:pPr>
      <w:r w:rsidRPr="008A106B">
        <w:rPr>
          <w:lang w:val="es-ES_tradnl"/>
        </w:rPr>
        <w:t xml:space="preserve">En los pacientes tratados con </w:t>
      </w:r>
      <w:r w:rsidR="00AE2FF6" w:rsidRPr="00554BAE">
        <w:rPr>
          <w:noProof/>
          <w:szCs w:val="22"/>
          <w:lang w:val="es-ES"/>
        </w:rPr>
        <w:t>tocilizumab</w:t>
      </w:r>
      <w:r w:rsidRPr="008A106B">
        <w:rPr>
          <w:lang w:val="es-ES_tradnl"/>
        </w:rPr>
        <w:t xml:space="preserve"> se han observado aumentos de parámetros lipídicos incluido colesterol total, lipoproteínas de baja densidad (LDL), lipoproteínas de alta densidad (HDL), y triglicéridos (ver sección 4.8). En la mayoría de los pacientes no hubo aumento del índice aterogénico, y el aumento del colesterol total, respondió al tratamiento con agentes hipolipemiantes. </w:t>
      </w:r>
    </w:p>
    <w:p w14:paraId="55D087B2" w14:textId="77777777" w:rsidR="00DC224A" w:rsidRPr="008A106B" w:rsidRDefault="00DC224A" w:rsidP="00DC224A">
      <w:pPr>
        <w:rPr>
          <w:lang w:val="es-ES_tradnl"/>
        </w:rPr>
      </w:pPr>
    </w:p>
    <w:p w14:paraId="3BF29061" w14:textId="496D5AF4" w:rsidR="00DC224A" w:rsidRPr="008A106B" w:rsidRDefault="00DC224A" w:rsidP="00DC224A">
      <w:pPr>
        <w:rPr>
          <w:lang w:val="es-ES"/>
        </w:rPr>
      </w:pPr>
      <w:r>
        <w:rPr>
          <w:lang w:val="es-ES_tradnl"/>
        </w:rPr>
        <w:t>D</w:t>
      </w:r>
      <w:r w:rsidRPr="008A106B">
        <w:rPr>
          <w:lang w:val="es-ES_tradnl"/>
        </w:rPr>
        <w:t>ebe realizarse una evaluación de los parámetros lipídicos</w:t>
      </w:r>
      <w:r>
        <w:rPr>
          <w:lang w:val="es-ES"/>
        </w:rPr>
        <w:t xml:space="preserve"> e</w:t>
      </w:r>
      <w:r w:rsidRPr="008A106B">
        <w:rPr>
          <w:lang w:val="es-ES"/>
        </w:rPr>
        <w:t>n</w:t>
      </w:r>
      <w:ins w:id="1658" w:author="AUTHOR">
        <w:r w:rsidR="00B46D8D">
          <w:rPr>
            <w:lang w:val="es-ES"/>
          </w:rPr>
          <w:t xml:space="preserve"> todos los</w:t>
        </w:r>
      </w:ins>
      <w:r w:rsidRPr="008A106B">
        <w:rPr>
          <w:lang w:val="es-ES"/>
        </w:rPr>
        <w:t xml:space="preserve"> pacientes </w:t>
      </w:r>
      <w:del w:id="1659" w:author="AUTHOR">
        <w:r w:rsidRPr="008A106B" w:rsidDel="00B46D8D">
          <w:rPr>
            <w:lang w:val="es-ES"/>
          </w:rPr>
          <w:delText>con</w:delText>
        </w:r>
        <w:r w:rsidDel="00B46D8D">
          <w:rPr>
            <w:lang w:val="es-ES"/>
          </w:rPr>
          <w:delText xml:space="preserve"> </w:delText>
        </w:r>
        <w:r w:rsidRPr="008A106B" w:rsidDel="00B46D8D">
          <w:rPr>
            <w:lang w:val="es-ES"/>
          </w:rPr>
          <w:delText xml:space="preserve">AR </w:delText>
        </w:r>
        <w:r w:rsidDel="00B46D8D">
          <w:rPr>
            <w:lang w:val="es-ES"/>
          </w:rPr>
          <w:delText xml:space="preserve">y ACG </w:delText>
        </w:r>
      </w:del>
      <w:r w:rsidRPr="008A106B">
        <w:rPr>
          <w:lang w:val="es-ES"/>
        </w:rPr>
        <w:t>d</w:t>
      </w:r>
      <w:r w:rsidRPr="008A106B">
        <w:rPr>
          <w:lang w:val="es-ES_tradnl"/>
        </w:rPr>
        <w:t>e 4 a 8</w:t>
      </w:r>
      <w:r w:rsidR="00042DC3">
        <w:rPr>
          <w:lang w:val="es-ES_tradnl"/>
        </w:rPr>
        <w:t> </w:t>
      </w:r>
      <w:r w:rsidRPr="008A106B">
        <w:rPr>
          <w:lang w:val="es-ES_tradnl"/>
        </w:rPr>
        <w:t>semanas después del inici</w:t>
      </w:r>
      <w:r>
        <w:rPr>
          <w:lang w:val="es-ES_tradnl"/>
        </w:rPr>
        <w:t>o del tratamiento</w:t>
      </w:r>
      <w:r w:rsidRPr="008A106B">
        <w:rPr>
          <w:lang w:val="es-ES_tradnl"/>
        </w:rPr>
        <w:t>. Los pacientes deben tratarse de acuerdo con las directrices clínicas locales para el manejo de la hiperlipidemia.</w:t>
      </w:r>
    </w:p>
    <w:p w14:paraId="6399B579" w14:textId="77777777" w:rsidR="00DC224A" w:rsidRPr="008A106B" w:rsidRDefault="00DC224A" w:rsidP="00DC224A">
      <w:pPr>
        <w:ind w:left="567" w:hanging="567"/>
        <w:outlineLvl w:val="0"/>
        <w:rPr>
          <w:i/>
          <w:iCs/>
          <w:lang w:val="es-ES_tradnl"/>
        </w:rPr>
      </w:pPr>
    </w:p>
    <w:p w14:paraId="1AD3D3CD" w14:textId="77777777" w:rsidR="00DC224A" w:rsidRPr="008A106B" w:rsidRDefault="00DC224A" w:rsidP="00DC224A">
      <w:pPr>
        <w:keepNext/>
        <w:ind w:left="567" w:hanging="567"/>
        <w:outlineLvl w:val="0"/>
        <w:rPr>
          <w:i/>
          <w:iCs/>
          <w:lang w:val="es-ES"/>
        </w:rPr>
      </w:pPr>
      <w:r w:rsidRPr="008A106B">
        <w:rPr>
          <w:i/>
          <w:iCs/>
          <w:lang w:val="es-ES_tradnl"/>
        </w:rPr>
        <w:t>Trastornos neurológicos</w:t>
      </w:r>
    </w:p>
    <w:p w14:paraId="4B712814" w14:textId="3902DD82" w:rsidR="00DC224A" w:rsidRPr="008A106B" w:rsidRDefault="00DC224A" w:rsidP="00DC224A">
      <w:pPr>
        <w:outlineLvl w:val="0"/>
        <w:rPr>
          <w:lang w:val="es-ES"/>
        </w:rPr>
      </w:pPr>
      <w:r w:rsidRPr="008A106B">
        <w:rPr>
          <w:lang w:val="es-ES_tradnl"/>
        </w:rPr>
        <w:t>Los médicos deben estar atentos a síntomas potencialmente indicativos de trastornos desmielinizantes centrales de nueva aparición.</w:t>
      </w:r>
      <w:r w:rsidRPr="008A106B">
        <w:rPr>
          <w:lang w:val="es-ES"/>
        </w:rPr>
        <w:t xml:space="preserve"> </w:t>
      </w:r>
      <w:r w:rsidRPr="008A106B">
        <w:rPr>
          <w:lang w:val="es-ES_tradnl"/>
        </w:rPr>
        <w:t xml:space="preserve">Actualmente, se desconocen las posibilidades de que se produzca una desmielinización central con </w:t>
      </w:r>
      <w:r w:rsidR="00AE2FF6" w:rsidRPr="00554BAE">
        <w:rPr>
          <w:noProof/>
          <w:szCs w:val="22"/>
          <w:lang w:val="es-ES"/>
        </w:rPr>
        <w:t>tocilizumab</w:t>
      </w:r>
      <w:r w:rsidRPr="008A106B">
        <w:rPr>
          <w:lang w:val="es-ES_tradnl"/>
        </w:rPr>
        <w:t>.</w:t>
      </w:r>
    </w:p>
    <w:p w14:paraId="4F1B617B" w14:textId="77777777" w:rsidR="00DC224A" w:rsidRPr="008A106B" w:rsidRDefault="00DC224A" w:rsidP="00DC224A">
      <w:pPr>
        <w:ind w:left="567" w:hanging="567"/>
        <w:outlineLvl w:val="0"/>
        <w:rPr>
          <w:lang w:val="es-ES"/>
        </w:rPr>
      </w:pPr>
    </w:p>
    <w:p w14:paraId="687779D5" w14:textId="77777777" w:rsidR="00DC224A" w:rsidRPr="008A106B" w:rsidRDefault="00DC224A" w:rsidP="00DC224A">
      <w:pPr>
        <w:ind w:left="567" w:hanging="567"/>
        <w:outlineLvl w:val="0"/>
        <w:rPr>
          <w:i/>
          <w:iCs/>
          <w:lang w:val="es-ES"/>
        </w:rPr>
      </w:pPr>
      <w:r w:rsidRPr="008A106B">
        <w:rPr>
          <w:i/>
          <w:iCs/>
          <w:lang w:val="es-ES_tradnl"/>
        </w:rPr>
        <w:t>Tumores malignos</w:t>
      </w:r>
    </w:p>
    <w:p w14:paraId="4A89CB87" w14:textId="7A10E595" w:rsidR="00DC224A" w:rsidRPr="008A106B" w:rsidRDefault="00DC224A" w:rsidP="00DC224A">
      <w:pPr>
        <w:autoSpaceDE w:val="0"/>
        <w:autoSpaceDN w:val="0"/>
        <w:adjustRightInd w:val="0"/>
        <w:rPr>
          <w:lang w:val="es-ES"/>
        </w:rPr>
      </w:pPr>
      <w:r w:rsidRPr="008A106B">
        <w:rPr>
          <w:lang w:val="es-ES_tradnl"/>
        </w:rPr>
        <w:t>El riesgo de tumores malignos se incrementa en pacientes con artritis reumatoide.</w:t>
      </w:r>
      <w:r w:rsidRPr="008A106B">
        <w:rPr>
          <w:lang w:val="es-ES"/>
        </w:rPr>
        <w:t xml:space="preserve"> </w:t>
      </w:r>
      <w:r w:rsidRPr="008A106B">
        <w:rPr>
          <w:lang w:val="es-ES_tradnl"/>
        </w:rPr>
        <w:t>Los fármacos inmunomoduladores pueden aumentar el riesgo de tumores malignos.</w:t>
      </w:r>
      <w:r w:rsidRPr="008A106B">
        <w:rPr>
          <w:lang w:val="es-ES"/>
        </w:rPr>
        <w:t xml:space="preserve"> </w:t>
      </w:r>
      <w:r w:rsidR="00AE2FF6" w:rsidRPr="00AE2FF6">
        <w:rPr>
          <w:lang w:val="es-ES"/>
        </w:rPr>
        <w:t xml:space="preserve">Los datos clínicos son </w:t>
      </w:r>
      <w:r w:rsidR="00AE2FF6" w:rsidRPr="00AE2FF6">
        <w:rPr>
          <w:lang w:val="es-ES"/>
        </w:rPr>
        <w:lastRenderedPageBreak/>
        <w:t xml:space="preserve">insuficientes para evaluar la posible incidencia de tumores malignos después de la exposición a </w:t>
      </w:r>
      <w:r w:rsidR="00AE2FF6">
        <w:rPr>
          <w:lang w:val="es-ES"/>
        </w:rPr>
        <w:t>tocilizumab</w:t>
      </w:r>
      <w:r w:rsidR="00AE2FF6" w:rsidRPr="00AE2FF6">
        <w:rPr>
          <w:lang w:val="es-ES"/>
        </w:rPr>
        <w:t xml:space="preserve">. </w:t>
      </w:r>
      <w:r w:rsidR="00952815">
        <w:rPr>
          <w:lang w:val="es-ES"/>
        </w:rPr>
        <w:t>Se están realizando</w:t>
      </w:r>
      <w:r w:rsidR="00AE2FF6" w:rsidRPr="00AE2FF6">
        <w:rPr>
          <w:lang w:val="es-ES"/>
        </w:rPr>
        <w:t xml:space="preserve"> evaluaciones de seguridad a largo plazo.</w:t>
      </w:r>
    </w:p>
    <w:p w14:paraId="2351CA25" w14:textId="77777777" w:rsidR="00DC224A" w:rsidRPr="008A106B" w:rsidRDefault="00DC224A" w:rsidP="00DC224A">
      <w:pPr>
        <w:ind w:left="567" w:hanging="567"/>
        <w:outlineLvl w:val="0"/>
        <w:rPr>
          <w:lang w:val="es-ES"/>
        </w:rPr>
      </w:pPr>
    </w:p>
    <w:p w14:paraId="13C4A797" w14:textId="77777777" w:rsidR="00DC224A" w:rsidRPr="008A106B" w:rsidRDefault="00DC224A" w:rsidP="00DC224A">
      <w:pPr>
        <w:ind w:left="567" w:hanging="567"/>
        <w:outlineLvl w:val="0"/>
        <w:rPr>
          <w:i/>
          <w:iCs/>
          <w:lang w:val="es-ES"/>
        </w:rPr>
      </w:pPr>
      <w:r w:rsidRPr="008A106B">
        <w:rPr>
          <w:i/>
          <w:iCs/>
          <w:lang w:val="es-ES_tradnl"/>
        </w:rPr>
        <w:t>Vacunación</w:t>
      </w:r>
    </w:p>
    <w:p w14:paraId="7A5DFD88" w14:textId="5E097990" w:rsidR="00DC224A" w:rsidRPr="008A106B" w:rsidRDefault="00DC224A" w:rsidP="00DC224A">
      <w:pPr>
        <w:rPr>
          <w:lang w:val="es-ES"/>
        </w:rPr>
      </w:pPr>
      <w:r w:rsidRPr="008A106B">
        <w:rPr>
          <w:lang w:val="es-ES_tradnl"/>
        </w:rPr>
        <w:t xml:space="preserve">No deben administrarse vacunas vivas o vivas atenuadas simultáneamente con </w:t>
      </w:r>
      <w:r w:rsidR="00AE2FF6">
        <w:rPr>
          <w:lang w:val="es-ES_tradnl"/>
        </w:rPr>
        <w:t>este medicamento</w:t>
      </w:r>
      <w:r w:rsidRPr="008A106B">
        <w:rPr>
          <w:lang w:val="es-ES_tradnl"/>
        </w:rPr>
        <w:t xml:space="preserve">, porque no se ha establecido la seguridad clínica. </w:t>
      </w:r>
      <w:r>
        <w:rPr>
          <w:lang w:val="es-ES_tradnl"/>
        </w:rPr>
        <w:t xml:space="preserve">En un ensayo, abierto, aleatorizado en pacientes adultos con AR tratados con </w:t>
      </w:r>
      <w:r w:rsidR="00AE2FF6">
        <w:rPr>
          <w:lang w:val="es-ES"/>
        </w:rPr>
        <w:t>tocilizumab</w:t>
      </w:r>
      <w:r>
        <w:rPr>
          <w:lang w:val="es-ES_tradnl"/>
        </w:rPr>
        <w:t xml:space="preserve"> y metotrexato lograron una respuesta eficaz a la vacuna neumocócica polisacárida 23 valente y a la vacuna del toxoide tetánico, que fue comparable a la respuesta observada en pacientes tratados con metotrexato sólo. </w:t>
      </w:r>
      <w:r w:rsidRPr="008A106B">
        <w:rPr>
          <w:lang w:val="es-ES_tradnl"/>
        </w:rPr>
        <w:t xml:space="preserve">Se recomienda que todos los pacientes, </w:t>
      </w:r>
      <w:r>
        <w:rPr>
          <w:lang w:val="es-ES_tradnl"/>
        </w:rPr>
        <w:t>especialmente los pacientes</w:t>
      </w:r>
      <w:r w:rsidR="00CC0773">
        <w:rPr>
          <w:lang w:val="es-ES_tradnl"/>
        </w:rPr>
        <w:t xml:space="preserve"> pediátricos o</w:t>
      </w:r>
      <w:r>
        <w:rPr>
          <w:lang w:val="es-ES_tradnl"/>
        </w:rPr>
        <w:t xml:space="preserve"> de edad avanzada, </w:t>
      </w:r>
      <w:r w:rsidRPr="008A106B">
        <w:rPr>
          <w:lang w:val="es-ES_tradnl"/>
        </w:rPr>
        <w:t>estén al día con su vacunación de acuerdo con los actuales calendarios de vacunación antes de comenzar el tratamiento. El intervalo entre la iniciación del tratamiento y la administración de vacunas vivas</w:t>
      </w:r>
      <w:r>
        <w:rPr>
          <w:lang w:val="es-ES_tradnl"/>
        </w:rPr>
        <w:t>,</w:t>
      </w:r>
      <w:r w:rsidRPr="008A106B">
        <w:rPr>
          <w:lang w:val="es-ES_tradnl"/>
        </w:rPr>
        <w:t xml:space="preserve"> debe estar de acuerdo con las guías actuales de vacunación de agentes inmunosupresores. </w:t>
      </w:r>
    </w:p>
    <w:p w14:paraId="02D434A9" w14:textId="77777777" w:rsidR="00DC224A" w:rsidRPr="008A106B" w:rsidRDefault="00DC224A" w:rsidP="00DC224A">
      <w:pPr>
        <w:rPr>
          <w:lang w:val="es-ES"/>
        </w:rPr>
      </w:pPr>
    </w:p>
    <w:p w14:paraId="21F4DA63" w14:textId="77777777" w:rsidR="00DC224A" w:rsidRPr="008A106B" w:rsidRDefault="00DC224A" w:rsidP="00DC224A">
      <w:pPr>
        <w:rPr>
          <w:i/>
          <w:iCs/>
          <w:lang w:val="es-ES"/>
        </w:rPr>
      </w:pPr>
      <w:r w:rsidRPr="008A106B">
        <w:rPr>
          <w:i/>
          <w:iCs/>
          <w:lang w:val="es-ES_tradnl"/>
        </w:rPr>
        <w:t>Riesgo cardiovascular</w:t>
      </w:r>
    </w:p>
    <w:p w14:paraId="496ADB23" w14:textId="77777777" w:rsidR="00DC224A" w:rsidRPr="008A106B" w:rsidRDefault="00DC224A" w:rsidP="00DC224A">
      <w:pPr>
        <w:rPr>
          <w:lang w:val="es-ES"/>
        </w:rPr>
      </w:pPr>
      <w:r w:rsidRPr="008A106B">
        <w:rPr>
          <w:lang w:val="es-ES_tradnl"/>
        </w:rPr>
        <w:t>Los pacientes con artritis reumatoide tienen mayor riesgo de trastornos cardiovasculares y deben tener tratamiento de sus factores de riesgo (p. ej., hipertensión, hiperlipidemia) como parte de la asistencia habitual.</w:t>
      </w:r>
    </w:p>
    <w:p w14:paraId="2365B006" w14:textId="77777777" w:rsidR="00DC224A" w:rsidRPr="008A106B" w:rsidRDefault="00DC224A" w:rsidP="00DC224A">
      <w:pPr>
        <w:rPr>
          <w:lang w:val="es-ES"/>
        </w:rPr>
      </w:pPr>
    </w:p>
    <w:p w14:paraId="0F1E95A6" w14:textId="77777777" w:rsidR="00DC224A" w:rsidRPr="008A106B" w:rsidRDefault="00DC224A" w:rsidP="00EF2448">
      <w:pPr>
        <w:keepNext/>
        <w:keepLines/>
        <w:rPr>
          <w:i/>
          <w:iCs/>
          <w:lang w:val="es-ES"/>
        </w:rPr>
      </w:pPr>
      <w:r w:rsidRPr="008A106B">
        <w:rPr>
          <w:i/>
          <w:iCs/>
          <w:lang w:val="es-ES_tradnl"/>
        </w:rPr>
        <w:t>Combinación con agentes antagonistas del TNF</w:t>
      </w:r>
    </w:p>
    <w:p w14:paraId="235FAF03" w14:textId="2F79979D" w:rsidR="00DC224A" w:rsidRDefault="00DC224A" w:rsidP="00EF2448">
      <w:pPr>
        <w:keepNext/>
        <w:keepLines/>
        <w:rPr>
          <w:lang w:val="es-ES_tradnl"/>
        </w:rPr>
      </w:pPr>
      <w:r w:rsidRPr="008A106B">
        <w:rPr>
          <w:lang w:val="es-ES_tradnl"/>
        </w:rPr>
        <w:t xml:space="preserve">No hay experiencia en el uso de </w:t>
      </w:r>
      <w:r w:rsidR="00AE2FF6">
        <w:rPr>
          <w:lang w:val="es-ES"/>
        </w:rPr>
        <w:t>tocilizumab</w:t>
      </w:r>
      <w:r w:rsidRPr="008A106B">
        <w:rPr>
          <w:lang w:val="es-ES_tradnl"/>
        </w:rPr>
        <w:t xml:space="preserve"> con antagonistas del TNF u otros tratamientos biológicos para la artritis reumatoide.</w:t>
      </w:r>
      <w:r w:rsidRPr="008A106B">
        <w:rPr>
          <w:lang w:val="es-ES"/>
        </w:rPr>
        <w:t xml:space="preserve"> </w:t>
      </w:r>
      <w:r w:rsidRPr="008A106B">
        <w:rPr>
          <w:lang w:val="es-ES_tradnl"/>
        </w:rPr>
        <w:t xml:space="preserve">No se recomienda el uso de </w:t>
      </w:r>
      <w:r w:rsidR="00AE2FF6">
        <w:rPr>
          <w:lang w:val="es-ES_tradnl"/>
        </w:rPr>
        <w:t>este medicamento</w:t>
      </w:r>
      <w:r w:rsidR="00AE2FF6" w:rsidRPr="008A106B">
        <w:rPr>
          <w:lang w:val="es-ES_tradnl"/>
        </w:rPr>
        <w:t xml:space="preserve"> </w:t>
      </w:r>
      <w:r w:rsidRPr="008A106B">
        <w:rPr>
          <w:lang w:val="es-ES_tradnl"/>
        </w:rPr>
        <w:t>con otros agentes biológicos.</w:t>
      </w:r>
    </w:p>
    <w:p w14:paraId="28C9D84A" w14:textId="4EB51512" w:rsidR="00AE2FF6" w:rsidRPr="008A106B" w:rsidDel="00000156" w:rsidRDefault="00AE2FF6" w:rsidP="00EF2448">
      <w:pPr>
        <w:keepNext/>
        <w:keepLines/>
        <w:rPr>
          <w:del w:id="1660" w:author="AUTHOR"/>
          <w:lang w:val="es-ES_tradnl"/>
        </w:rPr>
      </w:pPr>
    </w:p>
    <w:p w14:paraId="627B4C52" w14:textId="1385B79E" w:rsidR="00AE2FF6" w:rsidRPr="00F30AB8" w:rsidDel="004F14C2" w:rsidRDefault="00AE2FF6" w:rsidP="00AE2FF6">
      <w:pPr>
        <w:keepNext/>
        <w:keepLines/>
        <w:rPr>
          <w:moveFrom w:id="1661" w:author="AUTHOR"/>
          <w:i/>
          <w:iCs/>
          <w:lang w:val="es-ES"/>
        </w:rPr>
      </w:pPr>
      <w:moveFromRangeStart w:id="1662" w:author="AUTHOR" w:name="move221275491"/>
      <w:moveFrom w:id="1663" w:author="AUTHOR">
        <w:r w:rsidRPr="00F30AB8" w:rsidDel="004F14C2">
          <w:rPr>
            <w:i/>
            <w:iCs/>
            <w:lang w:val="es-ES"/>
          </w:rPr>
          <w:t>Polisorbato</w:t>
        </w:r>
      </w:moveFrom>
    </w:p>
    <w:p w14:paraId="1F566970" w14:textId="33A18DB6" w:rsidR="002D42CA" w:rsidRPr="00857C0F" w:rsidDel="004F14C2" w:rsidRDefault="00AE2FF6" w:rsidP="002D42CA">
      <w:pPr>
        <w:rPr>
          <w:moveFrom w:id="1664" w:author="AUTHOR"/>
          <w:lang w:val="es-ES"/>
        </w:rPr>
      </w:pPr>
      <w:moveFrom w:id="1665" w:author="AUTHOR">
        <w:r w:rsidRPr="00AE2FF6" w:rsidDel="004F14C2">
          <w:rPr>
            <w:lang w:val="es-ES"/>
          </w:rPr>
          <w:t>Este</w:t>
        </w:r>
        <w:r w:rsidR="00CC0773" w:rsidDel="004F14C2">
          <w:rPr>
            <w:lang w:val="es-ES"/>
          </w:rPr>
          <w:t xml:space="preserve"> </w:t>
        </w:r>
        <w:r w:rsidRPr="00AE2FF6" w:rsidDel="004F14C2">
          <w:rPr>
            <w:lang w:val="es-ES"/>
          </w:rPr>
          <w:t>medicamento</w:t>
        </w:r>
        <w:r w:rsidR="00CC0773" w:rsidDel="004F14C2">
          <w:rPr>
            <w:lang w:val="es-ES"/>
          </w:rPr>
          <w:t xml:space="preserve"> </w:t>
        </w:r>
        <w:r w:rsidRPr="00AE2FF6" w:rsidDel="004F14C2">
          <w:rPr>
            <w:lang w:val="es-ES"/>
          </w:rPr>
          <w:t>contiene</w:t>
        </w:r>
        <w:r w:rsidR="00CC0773" w:rsidDel="004F14C2">
          <w:rPr>
            <w:lang w:val="es-ES"/>
          </w:rPr>
          <w:t xml:space="preserve"> </w:t>
        </w:r>
        <w:r w:rsidRPr="00AE2FF6" w:rsidDel="004F14C2">
          <w:rPr>
            <w:lang w:val="es-ES"/>
          </w:rPr>
          <w:t>0,18 mg</w:t>
        </w:r>
        <w:r w:rsidR="00CC0773" w:rsidDel="004F14C2">
          <w:rPr>
            <w:lang w:val="es-ES"/>
          </w:rPr>
          <w:t xml:space="preserve"> </w:t>
        </w:r>
        <w:r w:rsidRPr="00AE2FF6" w:rsidDel="004F14C2">
          <w:rPr>
            <w:lang w:val="es-ES"/>
          </w:rPr>
          <w:t>de</w:t>
        </w:r>
        <w:r w:rsidR="00CC0773" w:rsidDel="004F14C2">
          <w:rPr>
            <w:lang w:val="es-ES"/>
          </w:rPr>
          <w:t xml:space="preserve"> </w:t>
        </w:r>
        <w:r w:rsidRPr="00AE2FF6" w:rsidDel="004F14C2">
          <w:rPr>
            <w:lang w:val="es-ES"/>
          </w:rPr>
          <w:t>polisorbato</w:t>
        </w:r>
        <w:r w:rsidR="00CC0773" w:rsidDel="004F14C2">
          <w:rPr>
            <w:lang w:val="es-ES"/>
          </w:rPr>
          <w:t xml:space="preserve"> </w:t>
        </w:r>
        <w:r w:rsidRPr="00AE2FF6" w:rsidDel="004F14C2">
          <w:rPr>
            <w:lang w:val="es-ES"/>
          </w:rPr>
          <w:t>80</w:t>
        </w:r>
        <w:r w:rsidR="00CC0773" w:rsidDel="004F14C2">
          <w:rPr>
            <w:lang w:val="es-ES"/>
          </w:rPr>
          <w:t xml:space="preserve"> </w:t>
        </w:r>
        <w:r w:rsidRPr="00AE2FF6" w:rsidDel="004F14C2">
          <w:rPr>
            <w:lang w:val="es-ES"/>
          </w:rPr>
          <w:t>en</w:t>
        </w:r>
        <w:r w:rsidR="00CC0773" w:rsidDel="004F14C2">
          <w:rPr>
            <w:lang w:val="es-ES"/>
          </w:rPr>
          <w:t xml:space="preserve"> </w:t>
        </w:r>
        <w:r w:rsidRPr="00AE2FF6" w:rsidDel="004F14C2">
          <w:rPr>
            <w:lang w:val="es-ES"/>
          </w:rPr>
          <w:t>cada</w:t>
        </w:r>
        <w:r w:rsidR="00CC0773" w:rsidDel="004F14C2">
          <w:rPr>
            <w:lang w:val="es-ES"/>
          </w:rPr>
          <w:t xml:space="preserve"> </w:t>
        </w:r>
        <w:r w:rsidRPr="00AE2FF6" w:rsidDel="004F14C2">
          <w:rPr>
            <w:lang w:val="es-ES"/>
          </w:rPr>
          <w:t>jeringa</w:t>
        </w:r>
        <w:r w:rsidR="00CC0773" w:rsidDel="004F14C2">
          <w:rPr>
            <w:lang w:val="es-ES"/>
          </w:rPr>
          <w:t xml:space="preserve"> </w:t>
        </w:r>
        <w:r w:rsidRPr="00AE2FF6" w:rsidDel="004F14C2">
          <w:rPr>
            <w:lang w:val="es-ES"/>
          </w:rPr>
          <w:t>de</w:t>
        </w:r>
        <w:r w:rsidR="00CC0773" w:rsidDel="004F14C2">
          <w:rPr>
            <w:lang w:val="es-ES"/>
          </w:rPr>
          <w:t xml:space="preserve"> </w:t>
        </w:r>
        <w:r w:rsidRPr="00AE2FF6" w:rsidDel="004F14C2">
          <w:rPr>
            <w:lang w:val="es-ES"/>
          </w:rPr>
          <w:t>162 mg/0,9 ml,</w:t>
        </w:r>
        <w:r w:rsidR="00CC0773" w:rsidDel="004F14C2">
          <w:rPr>
            <w:lang w:val="es-ES"/>
          </w:rPr>
          <w:t xml:space="preserve"> </w:t>
        </w:r>
        <w:r w:rsidRPr="00AE2FF6" w:rsidDel="004F14C2">
          <w:rPr>
            <w:lang w:val="es-ES"/>
          </w:rPr>
          <w:t>que equivale</w:t>
        </w:r>
        <w:r w:rsidR="00CC0773" w:rsidDel="004F14C2">
          <w:rPr>
            <w:lang w:val="es-ES"/>
          </w:rPr>
          <w:t xml:space="preserve"> </w:t>
        </w:r>
        <w:r w:rsidRPr="00AE2FF6" w:rsidDel="004F14C2">
          <w:rPr>
            <w:lang w:val="es-ES"/>
          </w:rPr>
          <w:t>a</w:t>
        </w:r>
        <w:r w:rsidR="00CC0773" w:rsidDel="004F14C2">
          <w:rPr>
            <w:lang w:val="es-ES"/>
          </w:rPr>
          <w:t xml:space="preserve"> </w:t>
        </w:r>
        <w:r w:rsidRPr="00AE2FF6" w:rsidDel="004F14C2">
          <w:rPr>
            <w:lang w:val="es-ES"/>
          </w:rPr>
          <w:t>0,2 mg/ml.</w:t>
        </w:r>
        <w:r w:rsidR="00CC0773" w:rsidDel="004F14C2">
          <w:rPr>
            <w:lang w:val="es-ES"/>
          </w:rPr>
          <w:t xml:space="preserve"> </w:t>
        </w:r>
        <w:r w:rsidRPr="00AE2FF6" w:rsidDel="004F14C2">
          <w:rPr>
            <w:lang w:val="es-ES"/>
          </w:rPr>
          <w:t>Los</w:t>
        </w:r>
        <w:r w:rsidR="00CC0773" w:rsidDel="004F14C2">
          <w:rPr>
            <w:lang w:val="es-ES"/>
          </w:rPr>
          <w:t xml:space="preserve"> </w:t>
        </w:r>
        <w:r w:rsidRPr="00AE2FF6" w:rsidDel="004F14C2">
          <w:rPr>
            <w:lang w:val="es-ES"/>
          </w:rPr>
          <w:t>polisorbatos</w:t>
        </w:r>
        <w:r w:rsidR="00CC0773" w:rsidDel="004F14C2">
          <w:rPr>
            <w:lang w:val="es-ES"/>
          </w:rPr>
          <w:t xml:space="preserve"> </w:t>
        </w:r>
        <w:r w:rsidRPr="00AE2FF6" w:rsidDel="004F14C2">
          <w:rPr>
            <w:lang w:val="es-ES"/>
          </w:rPr>
          <w:t>pueden</w:t>
        </w:r>
        <w:r w:rsidR="00CC0773" w:rsidDel="004F14C2">
          <w:rPr>
            <w:lang w:val="es-ES"/>
          </w:rPr>
          <w:t xml:space="preserve"> </w:t>
        </w:r>
        <w:r w:rsidRPr="00AE2FF6" w:rsidDel="004F14C2">
          <w:rPr>
            <w:lang w:val="es-ES"/>
          </w:rPr>
          <w:t>causar</w:t>
        </w:r>
        <w:r w:rsidR="00CC0773" w:rsidDel="004F14C2">
          <w:rPr>
            <w:lang w:val="es-ES"/>
          </w:rPr>
          <w:t xml:space="preserve"> </w:t>
        </w:r>
        <w:r w:rsidRPr="00AE2FF6" w:rsidDel="004F14C2">
          <w:rPr>
            <w:lang w:val="es-ES"/>
          </w:rPr>
          <w:t>reacciones</w:t>
        </w:r>
        <w:r w:rsidR="00CC0773" w:rsidDel="004F14C2">
          <w:rPr>
            <w:lang w:val="es-ES"/>
          </w:rPr>
          <w:t xml:space="preserve"> </w:t>
        </w:r>
        <w:r w:rsidRPr="00AE2FF6" w:rsidDel="004F14C2">
          <w:rPr>
            <w:lang w:val="es-ES"/>
          </w:rPr>
          <w:t>alérgicas.</w:t>
        </w:r>
        <w:r w:rsidR="002D42CA" w:rsidDel="004F14C2">
          <w:rPr>
            <w:lang w:val="es-ES"/>
          </w:rPr>
          <w:t xml:space="preserve"> </w:t>
        </w:r>
        <w:r w:rsidR="006D747C" w:rsidDel="004F14C2">
          <w:rPr>
            <w:lang w:val="es-ES"/>
          </w:rPr>
          <w:t xml:space="preserve"> </w:t>
        </w:r>
        <w:r w:rsidR="006D747C" w:rsidRPr="006D747C" w:rsidDel="004F14C2">
          <w:rPr>
            <w:lang w:val="es-ES"/>
          </w:rPr>
          <w:t>Se debe tener en cuenta las alergias conocidas de los pacientes.</w:t>
        </w:r>
      </w:moveFrom>
    </w:p>
    <w:moveFromRangeEnd w:id="1662"/>
    <w:p w14:paraId="41D29691" w14:textId="77777777" w:rsidR="00DC224A" w:rsidRDefault="00DC224A" w:rsidP="00EF2448">
      <w:pPr>
        <w:keepNext/>
        <w:keepLines/>
        <w:rPr>
          <w:lang w:val="es-ES_tradnl"/>
        </w:rPr>
      </w:pPr>
    </w:p>
    <w:p w14:paraId="46E7125D" w14:textId="77777777" w:rsidR="00DC224A" w:rsidRDefault="00042DC3" w:rsidP="00A50280">
      <w:pPr>
        <w:keepNext/>
        <w:keepLines/>
        <w:rPr>
          <w:u w:val="single"/>
          <w:lang w:val="es-ES_tradnl"/>
        </w:rPr>
      </w:pPr>
      <w:r w:rsidRPr="00F30AB8">
        <w:rPr>
          <w:u w:val="single"/>
          <w:lang w:val="es-ES_tradnl"/>
        </w:rPr>
        <w:t xml:space="preserve">Pacientes con </w:t>
      </w:r>
      <w:r w:rsidR="00DC224A" w:rsidRPr="00F30AB8">
        <w:rPr>
          <w:u w:val="single"/>
          <w:lang w:val="es-ES_tradnl"/>
        </w:rPr>
        <w:t>ACG</w:t>
      </w:r>
    </w:p>
    <w:p w14:paraId="29B863E3" w14:textId="77777777" w:rsidR="00042DC3" w:rsidRPr="00F30AB8" w:rsidRDefault="00042DC3" w:rsidP="00A50280">
      <w:pPr>
        <w:keepNext/>
        <w:keepLines/>
        <w:rPr>
          <w:u w:val="single"/>
          <w:lang w:val="es-ES_tradnl"/>
        </w:rPr>
      </w:pPr>
    </w:p>
    <w:p w14:paraId="21DCB6BC" w14:textId="0F3F0D14" w:rsidR="00DC224A" w:rsidRDefault="00AE2FF6" w:rsidP="00DC224A">
      <w:pPr>
        <w:rPr>
          <w:lang w:val="es-ES_tradnl"/>
        </w:rPr>
      </w:pPr>
      <w:r>
        <w:rPr>
          <w:lang w:val="es-ES_tradnl"/>
        </w:rPr>
        <w:t>Tocilizumab</w:t>
      </w:r>
      <w:r w:rsidRPr="002009C1">
        <w:rPr>
          <w:lang w:val="es-ES_tradnl"/>
        </w:rPr>
        <w:t xml:space="preserve"> </w:t>
      </w:r>
      <w:r w:rsidR="00DC224A" w:rsidRPr="002009C1">
        <w:rPr>
          <w:lang w:val="es-ES_tradnl"/>
        </w:rPr>
        <w:t>en monoterapia no debe usarse en el tratamiento de recaídas agudas, ya que la eficacia en estos casos no ha sido establecida. Los glu</w:t>
      </w:r>
      <w:r w:rsidR="00DC224A" w:rsidRPr="00606BCF">
        <w:rPr>
          <w:lang w:val="es-ES_tradnl"/>
        </w:rPr>
        <w:t>cocorticoide</w:t>
      </w:r>
      <w:r w:rsidR="00DC224A" w:rsidRPr="006C05BA">
        <w:rPr>
          <w:lang w:val="es-ES_tradnl"/>
        </w:rPr>
        <w:t>s deben ser administrados de acuerdo con el</w:t>
      </w:r>
      <w:r w:rsidR="00DC224A" w:rsidRPr="00C22F3F">
        <w:rPr>
          <w:lang w:val="es-ES_tradnl"/>
        </w:rPr>
        <w:t xml:space="preserve"> criterio médico y las guías de práctica clínica.</w:t>
      </w:r>
    </w:p>
    <w:p w14:paraId="2B5B17C6" w14:textId="77777777" w:rsidR="00B35BF8" w:rsidRDefault="00B35BF8" w:rsidP="00DC224A">
      <w:pPr>
        <w:rPr>
          <w:lang w:val="es-ES_tradnl"/>
        </w:rPr>
      </w:pPr>
    </w:p>
    <w:p w14:paraId="60ABD9B9" w14:textId="77777777" w:rsidR="00B35BF8" w:rsidRDefault="00B35BF8" w:rsidP="00B35BF8">
      <w:pPr>
        <w:keepNext/>
        <w:rPr>
          <w:u w:val="single"/>
          <w:lang w:val="es-ES_tradnl"/>
        </w:rPr>
      </w:pPr>
      <w:r w:rsidRPr="00F30AB8">
        <w:rPr>
          <w:u w:val="single"/>
          <w:lang w:val="es-ES_tradnl"/>
        </w:rPr>
        <w:t>Pacientes con AIJs</w:t>
      </w:r>
    </w:p>
    <w:p w14:paraId="3BCC8365" w14:textId="77777777" w:rsidR="00042DC3" w:rsidRPr="00F30AB8" w:rsidRDefault="00042DC3" w:rsidP="00B35BF8">
      <w:pPr>
        <w:keepNext/>
        <w:rPr>
          <w:u w:val="single"/>
          <w:lang w:val="es-ES"/>
        </w:rPr>
      </w:pPr>
    </w:p>
    <w:p w14:paraId="703B8B17" w14:textId="77777777" w:rsidR="004F14C2" w:rsidRDefault="00B35BF8" w:rsidP="004F14C2">
      <w:pPr>
        <w:keepNext/>
        <w:keepLines/>
        <w:rPr>
          <w:ins w:id="1666" w:author="AUTHOR"/>
          <w:lang w:val="es-ES"/>
        </w:rPr>
      </w:pPr>
      <w:r w:rsidRPr="008A106B">
        <w:rPr>
          <w:lang w:val="es-ES"/>
        </w:rPr>
        <w:t>El síndrome de activación de macrófagos (SAM) es un trastorno grave y potencialmente mortal que puede desarrollarse en pacientes con AIJs. En los ensayos clínicos con tocilizumab no se han estudiado pacientes durante un episodio de SAM</w:t>
      </w:r>
      <w:r>
        <w:rPr>
          <w:lang w:val="es-ES"/>
        </w:rPr>
        <w:t xml:space="preserve"> activo.</w:t>
      </w:r>
    </w:p>
    <w:p w14:paraId="7DB483A5" w14:textId="77777777" w:rsidR="004F14C2" w:rsidRDefault="004F14C2" w:rsidP="004F14C2">
      <w:pPr>
        <w:keepNext/>
        <w:keepLines/>
        <w:rPr>
          <w:ins w:id="1667" w:author="AUTHOR"/>
          <w:lang w:val="es-ES"/>
        </w:rPr>
      </w:pPr>
    </w:p>
    <w:p w14:paraId="48C80574" w14:textId="7BA4B1AC" w:rsidR="004F14C2" w:rsidRPr="00F30AB8" w:rsidRDefault="004F14C2" w:rsidP="004F14C2">
      <w:pPr>
        <w:keepNext/>
        <w:keepLines/>
        <w:rPr>
          <w:moveTo w:id="1668" w:author="AUTHOR"/>
          <w:i/>
          <w:iCs/>
          <w:lang w:val="es-ES"/>
        </w:rPr>
      </w:pPr>
      <w:moveToRangeStart w:id="1669" w:author="AUTHOR" w:name="move221275491"/>
      <w:moveTo w:id="1670" w:author="AUTHOR">
        <w:r w:rsidRPr="00F30AB8">
          <w:rPr>
            <w:i/>
            <w:iCs/>
            <w:lang w:val="es-ES"/>
          </w:rPr>
          <w:t>Polisorbato</w:t>
        </w:r>
      </w:moveTo>
      <w:ins w:id="1671" w:author="AUTHOR">
        <w:r w:rsidR="000C57B3">
          <w:rPr>
            <w:i/>
            <w:iCs/>
            <w:lang w:val="es-ES"/>
          </w:rPr>
          <w:t xml:space="preserve"> 80(E 433)</w:t>
        </w:r>
      </w:ins>
    </w:p>
    <w:p w14:paraId="3C8607CF" w14:textId="77777777" w:rsidR="004F14C2" w:rsidRPr="00857C0F" w:rsidDel="004F14C2" w:rsidRDefault="004F14C2" w:rsidP="004F14C2">
      <w:pPr>
        <w:rPr>
          <w:del w:id="1672" w:author="AUTHOR"/>
          <w:moveTo w:id="1673" w:author="AUTHOR"/>
          <w:lang w:val="es-ES"/>
        </w:rPr>
      </w:pPr>
      <w:moveTo w:id="1674" w:author="AUTHOR">
        <w:r w:rsidRPr="00AE2FF6">
          <w:rPr>
            <w:lang w:val="es-ES"/>
          </w:rPr>
          <w:t>Este</w:t>
        </w:r>
        <w:r>
          <w:rPr>
            <w:lang w:val="es-ES"/>
          </w:rPr>
          <w:t xml:space="preserve"> </w:t>
        </w:r>
        <w:r w:rsidRPr="00AE2FF6">
          <w:rPr>
            <w:lang w:val="es-ES"/>
          </w:rPr>
          <w:t>medicamento</w:t>
        </w:r>
        <w:r>
          <w:rPr>
            <w:lang w:val="es-ES"/>
          </w:rPr>
          <w:t xml:space="preserve"> </w:t>
        </w:r>
        <w:r w:rsidRPr="00AE2FF6">
          <w:rPr>
            <w:lang w:val="es-ES"/>
          </w:rPr>
          <w:t>contiene</w:t>
        </w:r>
        <w:r>
          <w:rPr>
            <w:lang w:val="es-ES"/>
          </w:rPr>
          <w:t xml:space="preserve"> </w:t>
        </w:r>
        <w:r w:rsidRPr="00AE2FF6">
          <w:rPr>
            <w:lang w:val="es-ES"/>
          </w:rPr>
          <w:t>0,18 mg</w:t>
        </w:r>
        <w:r>
          <w:rPr>
            <w:lang w:val="es-ES"/>
          </w:rPr>
          <w:t xml:space="preserve"> </w:t>
        </w:r>
        <w:r w:rsidRPr="00AE2FF6">
          <w:rPr>
            <w:lang w:val="es-ES"/>
          </w:rPr>
          <w:t>de</w:t>
        </w:r>
        <w:r>
          <w:rPr>
            <w:lang w:val="es-ES"/>
          </w:rPr>
          <w:t xml:space="preserve"> </w:t>
        </w:r>
        <w:r w:rsidRPr="00AE2FF6">
          <w:rPr>
            <w:lang w:val="es-ES"/>
          </w:rPr>
          <w:t>polisorbato</w:t>
        </w:r>
        <w:r>
          <w:rPr>
            <w:lang w:val="es-ES"/>
          </w:rPr>
          <w:t xml:space="preserve"> </w:t>
        </w:r>
        <w:r w:rsidRPr="00AE2FF6">
          <w:rPr>
            <w:lang w:val="es-ES"/>
          </w:rPr>
          <w:t>80</w:t>
        </w:r>
        <w:r>
          <w:rPr>
            <w:lang w:val="es-ES"/>
          </w:rPr>
          <w:t xml:space="preserve"> </w:t>
        </w:r>
        <w:r w:rsidRPr="00AE2FF6">
          <w:rPr>
            <w:lang w:val="es-ES"/>
          </w:rPr>
          <w:t>en</w:t>
        </w:r>
        <w:r>
          <w:rPr>
            <w:lang w:val="es-ES"/>
          </w:rPr>
          <w:t xml:space="preserve"> </w:t>
        </w:r>
        <w:r w:rsidRPr="00AE2FF6">
          <w:rPr>
            <w:lang w:val="es-ES"/>
          </w:rPr>
          <w:t>cada</w:t>
        </w:r>
        <w:r>
          <w:rPr>
            <w:lang w:val="es-ES"/>
          </w:rPr>
          <w:t xml:space="preserve"> </w:t>
        </w:r>
        <w:r w:rsidRPr="00AE2FF6">
          <w:rPr>
            <w:lang w:val="es-ES"/>
          </w:rPr>
          <w:t>jeringa</w:t>
        </w:r>
        <w:r>
          <w:rPr>
            <w:lang w:val="es-ES"/>
          </w:rPr>
          <w:t xml:space="preserve"> </w:t>
        </w:r>
        <w:r w:rsidRPr="00AE2FF6">
          <w:rPr>
            <w:lang w:val="es-ES"/>
          </w:rPr>
          <w:t>de</w:t>
        </w:r>
        <w:r>
          <w:rPr>
            <w:lang w:val="es-ES"/>
          </w:rPr>
          <w:t xml:space="preserve"> </w:t>
        </w:r>
        <w:r w:rsidRPr="00AE2FF6">
          <w:rPr>
            <w:lang w:val="es-ES"/>
          </w:rPr>
          <w:t>162 mg/0,9 ml,</w:t>
        </w:r>
        <w:r>
          <w:rPr>
            <w:lang w:val="es-ES"/>
          </w:rPr>
          <w:t xml:space="preserve"> </w:t>
        </w:r>
        <w:r w:rsidRPr="00AE2FF6">
          <w:rPr>
            <w:lang w:val="es-ES"/>
          </w:rPr>
          <w:t>que equivale</w:t>
        </w:r>
        <w:r>
          <w:rPr>
            <w:lang w:val="es-ES"/>
          </w:rPr>
          <w:t xml:space="preserve"> </w:t>
        </w:r>
        <w:r w:rsidRPr="00AE2FF6">
          <w:rPr>
            <w:lang w:val="es-ES"/>
          </w:rPr>
          <w:t>a</w:t>
        </w:r>
        <w:r>
          <w:rPr>
            <w:lang w:val="es-ES"/>
          </w:rPr>
          <w:t xml:space="preserve"> </w:t>
        </w:r>
        <w:r w:rsidRPr="00AE2FF6">
          <w:rPr>
            <w:lang w:val="es-ES"/>
          </w:rPr>
          <w:t>0,2 mg/ml.</w:t>
        </w:r>
        <w:r>
          <w:rPr>
            <w:lang w:val="es-ES"/>
          </w:rPr>
          <w:t xml:space="preserve"> </w:t>
        </w:r>
        <w:r w:rsidRPr="00AE2FF6">
          <w:rPr>
            <w:lang w:val="es-ES"/>
          </w:rPr>
          <w:t>Los</w:t>
        </w:r>
        <w:r>
          <w:rPr>
            <w:lang w:val="es-ES"/>
          </w:rPr>
          <w:t xml:space="preserve"> </w:t>
        </w:r>
        <w:r w:rsidRPr="00AE2FF6">
          <w:rPr>
            <w:lang w:val="es-ES"/>
          </w:rPr>
          <w:t>polisorbatos</w:t>
        </w:r>
        <w:r>
          <w:rPr>
            <w:lang w:val="es-ES"/>
          </w:rPr>
          <w:t xml:space="preserve"> </w:t>
        </w:r>
        <w:r w:rsidRPr="00AE2FF6">
          <w:rPr>
            <w:lang w:val="es-ES"/>
          </w:rPr>
          <w:t>pueden</w:t>
        </w:r>
        <w:r>
          <w:rPr>
            <w:lang w:val="es-ES"/>
          </w:rPr>
          <w:t xml:space="preserve"> </w:t>
        </w:r>
        <w:r w:rsidRPr="00AE2FF6">
          <w:rPr>
            <w:lang w:val="es-ES"/>
          </w:rPr>
          <w:t>causar</w:t>
        </w:r>
        <w:r>
          <w:rPr>
            <w:lang w:val="es-ES"/>
          </w:rPr>
          <w:t xml:space="preserve"> </w:t>
        </w:r>
        <w:r w:rsidRPr="00AE2FF6">
          <w:rPr>
            <w:lang w:val="es-ES"/>
          </w:rPr>
          <w:t>reacciones</w:t>
        </w:r>
        <w:r>
          <w:rPr>
            <w:lang w:val="es-ES"/>
          </w:rPr>
          <w:t xml:space="preserve"> </w:t>
        </w:r>
        <w:r w:rsidRPr="00AE2FF6">
          <w:rPr>
            <w:lang w:val="es-ES"/>
          </w:rPr>
          <w:t>alérgicas.</w:t>
        </w:r>
        <w:r>
          <w:rPr>
            <w:lang w:val="es-ES"/>
          </w:rPr>
          <w:t xml:space="preserve">  </w:t>
        </w:r>
        <w:r w:rsidRPr="006D747C">
          <w:rPr>
            <w:lang w:val="es-ES"/>
          </w:rPr>
          <w:t>Se debe tener en cuenta las alergias conocidas de los pacientes.</w:t>
        </w:r>
      </w:moveTo>
    </w:p>
    <w:moveToRangeEnd w:id="1669"/>
    <w:p w14:paraId="2FD996D4" w14:textId="7CE673C7" w:rsidR="00B35BF8" w:rsidRPr="0017503E" w:rsidRDefault="00B35BF8" w:rsidP="00B35BF8">
      <w:pPr>
        <w:rPr>
          <w:lang w:val="es-ES_tradnl"/>
        </w:rPr>
      </w:pPr>
    </w:p>
    <w:p w14:paraId="497C1463" w14:textId="77777777" w:rsidR="00B35BF8" w:rsidRPr="0017503E" w:rsidRDefault="00B35BF8" w:rsidP="00DC224A">
      <w:pPr>
        <w:rPr>
          <w:lang w:val="es-ES_tradnl"/>
        </w:rPr>
      </w:pPr>
    </w:p>
    <w:p w14:paraId="3826FDD8" w14:textId="77777777" w:rsidR="00DC224A" w:rsidRDefault="00DC224A" w:rsidP="00DC224A">
      <w:pPr>
        <w:keepNext/>
        <w:ind w:left="567" w:hanging="567"/>
        <w:outlineLvl w:val="0"/>
        <w:rPr>
          <w:b/>
          <w:bCs/>
          <w:lang w:val="es-ES_tradnl"/>
        </w:rPr>
      </w:pPr>
      <w:r w:rsidRPr="008A106B">
        <w:rPr>
          <w:b/>
          <w:bCs/>
          <w:lang w:val="es-ES"/>
        </w:rPr>
        <w:t>4.5</w:t>
      </w:r>
      <w:r w:rsidRPr="008A106B">
        <w:rPr>
          <w:b/>
          <w:bCs/>
          <w:lang w:val="es-ES"/>
        </w:rPr>
        <w:tab/>
      </w:r>
      <w:r w:rsidRPr="008A106B">
        <w:rPr>
          <w:b/>
          <w:bCs/>
          <w:lang w:val="es-ES_tradnl"/>
        </w:rPr>
        <w:t>Interacción con otros medicamentos y otras formas de interacción</w:t>
      </w:r>
    </w:p>
    <w:p w14:paraId="4AE5262E" w14:textId="77777777" w:rsidR="00DC224A" w:rsidRDefault="00DC224A" w:rsidP="00DC224A">
      <w:pPr>
        <w:keepNext/>
        <w:ind w:left="567" w:hanging="567"/>
        <w:outlineLvl w:val="0"/>
        <w:rPr>
          <w:b/>
          <w:bCs/>
          <w:lang w:val="es-ES_tradnl"/>
        </w:rPr>
      </w:pPr>
    </w:p>
    <w:p w14:paraId="53F67CF7" w14:textId="77777777" w:rsidR="00DC224A" w:rsidRDefault="00DC224A" w:rsidP="00DC224A">
      <w:pPr>
        <w:rPr>
          <w:lang w:val="es-ES"/>
        </w:rPr>
      </w:pPr>
      <w:r w:rsidRPr="008A106B">
        <w:rPr>
          <w:lang w:val="es-ES"/>
        </w:rPr>
        <w:t>Los e</w:t>
      </w:r>
      <w:r>
        <w:rPr>
          <w:lang w:val="es-ES"/>
        </w:rPr>
        <w:t>nsay</w:t>
      </w:r>
      <w:r w:rsidRPr="008A106B">
        <w:rPr>
          <w:lang w:val="es-ES"/>
        </w:rPr>
        <w:t>os de interacciones s</w:t>
      </w:r>
      <w:r>
        <w:rPr>
          <w:lang w:val="es-ES"/>
        </w:rPr>
        <w:t>e han realizado sólo en adultos.</w:t>
      </w:r>
    </w:p>
    <w:p w14:paraId="3224E9CC" w14:textId="77777777" w:rsidR="00DC224A" w:rsidRDefault="00DC224A" w:rsidP="00DC224A">
      <w:pPr>
        <w:rPr>
          <w:lang w:val="es-ES"/>
        </w:rPr>
      </w:pPr>
    </w:p>
    <w:p w14:paraId="4D29F753" w14:textId="7EE9EC98" w:rsidR="00DC224A" w:rsidRPr="008A106B" w:rsidRDefault="00DC224A" w:rsidP="00DC224A">
      <w:pPr>
        <w:rPr>
          <w:lang w:val="es-ES"/>
        </w:rPr>
      </w:pPr>
      <w:r w:rsidRPr="008A106B">
        <w:rPr>
          <w:lang w:val="es-ES_tradnl"/>
        </w:rPr>
        <w:t xml:space="preserve">La administración simultánea de una dosis única de 10 mg/kg de </w:t>
      </w:r>
      <w:r w:rsidR="00AE2FF6">
        <w:rPr>
          <w:lang w:val="es-ES"/>
        </w:rPr>
        <w:t>tocilizumab</w:t>
      </w:r>
      <w:r w:rsidRPr="008A106B">
        <w:rPr>
          <w:lang w:val="es-ES_tradnl"/>
        </w:rPr>
        <w:t xml:space="preserve"> con 10-25 mg de metotrexato una vez por semana no tuvo efecto clínicamente significativo en la exposición al </w:t>
      </w:r>
      <w:r w:rsidR="00042DC3">
        <w:rPr>
          <w:lang w:val="es-ES_tradnl"/>
        </w:rPr>
        <w:t>MTX</w:t>
      </w:r>
      <w:r w:rsidRPr="008A106B">
        <w:rPr>
          <w:lang w:val="es-ES_tradnl"/>
        </w:rPr>
        <w:t>.</w:t>
      </w:r>
    </w:p>
    <w:p w14:paraId="5E01F82D" w14:textId="77777777" w:rsidR="00DC224A" w:rsidRPr="008A106B" w:rsidRDefault="00DC224A" w:rsidP="00DC224A">
      <w:pPr>
        <w:rPr>
          <w:lang w:val="es-ES_tradnl"/>
        </w:rPr>
      </w:pPr>
    </w:p>
    <w:p w14:paraId="0C9ACC10" w14:textId="1E439CE3" w:rsidR="00DC224A" w:rsidRPr="006868F5" w:rsidRDefault="00DC224A" w:rsidP="00DC224A">
      <w:pPr>
        <w:rPr>
          <w:lang w:val="es-ES"/>
        </w:rPr>
      </w:pPr>
      <w:r w:rsidRPr="008A106B">
        <w:rPr>
          <w:lang w:val="es-ES_tradnl"/>
        </w:rPr>
        <w:t xml:space="preserve">Los análisis farmacocinéticos de la población no revelaron ningún efecto en el aclaramiento de </w:t>
      </w:r>
      <w:r w:rsidR="00AE2FF6">
        <w:rPr>
          <w:lang w:val="es-ES"/>
        </w:rPr>
        <w:t>tocilizumab</w:t>
      </w:r>
      <w:r w:rsidRPr="006868F5">
        <w:rPr>
          <w:szCs w:val="22"/>
          <w:lang w:val="es-ES"/>
        </w:rPr>
        <w:t xml:space="preserve"> </w:t>
      </w:r>
      <w:r w:rsidRPr="008A106B">
        <w:rPr>
          <w:lang w:val="es-ES_tradnl"/>
        </w:rPr>
        <w:t>con MTX, AINEs o corticosteroides</w:t>
      </w:r>
      <w:r>
        <w:rPr>
          <w:lang w:val="es-ES_tradnl"/>
        </w:rPr>
        <w:t xml:space="preserve"> en pacientes con AR</w:t>
      </w:r>
      <w:r w:rsidRPr="008A106B">
        <w:rPr>
          <w:lang w:val="es-ES_tradnl"/>
        </w:rPr>
        <w:t>.</w:t>
      </w:r>
      <w:r>
        <w:rPr>
          <w:lang w:val="es-ES_tradnl"/>
        </w:rPr>
        <w:t xml:space="preserve"> En pacientes con ACG, no se observaron efectos de dosis acumuladas de corticosteroides durante la exposición a </w:t>
      </w:r>
      <w:r w:rsidR="00AE2FF6">
        <w:rPr>
          <w:lang w:val="es-ES"/>
        </w:rPr>
        <w:t>tocilizumab</w:t>
      </w:r>
      <w:r>
        <w:rPr>
          <w:szCs w:val="22"/>
          <w:lang w:val="es-ES"/>
        </w:rPr>
        <w:t>.</w:t>
      </w:r>
    </w:p>
    <w:p w14:paraId="29934300" w14:textId="77777777" w:rsidR="00DC224A" w:rsidRPr="008A106B" w:rsidRDefault="00DC224A" w:rsidP="00DC224A">
      <w:pPr>
        <w:rPr>
          <w:lang w:val="es-ES"/>
        </w:rPr>
      </w:pPr>
    </w:p>
    <w:p w14:paraId="117E31E4" w14:textId="22E679AC" w:rsidR="00DC224A" w:rsidRPr="008A106B" w:rsidRDefault="00DC224A" w:rsidP="00DC224A">
      <w:pPr>
        <w:rPr>
          <w:lang w:val="es-ES"/>
        </w:rPr>
      </w:pPr>
      <w:r w:rsidRPr="008A106B">
        <w:rPr>
          <w:lang w:val="es-ES_tradnl"/>
        </w:rPr>
        <w:lastRenderedPageBreak/>
        <w:t>La expresión de las enzimas CYP450 hepáticas se suprime por las citocinas, como la IL-6, que estimulan la inflamación crónica.</w:t>
      </w:r>
      <w:r w:rsidRPr="008A106B">
        <w:rPr>
          <w:lang w:val="es-ES"/>
        </w:rPr>
        <w:t xml:space="preserve"> </w:t>
      </w:r>
      <w:r w:rsidRPr="008A106B">
        <w:rPr>
          <w:lang w:val="es-ES_tradnl"/>
        </w:rPr>
        <w:t xml:space="preserve">Así pues, la expresión de CYP450 puede revertirse cuando se introduce un tratamiento potente inhibidor de las citocinas, como </w:t>
      </w:r>
      <w:r w:rsidR="00AE2FF6">
        <w:rPr>
          <w:lang w:val="es-ES"/>
        </w:rPr>
        <w:t>tocilizumab</w:t>
      </w:r>
      <w:r w:rsidRPr="008A106B">
        <w:rPr>
          <w:lang w:val="es-ES_tradnl"/>
        </w:rPr>
        <w:t>.</w:t>
      </w:r>
      <w:r w:rsidRPr="008A106B">
        <w:rPr>
          <w:lang w:val="es-ES"/>
        </w:rPr>
        <w:t xml:space="preserve"> </w:t>
      </w:r>
    </w:p>
    <w:p w14:paraId="314CB7F8" w14:textId="77777777" w:rsidR="00DC224A" w:rsidRPr="008A106B" w:rsidRDefault="00DC224A" w:rsidP="00DC224A">
      <w:pPr>
        <w:rPr>
          <w:lang w:val="es-ES"/>
        </w:rPr>
      </w:pPr>
    </w:p>
    <w:p w14:paraId="673A6B26" w14:textId="3CF2EF3B" w:rsidR="00DC224A" w:rsidRPr="008A106B" w:rsidRDefault="00DC224A" w:rsidP="00DC224A">
      <w:pPr>
        <w:rPr>
          <w:lang w:val="es-ES_tradnl"/>
        </w:rPr>
      </w:pPr>
      <w:r w:rsidRPr="008A106B">
        <w:rPr>
          <w:lang w:val="es-ES_tradnl"/>
        </w:rPr>
        <w:t>Los e</w:t>
      </w:r>
      <w:r>
        <w:rPr>
          <w:lang w:val="es-ES_tradnl"/>
        </w:rPr>
        <w:t>nsay</w:t>
      </w:r>
      <w:r w:rsidRPr="008A106B">
        <w:rPr>
          <w:lang w:val="es-ES_tradnl"/>
        </w:rPr>
        <w:t xml:space="preserve">os </w:t>
      </w:r>
      <w:r w:rsidRPr="008A106B">
        <w:rPr>
          <w:i/>
          <w:iCs/>
          <w:lang w:val="es-ES_tradnl"/>
        </w:rPr>
        <w:t>in vitro</w:t>
      </w:r>
      <w:r w:rsidRPr="008A106B">
        <w:rPr>
          <w:lang w:val="es-ES_tradnl"/>
        </w:rPr>
        <w:t xml:space="preserve"> con hepatocitos humanos cultivados demostraron que la IL-6 produjo una reducción de la expresión de enzimas CYP1A2, CYP2C9, CYP2C19 y CYP3A4. </w:t>
      </w:r>
      <w:r w:rsidR="00AE2FF6">
        <w:rPr>
          <w:lang w:val="es-ES_tradnl"/>
        </w:rPr>
        <w:t>T</w:t>
      </w:r>
      <w:r w:rsidR="00AE2FF6">
        <w:rPr>
          <w:lang w:val="es-ES"/>
        </w:rPr>
        <w:t>ocilizumab</w:t>
      </w:r>
      <w:ins w:id="1675" w:author="AUTHOR">
        <w:r w:rsidR="00FF2229">
          <w:rPr>
            <w:lang w:val="es-ES"/>
          </w:rPr>
          <w:t xml:space="preserve"> </w:t>
        </w:r>
      </w:ins>
      <w:r w:rsidRPr="008A106B">
        <w:rPr>
          <w:lang w:val="es-ES_tradnl"/>
        </w:rPr>
        <w:t>regulariza la expresión de estas enzimas.</w:t>
      </w:r>
    </w:p>
    <w:p w14:paraId="472D8AA3" w14:textId="77777777" w:rsidR="00DC224A" w:rsidRPr="008A106B" w:rsidRDefault="00DC224A" w:rsidP="00DC224A">
      <w:pPr>
        <w:rPr>
          <w:lang w:val="es-ES_tradnl"/>
        </w:rPr>
      </w:pPr>
    </w:p>
    <w:p w14:paraId="392C7664" w14:textId="6178B654" w:rsidR="00DC224A" w:rsidRPr="008A106B" w:rsidRDefault="00DC224A" w:rsidP="00DC224A">
      <w:pPr>
        <w:rPr>
          <w:lang w:val="es-ES"/>
        </w:rPr>
      </w:pPr>
      <w:r w:rsidRPr="008A106B">
        <w:rPr>
          <w:lang w:val="es-ES_tradnl"/>
        </w:rPr>
        <w:t xml:space="preserve">Una semana después de la administración de una dosis única de </w:t>
      </w:r>
      <w:r w:rsidR="00042DC3">
        <w:rPr>
          <w:rFonts w:eastAsia="SimSun"/>
          <w:szCs w:val="22"/>
          <w:lang w:val="es-ES" w:eastAsia="zh-CN" w:bidi="th-TH"/>
        </w:rPr>
        <w:t>tocilizumab</w:t>
      </w:r>
      <w:r w:rsidRPr="008A106B">
        <w:rPr>
          <w:lang w:val="es-ES_tradnl"/>
        </w:rPr>
        <w:t>, en un e</w:t>
      </w:r>
      <w:r>
        <w:rPr>
          <w:lang w:val="es-ES_tradnl"/>
        </w:rPr>
        <w:t>nsay</w:t>
      </w:r>
      <w:r w:rsidRPr="008A106B">
        <w:rPr>
          <w:lang w:val="es-ES_tradnl"/>
        </w:rPr>
        <w:t>o realizado en pacientes con AR, los niveles de simvastatina (CYP3A4) disminuyeron en un 57</w:t>
      </w:r>
      <w:r w:rsidR="00042DC3">
        <w:rPr>
          <w:lang w:val="es-ES_tradnl"/>
        </w:rPr>
        <w:t> </w:t>
      </w:r>
      <w:r w:rsidRPr="008A106B">
        <w:rPr>
          <w:lang w:val="es-ES_tradnl"/>
        </w:rPr>
        <w:t>%, a niveles similares o ligeramente superiores a los observados en sujetos sanos.</w:t>
      </w:r>
    </w:p>
    <w:p w14:paraId="79C6B8BC" w14:textId="77777777" w:rsidR="00DC224A" w:rsidRPr="008A106B" w:rsidRDefault="00DC224A" w:rsidP="00DC224A">
      <w:pPr>
        <w:rPr>
          <w:lang w:val="es-ES"/>
        </w:rPr>
      </w:pPr>
    </w:p>
    <w:p w14:paraId="57A9FF67" w14:textId="74A6F762" w:rsidR="00DC224A" w:rsidRPr="008A106B" w:rsidRDefault="00DC224A" w:rsidP="00DC224A">
      <w:pPr>
        <w:rPr>
          <w:lang w:val="es-ES"/>
        </w:rPr>
      </w:pPr>
      <w:r w:rsidRPr="008A106B">
        <w:rPr>
          <w:lang w:val="es-ES_tradnl"/>
        </w:rPr>
        <w:t xml:space="preserve">Cuando se comienza o se detiene el tratamiento con </w:t>
      </w:r>
      <w:r w:rsidR="00042DC3">
        <w:rPr>
          <w:rFonts w:eastAsia="SimSun"/>
          <w:szCs w:val="22"/>
          <w:lang w:val="es-ES" w:eastAsia="zh-CN" w:bidi="th-TH"/>
        </w:rPr>
        <w:t>tocilizumab</w:t>
      </w:r>
      <w:r w:rsidRPr="008A106B">
        <w:rPr>
          <w:lang w:val="es-ES_tradnl"/>
        </w:rPr>
        <w:t xml:space="preserve">, </w:t>
      </w:r>
      <w:r>
        <w:rPr>
          <w:lang w:val="es-ES_tradnl"/>
        </w:rPr>
        <w:t xml:space="preserve">se </w:t>
      </w:r>
      <w:r w:rsidRPr="008A106B">
        <w:rPr>
          <w:lang w:val="es-ES_tradnl"/>
        </w:rPr>
        <w:t>debe vigilar a los pacientes que toman medicamentos que se ajustan individualmente y se metabolizan mediante CYP450</w:t>
      </w:r>
      <w:r>
        <w:rPr>
          <w:lang w:val="es-ES_tradnl"/>
        </w:rPr>
        <w:t>, 3A4, 1A2 o 2C9</w:t>
      </w:r>
      <w:r w:rsidRPr="008A106B">
        <w:rPr>
          <w:lang w:val="es-ES_tradnl"/>
        </w:rPr>
        <w:t xml:space="preserve">  (p. ej., </w:t>
      </w:r>
      <w:r>
        <w:rPr>
          <w:lang w:val="es-ES_tradnl"/>
        </w:rPr>
        <w:t>metilprednisolona, dexametasona, (c</w:t>
      </w:r>
      <w:r w:rsidRPr="008204EA">
        <w:rPr>
          <w:lang w:val="es-ES_tradnl"/>
        </w:rPr>
        <w:t>on la posibilidad de</w:t>
      </w:r>
      <w:r>
        <w:rPr>
          <w:lang w:val="es-ES_tradnl"/>
        </w:rPr>
        <w:t xml:space="preserve"> padecer el síndrome de abstinencia</w:t>
      </w:r>
      <w:r w:rsidRPr="008204EA">
        <w:rPr>
          <w:lang w:val="es-ES_tradnl"/>
        </w:rPr>
        <w:t xml:space="preserve"> de </w:t>
      </w:r>
      <w:r>
        <w:rPr>
          <w:lang w:val="es-ES_tradnl"/>
        </w:rPr>
        <w:t xml:space="preserve">los </w:t>
      </w:r>
      <w:r w:rsidRPr="008204EA">
        <w:rPr>
          <w:lang w:val="es-ES_tradnl"/>
        </w:rPr>
        <w:t>glucocorticoides</w:t>
      </w:r>
      <w:r>
        <w:rPr>
          <w:lang w:val="es-ES_tradnl"/>
        </w:rPr>
        <w:t xml:space="preserve"> orales),</w:t>
      </w:r>
      <w:r w:rsidRPr="008204EA">
        <w:rPr>
          <w:lang w:val="es-ES_tradnl"/>
        </w:rPr>
        <w:t xml:space="preserve"> </w:t>
      </w:r>
      <w:r w:rsidRPr="008A106B">
        <w:rPr>
          <w:lang w:val="es-ES_tradnl"/>
        </w:rPr>
        <w:t xml:space="preserve">atorvastatina, antagonistas del canal del calcio, teofilina, warfarina, </w:t>
      </w:r>
      <w:r>
        <w:rPr>
          <w:lang w:val="es-ES_tradnl"/>
        </w:rPr>
        <w:t xml:space="preserve">fenprocumona, </w:t>
      </w:r>
      <w:r w:rsidRPr="008A106B">
        <w:rPr>
          <w:lang w:val="es-ES_tradnl"/>
        </w:rPr>
        <w:t>fenitoína, ciclosporina o benzodiazepinas), porque puede ser necesario un aumento de dosis para mantener el efecto terapéutico.</w:t>
      </w:r>
      <w:r w:rsidRPr="008A106B">
        <w:rPr>
          <w:lang w:val="es-ES"/>
        </w:rPr>
        <w:t xml:space="preserve"> </w:t>
      </w:r>
      <w:r w:rsidRPr="008A106B">
        <w:rPr>
          <w:lang w:val="es-ES_tradnl"/>
        </w:rPr>
        <w:t xml:space="preserve">Dada la larga semivida de eliminación </w:t>
      </w:r>
      <w:r w:rsidRPr="008A106B">
        <w:rPr>
          <w:iCs/>
          <w:lang w:val="es-ES"/>
        </w:rPr>
        <w:t>(t</w:t>
      </w:r>
      <w:r w:rsidRPr="008A106B">
        <w:rPr>
          <w:iCs/>
          <w:vertAlign w:val="subscript"/>
          <w:lang w:val="es-ES"/>
        </w:rPr>
        <w:t>1/2</w:t>
      </w:r>
      <w:r w:rsidRPr="008A106B">
        <w:rPr>
          <w:iCs/>
          <w:lang w:val="es-ES"/>
        </w:rPr>
        <w:t>)</w:t>
      </w:r>
      <w:r w:rsidRPr="008A106B">
        <w:rPr>
          <w:rFonts w:eastAsia="SimSun"/>
          <w:lang w:val="es-ES" w:eastAsia="zh-CN" w:bidi="th-TH"/>
        </w:rPr>
        <w:t>,</w:t>
      </w:r>
      <w:r w:rsidRPr="008A106B">
        <w:rPr>
          <w:lang w:val="es-ES_tradnl"/>
        </w:rPr>
        <w:t xml:space="preserve"> el efecto de </w:t>
      </w:r>
      <w:r w:rsidR="00042DC3">
        <w:rPr>
          <w:rFonts w:eastAsia="SimSun"/>
          <w:szCs w:val="22"/>
          <w:lang w:val="es-ES" w:eastAsia="zh-CN" w:bidi="th-TH"/>
        </w:rPr>
        <w:t>tocilizumab</w:t>
      </w:r>
      <w:r w:rsidR="00042DC3" w:rsidRPr="008A106B">
        <w:rPr>
          <w:lang w:val="es-ES_tradnl"/>
        </w:rPr>
        <w:t xml:space="preserve"> </w:t>
      </w:r>
      <w:r>
        <w:rPr>
          <w:lang w:val="es-ES_tradnl"/>
        </w:rPr>
        <w:t>sobre la actividad de</w:t>
      </w:r>
      <w:ins w:id="1676" w:author="AUTHOR">
        <w:r w:rsidR="00FF2229">
          <w:rPr>
            <w:lang w:val="es-ES_tradnl"/>
          </w:rPr>
          <w:t xml:space="preserve"> </w:t>
        </w:r>
      </w:ins>
      <w:r>
        <w:rPr>
          <w:lang w:val="es-ES_tradnl"/>
        </w:rPr>
        <w:t>l</w:t>
      </w:r>
      <w:ins w:id="1677" w:author="AUTHOR">
        <w:r w:rsidR="00FF2229">
          <w:rPr>
            <w:lang w:val="es-ES_tradnl"/>
          </w:rPr>
          <w:t>a</w:t>
        </w:r>
      </w:ins>
      <w:r>
        <w:rPr>
          <w:lang w:val="es-ES_tradnl"/>
        </w:rPr>
        <w:t xml:space="preserve"> enz</w:t>
      </w:r>
      <w:r w:rsidRPr="008A106B">
        <w:rPr>
          <w:lang w:val="es-ES_tradnl"/>
        </w:rPr>
        <w:t>ima CYP450</w:t>
      </w:r>
      <w:r>
        <w:rPr>
          <w:lang w:val="es-ES_tradnl"/>
        </w:rPr>
        <w:t>,</w:t>
      </w:r>
      <w:r w:rsidRPr="008A106B">
        <w:rPr>
          <w:lang w:val="es-ES_tradnl"/>
        </w:rPr>
        <w:t xml:space="preserve"> podría persistir durante varias semanas después de suspender el tratamiento.</w:t>
      </w:r>
      <w:r w:rsidRPr="008A106B">
        <w:rPr>
          <w:lang w:val="es-ES"/>
        </w:rPr>
        <w:t xml:space="preserve"> </w:t>
      </w:r>
    </w:p>
    <w:p w14:paraId="2FB7FD0B" w14:textId="77777777" w:rsidR="00DC224A" w:rsidRPr="00C555F2" w:rsidRDefault="00DC224A" w:rsidP="00DC224A">
      <w:pPr>
        <w:ind w:left="567" w:hanging="567"/>
        <w:outlineLvl w:val="0"/>
        <w:rPr>
          <w:b/>
          <w:bCs/>
          <w:lang w:val="es-ES"/>
        </w:rPr>
      </w:pPr>
    </w:p>
    <w:p w14:paraId="407354AE" w14:textId="77777777" w:rsidR="00DC224A" w:rsidRDefault="00DC224A" w:rsidP="00DC224A">
      <w:pPr>
        <w:ind w:left="567" w:hanging="567"/>
        <w:outlineLvl w:val="0"/>
        <w:rPr>
          <w:b/>
          <w:bCs/>
          <w:lang w:val="es-ES_tradnl"/>
        </w:rPr>
      </w:pPr>
      <w:r w:rsidRPr="008A106B">
        <w:rPr>
          <w:b/>
          <w:bCs/>
          <w:lang w:val="es-ES"/>
        </w:rPr>
        <w:t>4.6</w:t>
      </w:r>
      <w:r w:rsidRPr="008A106B">
        <w:rPr>
          <w:b/>
          <w:bCs/>
          <w:lang w:val="es-ES"/>
        </w:rPr>
        <w:tab/>
        <w:t xml:space="preserve">Fertilidad, </w:t>
      </w:r>
      <w:r w:rsidRPr="008A106B">
        <w:rPr>
          <w:b/>
          <w:bCs/>
          <w:lang w:val="es-ES_tradnl"/>
        </w:rPr>
        <w:t>embarazo y lactancia</w:t>
      </w:r>
    </w:p>
    <w:p w14:paraId="23846E34" w14:textId="77777777" w:rsidR="00DC224A" w:rsidRDefault="00DC224A" w:rsidP="00DC224A">
      <w:pPr>
        <w:ind w:left="567" w:hanging="567"/>
        <w:outlineLvl w:val="0"/>
        <w:rPr>
          <w:b/>
          <w:bCs/>
          <w:lang w:val="es-ES_tradnl"/>
        </w:rPr>
      </w:pPr>
    </w:p>
    <w:p w14:paraId="2A84964F" w14:textId="77777777" w:rsidR="00DC224A" w:rsidRDefault="00DC224A" w:rsidP="00DC224A">
      <w:pPr>
        <w:ind w:left="567" w:hanging="567"/>
        <w:outlineLvl w:val="0"/>
        <w:rPr>
          <w:bCs/>
          <w:u w:val="single"/>
          <w:lang w:val="es-ES"/>
        </w:rPr>
      </w:pPr>
      <w:r w:rsidRPr="000C2ADC">
        <w:rPr>
          <w:bCs/>
          <w:u w:val="single"/>
          <w:lang w:val="es-ES"/>
        </w:rPr>
        <w:t>Mujeres en edad fértil</w:t>
      </w:r>
    </w:p>
    <w:p w14:paraId="3B87313C" w14:textId="77777777" w:rsidR="00042DC3" w:rsidRPr="000C2ADC" w:rsidDel="000C57B3" w:rsidRDefault="00042DC3" w:rsidP="00467FFD">
      <w:pPr>
        <w:ind w:left="567" w:hanging="567"/>
        <w:outlineLvl w:val="0"/>
        <w:rPr>
          <w:del w:id="1678" w:author="AUTHOR"/>
          <w:bCs/>
          <w:u w:val="single"/>
          <w:lang w:val="es-ES"/>
        </w:rPr>
      </w:pPr>
    </w:p>
    <w:p w14:paraId="4C78B126" w14:textId="70F01DE4" w:rsidR="00DC224A" w:rsidRDefault="00DC224A">
      <w:pPr>
        <w:outlineLvl w:val="0"/>
        <w:rPr>
          <w:bCs/>
          <w:lang w:val="es-ES"/>
        </w:rPr>
        <w:pPrChange w:id="1679" w:author="AUTHOR">
          <w:pPr>
            <w:ind w:left="567" w:hanging="567"/>
            <w:outlineLvl w:val="0"/>
          </w:pPr>
        </w:pPrChange>
      </w:pPr>
      <w:r w:rsidRPr="000C2ADC">
        <w:rPr>
          <w:bCs/>
          <w:lang w:val="es-ES"/>
        </w:rPr>
        <w:t xml:space="preserve">Las mujeres en edad fértil </w:t>
      </w:r>
      <w:r w:rsidR="00AE2FF6" w:rsidRPr="00AB3CE2">
        <w:rPr>
          <w:bCs/>
          <w:lang w:val="es-ES"/>
        </w:rPr>
        <w:t>tienen que</w:t>
      </w:r>
      <w:r w:rsidR="00AE2FF6" w:rsidRPr="000C2ADC">
        <w:rPr>
          <w:bCs/>
          <w:lang w:val="es-ES"/>
        </w:rPr>
        <w:t xml:space="preserve"> </w:t>
      </w:r>
      <w:r w:rsidRPr="000C2ADC">
        <w:rPr>
          <w:bCs/>
          <w:lang w:val="es-ES"/>
        </w:rPr>
        <w:t>utilizar métodos anticonceptivos eficaces durante y hasta 3</w:t>
      </w:r>
      <w:r w:rsidR="00042DC3">
        <w:rPr>
          <w:bCs/>
          <w:lang w:val="es-ES"/>
        </w:rPr>
        <w:t> </w:t>
      </w:r>
      <w:r w:rsidRPr="000C2ADC">
        <w:rPr>
          <w:bCs/>
          <w:lang w:val="es-ES"/>
        </w:rPr>
        <w:t xml:space="preserve">meses </w:t>
      </w:r>
    </w:p>
    <w:p w14:paraId="4D30DD4A" w14:textId="77777777" w:rsidR="00DC224A" w:rsidRPr="000C2ADC" w:rsidRDefault="00DC224A" w:rsidP="00DC224A">
      <w:pPr>
        <w:ind w:left="567" w:hanging="567"/>
        <w:outlineLvl w:val="0"/>
        <w:rPr>
          <w:bCs/>
          <w:lang w:val="es-ES"/>
        </w:rPr>
      </w:pPr>
      <w:r w:rsidRPr="000C2ADC">
        <w:rPr>
          <w:bCs/>
          <w:lang w:val="es-ES"/>
        </w:rPr>
        <w:t>después del tratamiento.</w:t>
      </w:r>
    </w:p>
    <w:p w14:paraId="66A63B98" w14:textId="77777777" w:rsidR="00DC224A" w:rsidRPr="008A106B" w:rsidRDefault="00DC224A" w:rsidP="00DC224A">
      <w:pPr>
        <w:ind w:left="567" w:hanging="567"/>
        <w:outlineLvl w:val="0"/>
        <w:rPr>
          <w:lang w:val="es-ES"/>
        </w:rPr>
      </w:pPr>
    </w:p>
    <w:p w14:paraId="12491CA6" w14:textId="77777777" w:rsidR="00DC224A" w:rsidRDefault="00DC224A" w:rsidP="00DC224A">
      <w:pPr>
        <w:ind w:left="567" w:hanging="567"/>
        <w:outlineLvl w:val="0"/>
        <w:rPr>
          <w:iCs/>
          <w:u w:val="single"/>
          <w:lang w:val="es-ES"/>
        </w:rPr>
      </w:pPr>
      <w:r w:rsidRPr="008A106B">
        <w:rPr>
          <w:iCs/>
          <w:u w:val="single"/>
          <w:lang w:val="es-ES_tradnl"/>
        </w:rPr>
        <w:t>Embarazo</w:t>
      </w:r>
      <w:r w:rsidRPr="008A106B">
        <w:rPr>
          <w:iCs/>
          <w:u w:val="single"/>
          <w:lang w:val="es-ES"/>
        </w:rPr>
        <w:t xml:space="preserve"> </w:t>
      </w:r>
    </w:p>
    <w:p w14:paraId="19DCCB66" w14:textId="77777777" w:rsidR="00042DC3" w:rsidRPr="008A106B" w:rsidRDefault="00042DC3" w:rsidP="00DC224A">
      <w:pPr>
        <w:ind w:left="567" w:hanging="567"/>
        <w:outlineLvl w:val="0"/>
        <w:rPr>
          <w:u w:val="single"/>
          <w:lang w:val="es-ES"/>
        </w:rPr>
      </w:pPr>
    </w:p>
    <w:p w14:paraId="4673B948" w14:textId="104BCB0A" w:rsidR="00DC224A" w:rsidRDefault="00DC224A" w:rsidP="00DC224A">
      <w:pPr>
        <w:rPr>
          <w:lang w:val="es-ES_tradnl"/>
        </w:rPr>
      </w:pPr>
      <w:r w:rsidRPr="008A106B">
        <w:rPr>
          <w:lang w:val="es-ES_tradnl"/>
        </w:rPr>
        <w:t xml:space="preserve">No hay datos suficientes acerca del uso de </w:t>
      </w:r>
      <w:r w:rsidR="00AE2FF6">
        <w:rPr>
          <w:lang w:val="es-ES"/>
        </w:rPr>
        <w:t>tocilizumab</w:t>
      </w:r>
      <w:r w:rsidRPr="006868F5">
        <w:rPr>
          <w:szCs w:val="22"/>
          <w:lang w:val="es-ES"/>
        </w:rPr>
        <w:t xml:space="preserve"> </w:t>
      </w:r>
      <w:r w:rsidRPr="008A106B">
        <w:rPr>
          <w:lang w:val="es-ES_tradnl"/>
        </w:rPr>
        <w:t>en mujeres embarazadas.</w:t>
      </w:r>
      <w:r w:rsidRPr="008A106B">
        <w:rPr>
          <w:lang w:val="es-ES"/>
        </w:rPr>
        <w:t xml:space="preserve"> </w:t>
      </w:r>
      <w:r w:rsidRPr="008A106B">
        <w:rPr>
          <w:lang w:val="es-ES_tradnl"/>
        </w:rPr>
        <w:t>Un e</w:t>
      </w:r>
      <w:r>
        <w:rPr>
          <w:lang w:val="es-ES_tradnl"/>
        </w:rPr>
        <w:t>nsayo</w:t>
      </w:r>
      <w:r w:rsidRPr="008A106B">
        <w:rPr>
          <w:lang w:val="es-ES_tradnl"/>
        </w:rPr>
        <w:t xml:space="preserve"> en animales ha mostrado un aumento </w:t>
      </w:r>
      <w:r>
        <w:rPr>
          <w:lang w:val="es-ES_tradnl"/>
        </w:rPr>
        <w:t>del riesgo de aborto espontáneo/</w:t>
      </w:r>
      <w:r w:rsidRPr="008A106B">
        <w:rPr>
          <w:lang w:val="es-ES_tradnl"/>
        </w:rPr>
        <w:t>muerte embriofetal a una dosis alta (ver sección</w:t>
      </w:r>
      <w:r w:rsidR="00042DC3">
        <w:rPr>
          <w:lang w:val="es-ES_tradnl"/>
        </w:rPr>
        <w:t> </w:t>
      </w:r>
      <w:r w:rsidRPr="008A106B">
        <w:rPr>
          <w:lang w:val="es-ES_tradnl"/>
        </w:rPr>
        <w:t>5.3).</w:t>
      </w:r>
      <w:r w:rsidRPr="008A106B">
        <w:rPr>
          <w:lang w:val="es-ES"/>
        </w:rPr>
        <w:t xml:space="preserve"> </w:t>
      </w:r>
      <w:r w:rsidRPr="008A106B">
        <w:rPr>
          <w:lang w:val="es-ES_tradnl"/>
        </w:rPr>
        <w:t xml:space="preserve">Se desconoce el riesgo potencial en los seres humanos. </w:t>
      </w:r>
    </w:p>
    <w:p w14:paraId="6097E5F5" w14:textId="77777777" w:rsidR="00DC224A" w:rsidRDefault="00DC224A" w:rsidP="00DC224A">
      <w:pPr>
        <w:rPr>
          <w:lang w:val="es-ES"/>
        </w:rPr>
      </w:pPr>
    </w:p>
    <w:p w14:paraId="3E5DC9F0" w14:textId="77777777" w:rsidR="00DC224A" w:rsidRDefault="00DC224A" w:rsidP="00DC224A">
      <w:pPr>
        <w:rPr>
          <w:lang w:val="es-ES_tradnl"/>
        </w:rPr>
      </w:pPr>
      <w:r w:rsidRPr="008A106B">
        <w:rPr>
          <w:lang w:val="es-ES_tradnl"/>
        </w:rPr>
        <w:t>RoActemra no se debe utilizar durante el embarazo, salvo que sea claramente necesario.</w:t>
      </w:r>
    </w:p>
    <w:p w14:paraId="2F18BF2D" w14:textId="77777777" w:rsidR="00DC224A" w:rsidRDefault="00DC224A" w:rsidP="00DC224A">
      <w:pPr>
        <w:ind w:left="567" w:hanging="567"/>
        <w:outlineLvl w:val="0"/>
        <w:rPr>
          <w:lang w:val="es-ES_tradnl"/>
        </w:rPr>
      </w:pPr>
    </w:p>
    <w:p w14:paraId="636AE3A8" w14:textId="77777777" w:rsidR="00DC224A" w:rsidRDefault="00DC224A" w:rsidP="00EF2448">
      <w:pPr>
        <w:keepNext/>
        <w:keepLines/>
        <w:ind w:left="567" w:hanging="567"/>
        <w:outlineLvl w:val="0"/>
        <w:rPr>
          <w:iCs/>
          <w:u w:val="single"/>
          <w:lang w:val="es-ES"/>
        </w:rPr>
      </w:pPr>
      <w:r w:rsidRPr="008A106B">
        <w:rPr>
          <w:iCs/>
          <w:u w:val="single"/>
          <w:lang w:val="es-ES_tradnl"/>
        </w:rPr>
        <w:t>Lactancia</w:t>
      </w:r>
      <w:r w:rsidRPr="008A106B">
        <w:rPr>
          <w:iCs/>
          <w:u w:val="single"/>
          <w:lang w:val="es-ES"/>
        </w:rPr>
        <w:t xml:space="preserve"> </w:t>
      </w:r>
    </w:p>
    <w:p w14:paraId="16AC9AB8" w14:textId="77777777" w:rsidR="00042DC3" w:rsidRPr="008A106B" w:rsidRDefault="00042DC3" w:rsidP="00EF2448">
      <w:pPr>
        <w:keepNext/>
        <w:keepLines/>
        <w:ind w:left="567" w:hanging="567"/>
        <w:outlineLvl w:val="0"/>
        <w:rPr>
          <w:u w:val="single"/>
          <w:lang w:val="es-ES"/>
        </w:rPr>
      </w:pPr>
    </w:p>
    <w:p w14:paraId="76B853E4" w14:textId="7C713FC5" w:rsidR="00DC224A" w:rsidRPr="008A106B" w:rsidRDefault="00DC224A" w:rsidP="00EF2448">
      <w:pPr>
        <w:keepNext/>
        <w:keepLines/>
        <w:rPr>
          <w:lang w:val="es-ES_tradnl"/>
        </w:rPr>
      </w:pPr>
      <w:r w:rsidRPr="008A106B">
        <w:rPr>
          <w:lang w:val="es-ES_tradnl"/>
        </w:rPr>
        <w:t xml:space="preserve">Se desconoce si </w:t>
      </w:r>
      <w:ins w:id="1680" w:author="AUTHOR">
        <w:r w:rsidR="00FF2229" w:rsidRPr="00FF2229">
          <w:rPr>
            <w:szCs w:val="22"/>
            <w:lang w:val="es-ES"/>
          </w:rPr>
          <w:t>tocilizumab</w:t>
        </w:r>
        <w:r w:rsidR="00FF2229">
          <w:rPr>
            <w:szCs w:val="22"/>
            <w:lang w:val="es-ES"/>
          </w:rPr>
          <w:t xml:space="preserve"> </w:t>
        </w:r>
      </w:ins>
      <w:del w:id="1681" w:author="AUTHOR">
        <w:r w:rsidRPr="00C555F2" w:rsidDel="00FF2229">
          <w:rPr>
            <w:szCs w:val="22"/>
            <w:lang w:val="es-ES"/>
          </w:rPr>
          <w:delText>RoActemra</w:delText>
        </w:r>
        <w:r w:rsidRPr="008A106B" w:rsidDel="00FF2229">
          <w:rPr>
            <w:lang w:val="es-ES_tradnl"/>
          </w:rPr>
          <w:delText xml:space="preserve"> </w:delText>
        </w:r>
      </w:del>
      <w:r w:rsidRPr="008A106B">
        <w:rPr>
          <w:lang w:val="es-ES_tradnl"/>
        </w:rPr>
        <w:t>se excreta en la leche humana</w:t>
      </w:r>
      <w:r>
        <w:rPr>
          <w:lang w:val="es-ES_tradnl"/>
        </w:rPr>
        <w:t>.</w:t>
      </w:r>
      <w:r w:rsidRPr="008A106B">
        <w:rPr>
          <w:lang w:val="es-ES"/>
        </w:rPr>
        <w:t xml:space="preserve"> La excreción de </w:t>
      </w:r>
      <w:r w:rsidR="0047312C">
        <w:rPr>
          <w:lang w:val="es-ES"/>
        </w:rPr>
        <w:t>tocilizumab</w:t>
      </w:r>
      <w:r w:rsidRPr="006868F5">
        <w:rPr>
          <w:szCs w:val="22"/>
          <w:lang w:val="es-ES"/>
        </w:rPr>
        <w:t xml:space="preserve"> </w:t>
      </w:r>
      <w:r w:rsidRPr="008A106B">
        <w:rPr>
          <w:lang w:val="es-ES"/>
        </w:rPr>
        <w:t xml:space="preserve">en leche no ha sido estudiada en animales. </w:t>
      </w:r>
      <w:r w:rsidR="003532C2">
        <w:rPr>
          <w:lang w:val="es-ES"/>
        </w:rPr>
        <w:t>Se d</w:t>
      </w:r>
      <w:del w:id="1682" w:author="AUTHOR">
        <w:r w:rsidRPr="008A106B" w:rsidDel="00FF2229">
          <w:rPr>
            <w:lang w:val="es-ES_tradnl"/>
          </w:rPr>
          <w:delText>D</w:delText>
        </w:r>
      </w:del>
      <w:r w:rsidRPr="008A106B">
        <w:rPr>
          <w:lang w:val="es-ES_tradnl"/>
        </w:rPr>
        <w:t>ebe tomar u</w:t>
      </w:r>
      <w:r>
        <w:rPr>
          <w:lang w:val="es-ES_tradnl"/>
        </w:rPr>
        <w:t xml:space="preserve">na decisión acerca de </w:t>
      </w:r>
      <w:r w:rsidRPr="008A106B">
        <w:rPr>
          <w:lang w:val="es-ES_tradnl"/>
        </w:rPr>
        <w:t>sus</w:t>
      </w:r>
      <w:r>
        <w:rPr>
          <w:lang w:val="es-ES_tradnl"/>
        </w:rPr>
        <w:t xml:space="preserve">pender la lactancia o </w:t>
      </w:r>
      <w:r w:rsidRPr="008A106B">
        <w:rPr>
          <w:lang w:val="es-ES_tradnl"/>
        </w:rPr>
        <w:t>suspender</w:t>
      </w:r>
      <w:r w:rsidR="0047312C">
        <w:rPr>
          <w:lang w:val="es-ES_tradnl"/>
        </w:rPr>
        <w:t>/abstenerse</w:t>
      </w:r>
      <w:r w:rsidRPr="008A106B">
        <w:rPr>
          <w:lang w:val="es-ES_tradnl"/>
        </w:rPr>
        <w:t xml:space="preserve"> </w:t>
      </w:r>
      <w:r w:rsidR="0047312C">
        <w:rPr>
          <w:lang w:val="es-ES_tradnl"/>
        </w:rPr>
        <w:t>d</w:t>
      </w:r>
      <w:r w:rsidRPr="008A106B">
        <w:rPr>
          <w:lang w:val="es-ES_tradnl"/>
        </w:rPr>
        <w:t>el tratamiento con RoActemra teniendo en cuenta el beneficio de la lactancia materna para el niño y el beneficio del tratamiento para la mujer.</w:t>
      </w:r>
    </w:p>
    <w:p w14:paraId="187743DF" w14:textId="77777777" w:rsidR="00DC224A" w:rsidRPr="008A106B" w:rsidRDefault="00DC224A" w:rsidP="00DC224A">
      <w:pPr>
        <w:rPr>
          <w:lang w:val="es-ES_tradnl"/>
        </w:rPr>
      </w:pPr>
    </w:p>
    <w:p w14:paraId="3273872C" w14:textId="77777777" w:rsidR="00DC224A" w:rsidRDefault="00DC224A" w:rsidP="00DC224A">
      <w:pPr>
        <w:rPr>
          <w:u w:val="single"/>
          <w:lang w:val="es-ES"/>
        </w:rPr>
      </w:pPr>
      <w:r w:rsidRPr="00D706BA">
        <w:rPr>
          <w:u w:val="single"/>
          <w:lang w:val="es-ES"/>
        </w:rPr>
        <w:t>Fertilidad</w:t>
      </w:r>
    </w:p>
    <w:p w14:paraId="15156F90" w14:textId="77777777" w:rsidR="00042DC3" w:rsidRPr="00D706BA" w:rsidRDefault="00042DC3" w:rsidP="00DC224A">
      <w:pPr>
        <w:rPr>
          <w:u w:val="single"/>
          <w:lang w:val="es-ES"/>
        </w:rPr>
      </w:pPr>
    </w:p>
    <w:p w14:paraId="7265B336" w14:textId="71C5070E" w:rsidR="00DC224A" w:rsidRPr="008A106B" w:rsidRDefault="00DC224A" w:rsidP="00DC224A">
      <w:pPr>
        <w:rPr>
          <w:lang w:val="es-ES"/>
        </w:rPr>
      </w:pPr>
      <w:r w:rsidRPr="008A106B">
        <w:rPr>
          <w:lang w:val="es-ES"/>
        </w:rPr>
        <w:t xml:space="preserve">Los datos </w:t>
      </w:r>
      <w:ins w:id="1683" w:author="AUTHOR">
        <w:r w:rsidR="00522B20" w:rsidRPr="00522B20">
          <w:rPr>
            <w:lang w:val="es-ES"/>
          </w:rPr>
          <w:t>preclínico</w:t>
        </w:r>
      </w:ins>
      <w:del w:id="1684" w:author="AUTHOR">
        <w:r w:rsidRPr="008A106B" w:rsidDel="00522B20">
          <w:rPr>
            <w:lang w:val="es-ES"/>
          </w:rPr>
          <w:delText>no clínico</w:delText>
        </w:r>
      </w:del>
      <w:r w:rsidRPr="008A106B">
        <w:rPr>
          <w:lang w:val="es-ES"/>
        </w:rPr>
        <w:t xml:space="preserve">s disponibles no sugieren un efecto sobre la fertilidad bajo tratamiento con </w:t>
      </w:r>
      <w:r w:rsidR="0047312C">
        <w:rPr>
          <w:lang w:val="es-ES"/>
        </w:rPr>
        <w:t>tocilizumab</w:t>
      </w:r>
      <w:r w:rsidRPr="008A106B">
        <w:rPr>
          <w:lang w:val="es-ES"/>
        </w:rPr>
        <w:t>.</w:t>
      </w:r>
    </w:p>
    <w:p w14:paraId="42991EE5" w14:textId="77777777" w:rsidR="00DC224A" w:rsidRPr="00C555F2" w:rsidRDefault="00DC224A" w:rsidP="00DC224A">
      <w:pPr>
        <w:ind w:left="567" w:hanging="567"/>
        <w:outlineLvl w:val="0"/>
        <w:rPr>
          <w:b/>
          <w:bCs/>
          <w:lang w:val="es-ES"/>
        </w:rPr>
      </w:pPr>
    </w:p>
    <w:p w14:paraId="07430FD6" w14:textId="77777777" w:rsidR="00DC224A" w:rsidRDefault="00DC224A" w:rsidP="00DC224A">
      <w:pPr>
        <w:keepNext/>
        <w:keepLines/>
        <w:ind w:left="562" w:hanging="562"/>
        <w:outlineLvl w:val="0"/>
        <w:rPr>
          <w:b/>
          <w:bCs/>
          <w:lang w:val="es-ES_tradnl"/>
        </w:rPr>
      </w:pPr>
      <w:r w:rsidRPr="008A106B">
        <w:rPr>
          <w:b/>
          <w:bCs/>
          <w:lang w:val="es-ES"/>
        </w:rPr>
        <w:t>4.7</w:t>
      </w:r>
      <w:r w:rsidRPr="008A106B">
        <w:rPr>
          <w:b/>
          <w:bCs/>
          <w:lang w:val="es-ES"/>
        </w:rPr>
        <w:tab/>
      </w:r>
      <w:r w:rsidRPr="008A106B">
        <w:rPr>
          <w:b/>
          <w:bCs/>
          <w:lang w:val="es-ES_tradnl"/>
        </w:rPr>
        <w:t>Efectos sobre la capacidad para conducir y utilizar máquinas</w:t>
      </w:r>
    </w:p>
    <w:p w14:paraId="32C333A6" w14:textId="77777777" w:rsidR="00DC224A" w:rsidRDefault="00DC224A" w:rsidP="00DC224A">
      <w:pPr>
        <w:keepNext/>
        <w:keepLines/>
        <w:ind w:left="562" w:hanging="562"/>
        <w:outlineLvl w:val="0"/>
        <w:rPr>
          <w:b/>
          <w:bCs/>
          <w:lang w:val="es-ES_tradnl"/>
        </w:rPr>
      </w:pPr>
    </w:p>
    <w:p w14:paraId="05A135E9" w14:textId="71D01F00" w:rsidR="00DC224A" w:rsidRPr="008A106B" w:rsidRDefault="00DC224A" w:rsidP="00DC224A">
      <w:pPr>
        <w:outlineLvl w:val="0"/>
        <w:rPr>
          <w:b/>
          <w:lang w:val="es-ES"/>
        </w:rPr>
      </w:pPr>
      <w:r>
        <w:rPr>
          <w:lang w:val="es-ES"/>
        </w:rPr>
        <w:t>La influencia de RoActemra sobre la capacidad para conducir y utilizar máquinas es pequeña</w:t>
      </w:r>
      <w:r w:rsidR="0047312C">
        <w:rPr>
          <w:lang w:val="es-ES"/>
        </w:rPr>
        <w:t xml:space="preserve">, p.e. </w:t>
      </w:r>
      <w:r w:rsidR="0047312C" w:rsidRPr="0047312C">
        <w:rPr>
          <w:lang w:val="es-ES"/>
        </w:rPr>
        <w:t>mareos</w:t>
      </w:r>
      <w:r>
        <w:rPr>
          <w:lang w:val="es-ES_tradnl"/>
        </w:rPr>
        <w:t xml:space="preserve"> (ver sección</w:t>
      </w:r>
      <w:r w:rsidR="00042DC3">
        <w:rPr>
          <w:lang w:val="es-ES_tradnl"/>
        </w:rPr>
        <w:t> </w:t>
      </w:r>
      <w:r>
        <w:rPr>
          <w:lang w:val="es-ES_tradnl"/>
        </w:rPr>
        <w:t>4.8).</w:t>
      </w:r>
    </w:p>
    <w:p w14:paraId="149DCD84" w14:textId="77777777" w:rsidR="00DC224A" w:rsidRPr="008A106B" w:rsidRDefault="00DC224A" w:rsidP="00DC224A">
      <w:pPr>
        <w:keepNext/>
        <w:keepLines/>
        <w:ind w:left="562" w:hanging="562"/>
        <w:outlineLvl w:val="0"/>
        <w:rPr>
          <w:lang w:val="es-ES"/>
        </w:rPr>
      </w:pPr>
    </w:p>
    <w:p w14:paraId="04E1F854" w14:textId="77777777" w:rsidR="00DC224A" w:rsidRDefault="00DC224A" w:rsidP="00DC224A">
      <w:pPr>
        <w:keepNext/>
        <w:keepLines/>
        <w:ind w:left="567" w:hanging="567"/>
        <w:outlineLvl w:val="0"/>
        <w:rPr>
          <w:b/>
          <w:bCs/>
          <w:lang w:val="es-ES_tradnl"/>
        </w:rPr>
      </w:pPr>
      <w:r w:rsidRPr="000911DD">
        <w:rPr>
          <w:b/>
          <w:bCs/>
          <w:lang w:val="es-ES"/>
        </w:rPr>
        <w:t>4.8</w:t>
      </w:r>
      <w:r w:rsidRPr="000911DD">
        <w:rPr>
          <w:b/>
          <w:bCs/>
          <w:lang w:val="es-ES"/>
        </w:rPr>
        <w:tab/>
      </w:r>
      <w:r w:rsidRPr="000911DD">
        <w:rPr>
          <w:b/>
          <w:bCs/>
          <w:lang w:val="es-ES_tradnl"/>
        </w:rPr>
        <w:t>Reacciones adversas</w:t>
      </w:r>
    </w:p>
    <w:p w14:paraId="6C006AE8" w14:textId="77777777" w:rsidR="00DC224A" w:rsidRDefault="00DC224A" w:rsidP="00DC224A">
      <w:pPr>
        <w:keepNext/>
        <w:keepLines/>
        <w:ind w:left="567" w:hanging="567"/>
        <w:outlineLvl w:val="0"/>
        <w:rPr>
          <w:b/>
          <w:bCs/>
          <w:lang w:val="es-ES_tradnl"/>
        </w:rPr>
      </w:pPr>
    </w:p>
    <w:p w14:paraId="3FB73C5E" w14:textId="5842277A" w:rsidR="00042DC3" w:rsidRDefault="00DC224A" w:rsidP="00F30AB8">
      <w:pPr>
        <w:keepNext/>
        <w:keepLines/>
        <w:ind w:left="567" w:hanging="567"/>
        <w:outlineLvl w:val="0"/>
        <w:rPr>
          <w:bCs/>
          <w:u w:val="single"/>
          <w:lang w:val="es-ES_tradnl"/>
        </w:rPr>
      </w:pPr>
      <w:r w:rsidRPr="00D706BA">
        <w:rPr>
          <w:bCs/>
          <w:u w:val="single"/>
          <w:lang w:val="es-ES_tradnl"/>
        </w:rPr>
        <w:t>Resumen del perfil de seguridad</w:t>
      </w:r>
    </w:p>
    <w:p w14:paraId="7393BD8F" w14:textId="1160454E" w:rsidR="00DC224A" w:rsidRPr="006868F5" w:rsidRDefault="00DC224A" w:rsidP="003532C2">
      <w:pPr>
        <w:keepNext/>
        <w:keepLines/>
        <w:outlineLvl w:val="0"/>
        <w:rPr>
          <w:lang w:val="es-ES" w:eastAsia="de-DE"/>
        </w:rPr>
      </w:pPr>
      <w:r w:rsidRPr="00C555F2">
        <w:rPr>
          <w:bCs/>
          <w:lang w:val="es-ES_tradnl"/>
        </w:rPr>
        <w:t xml:space="preserve">El perfil de seguridad resultó de la exposición a </w:t>
      </w:r>
      <w:r w:rsidR="0047312C">
        <w:rPr>
          <w:szCs w:val="22"/>
          <w:lang w:val="es-ES"/>
        </w:rPr>
        <w:t>tocilizumab</w:t>
      </w:r>
      <w:r w:rsidR="0047312C" w:rsidRPr="00C555F2">
        <w:rPr>
          <w:bCs/>
          <w:lang w:val="es-ES_tradnl"/>
        </w:rPr>
        <w:t xml:space="preserve"> </w:t>
      </w:r>
      <w:r w:rsidRPr="00C555F2">
        <w:rPr>
          <w:bCs/>
          <w:lang w:val="es-ES_tradnl"/>
        </w:rPr>
        <w:t xml:space="preserve">durante los ensayos clínicos de </w:t>
      </w:r>
      <w:r w:rsidR="00047BAB">
        <w:rPr>
          <w:bCs/>
          <w:lang w:val="es-ES_tradnl"/>
        </w:rPr>
        <w:t xml:space="preserve">4.510 </w:t>
      </w:r>
      <w:r w:rsidRPr="00C555F2">
        <w:rPr>
          <w:bCs/>
          <w:lang w:val="es-ES_tradnl"/>
        </w:rPr>
        <w:t>pacientes</w:t>
      </w:r>
      <w:r w:rsidRPr="002009C1">
        <w:rPr>
          <w:szCs w:val="22"/>
          <w:lang w:val="es-ES"/>
        </w:rPr>
        <w:t>; la mayoría de estos pacientes estaban participando en e</w:t>
      </w:r>
      <w:r>
        <w:rPr>
          <w:szCs w:val="22"/>
          <w:lang w:val="es-ES"/>
        </w:rPr>
        <w:t>nsay</w:t>
      </w:r>
      <w:r w:rsidRPr="002009C1">
        <w:rPr>
          <w:szCs w:val="22"/>
          <w:lang w:val="es-ES"/>
        </w:rPr>
        <w:t>os de</w:t>
      </w:r>
      <w:r w:rsidRPr="00606BCF">
        <w:rPr>
          <w:szCs w:val="22"/>
          <w:lang w:val="es-ES"/>
        </w:rPr>
        <w:t xml:space="preserve"> AR (n=4</w:t>
      </w:r>
      <w:r w:rsidRPr="006C05BA">
        <w:rPr>
          <w:szCs w:val="22"/>
          <w:lang w:val="es-ES"/>
        </w:rPr>
        <w:t>.009), mientras que</w:t>
      </w:r>
      <w:r w:rsidRPr="00C22F3F">
        <w:rPr>
          <w:szCs w:val="22"/>
          <w:lang w:val="es-ES"/>
        </w:rPr>
        <w:t xml:space="preserve"> el resto de la experiencia</w:t>
      </w:r>
      <w:r w:rsidRPr="002009C1">
        <w:rPr>
          <w:szCs w:val="22"/>
          <w:lang w:val="es-ES"/>
        </w:rPr>
        <w:t xml:space="preserve"> resultó de los e</w:t>
      </w:r>
      <w:r>
        <w:rPr>
          <w:szCs w:val="22"/>
          <w:lang w:val="es-ES"/>
        </w:rPr>
        <w:t>nsay</w:t>
      </w:r>
      <w:r w:rsidRPr="002009C1">
        <w:rPr>
          <w:szCs w:val="22"/>
          <w:lang w:val="es-ES"/>
        </w:rPr>
        <w:t xml:space="preserve">os en ACG </w:t>
      </w:r>
      <w:ins w:id="1685" w:author="AUTHOR">
        <w:r w:rsidR="00265742">
          <w:rPr>
            <w:szCs w:val="22"/>
            <w:lang w:val="es-ES"/>
          </w:rPr>
          <w:t xml:space="preserve">en adultos </w:t>
        </w:r>
      </w:ins>
      <w:r w:rsidRPr="002009C1">
        <w:rPr>
          <w:szCs w:val="22"/>
          <w:lang w:val="es-ES"/>
        </w:rPr>
        <w:t>(n=149)</w:t>
      </w:r>
      <w:r w:rsidR="00047BAB">
        <w:rPr>
          <w:szCs w:val="22"/>
          <w:lang w:val="es-ES"/>
        </w:rPr>
        <w:t>, AIJp (n=240) y AIJs (n=112)</w:t>
      </w:r>
      <w:r w:rsidRPr="002009C1">
        <w:rPr>
          <w:szCs w:val="22"/>
          <w:lang w:val="es-ES"/>
        </w:rPr>
        <w:t xml:space="preserve">. El perfil de seguridad de </w:t>
      </w:r>
      <w:r w:rsidR="0047312C">
        <w:rPr>
          <w:szCs w:val="22"/>
          <w:lang w:val="es-ES"/>
        </w:rPr>
        <w:t>tocilizumab</w:t>
      </w:r>
      <w:r w:rsidRPr="002009C1">
        <w:rPr>
          <w:lang w:val="es-ES" w:eastAsia="de-DE"/>
        </w:rPr>
        <w:t xml:space="preserve"> permane</w:t>
      </w:r>
      <w:del w:id="1686" w:author="AUTHOR">
        <w:r w:rsidRPr="002009C1" w:rsidDel="00FF2229">
          <w:rPr>
            <w:lang w:val="es-ES" w:eastAsia="de-DE"/>
          </w:rPr>
          <w:delText>n</w:delText>
        </w:r>
      </w:del>
      <w:r w:rsidRPr="002009C1">
        <w:rPr>
          <w:lang w:val="es-ES" w:eastAsia="de-DE"/>
        </w:rPr>
        <w:t>ce similar e indiferenciado</w:t>
      </w:r>
      <w:r w:rsidRPr="006868F5">
        <w:rPr>
          <w:lang w:val="es-ES" w:eastAsia="de-DE"/>
        </w:rPr>
        <w:t xml:space="preserve"> en estas indicaciones.</w:t>
      </w:r>
    </w:p>
    <w:p w14:paraId="05DC07DF" w14:textId="77777777" w:rsidR="00DC224A" w:rsidRPr="006868F5" w:rsidRDefault="00DC224A" w:rsidP="00DC224A">
      <w:pPr>
        <w:keepNext/>
        <w:keepLines/>
        <w:outlineLvl w:val="0"/>
        <w:rPr>
          <w:bCs/>
          <w:u w:val="single"/>
          <w:lang w:val="es-ES"/>
        </w:rPr>
      </w:pPr>
    </w:p>
    <w:p w14:paraId="65269F4C" w14:textId="5F526214" w:rsidR="00DC224A" w:rsidRPr="008A106B" w:rsidRDefault="00DC224A" w:rsidP="00DC224A">
      <w:pPr>
        <w:keepNext/>
        <w:keepLines/>
        <w:rPr>
          <w:lang w:val="es-ES"/>
        </w:rPr>
      </w:pPr>
      <w:r w:rsidRPr="008A106B">
        <w:rPr>
          <w:lang w:val="es-ES_tradnl"/>
        </w:rPr>
        <w:t xml:space="preserve">Las </w:t>
      </w:r>
      <w:r>
        <w:rPr>
          <w:lang w:val="es-ES_tradnl"/>
        </w:rPr>
        <w:t xml:space="preserve">Reacciones </w:t>
      </w:r>
      <w:proofErr w:type="gramStart"/>
      <w:r>
        <w:rPr>
          <w:lang w:val="es-ES_tradnl"/>
        </w:rPr>
        <w:t xml:space="preserve">Adversas </w:t>
      </w:r>
      <w:r w:rsidRPr="008A106B">
        <w:rPr>
          <w:lang w:val="es-ES_tradnl"/>
        </w:rPr>
        <w:t xml:space="preserve"> notificadas</w:t>
      </w:r>
      <w:proofErr w:type="gramEnd"/>
      <w:r w:rsidRPr="008A106B">
        <w:rPr>
          <w:lang w:val="es-ES_tradnl"/>
        </w:rPr>
        <w:t xml:space="preserve"> con más frecuencia fueron</w:t>
      </w:r>
      <w:r>
        <w:rPr>
          <w:lang w:val="es-ES_tradnl"/>
        </w:rPr>
        <w:t>,</w:t>
      </w:r>
      <w:r w:rsidRPr="008A106B">
        <w:rPr>
          <w:lang w:val="es-ES_tradnl"/>
        </w:rPr>
        <w:t xml:space="preserve"> infe</w:t>
      </w:r>
      <w:r>
        <w:rPr>
          <w:lang w:val="es-ES_tradnl"/>
        </w:rPr>
        <w:t xml:space="preserve">cciones en el tracto </w:t>
      </w:r>
      <w:r w:rsidRPr="008A106B">
        <w:rPr>
          <w:lang w:val="es-ES_tradnl"/>
        </w:rPr>
        <w:t>respiratorio superior, nasofaringitis, cefalea, hipertensión y elevación de la ALT.</w:t>
      </w:r>
    </w:p>
    <w:p w14:paraId="15BA03AC" w14:textId="77777777" w:rsidR="00DC224A" w:rsidRPr="00D972CC" w:rsidRDefault="00DC224A" w:rsidP="00DC224A">
      <w:pPr>
        <w:ind w:left="567" w:hanging="567"/>
        <w:outlineLvl w:val="0"/>
        <w:rPr>
          <w:bCs/>
          <w:lang w:val="es-ES"/>
        </w:rPr>
      </w:pPr>
    </w:p>
    <w:p w14:paraId="1C2BA7E4" w14:textId="77777777" w:rsidR="00DC224A" w:rsidRDefault="00DC224A" w:rsidP="00DC224A">
      <w:pPr>
        <w:ind w:left="567" w:hanging="567"/>
        <w:outlineLvl w:val="0"/>
        <w:rPr>
          <w:bCs/>
          <w:lang w:val="es-ES_tradnl"/>
        </w:rPr>
      </w:pPr>
      <w:r>
        <w:rPr>
          <w:bCs/>
          <w:lang w:val="es-ES_tradnl"/>
        </w:rPr>
        <w:t xml:space="preserve">Las reacciones adversas más graves fueron infecciones graves, complicaciones de la diverticulitis, y </w:t>
      </w:r>
    </w:p>
    <w:p w14:paraId="51D49777" w14:textId="77777777" w:rsidR="00DC224A" w:rsidRPr="00D706BA" w:rsidRDefault="00DC224A" w:rsidP="00DC224A">
      <w:pPr>
        <w:ind w:left="567" w:hanging="567"/>
        <w:outlineLvl w:val="0"/>
        <w:rPr>
          <w:bCs/>
          <w:lang w:val="es-ES"/>
        </w:rPr>
      </w:pPr>
      <w:r>
        <w:rPr>
          <w:bCs/>
          <w:lang w:val="es-ES_tradnl"/>
        </w:rPr>
        <w:t>reacciones de hipersensibilidad.</w:t>
      </w:r>
    </w:p>
    <w:p w14:paraId="63C38E90" w14:textId="77777777" w:rsidR="00DC224A" w:rsidRPr="008A106B" w:rsidRDefault="00DC224A" w:rsidP="00DC224A">
      <w:pPr>
        <w:ind w:left="567" w:hanging="567"/>
        <w:outlineLvl w:val="0"/>
        <w:rPr>
          <w:lang w:val="es-ES"/>
        </w:rPr>
      </w:pPr>
    </w:p>
    <w:p w14:paraId="60411E73" w14:textId="77777777" w:rsidR="00DC224A" w:rsidRDefault="00DC224A" w:rsidP="00DC224A">
      <w:pPr>
        <w:rPr>
          <w:u w:val="single"/>
          <w:lang w:val="es-ES"/>
        </w:rPr>
      </w:pPr>
      <w:r>
        <w:rPr>
          <w:u w:val="single"/>
          <w:lang w:val="es-ES"/>
        </w:rPr>
        <w:t xml:space="preserve">Tabla </w:t>
      </w:r>
      <w:r w:rsidR="000963B9">
        <w:rPr>
          <w:u w:val="single"/>
          <w:lang w:val="es-ES"/>
        </w:rPr>
        <w:t xml:space="preserve">con la lista </w:t>
      </w:r>
      <w:r w:rsidRPr="002F45CE">
        <w:rPr>
          <w:u w:val="single"/>
          <w:lang w:val="es-ES"/>
        </w:rPr>
        <w:t>de reacciones adversas</w:t>
      </w:r>
    </w:p>
    <w:p w14:paraId="3D3A1072" w14:textId="77777777" w:rsidR="00300F2A" w:rsidRPr="002F45CE" w:rsidRDefault="00300F2A" w:rsidP="00DC224A">
      <w:pPr>
        <w:rPr>
          <w:u w:val="single"/>
          <w:lang w:val="es-ES"/>
        </w:rPr>
      </w:pPr>
    </w:p>
    <w:p w14:paraId="7795CA1D" w14:textId="17AE9389" w:rsidR="00DC224A" w:rsidRPr="008A106B" w:rsidRDefault="00DC224A" w:rsidP="00DC224A">
      <w:pPr>
        <w:rPr>
          <w:lang w:val="es-ES"/>
        </w:rPr>
      </w:pPr>
      <w:r w:rsidRPr="008A106B">
        <w:rPr>
          <w:lang w:val="es-ES_tradnl"/>
        </w:rPr>
        <w:t>L</w:t>
      </w:r>
      <w:r w:rsidR="00B26F8A">
        <w:rPr>
          <w:lang w:val="es-ES_tradnl"/>
        </w:rPr>
        <w:t>a</w:t>
      </w:r>
      <w:r w:rsidRPr="008A106B">
        <w:rPr>
          <w:lang w:val="es-ES_tradnl"/>
        </w:rPr>
        <w:t xml:space="preserve">s </w:t>
      </w:r>
      <w:r w:rsidR="0047312C">
        <w:rPr>
          <w:bCs/>
          <w:lang w:val="es-ES_tradnl"/>
        </w:rPr>
        <w:t>reacciones adversas</w:t>
      </w:r>
      <w:r w:rsidRPr="008A106B">
        <w:rPr>
          <w:lang w:val="es-ES_tradnl"/>
        </w:rPr>
        <w:t xml:space="preserve"> </w:t>
      </w:r>
      <w:r w:rsidR="00517607">
        <w:rPr>
          <w:lang w:val="es-ES_tradnl"/>
        </w:rPr>
        <w:t xml:space="preserve">de los ensayos clínicos y/o de la experiencia poscomercialización con </w:t>
      </w:r>
      <w:r w:rsidR="0047312C">
        <w:rPr>
          <w:szCs w:val="22"/>
          <w:lang w:val="es-ES"/>
        </w:rPr>
        <w:t>tocilizumab</w:t>
      </w:r>
      <w:r w:rsidR="00517607">
        <w:rPr>
          <w:lang w:val="es-ES_tradnl"/>
        </w:rPr>
        <w:t xml:space="preserve"> </w:t>
      </w:r>
      <w:r w:rsidR="00B26F8A">
        <w:rPr>
          <w:lang w:val="es-ES_tradnl"/>
        </w:rPr>
        <w:t>d</w:t>
      </w:r>
      <w:r w:rsidR="00517607">
        <w:rPr>
          <w:lang w:val="es-ES_tradnl"/>
        </w:rPr>
        <w:t>e</w:t>
      </w:r>
      <w:r w:rsidR="00B26F8A">
        <w:rPr>
          <w:lang w:val="es-ES_tradnl"/>
        </w:rPr>
        <w:t xml:space="preserve"> acuerdo</w:t>
      </w:r>
      <w:r w:rsidR="00517607">
        <w:rPr>
          <w:lang w:val="es-ES_tradnl"/>
        </w:rPr>
        <w:t xml:space="preserve"> </w:t>
      </w:r>
      <w:r w:rsidR="004813E3">
        <w:rPr>
          <w:lang w:val="es-ES_tradnl"/>
        </w:rPr>
        <w:t xml:space="preserve">a los casos espontáneos, literatura y casos de </w:t>
      </w:r>
      <w:del w:id="1687" w:author="AUTHOR">
        <w:r w:rsidR="004813E3" w:rsidDel="00D336B9">
          <w:rPr>
            <w:lang w:val="es-ES_tradnl"/>
          </w:rPr>
          <w:delText xml:space="preserve">estudios </w:delText>
        </w:r>
      </w:del>
      <w:ins w:id="1688" w:author="AUTHOR">
        <w:r w:rsidR="00D336B9">
          <w:rPr>
            <w:lang w:val="es-ES_tradnl"/>
          </w:rPr>
          <w:t xml:space="preserve">ensayos </w:t>
        </w:r>
      </w:ins>
      <w:r w:rsidR="004813E3">
        <w:rPr>
          <w:lang w:val="es-ES_tradnl"/>
        </w:rPr>
        <w:t>no intervencionales reportados</w:t>
      </w:r>
      <w:r w:rsidR="00517607">
        <w:rPr>
          <w:lang w:val="es-ES_tradnl"/>
        </w:rPr>
        <w:t>, están listados</w:t>
      </w:r>
      <w:r w:rsidRPr="008A106B">
        <w:rPr>
          <w:lang w:val="es-ES_tradnl"/>
        </w:rPr>
        <w:t xml:space="preserve"> en la Tabla 1 </w:t>
      </w:r>
      <w:r w:rsidR="00517607">
        <w:rPr>
          <w:lang w:val="es-ES_tradnl"/>
        </w:rPr>
        <w:t xml:space="preserve">y </w:t>
      </w:r>
      <w:r w:rsidRPr="008A106B">
        <w:rPr>
          <w:lang w:val="es-ES_tradnl"/>
        </w:rPr>
        <w:t xml:space="preserve">se presentan según la clasificación </w:t>
      </w:r>
      <w:r w:rsidR="0068080F">
        <w:rPr>
          <w:lang w:val="es-ES_tradnl"/>
        </w:rPr>
        <w:t xml:space="preserve">por órgano y sistemas de </w:t>
      </w:r>
      <w:r w:rsidR="00517607">
        <w:rPr>
          <w:lang w:val="es-ES_tradnl"/>
        </w:rPr>
        <w:t>M</w:t>
      </w:r>
      <w:r w:rsidR="007612E5">
        <w:rPr>
          <w:lang w:val="es-ES_tradnl"/>
        </w:rPr>
        <w:t>ed</w:t>
      </w:r>
      <w:r w:rsidR="00517607">
        <w:rPr>
          <w:lang w:val="es-ES_tradnl"/>
        </w:rPr>
        <w:t>DRA</w:t>
      </w:r>
      <w:r w:rsidR="0068080F">
        <w:rPr>
          <w:lang w:val="es-ES_tradnl"/>
        </w:rPr>
        <w:t xml:space="preserve"> (SOC, por sus siglas en inglés).</w:t>
      </w:r>
      <w:r w:rsidRPr="008A106B">
        <w:rPr>
          <w:lang w:val="es-ES_tradnl"/>
        </w:rPr>
        <w:t xml:space="preserve"> </w:t>
      </w:r>
      <w:r w:rsidRPr="008A106B">
        <w:rPr>
          <w:lang w:val="es-ES"/>
        </w:rPr>
        <w:t xml:space="preserve">La </w:t>
      </w:r>
      <w:r w:rsidR="00517607">
        <w:rPr>
          <w:lang w:val="es-ES"/>
        </w:rPr>
        <w:t xml:space="preserve">correspondiente categoría de </w:t>
      </w:r>
      <w:r w:rsidRPr="008A106B">
        <w:rPr>
          <w:lang w:val="es-ES"/>
        </w:rPr>
        <w:t xml:space="preserve">frecuencia </w:t>
      </w:r>
      <w:r w:rsidR="00B26F8A">
        <w:rPr>
          <w:lang w:val="es-ES"/>
        </w:rPr>
        <w:t xml:space="preserve">para cada RAM </w:t>
      </w:r>
      <w:r w:rsidR="00B37F1E">
        <w:rPr>
          <w:lang w:val="es-ES"/>
        </w:rPr>
        <w:t>est</w:t>
      </w:r>
      <w:r w:rsidR="00B26F8A">
        <w:rPr>
          <w:lang w:val="es-ES"/>
        </w:rPr>
        <w:t>á</w:t>
      </w:r>
      <w:r w:rsidR="00B37F1E">
        <w:rPr>
          <w:lang w:val="es-ES"/>
        </w:rPr>
        <w:t xml:space="preserve"> basada</w:t>
      </w:r>
      <w:r w:rsidR="00517607">
        <w:rPr>
          <w:lang w:val="es-ES"/>
        </w:rPr>
        <w:t xml:space="preserve"> </w:t>
      </w:r>
      <w:r w:rsidRPr="008A106B">
        <w:rPr>
          <w:lang w:val="es-ES"/>
        </w:rPr>
        <w:t xml:space="preserve">de la siguiente manera: </w:t>
      </w:r>
      <w:r w:rsidRPr="008A106B">
        <w:rPr>
          <w:lang w:val="es-ES_tradnl"/>
        </w:rPr>
        <w:t>muy frecuentes (</w:t>
      </w:r>
      <w:r w:rsidR="0047312C" w:rsidRPr="00F30AB8">
        <w:rPr>
          <w:szCs w:val="22"/>
          <w:lang w:val="es-ES"/>
        </w:rPr>
        <w:t>≥</w:t>
      </w:r>
      <w:r w:rsidRPr="008A106B">
        <w:rPr>
          <w:lang w:val="es-ES_tradnl"/>
        </w:rPr>
        <w:t>1/10); frecuent</w:t>
      </w:r>
      <w:r w:rsidRPr="00F30AB8">
        <w:rPr>
          <w:shd w:val="clear" w:color="auto" w:fill="FFFFFF" w:themeFill="background1"/>
          <w:lang w:val="es-ES_tradnl"/>
        </w:rPr>
        <w:t>e</w:t>
      </w:r>
      <w:r w:rsidRPr="00F30AB8">
        <w:rPr>
          <w:lang w:val="es-ES"/>
        </w:rPr>
        <w:t xml:space="preserve">s </w:t>
      </w:r>
      <w:r w:rsidR="0047312C" w:rsidRPr="00F30AB8">
        <w:rPr>
          <w:lang w:val="es-ES"/>
        </w:rPr>
        <w:t>(</w:t>
      </w:r>
      <w:r w:rsidR="0047312C" w:rsidRPr="00F30AB8">
        <w:rPr>
          <w:szCs w:val="22"/>
          <w:shd w:val="clear" w:color="auto" w:fill="FFFFFF" w:themeFill="background1"/>
          <w:lang w:val="es-ES"/>
        </w:rPr>
        <w:t>≥</w:t>
      </w:r>
      <w:r w:rsidRPr="008A106B">
        <w:rPr>
          <w:lang w:val="es-ES_tradnl"/>
        </w:rPr>
        <w:t xml:space="preserve">1/100 a </w:t>
      </w:r>
      <w:r w:rsidR="0047312C" w:rsidRPr="00F30AB8">
        <w:rPr>
          <w:rFonts w:eastAsia="MS Mincho"/>
          <w:sz w:val="10"/>
          <w:szCs w:val="22"/>
          <w:lang w:val="es-ES"/>
        </w:rPr>
        <w:t> </w:t>
      </w:r>
      <w:r w:rsidR="0047312C" w:rsidRPr="00B65EA9">
        <w:rPr>
          <w:rFonts w:eastAsia="MS Mincho"/>
          <w:szCs w:val="22"/>
          <w:lang w:val="en-GB"/>
        </w:rPr>
        <w:sym w:font="Symbol" w:char="F03C"/>
      </w:r>
      <w:r w:rsidR="0047312C" w:rsidRPr="00F30AB8">
        <w:rPr>
          <w:rFonts w:eastAsia="MS Mincho"/>
          <w:sz w:val="10"/>
          <w:szCs w:val="22"/>
          <w:lang w:val="es-ES"/>
        </w:rPr>
        <w:t> </w:t>
      </w:r>
      <w:r w:rsidRPr="008A106B">
        <w:rPr>
          <w:lang w:val="es-ES_tradnl"/>
        </w:rPr>
        <w:t>1/10)</w:t>
      </w:r>
      <w:r>
        <w:rPr>
          <w:lang w:val="es-ES_tradnl"/>
        </w:rPr>
        <w:t>,</w:t>
      </w:r>
      <w:r w:rsidRPr="008A106B">
        <w:rPr>
          <w:lang w:val="es-ES_tradnl"/>
        </w:rPr>
        <w:t xml:space="preserve"> </w:t>
      </w:r>
      <w:r>
        <w:rPr>
          <w:lang w:val="es-ES_tradnl"/>
        </w:rPr>
        <w:t xml:space="preserve"> </w:t>
      </w:r>
      <w:r w:rsidRPr="008A106B">
        <w:rPr>
          <w:lang w:val="es-ES_tradnl"/>
        </w:rPr>
        <w:t>poco frecuente</w:t>
      </w:r>
      <w:r w:rsidRPr="00F30AB8">
        <w:rPr>
          <w:lang w:val="es-ES"/>
        </w:rPr>
        <w:t xml:space="preserve">s </w:t>
      </w:r>
      <w:r w:rsidR="0047312C" w:rsidRPr="00F30AB8">
        <w:rPr>
          <w:lang w:val="es-ES"/>
        </w:rPr>
        <w:t>(</w:t>
      </w:r>
      <w:r w:rsidR="0047312C" w:rsidRPr="00F30AB8">
        <w:rPr>
          <w:szCs w:val="22"/>
          <w:lang w:val="es-ES"/>
        </w:rPr>
        <w:t>≥</w:t>
      </w:r>
      <w:r w:rsidRPr="008A106B">
        <w:rPr>
          <w:lang w:val="es-ES_tradnl"/>
        </w:rPr>
        <w:t>1/1</w:t>
      </w:r>
      <w:r w:rsidR="00CC0773" w:rsidRPr="00AE2FF6">
        <w:rPr>
          <w:lang w:val="es-ES"/>
        </w:rPr>
        <w:t> </w:t>
      </w:r>
      <w:r w:rsidR="00CC0773" w:rsidDel="00CC0773">
        <w:rPr>
          <w:lang w:val="es-ES_tradnl"/>
        </w:rPr>
        <w:t xml:space="preserve"> </w:t>
      </w:r>
      <w:r w:rsidRPr="008A106B">
        <w:rPr>
          <w:lang w:val="es-ES_tradnl"/>
        </w:rPr>
        <w:t xml:space="preserve">000 a </w:t>
      </w:r>
      <w:r w:rsidR="0047312C" w:rsidRPr="00B65EA9">
        <w:rPr>
          <w:rFonts w:eastAsia="MS Mincho"/>
          <w:szCs w:val="22"/>
          <w:lang w:val="en-GB"/>
        </w:rPr>
        <w:sym w:font="Symbol" w:char="F03C"/>
      </w:r>
      <w:r w:rsidRPr="008A106B">
        <w:rPr>
          <w:lang w:val="es-ES_tradnl"/>
        </w:rPr>
        <w:t>1/100)</w:t>
      </w:r>
      <w:r>
        <w:rPr>
          <w:lang w:val="es-ES_tradnl"/>
        </w:rPr>
        <w:t>, rara</w:t>
      </w:r>
      <w:r w:rsidRPr="00F30AB8">
        <w:rPr>
          <w:shd w:val="clear" w:color="auto" w:fill="FFFFFF" w:themeFill="background1"/>
          <w:lang w:val="es-ES_tradnl"/>
        </w:rPr>
        <w:t>s</w:t>
      </w:r>
      <w:r w:rsidRPr="00F30AB8">
        <w:rPr>
          <w:lang w:val="es-ES"/>
        </w:rPr>
        <w:t xml:space="preserve"> </w:t>
      </w:r>
      <w:r w:rsidR="0047312C" w:rsidRPr="00F30AB8">
        <w:rPr>
          <w:lang w:val="es-ES"/>
        </w:rPr>
        <w:t>(</w:t>
      </w:r>
      <w:r w:rsidR="0047312C" w:rsidRPr="00F30AB8">
        <w:rPr>
          <w:szCs w:val="22"/>
          <w:shd w:val="clear" w:color="auto" w:fill="FFFFFF" w:themeFill="background1"/>
          <w:lang w:val="es-ES"/>
        </w:rPr>
        <w:t>≥</w:t>
      </w:r>
      <w:r>
        <w:rPr>
          <w:lang w:val="es-ES_tradnl"/>
        </w:rPr>
        <w:t>1/10</w:t>
      </w:r>
      <w:r w:rsidR="00CC0773" w:rsidRPr="00AE2FF6">
        <w:rPr>
          <w:lang w:val="es-ES"/>
        </w:rPr>
        <w:t> </w:t>
      </w:r>
      <w:r w:rsidR="00CC0773" w:rsidDel="00CC0773">
        <w:rPr>
          <w:lang w:val="es-ES_tradnl"/>
        </w:rPr>
        <w:t xml:space="preserve"> </w:t>
      </w:r>
      <w:r>
        <w:rPr>
          <w:lang w:val="es-ES_tradnl"/>
        </w:rPr>
        <w:t xml:space="preserve">000 a </w:t>
      </w:r>
      <w:r w:rsidR="0047312C" w:rsidRPr="00B65EA9">
        <w:rPr>
          <w:rFonts w:eastAsia="MS Mincho"/>
          <w:szCs w:val="22"/>
          <w:lang w:val="en-GB"/>
        </w:rPr>
        <w:sym w:font="Symbol" w:char="F03C"/>
      </w:r>
      <w:r>
        <w:rPr>
          <w:lang w:val="es-ES_tradnl"/>
        </w:rPr>
        <w:t>1/1</w:t>
      </w:r>
      <w:r w:rsidR="00CC0773" w:rsidRPr="00AE2FF6">
        <w:rPr>
          <w:lang w:val="es-ES"/>
        </w:rPr>
        <w:t> </w:t>
      </w:r>
      <w:r w:rsidR="00CC0773" w:rsidDel="00CC0773">
        <w:rPr>
          <w:lang w:val="es-ES_tradnl"/>
        </w:rPr>
        <w:t xml:space="preserve"> </w:t>
      </w:r>
      <w:r>
        <w:rPr>
          <w:lang w:val="es-ES_tradnl"/>
        </w:rPr>
        <w:t>000) o muy raras (</w:t>
      </w:r>
      <w:r w:rsidR="0047312C" w:rsidRPr="00B65EA9">
        <w:rPr>
          <w:rFonts w:eastAsia="MS Mincho"/>
          <w:szCs w:val="22"/>
          <w:lang w:val="en-GB"/>
        </w:rPr>
        <w:sym w:font="Symbol" w:char="F03C"/>
      </w:r>
      <w:r>
        <w:rPr>
          <w:lang w:val="es-ES_tradnl"/>
        </w:rPr>
        <w:t>1/10</w:t>
      </w:r>
      <w:r w:rsidR="00CC0773" w:rsidRPr="00AE2FF6">
        <w:rPr>
          <w:lang w:val="es-ES"/>
        </w:rPr>
        <w:t> </w:t>
      </w:r>
      <w:r w:rsidR="00CC0773" w:rsidDel="00CC0773">
        <w:rPr>
          <w:lang w:val="es-ES_tradnl"/>
        </w:rPr>
        <w:t xml:space="preserve"> </w:t>
      </w:r>
      <w:r>
        <w:rPr>
          <w:lang w:val="es-ES_tradnl"/>
        </w:rPr>
        <w:t>000)</w:t>
      </w:r>
      <w:r w:rsidR="00CC0773" w:rsidRPr="00F30AB8">
        <w:rPr>
          <w:lang w:val="es-ES"/>
        </w:rPr>
        <w:t xml:space="preserve"> </w:t>
      </w:r>
      <w:r w:rsidR="00CC0773" w:rsidRPr="00CC0773">
        <w:rPr>
          <w:lang w:val="es-ES_tradnl"/>
        </w:rPr>
        <w:t xml:space="preserve">y frecuencia no conocida (no </w:t>
      </w:r>
      <w:r w:rsidR="00CC0773">
        <w:rPr>
          <w:lang w:val="es-ES_tradnl"/>
        </w:rPr>
        <w:t xml:space="preserve">se </w:t>
      </w:r>
      <w:r w:rsidR="00CC0773" w:rsidRPr="00CC0773">
        <w:rPr>
          <w:lang w:val="es-ES_tradnl"/>
        </w:rPr>
        <w:t>puede estimar a partir de los datos disponibles)</w:t>
      </w:r>
      <w:r w:rsidRPr="008A106B">
        <w:rPr>
          <w:lang w:val="es-ES_tradnl"/>
        </w:rPr>
        <w:t>.</w:t>
      </w:r>
      <w:r w:rsidRPr="008A106B">
        <w:rPr>
          <w:lang w:val="es-ES"/>
        </w:rPr>
        <w:t xml:space="preserve"> Las reacciones adversas se enumeran en orden decreciente de gravedad dentro de cada intervalo de frecuencia</w:t>
      </w:r>
      <w:r w:rsidRPr="008A106B">
        <w:rPr>
          <w:lang w:val="es-ES_tradnl"/>
        </w:rPr>
        <w:t>.</w:t>
      </w:r>
    </w:p>
    <w:p w14:paraId="2BE81B60" w14:textId="0D3C15A4" w:rsidR="0068080F" w:rsidRPr="008A106B" w:rsidRDefault="0068080F" w:rsidP="00DC224A">
      <w:pPr>
        <w:rPr>
          <w:lang w:val="es-ES"/>
        </w:rPr>
      </w:pPr>
    </w:p>
    <w:p w14:paraId="34FBAE22" w14:textId="63CC85BD" w:rsidR="00DC224A" w:rsidRDefault="000963B9" w:rsidP="00DC224A">
      <w:pPr>
        <w:keepNext/>
        <w:keepLines/>
        <w:rPr>
          <w:bCs/>
          <w:i/>
          <w:lang w:val="es-ES_tradnl"/>
        </w:rPr>
      </w:pPr>
      <w:r>
        <w:rPr>
          <w:bCs/>
          <w:i/>
          <w:lang w:val="es-ES_tradnl"/>
        </w:rPr>
        <w:t>Tabla 1. Lista</w:t>
      </w:r>
      <w:r w:rsidR="00DC224A" w:rsidRPr="008A106B">
        <w:rPr>
          <w:bCs/>
          <w:i/>
          <w:lang w:val="es-ES_tradnl"/>
        </w:rPr>
        <w:t xml:space="preserve"> de las </w:t>
      </w:r>
      <w:r w:rsidR="0047312C" w:rsidRPr="0047312C">
        <w:rPr>
          <w:bCs/>
          <w:i/>
          <w:lang w:val="es-ES_tradnl"/>
        </w:rPr>
        <w:t>reacciones adversas</w:t>
      </w:r>
      <w:r w:rsidR="00DC224A" w:rsidRPr="008A106B">
        <w:rPr>
          <w:bCs/>
          <w:i/>
          <w:lang w:val="es-ES_tradnl"/>
        </w:rPr>
        <w:t xml:space="preserve"> que se producen en pacientes trata</w:t>
      </w:r>
      <w:r w:rsidR="00DC224A">
        <w:rPr>
          <w:bCs/>
          <w:i/>
          <w:lang w:val="es-ES_tradnl"/>
        </w:rPr>
        <w:t>dos</w:t>
      </w:r>
      <w:r w:rsidR="00DC224A" w:rsidRPr="008A106B">
        <w:rPr>
          <w:bCs/>
          <w:i/>
          <w:lang w:val="es-ES_tradnl"/>
        </w:rPr>
        <w:t xml:space="preserve"> con </w:t>
      </w:r>
      <w:r w:rsidR="0047312C" w:rsidRPr="0047312C">
        <w:rPr>
          <w:i/>
          <w:szCs w:val="22"/>
          <w:lang w:val="es-ES"/>
        </w:rPr>
        <w:t>tocilizumab</w:t>
      </w:r>
      <w:r w:rsidR="00DC224A">
        <w:rPr>
          <w:bCs/>
          <w:i/>
          <w:lang w:val="es-ES_tradnl"/>
        </w:rPr>
        <w:t>.</w:t>
      </w:r>
    </w:p>
    <w:p w14:paraId="36540D24" w14:textId="77777777" w:rsidR="00DC224A" w:rsidRDefault="00DC224A" w:rsidP="00DC224A">
      <w:pPr>
        <w:keepNext/>
        <w:keepLines/>
        <w:rPr>
          <w:bCs/>
          <w:i/>
          <w:lang w:val="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3"/>
        <w:gridCol w:w="1559"/>
        <w:gridCol w:w="1674"/>
        <w:gridCol w:w="1435"/>
        <w:gridCol w:w="1435"/>
        <w:gridCol w:w="1435"/>
      </w:tblGrid>
      <w:tr w:rsidR="006359C5" w:rsidRPr="00541248" w14:paraId="3505217F" w14:textId="77777777" w:rsidTr="00F30AB8">
        <w:trPr>
          <w:cantSplit/>
          <w:tblHeader/>
        </w:trPr>
        <w:tc>
          <w:tcPr>
            <w:tcW w:w="840" w:type="pct"/>
            <w:vMerge w:val="restart"/>
          </w:tcPr>
          <w:p w14:paraId="51890029" w14:textId="2D08CAA7" w:rsidR="006359C5" w:rsidRPr="005A5612" w:rsidRDefault="00952815" w:rsidP="00977CE8">
            <w:pPr>
              <w:keepNext/>
              <w:keepLines/>
              <w:jc w:val="center"/>
              <w:rPr>
                <w:b/>
                <w:bCs/>
                <w:lang w:val="es-ES_tradnl"/>
              </w:rPr>
            </w:pPr>
            <w:r>
              <w:rPr>
                <w:b/>
                <w:bCs/>
                <w:lang w:val="es-ES_tradnl"/>
              </w:rPr>
              <w:t>C</w:t>
            </w:r>
            <w:r w:rsidR="006359C5" w:rsidRPr="005A5612">
              <w:rPr>
                <w:b/>
                <w:bCs/>
                <w:lang w:val="es-ES_tradnl"/>
              </w:rPr>
              <w:t xml:space="preserve">lasificación </w:t>
            </w:r>
            <w:r>
              <w:rPr>
                <w:b/>
                <w:bCs/>
                <w:lang w:val="es-ES_tradnl"/>
              </w:rPr>
              <w:t>por</w:t>
            </w:r>
            <w:r w:rsidRPr="005A5612">
              <w:rPr>
                <w:b/>
                <w:bCs/>
                <w:lang w:val="es-ES_tradnl"/>
              </w:rPr>
              <w:t xml:space="preserve"> </w:t>
            </w:r>
            <w:r w:rsidR="006359C5" w:rsidRPr="005A5612">
              <w:rPr>
                <w:b/>
                <w:bCs/>
                <w:lang w:val="es-ES_tradnl"/>
              </w:rPr>
              <w:t>órganos</w:t>
            </w:r>
            <w:r>
              <w:rPr>
                <w:b/>
                <w:bCs/>
                <w:lang w:val="es-ES_tradnl"/>
              </w:rPr>
              <w:t xml:space="preserve"> y sistemas de</w:t>
            </w:r>
            <w:r w:rsidR="006359C5" w:rsidRPr="005A5612">
              <w:rPr>
                <w:b/>
                <w:bCs/>
                <w:lang w:val="es-ES_tradnl"/>
              </w:rPr>
              <w:t xml:space="preserve"> </w:t>
            </w:r>
            <w:r w:rsidR="006359C5">
              <w:rPr>
                <w:b/>
                <w:bCs/>
                <w:lang w:val="es-ES"/>
              </w:rPr>
              <w:t>MedDRA</w:t>
            </w:r>
            <w:r w:rsidR="0068080F">
              <w:rPr>
                <w:b/>
                <w:bCs/>
                <w:lang w:val="es-ES"/>
              </w:rPr>
              <w:t xml:space="preserve"> (SOC)</w:t>
            </w:r>
          </w:p>
        </w:tc>
        <w:tc>
          <w:tcPr>
            <w:tcW w:w="3368" w:type="pct"/>
            <w:gridSpan w:val="4"/>
          </w:tcPr>
          <w:p w14:paraId="0FD7F5D2" w14:textId="77777777" w:rsidR="006359C5" w:rsidRDefault="006359C5" w:rsidP="00977CE8">
            <w:pPr>
              <w:keepNext/>
              <w:keepLines/>
              <w:jc w:val="center"/>
              <w:rPr>
                <w:b/>
                <w:bCs/>
                <w:lang w:val="es-ES_tradnl"/>
              </w:rPr>
            </w:pPr>
            <w:r>
              <w:rPr>
                <w:b/>
                <w:bCs/>
                <w:lang w:val="es-ES_tradnl"/>
              </w:rPr>
              <w:t>Categoria de frecuencia con términos preferidos</w:t>
            </w:r>
          </w:p>
        </w:tc>
        <w:tc>
          <w:tcPr>
            <w:tcW w:w="792" w:type="pct"/>
          </w:tcPr>
          <w:p w14:paraId="6AFE335B" w14:textId="77777777" w:rsidR="006359C5" w:rsidRDefault="006359C5" w:rsidP="00977CE8">
            <w:pPr>
              <w:keepNext/>
              <w:keepLines/>
              <w:jc w:val="center"/>
              <w:rPr>
                <w:b/>
                <w:bCs/>
                <w:lang w:val="es-ES_tradnl"/>
              </w:rPr>
            </w:pPr>
          </w:p>
        </w:tc>
      </w:tr>
      <w:tr w:rsidR="006359C5" w:rsidRPr="005A5612" w14:paraId="637FC4F4" w14:textId="77777777" w:rsidTr="00F30AB8">
        <w:trPr>
          <w:cantSplit/>
          <w:trHeight w:val="687"/>
          <w:tblHeader/>
        </w:trPr>
        <w:tc>
          <w:tcPr>
            <w:tcW w:w="840" w:type="pct"/>
            <w:vMerge/>
          </w:tcPr>
          <w:p w14:paraId="20E2CD4B" w14:textId="77777777" w:rsidR="006359C5" w:rsidRPr="001A2675" w:rsidRDefault="006359C5" w:rsidP="00977CE8">
            <w:pPr>
              <w:keepNext/>
              <w:keepLines/>
              <w:jc w:val="center"/>
              <w:rPr>
                <w:b/>
                <w:bCs/>
                <w:lang w:val="es-ES"/>
              </w:rPr>
            </w:pPr>
          </w:p>
        </w:tc>
        <w:tc>
          <w:tcPr>
            <w:tcW w:w="860" w:type="pct"/>
          </w:tcPr>
          <w:p w14:paraId="37EA8D04" w14:textId="77777777" w:rsidR="006359C5" w:rsidRPr="005A5612" w:rsidRDefault="006359C5" w:rsidP="00977CE8">
            <w:pPr>
              <w:keepNext/>
              <w:keepLines/>
              <w:jc w:val="center"/>
              <w:rPr>
                <w:b/>
                <w:bCs/>
                <w:lang w:val="en-GB"/>
              </w:rPr>
            </w:pPr>
            <w:r w:rsidRPr="005A5612">
              <w:rPr>
                <w:b/>
                <w:bCs/>
                <w:lang w:val="es-ES_tradnl"/>
              </w:rPr>
              <w:t>Muy frecuentes</w:t>
            </w:r>
          </w:p>
          <w:p w14:paraId="3C3092F8" w14:textId="77777777" w:rsidR="006359C5" w:rsidRPr="005A5612" w:rsidRDefault="006359C5" w:rsidP="00977CE8">
            <w:pPr>
              <w:keepNext/>
              <w:keepLines/>
              <w:jc w:val="center"/>
              <w:rPr>
                <w:b/>
                <w:lang w:val="en-GB"/>
              </w:rPr>
            </w:pPr>
          </w:p>
        </w:tc>
        <w:tc>
          <w:tcPr>
            <w:tcW w:w="924" w:type="pct"/>
          </w:tcPr>
          <w:p w14:paraId="2E82F6A2" w14:textId="77777777" w:rsidR="006359C5" w:rsidRPr="005A5612" w:rsidRDefault="006359C5" w:rsidP="00977CE8">
            <w:pPr>
              <w:keepNext/>
              <w:keepLines/>
              <w:jc w:val="center"/>
              <w:rPr>
                <w:b/>
                <w:bCs/>
                <w:lang w:val="en-GB"/>
              </w:rPr>
            </w:pPr>
            <w:r w:rsidRPr="005A5612">
              <w:rPr>
                <w:b/>
                <w:bCs/>
                <w:lang w:val="es-ES_tradnl"/>
              </w:rPr>
              <w:t>Frecuentes</w:t>
            </w:r>
          </w:p>
          <w:p w14:paraId="713C63B7" w14:textId="77777777" w:rsidR="006359C5" w:rsidRPr="005A5612" w:rsidRDefault="006359C5" w:rsidP="00977CE8">
            <w:pPr>
              <w:keepNext/>
              <w:keepLines/>
              <w:jc w:val="center"/>
            </w:pPr>
          </w:p>
        </w:tc>
        <w:tc>
          <w:tcPr>
            <w:tcW w:w="792" w:type="pct"/>
          </w:tcPr>
          <w:p w14:paraId="34CA4C88" w14:textId="77777777" w:rsidR="006359C5" w:rsidRPr="005A5612" w:rsidRDefault="006359C5" w:rsidP="00977CE8">
            <w:pPr>
              <w:keepNext/>
              <w:keepLines/>
              <w:jc w:val="center"/>
              <w:rPr>
                <w:b/>
                <w:bCs/>
                <w:lang w:val="en-GB"/>
              </w:rPr>
            </w:pPr>
            <w:r w:rsidRPr="005A5612">
              <w:rPr>
                <w:b/>
                <w:bCs/>
                <w:lang w:val="es-ES_tradnl"/>
              </w:rPr>
              <w:t>Poco frecuentes</w:t>
            </w:r>
          </w:p>
          <w:p w14:paraId="4FE6CA5B" w14:textId="77777777" w:rsidR="006359C5" w:rsidRPr="005A5612" w:rsidRDefault="006359C5" w:rsidP="00977CE8">
            <w:pPr>
              <w:keepNext/>
              <w:keepLines/>
              <w:jc w:val="center"/>
            </w:pPr>
          </w:p>
        </w:tc>
        <w:tc>
          <w:tcPr>
            <w:tcW w:w="792" w:type="pct"/>
          </w:tcPr>
          <w:p w14:paraId="63EDF3CD" w14:textId="77777777" w:rsidR="006359C5" w:rsidRPr="005A5612" w:rsidRDefault="006359C5" w:rsidP="00977CE8">
            <w:pPr>
              <w:keepNext/>
              <w:keepLines/>
              <w:jc w:val="center"/>
              <w:rPr>
                <w:b/>
                <w:bCs/>
                <w:lang w:val="es-ES_tradnl"/>
              </w:rPr>
            </w:pPr>
            <w:r>
              <w:rPr>
                <w:b/>
                <w:bCs/>
                <w:lang w:val="es-ES_tradnl"/>
              </w:rPr>
              <w:t>Raros</w:t>
            </w:r>
          </w:p>
        </w:tc>
        <w:tc>
          <w:tcPr>
            <w:tcW w:w="792" w:type="pct"/>
          </w:tcPr>
          <w:p w14:paraId="3AAEEB25" w14:textId="77777777" w:rsidR="006359C5" w:rsidRDefault="006359C5" w:rsidP="00977CE8">
            <w:pPr>
              <w:keepNext/>
              <w:keepLines/>
              <w:jc w:val="center"/>
              <w:rPr>
                <w:b/>
                <w:bCs/>
                <w:lang w:val="es-ES_tradnl"/>
              </w:rPr>
            </w:pPr>
            <w:r>
              <w:rPr>
                <w:b/>
                <w:bCs/>
                <w:lang w:val="es-ES_tradnl"/>
              </w:rPr>
              <w:t>Muy raros</w:t>
            </w:r>
          </w:p>
        </w:tc>
      </w:tr>
      <w:tr w:rsidR="006359C5" w:rsidRPr="005A5612" w14:paraId="7F014FCB" w14:textId="77777777" w:rsidTr="00F30AB8">
        <w:trPr>
          <w:cantSplit/>
        </w:trPr>
        <w:tc>
          <w:tcPr>
            <w:tcW w:w="840" w:type="pct"/>
          </w:tcPr>
          <w:p w14:paraId="37B3AEAA" w14:textId="77777777" w:rsidR="006359C5" w:rsidRPr="005A5612" w:rsidRDefault="006359C5" w:rsidP="00977CE8">
            <w:pPr>
              <w:keepNext/>
              <w:keepLines/>
            </w:pPr>
            <w:r w:rsidRPr="005A5612">
              <w:rPr>
                <w:lang w:val="es-ES_tradnl"/>
              </w:rPr>
              <w:t>Infecciones e infestaciones</w:t>
            </w:r>
          </w:p>
        </w:tc>
        <w:tc>
          <w:tcPr>
            <w:tcW w:w="860" w:type="pct"/>
          </w:tcPr>
          <w:p w14:paraId="03408A6D" w14:textId="77777777" w:rsidR="006359C5" w:rsidRPr="005A5612" w:rsidRDefault="006359C5" w:rsidP="00977CE8">
            <w:pPr>
              <w:keepNext/>
              <w:keepLines/>
              <w:rPr>
                <w:lang w:val="es-ES"/>
              </w:rPr>
            </w:pPr>
            <w:r w:rsidRPr="005A5612">
              <w:rPr>
                <w:lang w:val="es-ES_tradnl"/>
              </w:rPr>
              <w:t>Infección de las vías respiratorias superiores</w:t>
            </w:r>
          </w:p>
        </w:tc>
        <w:tc>
          <w:tcPr>
            <w:tcW w:w="924" w:type="pct"/>
          </w:tcPr>
          <w:p w14:paraId="5E0B22D4" w14:textId="77777777" w:rsidR="006359C5" w:rsidRPr="005A5612" w:rsidRDefault="006359C5" w:rsidP="00977CE8">
            <w:pPr>
              <w:keepNext/>
              <w:keepLines/>
            </w:pPr>
            <w:r w:rsidRPr="005A5612">
              <w:rPr>
                <w:lang w:val="es-ES_tradnl"/>
              </w:rPr>
              <w:t>Celulitis, Neumonía, Herpes simple oral, Herpes zoster</w:t>
            </w:r>
          </w:p>
        </w:tc>
        <w:tc>
          <w:tcPr>
            <w:tcW w:w="792" w:type="pct"/>
          </w:tcPr>
          <w:p w14:paraId="6C4417CD" w14:textId="77777777" w:rsidR="006359C5" w:rsidRPr="005A5612" w:rsidRDefault="006359C5" w:rsidP="00977CE8">
            <w:pPr>
              <w:keepNext/>
              <w:keepLines/>
            </w:pPr>
            <w:r w:rsidRPr="005A5612">
              <w:rPr>
                <w:lang w:val="es-ES_tradnl"/>
              </w:rPr>
              <w:t>Diverticulitis</w:t>
            </w:r>
          </w:p>
        </w:tc>
        <w:tc>
          <w:tcPr>
            <w:tcW w:w="792" w:type="pct"/>
          </w:tcPr>
          <w:p w14:paraId="0B51FCD3" w14:textId="77777777" w:rsidR="006359C5" w:rsidRPr="005A5612" w:rsidRDefault="006359C5" w:rsidP="00977CE8">
            <w:pPr>
              <w:keepNext/>
              <w:keepLines/>
              <w:rPr>
                <w:lang w:val="es-ES_tradnl"/>
              </w:rPr>
            </w:pPr>
          </w:p>
        </w:tc>
        <w:tc>
          <w:tcPr>
            <w:tcW w:w="792" w:type="pct"/>
          </w:tcPr>
          <w:p w14:paraId="635CED1D" w14:textId="77777777" w:rsidR="006359C5" w:rsidRPr="005A5612" w:rsidRDefault="006359C5" w:rsidP="00977CE8">
            <w:pPr>
              <w:keepNext/>
              <w:keepLines/>
              <w:rPr>
                <w:lang w:val="es-ES_tradnl"/>
              </w:rPr>
            </w:pPr>
          </w:p>
        </w:tc>
      </w:tr>
      <w:tr w:rsidR="006359C5" w:rsidRPr="005A5612" w14:paraId="56F1F105" w14:textId="77777777" w:rsidTr="00F30AB8">
        <w:trPr>
          <w:cantSplit/>
        </w:trPr>
        <w:tc>
          <w:tcPr>
            <w:tcW w:w="840" w:type="pct"/>
          </w:tcPr>
          <w:p w14:paraId="705F0BEA" w14:textId="77777777" w:rsidR="006359C5" w:rsidRPr="005A5612" w:rsidRDefault="006359C5" w:rsidP="00977CE8">
            <w:pPr>
              <w:keepNext/>
              <w:keepLines/>
              <w:rPr>
                <w:lang w:val="es-ES"/>
              </w:rPr>
            </w:pPr>
            <w:r w:rsidRPr="005A5612">
              <w:rPr>
                <w:lang w:val="es-ES_tradnl"/>
              </w:rPr>
              <w:t>Trastornos de la sangre y el sistema linfático</w:t>
            </w:r>
          </w:p>
        </w:tc>
        <w:tc>
          <w:tcPr>
            <w:tcW w:w="860" w:type="pct"/>
          </w:tcPr>
          <w:p w14:paraId="095902E0" w14:textId="77777777" w:rsidR="006359C5" w:rsidRPr="005A5612" w:rsidRDefault="006359C5" w:rsidP="00977CE8">
            <w:pPr>
              <w:keepNext/>
              <w:keepLines/>
              <w:rPr>
                <w:lang w:val="es-ES"/>
              </w:rPr>
            </w:pPr>
          </w:p>
        </w:tc>
        <w:tc>
          <w:tcPr>
            <w:tcW w:w="924" w:type="pct"/>
          </w:tcPr>
          <w:p w14:paraId="36D01063" w14:textId="77777777" w:rsidR="006359C5" w:rsidRPr="005A5612" w:rsidRDefault="006359C5" w:rsidP="00977CE8">
            <w:pPr>
              <w:keepNext/>
              <w:keepLines/>
              <w:rPr>
                <w:lang w:val="en-GB"/>
              </w:rPr>
            </w:pPr>
            <w:r w:rsidRPr="005A5612">
              <w:rPr>
                <w:lang w:val="es-ES_tradnl"/>
              </w:rPr>
              <w:t>Leucopenia, Neutropenia</w:t>
            </w:r>
            <w:r>
              <w:rPr>
                <w:lang w:val="es-ES_tradnl"/>
              </w:rPr>
              <w:t>, H</w:t>
            </w:r>
            <w:r w:rsidRPr="00A50280">
              <w:rPr>
                <w:lang w:val="es-ES_tradnl"/>
              </w:rPr>
              <w:t>ipofibrinogenemia</w:t>
            </w:r>
          </w:p>
        </w:tc>
        <w:tc>
          <w:tcPr>
            <w:tcW w:w="792" w:type="pct"/>
          </w:tcPr>
          <w:p w14:paraId="6711649A" w14:textId="77777777" w:rsidR="006359C5" w:rsidRPr="005A5612" w:rsidRDefault="006359C5" w:rsidP="00977CE8">
            <w:pPr>
              <w:keepNext/>
              <w:keepLines/>
              <w:rPr>
                <w:lang w:val="en-GB"/>
              </w:rPr>
            </w:pPr>
          </w:p>
        </w:tc>
        <w:tc>
          <w:tcPr>
            <w:tcW w:w="792" w:type="pct"/>
          </w:tcPr>
          <w:p w14:paraId="214D6275" w14:textId="77777777" w:rsidR="006359C5" w:rsidRPr="005A5612" w:rsidRDefault="006359C5" w:rsidP="00977CE8">
            <w:pPr>
              <w:keepNext/>
              <w:keepLines/>
              <w:rPr>
                <w:lang w:val="en-GB"/>
              </w:rPr>
            </w:pPr>
          </w:p>
        </w:tc>
        <w:tc>
          <w:tcPr>
            <w:tcW w:w="792" w:type="pct"/>
          </w:tcPr>
          <w:p w14:paraId="30C6D54E" w14:textId="77777777" w:rsidR="006359C5" w:rsidRPr="005A5612" w:rsidRDefault="006359C5" w:rsidP="00977CE8">
            <w:pPr>
              <w:keepNext/>
              <w:keepLines/>
              <w:rPr>
                <w:lang w:val="en-GB"/>
              </w:rPr>
            </w:pPr>
          </w:p>
        </w:tc>
      </w:tr>
      <w:tr w:rsidR="006359C5" w:rsidRPr="005A5612" w14:paraId="3BE874FE" w14:textId="77777777" w:rsidTr="00F30AB8">
        <w:trPr>
          <w:cantSplit/>
        </w:trPr>
        <w:tc>
          <w:tcPr>
            <w:tcW w:w="840" w:type="pct"/>
          </w:tcPr>
          <w:p w14:paraId="1AB824EF" w14:textId="77777777" w:rsidR="006359C5" w:rsidRPr="005A5612" w:rsidRDefault="006359C5" w:rsidP="00977CE8">
            <w:pPr>
              <w:keepNext/>
              <w:keepLines/>
              <w:rPr>
                <w:lang w:val="es-ES_tradnl"/>
              </w:rPr>
            </w:pPr>
            <w:r>
              <w:rPr>
                <w:lang w:val="es-ES_tradnl"/>
              </w:rPr>
              <w:t>Trastornos del sistema inmunológico</w:t>
            </w:r>
          </w:p>
        </w:tc>
        <w:tc>
          <w:tcPr>
            <w:tcW w:w="860" w:type="pct"/>
          </w:tcPr>
          <w:p w14:paraId="256DAFAE" w14:textId="77777777" w:rsidR="006359C5" w:rsidRPr="005A5612" w:rsidRDefault="006359C5" w:rsidP="00977CE8">
            <w:pPr>
              <w:keepNext/>
              <w:keepLines/>
              <w:rPr>
                <w:lang w:val="es-ES"/>
              </w:rPr>
            </w:pPr>
          </w:p>
        </w:tc>
        <w:tc>
          <w:tcPr>
            <w:tcW w:w="924" w:type="pct"/>
          </w:tcPr>
          <w:p w14:paraId="7BF96B4B" w14:textId="77777777" w:rsidR="006359C5" w:rsidRPr="005A5612" w:rsidRDefault="006359C5" w:rsidP="00977CE8">
            <w:pPr>
              <w:keepNext/>
              <w:keepLines/>
              <w:rPr>
                <w:lang w:val="es-ES_tradnl"/>
              </w:rPr>
            </w:pPr>
          </w:p>
        </w:tc>
        <w:tc>
          <w:tcPr>
            <w:tcW w:w="792" w:type="pct"/>
          </w:tcPr>
          <w:p w14:paraId="2A960838" w14:textId="77777777" w:rsidR="006359C5" w:rsidRPr="005A5612" w:rsidRDefault="006359C5" w:rsidP="00977CE8">
            <w:pPr>
              <w:keepNext/>
              <w:keepLines/>
              <w:rPr>
                <w:lang w:val="en-GB"/>
              </w:rPr>
            </w:pPr>
          </w:p>
        </w:tc>
        <w:tc>
          <w:tcPr>
            <w:tcW w:w="792" w:type="pct"/>
          </w:tcPr>
          <w:p w14:paraId="58C61C71" w14:textId="77777777" w:rsidR="006359C5" w:rsidRPr="00E576A0" w:rsidRDefault="006359C5" w:rsidP="00977CE8">
            <w:pPr>
              <w:keepNext/>
              <w:keepLines/>
              <w:rPr>
                <w:rFonts w:ascii="PMingLiU" w:hAnsi="PMingLiU"/>
                <w:vertAlign w:val="superscript"/>
                <w:lang w:val="en-GB"/>
              </w:rPr>
            </w:pPr>
            <w:r>
              <w:rPr>
                <w:lang w:val="en-GB"/>
              </w:rPr>
              <w:t>Anafilaxia (mortal)</w:t>
            </w:r>
            <w:r>
              <w:rPr>
                <w:rFonts w:ascii="PMingLiU" w:hAnsi="PMingLiU"/>
                <w:vertAlign w:val="superscript"/>
                <w:lang w:val="en-GB"/>
              </w:rPr>
              <w:t>1,2,3</w:t>
            </w:r>
          </w:p>
        </w:tc>
        <w:tc>
          <w:tcPr>
            <w:tcW w:w="792" w:type="pct"/>
          </w:tcPr>
          <w:p w14:paraId="433DFB8F" w14:textId="77777777" w:rsidR="006359C5" w:rsidRDefault="006359C5" w:rsidP="00977CE8">
            <w:pPr>
              <w:keepNext/>
              <w:keepLines/>
              <w:rPr>
                <w:lang w:val="en-GB"/>
              </w:rPr>
            </w:pPr>
          </w:p>
        </w:tc>
      </w:tr>
      <w:tr w:rsidR="006359C5" w:rsidRPr="005A5612" w14:paraId="36320BD3" w14:textId="77777777" w:rsidTr="00F30AB8">
        <w:trPr>
          <w:cantSplit/>
        </w:trPr>
        <w:tc>
          <w:tcPr>
            <w:tcW w:w="840" w:type="pct"/>
          </w:tcPr>
          <w:p w14:paraId="5FDCF828" w14:textId="77777777" w:rsidR="006359C5" w:rsidRDefault="006359C5" w:rsidP="00977CE8">
            <w:pPr>
              <w:keepNext/>
              <w:keepLines/>
              <w:rPr>
                <w:lang w:val="es-ES_tradnl"/>
              </w:rPr>
            </w:pPr>
            <w:r w:rsidRPr="005A5612">
              <w:rPr>
                <w:lang w:val="es-ES_tradnl"/>
              </w:rPr>
              <w:t>Trastornos endocrinos</w:t>
            </w:r>
          </w:p>
        </w:tc>
        <w:tc>
          <w:tcPr>
            <w:tcW w:w="860" w:type="pct"/>
          </w:tcPr>
          <w:p w14:paraId="3B29061A" w14:textId="77777777" w:rsidR="006359C5" w:rsidRPr="005A5612" w:rsidRDefault="006359C5" w:rsidP="00977CE8">
            <w:pPr>
              <w:keepNext/>
              <w:keepLines/>
              <w:rPr>
                <w:lang w:val="es-ES"/>
              </w:rPr>
            </w:pPr>
          </w:p>
        </w:tc>
        <w:tc>
          <w:tcPr>
            <w:tcW w:w="924" w:type="pct"/>
          </w:tcPr>
          <w:p w14:paraId="2FDBD8AE" w14:textId="77777777" w:rsidR="006359C5" w:rsidRPr="005A5612" w:rsidRDefault="006359C5" w:rsidP="00977CE8">
            <w:pPr>
              <w:keepNext/>
              <w:keepLines/>
              <w:rPr>
                <w:lang w:val="es-ES_tradnl"/>
              </w:rPr>
            </w:pPr>
          </w:p>
        </w:tc>
        <w:tc>
          <w:tcPr>
            <w:tcW w:w="792" w:type="pct"/>
          </w:tcPr>
          <w:p w14:paraId="20145EC2" w14:textId="77777777" w:rsidR="006359C5" w:rsidRPr="005A5612" w:rsidRDefault="006359C5" w:rsidP="00977CE8">
            <w:pPr>
              <w:keepNext/>
              <w:keepLines/>
              <w:rPr>
                <w:lang w:val="en-GB"/>
              </w:rPr>
            </w:pPr>
            <w:r w:rsidRPr="005A5612">
              <w:rPr>
                <w:lang w:val="es-ES"/>
              </w:rPr>
              <w:t>Hipotiroidismo</w:t>
            </w:r>
          </w:p>
        </w:tc>
        <w:tc>
          <w:tcPr>
            <w:tcW w:w="792" w:type="pct"/>
          </w:tcPr>
          <w:p w14:paraId="48840042" w14:textId="77777777" w:rsidR="006359C5" w:rsidRDefault="006359C5" w:rsidP="00977CE8">
            <w:pPr>
              <w:keepNext/>
              <w:keepLines/>
              <w:rPr>
                <w:lang w:val="en-GB"/>
              </w:rPr>
            </w:pPr>
          </w:p>
        </w:tc>
        <w:tc>
          <w:tcPr>
            <w:tcW w:w="792" w:type="pct"/>
          </w:tcPr>
          <w:p w14:paraId="0B0ABE45" w14:textId="77777777" w:rsidR="006359C5" w:rsidRDefault="006359C5" w:rsidP="00977CE8">
            <w:pPr>
              <w:keepNext/>
              <w:keepLines/>
              <w:rPr>
                <w:lang w:val="en-GB"/>
              </w:rPr>
            </w:pPr>
          </w:p>
        </w:tc>
      </w:tr>
      <w:tr w:rsidR="006359C5" w:rsidRPr="005A5612" w14:paraId="4ECADFA7" w14:textId="77777777" w:rsidTr="00F30AB8">
        <w:trPr>
          <w:cantSplit/>
        </w:trPr>
        <w:tc>
          <w:tcPr>
            <w:tcW w:w="840" w:type="pct"/>
          </w:tcPr>
          <w:p w14:paraId="38FC5E51" w14:textId="77777777" w:rsidR="006359C5" w:rsidRPr="005A5612" w:rsidRDefault="006359C5" w:rsidP="00977CE8">
            <w:pPr>
              <w:keepNext/>
              <w:keepLines/>
              <w:rPr>
                <w:lang w:val="es-ES"/>
              </w:rPr>
            </w:pPr>
            <w:r w:rsidRPr="005A5612">
              <w:rPr>
                <w:lang w:val="es-ES_tradnl"/>
              </w:rPr>
              <w:t>Trastornos del metabolismo y la nutrición</w:t>
            </w:r>
          </w:p>
        </w:tc>
        <w:tc>
          <w:tcPr>
            <w:tcW w:w="860" w:type="pct"/>
          </w:tcPr>
          <w:p w14:paraId="44BB19E6" w14:textId="77777777" w:rsidR="006359C5" w:rsidRPr="005A5612" w:rsidRDefault="006359C5" w:rsidP="00977CE8">
            <w:pPr>
              <w:keepNext/>
              <w:keepLines/>
              <w:rPr>
                <w:lang w:val="es-ES"/>
              </w:rPr>
            </w:pPr>
            <w:r w:rsidRPr="005A5612">
              <w:rPr>
                <w:lang w:val="es-ES_tradnl"/>
              </w:rPr>
              <w:t>Hipercolesterolemia*</w:t>
            </w:r>
          </w:p>
        </w:tc>
        <w:tc>
          <w:tcPr>
            <w:tcW w:w="924" w:type="pct"/>
          </w:tcPr>
          <w:p w14:paraId="58DD698A" w14:textId="77777777" w:rsidR="006359C5" w:rsidRPr="005A5612" w:rsidRDefault="006359C5" w:rsidP="00977CE8">
            <w:pPr>
              <w:keepNext/>
              <w:keepLines/>
            </w:pPr>
          </w:p>
        </w:tc>
        <w:tc>
          <w:tcPr>
            <w:tcW w:w="792" w:type="pct"/>
          </w:tcPr>
          <w:p w14:paraId="4126BCEF" w14:textId="77777777" w:rsidR="006359C5" w:rsidRPr="005A5612" w:rsidRDefault="006359C5" w:rsidP="00977CE8">
            <w:pPr>
              <w:keepNext/>
              <w:keepLines/>
            </w:pPr>
            <w:r w:rsidRPr="005A5612">
              <w:rPr>
                <w:lang w:val="es-ES_tradnl"/>
              </w:rPr>
              <w:t>Hipertrigliceridemia</w:t>
            </w:r>
          </w:p>
        </w:tc>
        <w:tc>
          <w:tcPr>
            <w:tcW w:w="792" w:type="pct"/>
          </w:tcPr>
          <w:p w14:paraId="062AE296" w14:textId="77777777" w:rsidR="006359C5" w:rsidRPr="005A5612" w:rsidRDefault="006359C5" w:rsidP="00977CE8">
            <w:pPr>
              <w:keepNext/>
              <w:keepLines/>
              <w:rPr>
                <w:lang w:val="es-ES_tradnl"/>
              </w:rPr>
            </w:pPr>
          </w:p>
        </w:tc>
        <w:tc>
          <w:tcPr>
            <w:tcW w:w="792" w:type="pct"/>
          </w:tcPr>
          <w:p w14:paraId="36434C17" w14:textId="77777777" w:rsidR="006359C5" w:rsidRPr="005A5612" w:rsidRDefault="006359C5" w:rsidP="00977CE8">
            <w:pPr>
              <w:keepNext/>
              <w:keepLines/>
              <w:rPr>
                <w:lang w:val="es-ES_tradnl"/>
              </w:rPr>
            </w:pPr>
          </w:p>
        </w:tc>
      </w:tr>
      <w:tr w:rsidR="006359C5" w:rsidRPr="005A5612" w14:paraId="1C41A647" w14:textId="77777777" w:rsidTr="00F30AB8">
        <w:trPr>
          <w:cantSplit/>
        </w:trPr>
        <w:tc>
          <w:tcPr>
            <w:tcW w:w="840" w:type="pct"/>
          </w:tcPr>
          <w:p w14:paraId="57F2E694" w14:textId="77777777" w:rsidR="006359C5" w:rsidRPr="005A5612" w:rsidRDefault="006359C5" w:rsidP="00977CE8">
            <w:pPr>
              <w:keepNext/>
              <w:keepLines/>
              <w:rPr>
                <w:lang w:val="es-ES_tradnl"/>
              </w:rPr>
            </w:pPr>
            <w:r w:rsidRPr="005A5612">
              <w:rPr>
                <w:lang w:val="es-ES_tradnl"/>
              </w:rPr>
              <w:t>Trastornos del sistema nervioso</w:t>
            </w:r>
          </w:p>
        </w:tc>
        <w:tc>
          <w:tcPr>
            <w:tcW w:w="860" w:type="pct"/>
          </w:tcPr>
          <w:p w14:paraId="1C849E99" w14:textId="77777777" w:rsidR="006359C5" w:rsidRPr="005A5612" w:rsidRDefault="006359C5" w:rsidP="00977CE8">
            <w:pPr>
              <w:keepNext/>
              <w:keepLines/>
              <w:rPr>
                <w:lang w:val="es-ES_tradnl"/>
              </w:rPr>
            </w:pPr>
          </w:p>
        </w:tc>
        <w:tc>
          <w:tcPr>
            <w:tcW w:w="924" w:type="pct"/>
          </w:tcPr>
          <w:p w14:paraId="26C51D77" w14:textId="77777777" w:rsidR="006359C5" w:rsidRPr="005A5612" w:rsidRDefault="006359C5" w:rsidP="00977CE8">
            <w:pPr>
              <w:keepNext/>
              <w:keepLines/>
            </w:pPr>
            <w:r w:rsidRPr="005A5612">
              <w:rPr>
                <w:lang w:val="es-ES_tradnl"/>
              </w:rPr>
              <w:t>Cefalea, Mareos</w:t>
            </w:r>
          </w:p>
        </w:tc>
        <w:tc>
          <w:tcPr>
            <w:tcW w:w="792" w:type="pct"/>
          </w:tcPr>
          <w:p w14:paraId="73081573" w14:textId="77777777" w:rsidR="006359C5" w:rsidRPr="005A5612" w:rsidRDefault="006359C5" w:rsidP="00977CE8">
            <w:pPr>
              <w:keepNext/>
              <w:keepLines/>
              <w:rPr>
                <w:lang w:val="es-ES_tradnl"/>
              </w:rPr>
            </w:pPr>
          </w:p>
        </w:tc>
        <w:tc>
          <w:tcPr>
            <w:tcW w:w="792" w:type="pct"/>
          </w:tcPr>
          <w:p w14:paraId="182BD7F6" w14:textId="77777777" w:rsidR="006359C5" w:rsidRPr="005A5612" w:rsidRDefault="006359C5" w:rsidP="00977CE8">
            <w:pPr>
              <w:keepNext/>
              <w:keepLines/>
              <w:rPr>
                <w:lang w:val="es-ES_tradnl"/>
              </w:rPr>
            </w:pPr>
          </w:p>
        </w:tc>
        <w:tc>
          <w:tcPr>
            <w:tcW w:w="792" w:type="pct"/>
          </w:tcPr>
          <w:p w14:paraId="6508C385" w14:textId="77777777" w:rsidR="006359C5" w:rsidRPr="005A5612" w:rsidRDefault="006359C5" w:rsidP="00977CE8">
            <w:pPr>
              <w:keepNext/>
              <w:keepLines/>
              <w:rPr>
                <w:lang w:val="es-ES_tradnl"/>
              </w:rPr>
            </w:pPr>
          </w:p>
        </w:tc>
      </w:tr>
      <w:tr w:rsidR="006359C5" w:rsidRPr="005A5612" w14:paraId="33D3797A" w14:textId="77777777" w:rsidTr="00F30AB8">
        <w:trPr>
          <w:cantSplit/>
        </w:trPr>
        <w:tc>
          <w:tcPr>
            <w:tcW w:w="840" w:type="pct"/>
          </w:tcPr>
          <w:p w14:paraId="1D94A6EB" w14:textId="77777777" w:rsidR="006359C5" w:rsidRPr="005A5612" w:rsidRDefault="006359C5" w:rsidP="00977CE8">
            <w:r w:rsidRPr="005A5612">
              <w:rPr>
                <w:lang w:val="es-ES_tradnl"/>
              </w:rPr>
              <w:t>Trastornos oculares</w:t>
            </w:r>
          </w:p>
        </w:tc>
        <w:tc>
          <w:tcPr>
            <w:tcW w:w="860" w:type="pct"/>
          </w:tcPr>
          <w:p w14:paraId="6AD456E4" w14:textId="77777777" w:rsidR="006359C5" w:rsidRPr="005A5612" w:rsidRDefault="006359C5" w:rsidP="00977CE8">
            <w:pPr>
              <w:rPr>
                <w:lang w:val="en-GB"/>
              </w:rPr>
            </w:pPr>
          </w:p>
        </w:tc>
        <w:tc>
          <w:tcPr>
            <w:tcW w:w="924" w:type="pct"/>
          </w:tcPr>
          <w:p w14:paraId="6F165AA4" w14:textId="77777777" w:rsidR="006359C5" w:rsidRPr="005A5612" w:rsidRDefault="006359C5" w:rsidP="00977CE8">
            <w:r w:rsidRPr="005A5612">
              <w:rPr>
                <w:lang w:val="es-ES_tradnl"/>
              </w:rPr>
              <w:t>Conjuntivitis</w:t>
            </w:r>
          </w:p>
        </w:tc>
        <w:tc>
          <w:tcPr>
            <w:tcW w:w="792" w:type="pct"/>
          </w:tcPr>
          <w:p w14:paraId="47A0427C" w14:textId="77777777" w:rsidR="006359C5" w:rsidRPr="005A5612" w:rsidRDefault="006359C5" w:rsidP="00977CE8">
            <w:pPr>
              <w:rPr>
                <w:lang w:val="en-GB"/>
              </w:rPr>
            </w:pPr>
          </w:p>
        </w:tc>
        <w:tc>
          <w:tcPr>
            <w:tcW w:w="792" w:type="pct"/>
          </w:tcPr>
          <w:p w14:paraId="6A236117" w14:textId="77777777" w:rsidR="006359C5" w:rsidRPr="005A5612" w:rsidRDefault="006359C5" w:rsidP="00977CE8">
            <w:pPr>
              <w:rPr>
                <w:lang w:val="en-GB"/>
              </w:rPr>
            </w:pPr>
          </w:p>
        </w:tc>
        <w:tc>
          <w:tcPr>
            <w:tcW w:w="792" w:type="pct"/>
          </w:tcPr>
          <w:p w14:paraId="6A50AB96" w14:textId="77777777" w:rsidR="006359C5" w:rsidRPr="005A5612" w:rsidRDefault="006359C5" w:rsidP="00977CE8">
            <w:pPr>
              <w:rPr>
                <w:lang w:val="en-GB"/>
              </w:rPr>
            </w:pPr>
          </w:p>
        </w:tc>
      </w:tr>
      <w:tr w:rsidR="006359C5" w:rsidRPr="005A5612" w14:paraId="2D654213" w14:textId="77777777" w:rsidTr="00F30AB8">
        <w:trPr>
          <w:cantSplit/>
        </w:trPr>
        <w:tc>
          <w:tcPr>
            <w:tcW w:w="840" w:type="pct"/>
          </w:tcPr>
          <w:p w14:paraId="52E80AF2" w14:textId="77777777" w:rsidR="006359C5" w:rsidRPr="005A5612" w:rsidRDefault="006359C5" w:rsidP="00977CE8">
            <w:pPr>
              <w:rPr>
                <w:lang w:val="es-ES_tradnl"/>
              </w:rPr>
            </w:pPr>
            <w:r w:rsidRPr="005A5612">
              <w:rPr>
                <w:lang w:val="es-ES_tradnl"/>
              </w:rPr>
              <w:lastRenderedPageBreak/>
              <w:t>Trastornos vasculares</w:t>
            </w:r>
          </w:p>
        </w:tc>
        <w:tc>
          <w:tcPr>
            <w:tcW w:w="860" w:type="pct"/>
          </w:tcPr>
          <w:p w14:paraId="2AF8C6A6" w14:textId="77777777" w:rsidR="006359C5" w:rsidRPr="005A5612" w:rsidRDefault="006359C5" w:rsidP="00977CE8">
            <w:pPr>
              <w:rPr>
                <w:lang w:val="en-GB"/>
              </w:rPr>
            </w:pPr>
          </w:p>
        </w:tc>
        <w:tc>
          <w:tcPr>
            <w:tcW w:w="924" w:type="pct"/>
          </w:tcPr>
          <w:p w14:paraId="24E994E4" w14:textId="77777777" w:rsidR="006359C5" w:rsidRPr="005A5612" w:rsidRDefault="006359C5" w:rsidP="00977CE8">
            <w:pPr>
              <w:rPr>
                <w:lang w:val="es-ES_tradnl"/>
              </w:rPr>
            </w:pPr>
            <w:r w:rsidRPr="005A5612">
              <w:rPr>
                <w:lang w:val="es-ES_tradnl"/>
              </w:rPr>
              <w:t>Hipertensión</w:t>
            </w:r>
          </w:p>
        </w:tc>
        <w:tc>
          <w:tcPr>
            <w:tcW w:w="792" w:type="pct"/>
          </w:tcPr>
          <w:p w14:paraId="3001A65A" w14:textId="77777777" w:rsidR="006359C5" w:rsidRPr="005A5612" w:rsidRDefault="006359C5" w:rsidP="00977CE8">
            <w:pPr>
              <w:rPr>
                <w:lang w:val="en-GB"/>
              </w:rPr>
            </w:pPr>
          </w:p>
        </w:tc>
        <w:tc>
          <w:tcPr>
            <w:tcW w:w="792" w:type="pct"/>
          </w:tcPr>
          <w:p w14:paraId="4A579506" w14:textId="77777777" w:rsidR="006359C5" w:rsidRPr="005A5612" w:rsidRDefault="006359C5" w:rsidP="00977CE8">
            <w:pPr>
              <w:rPr>
                <w:lang w:val="en-GB"/>
              </w:rPr>
            </w:pPr>
          </w:p>
        </w:tc>
        <w:tc>
          <w:tcPr>
            <w:tcW w:w="792" w:type="pct"/>
          </w:tcPr>
          <w:p w14:paraId="1CFCE837" w14:textId="77777777" w:rsidR="006359C5" w:rsidRPr="005A5612" w:rsidRDefault="006359C5" w:rsidP="00977CE8">
            <w:pPr>
              <w:rPr>
                <w:lang w:val="en-GB"/>
              </w:rPr>
            </w:pPr>
          </w:p>
        </w:tc>
      </w:tr>
      <w:tr w:rsidR="006359C5" w:rsidRPr="005A5612" w14:paraId="7F83AD29" w14:textId="77777777" w:rsidTr="00F30AB8">
        <w:trPr>
          <w:cantSplit/>
        </w:trPr>
        <w:tc>
          <w:tcPr>
            <w:tcW w:w="840" w:type="pct"/>
          </w:tcPr>
          <w:p w14:paraId="20A4A04E" w14:textId="77777777" w:rsidR="006359C5" w:rsidRPr="005A5612" w:rsidRDefault="006359C5" w:rsidP="00977CE8">
            <w:pPr>
              <w:rPr>
                <w:lang w:val="es-ES_tradnl"/>
              </w:rPr>
            </w:pPr>
            <w:r w:rsidRPr="005A5612">
              <w:rPr>
                <w:lang w:val="es-ES_tradnl"/>
              </w:rPr>
              <w:t>Trastornos respiratorios, torácicos y mediastínicos</w:t>
            </w:r>
          </w:p>
        </w:tc>
        <w:tc>
          <w:tcPr>
            <w:tcW w:w="860" w:type="pct"/>
          </w:tcPr>
          <w:p w14:paraId="66A69C29" w14:textId="77777777" w:rsidR="006359C5" w:rsidRPr="005A5612" w:rsidRDefault="006359C5" w:rsidP="00977CE8">
            <w:pPr>
              <w:rPr>
                <w:lang w:val="es-ES_tradnl"/>
              </w:rPr>
            </w:pPr>
          </w:p>
        </w:tc>
        <w:tc>
          <w:tcPr>
            <w:tcW w:w="924" w:type="pct"/>
          </w:tcPr>
          <w:p w14:paraId="20C1CA35" w14:textId="77777777" w:rsidR="006359C5" w:rsidRPr="005A5612" w:rsidRDefault="006359C5" w:rsidP="00977CE8">
            <w:pPr>
              <w:rPr>
                <w:lang w:val="es-ES_tradnl"/>
              </w:rPr>
            </w:pPr>
            <w:r w:rsidRPr="005A5612">
              <w:rPr>
                <w:lang w:val="es-ES_tradnl"/>
              </w:rPr>
              <w:t>Tos, Disnea</w:t>
            </w:r>
          </w:p>
        </w:tc>
        <w:tc>
          <w:tcPr>
            <w:tcW w:w="792" w:type="pct"/>
          </w:tcPr>
          <w:p w14:paraId="457709A7" w14:textId="77777777" w:rsidR="006359C5" w:rsidRPr="005A5612" w:rsidRDefault="006359C5" w:rsidP="00977CE8">
            <w:pPr>
              <w:rPr>
                <w:lang w:val="es-ES"/>
              </w:rPr>
            </w:pPr>
          </w:p>
        </w:tc>
        <w:tc>
          <w:tcPr>
            <w:tcW w:w="792" w:type="pct"/>
          </w:tcPr>
          <w:p w14:paraId="02BA2091" w14:textId="77777777" w:rsidR="006359C5" w:rsidRPr="005A5612" w:rsidRDefault="006359C5" w:rsidP="00977CE8">
            <w:pPr>
              <w:rPr>
                <w:lang w:val="es-ES"/>
              </w:rPr>
            </w:pPr>
          </w:p>
        </w:tc>
        <w:tc>
          <w:tcPr>
            <w:tcW w:w="792" w:type="pct"/>
          </w:tcPr>
          <w:p w14:paraId="3980066F" w14:textId="77777777" w:rsidR="006359C5" w:rsidRPr="005A5612" w:rsidRDefault="006359C5" w:rsidP="00977CE8">
            <w:pPr>
              <w:rPr>
                <w:lang w:val="es-ES"/>
              </w:rPr>
            </w:pPr>
          </w:p>
        </w:tc>
      </w:tr>
      <w:tr w:rsidR="006359C5" w:rsidRPr="005A5612" w14:paraId="639CA778" w14:textId="77777777" w:rsidTr="00F30AB8">
        <w:trPr>
          <w:cantSplit/>
        </w:trPr>
        <w:tc>
          <w:tcPr>
            <w:tcW w:w="840" w:type="pct"/>
          </w:tcPr>
          <w:p w14:paraId="7996F0C2" w14:textId="77777777" w:rsidR="006359C5" w:rsidRPr="005A5612" w:rsidRDefault="006359C5" w:rsidP="00977CE8">
            <w:pPr>
              <w:rPr>
                <w:lang w:val="es-ES_tradnl"/>
              </w:rPr>
            </w:pPr>
            <w:r w:rsidRPr="005A5612">
              <w:rPr>
                <w:lang w:val="es-ES_tradnl"/>
              </w:rPr>
              <w:t>Trastornos digestivos</w:t>
            </w:r>
          </w:p>
        </w:tc>
        <w:tc>
          <w:tcPr>
            <w:tcW w:w="860" w:type="pct"/>
          </w:tcPr>
          <w:p w14:paraId="2E9F2DDA" w14:textId="77777777" w:rsidR="006359C5" w:rsidRPr="005A5612" w:rsidRDefault="006359C5" w:rsidP="00977CE8">
            <w:pPr>
              <w:rPr>
                <w:lang w:val="es-ES_tradnl"/>
              </w:rPr>
            </w:pPr>
          </w:p>
        </w:tc>
        <w:tc>
          <w:tcPr>
            <w:tcW w:w="924" w:type="pct"/>
          </w:tcPr>
          <w:p w14:paraId="2BAEC2E9" w14:textId="77777777" w:rsidR="006359C5" w:rsidRPr="005A5612" w:rsidRDefault="006359C5" w:rsidP="00977CE8">
            <w:pPr>
              <w:rPr>
                <w:lang w:val="es-ES_tradnl"/>
              </w:rPr>
            </w:pPr>
            <w:r w:rsidRPr="005A5612">
              <w:rPr>
                <w:lang w:val="es-ES_tradnl"/>
              </w:rPr>
              <w:t>Dolor abdominal, Ulceración oral, Gastritis</w:t>
            </w:r>
          </w:p>
        </w:tc>
        <w:tc>
          <w:tcPr>
            <w:tcW w:w="792" w:type="pct"/>
          </w:tcPr>
          <w:p w14:paraId="6A783FC1" w14:textId="77777777" w:rsidR="006359C5" w:rsidRPr="005A5612" w:rsidRDefault="006359C5" w:rsidP="00977CE8">
            <w:pPr>
              <w:rPr>
                <w:lang w:val="es-ES"/>
              </w:rPr>
            </w:pPr>
            <w:r w:rsidRPr="005A5612">
              <w:rPr>
                <w:lang w:val="es-ES_tradnl"/>
              </w:rPr>
              <w:t xml:space="preserve">Estomatitis, </w:t>
            </w:r>
            <w:r>
              <w:rPr>
                <w:lang w:val="es-ES_tradnl"/>
              </w:rPr>
              <w:t>Ú</w:t>
            </w:r>
            <w:r w:rsidRPr="005A5612">
              <w:rPr>
                <w:lang w:val="es-ES_tradnl"/>
              </w:rPr>
              <w:t>lcera gástrica</w:t>
            </w:r>
            <w:r>
              <w:rPr>
                <w:lang w:val="es-ES_tradnl"/>
              </w:rPr>
              <w:t xml:space="preserve"> </w:t>
            </w:r>
          </w:p>
        </w:tc>
        <w:tc>
          <w:tcPr>
            <w:tcW w:w="792" w:type="pct"/>
          </w:tcPr>
          <w:p w14:paraId="2232CA86" w14:textId="77777777" w:rsidR="006359C5" w:rsidRPr="005A5612" w:rsidRDefault="006359C5" w:rsidP="00977CE8">
            <w:pPr>
              <w:rPr>
                <w:lang w:val="es-ES"/>
              </w:rPr>
            </w:pPr>
          </w:p>
        </w:tc>
        <w:tc>
          <w:tcPr>
            <w:tcW w:w="792" w:type="pct"/>
          </w:tcPr>
          <w:p w14:paraId="11903061" w14:textId="77777777" w:rsidR="006359C5" w:rsidRPr="005A5612" w:rsidRDefault="006359C5" w:rsidP="00977CE8">
            <w:pPr>
              <w:rPr>
                <w:lang w:val="es-ES"/>
              </w:rPr>
            </w:pPr>
          </w:p>
        </w:tc>
      </w:tr>
      <w:tr w:rsidR="006359C5" w:rsidRPr="005A5612" w14:paraId="5DC7A467" w14:textId="77777777" w:rsidTr="00F30AB8">
        <w:trPr>
          <w:cantSplit/>
        </w:trPr>
        <w:tc>
          <w:tcPr>
            <w:tcW w:w="840" w:type="pct"/>
          </w:tcPr>
          <w:p w14:paraId="0BD18335" w14:textId="77777777" w:rsidR="006359C5" w:rsidRPr="005A5612" w:rsidRDefault="006359C5" w:rsidP="00977CE8">
            <w:pPr>
              <w:rPr>
                <w:lang w:val="es-ES_tradnl"/>
              </w:rPr>
            </w:pPr>
            <w:r>
              <w:rPr>
                <w:lang w:val="es-ES_tradnl"/>
              </w:rPr>
              <w:t>Trastornos hepatobiliares</w:t>
            </w:r>
          </w:p>
        </w:tc>
        <w:tc>
          <w:tcPr>
            <w:tcW w:w="860" w:type="pct"/>
          </w:tcPr>
          <w:p w14:paraId="7FA34F35" w14:textId="77777777" w:rsidR="006359C5" w:rsidRPr="005A5612" w:rsidRDefault="006359C5" w:rsidP="00977CE8">
            <w:pPr>
              <w:rPr>
                <w:lang w:val="es-ES_tradnl"/>
              </w:rPr>
            </w:pPr>
          </w:p>
        </w:tc>
        <w:tc>
          <w:tcPr>
            <w:tcW w:w="924" w:type="pct"/>
          </w:tcPr>
          <w:p w14:paraId="3722A4FB" w14:textId="77777777" w:rsidR="006359C5" w:rsidRPr="005A5612" w:rsidRDefault="006359C5" w:rsidP="00977CE8">
            <w:pPr>
              <w:rPr>
                <w:lang w:val="es-ES_tradnl"/>
              </w:rPr>
            </w:pPr>
          </w:p>
        </w:tc>
        <w:tc>
          <w:tcPr>
            <w:tcW w:w="792" w:type="pct"/>
          </w:tcPr>
          <w:p w14:paraId="47200D6C" w14:textId="77777777" w:rsidR="006359C5" w:rsidRPr="005A5612" w:rsidRDefault="006359C5" w:rsidP="00977CE8">
            <w:pPr>
              <w:rPr>
                <w:lang w:val="en-GB"/>
              </w:rPr>
            </w:pPr>
          </w:p>
        </w:tc>
        <w:tc>
          <w:tcPr>
            <w:tcW w:w="792" w:type="pct"/>
          </w:tcPr>
          <w:p w14:paraId="33AFB2B7" w14:textId="77777777" w:rsidR="006359C5" w:rsidRDefault="006359C5" w:rsidP="00977CE8">
            <w:pPr>
              <w:rPr>
                <w:lang w:val="es-ES"/>
              </w:rPr>
            </w:pPr>
            <w:r>
              <w:rPr>
                <w:lang w:val="es-ES"/>
              </w:rPr>
              <w:t>Daño hepático inducido por medicamentos, Hepatitis, Ictericia</w:t>
            </w:r>
          </w:p>
          <w:p w14:paraId="7667DF15" w14:textId="45533492" w:rsidR="006359C5" w:rsidRPr="00F30AB8" w:rsidRDefault="006359C5" w:rsidP="00977CE8">
            <w:pPr>
              <w:rPr>
                <w:lang w:val="es-ES"/>
              </w:rPr>
            </w:pPr>
          </w:p>
        </w:tc>
        <w:tc>
          <w:tcPr>
            <w:tcW w:w="792" w:type="pct"/>
          </w:tcPr>
          <w:p w14:paraId="09E62936" w14:textId="77777777" w:rsidR="006359C5" w:rsidRDefault="006359C5" w:rsidP="00977CE8">
            <w:pPr>
              <w:rPr>
                <w:lang w:val="es-ES"/>
              </w:rPr>
            </w:pPr>
            <w:r>
              <w:rPr>
                <w:lang w:val="es-ES"/>
              </w:rPr>
              <w:t>Fallo hepático</w:t>
            </w:r>
          </w:p>
        </w:tc>
      </w:tr>
      <w:tr w:rsidR="006359C5" w:rsidRPr="005A5612" w14:paraId="3F621169" w14:textId="77777777" w:rsidTr="00F30AB8">
        <w:trPr>
          <w:cantSplit/>
        </w:trPr>
        <w:tc>
          <w:tcPr>
            <w:tcW w:w="840" w:type="pct"/>
          </w:tcPr>
          <w:p w14:paraId="4EFAEE91" w14:textId="77777777" w:rsidR="006359C5" w:rsidRPr="005A5612" w:rsidRDefault="006359C5" w:rsidP="00977CE8">
            <w:pPr>
              <w:rPr>
                <w:lang w:val="es-ES_tradnl"/>
              </w:rPr>
            </w:pPr>
            <w:r w:rsidRPr="005A5612">
              <w:rPr>
                <w:lang w:val="es-ES_tradnl"/>
              </w:rPr>
              <w:t>Trastornos de la piel y del tejido subcutáneo</w:t>
            </w:r>
          </w:p>
        </w:tc>
        <w:tc>
          <w:tcPr>
            <w:tcW w:w="860" w:type="pct"/>
          </w:tcPr>
          <w:p w14:paraId="0B9F00C7" w14:textId="77777777" w:rsidR="006359C5" w:rsidRPr="005A5612" w:rsidRDefault="006359C5" w:rsidP="00977CE8">
            <w:pPr>
              <w:rPr>
                <w:lang w:val="es-ES_tradnl"/>
              </w:rPr>
            </w:pPr>
          </w:p>
        </w:tc>
        <w:tc>
          <w:tcPr>
            <w:tcW w:w="924" w:type="pct"/>
          </w:tcPr>
          <w:p w14:paraId="6DED8C6F" w14:textId="77777777" w:rsidR="006359C5" w:rsidRPr="005A5612" w:rsidRDefault="006359C5" w:rsidP="00977CE8">
            <w:pPr>
              <w:rPr>
                <w:lang w:val="es-ES_tradnl"/>
              </w:rPr>
            </w:pPr>
            <w:r w:rsidRPr="005A5612">
              <w:rPr>
                <w:lang w:val="es-ES_tradnl"/>
              </w:rPr>
              <w:t>Erupción, Prurito, Urticaria</w:t>
            </w:r>
          </w:p>
        </w:tc>
        <w:tc>
          <w:tcPr>
            <w:tcW w:w="792" w:type="pct"/>
          </w:tcPr>
          <w:p w14:paraId="4D317CBA" w14:textId="77777777" w:rsidR="006359C5" w:rsidRPr="005A5612" w:rsidRDefault="006359C5" w:rsidP="00977CE8">
            <w:pPr>
              <w:rPr>
                <w:lang w:val="en-GB"/>
              </w:rPr>
            </w:pPr>
          </w:p>
        </w:tc>
        <w:tc>
          <w:tcPr>
            <w:tcW w:w="792" w:type="pct"/>
          </w:tcPr>
          <w:p w14:paraId="7E8AD5E4" w14:textId="77777777" w:rsidR="006359C5" w:rsidRPr="005A5612" w:rsidRDefault="006359C5" w:rsidP="00977CE8">
            <w:pPr>
              <w:rPr>
                <w:lang w:val="en-GB"/>
              </w:rPr>
            </w:pPr>
            <w:r>
              <w:t>Sindrome de Stevens-Johnson</w:t>
            </w:r>
            <w:r>
              <w:rPr>
                <w:vertAlign w:val="superscript"/>
              </w:rPr>
              <w:t>3</w:t>
            </w:r>
          </w:p>
        </w:tc>
        <w:tc>
          <w:tcPr>
            <w:tcW w:w="792" w:type="pct"/>
          </w:tcPr>
          <w:p w14:paraId="2F3C825E" w14:textId="77777777" w:rsidR="006359C5" w:rsidRDefault="006359C5" w:rsidP="00977CE8"/>
        </w:tc>
      </w:tr>
      <w:tr w:rsidR="006359C5" w:rsidRPr="005A5612" w14:paraId="0B388020" w14:textId="77777777" w:rsidTr="00F30AB8">
        <w:trPr>
          <w:cantSplit/>
        </w:trPr>
        <w:tc>
          <w:tcPr>
            <w:tcW w:w="840" w:type="pct"/>
          </w:tcPr>
          <w:p w14:paraId="3042CB01" w14:textId="77777777" w:rsidR="006359C5" w:rsidRPr="005A5612" w:rsidRDefault="006359C5" w:rsidP="00977CE8">
            <w:pPr>
              <w:rPr>
                <w:lang w:val="es-ES_tradnl"/>
              </w:rPr>
            </w:pPr>
            <w:r w:rsidRPr="005A5612">
              <w:rPr>
                <w:lang w:val="es-ES_tradnl"/>
              </w:rPr>
              <w:t>Trastornos renales</w:t>
            </w:r>
            <w:r>
              <w:rPr>
                <w:lang w:val="es-ES_tradnl"/>
              </w:rPr>
              <w:t xml:space="preserve"> y del tracto urinario</w:t>
            </w:r>
          </w:p>
        </w:tc>
        <w:tc>
          <w:tcPr>
            <w:tcW w:w="860" w:type="pct"/>
          </w:tcPr>
          <w:p w14:paraId="0D72A162" w14:textId="77777777" w:rsidR="006359C5" w:rsidRPr="005A5612" w:rsidRDefault="006359C5" w:rsidP="00977CE8">
            <w:pPr>
              <w:rPr>
                <w:lang w:val="es-ES_tradnl"/>
              </w:rPr>
            </w:pPr>
          </w:p>
        </w:tc>
        <w:tc>
          <w:tcPr>
            <w:tcW w:w="924" w:type="pct"/>
          </w:tcPr>
          <w:p w14:paraId="01A5F30A" w14:textId="77777777" w:rsidR="006359C5" w:rsidRPr="005A5612" w:rsidRDefault="006359C5" w:rsidP="00977CE8">
            <w:pPr>
              <w:rPr>
                <w:lang w:val="es-ES_tradnl"/>
              </w:rPr>
            </w:pPr>
          </w:p>
        </w:tc>
        <w:tc>
          <w:tcPr>
            <w:tcW w:w="792" w:type="pct"/>
          </w:tcPr>
          <w:p w14:paraId="56697038" w14:textId="77777777" w:rsidR="006359C5" w:rsidRPr="005A5612" w:rsidRDefault="006359C5" w:rsidP="00977CE8">
            <w:pPr>
              <w:rPr>
                <w:lang w:val="en-GB"/>
              </w:rPr>
            </w:pPr>
            <w:r w:rsidRPr="005A5612">
              <w:rPr>
                <w:lang w:val="en-GB"/>
              </w:rPr>
              <w:t>Nefrolitiasis</w:t>
            </w:r>
          </w:p>
          <w:p w14:paraId="2602E6EB" w14:textId="77777777" w:rsidR="006359C5" w:rsidRPr="005A5612" w:rsidRDefault="006359C5" w:rsidP="00977CE8">
            <w:pPr>
              <w:rPr>
                <w:lang w:val="es-ES"/>
              </w:rPr>
            </w:pPr>
          </w:p>
        </w:tc>
        <w:tc>
          <w:tcPr>
            <w:tcW w:w="792" w:type="pct"/>
          </w:tcPr>
          <w:p w14:paraId="58618AC1" w14:textId="77777777" w:rsidR="006359C5" w:rsidRPr="005A5612" w:rsidRDefault="006359C5" w:rsidP="00977CE8">
            <w:pPr>
              <w:rPr>
                <w:lang w:val="en-GB"/>
              </w:rPr>
            </w:pPr>
          </w:p>
        </w:tc>
        <w:tc>
          <w:tcPr>
            <w:tcW w:w="792" w:type="pct"/>
          </w:tcPr>
          <w:p w14:paraId="3114EF99" w14:textId="77777777" w:rsidR="006359C5" w:rsidRPr="005A5612" w:rsidRDefault="006359C5" w:rsidP="00977CE8">
            <w:pPr>
              <w:rPr>
                <w:lang w:val="en-GB"/>
              </w:rPr>
            </w:pPr>
          </w:p>
        </w:tc>
      </w:tr>
      <w:tr w:rsidR="006359C5" w:rsidRPr="00541248" w14:paraId="54BE1468" w14:textId="77777777" w:rsidTr="00F30AB8">
        <w:trPr>
          <w:cantSplit/>
        </w:trPr>
        <w:tc>
          <w:tcPr>
            <w:tcW w:w="840" w:type="pct"/>
          </w:tcPr>
          <w:p w14:paraId="1198004E" w14:textId="77777777" w:rsidR="006359C5" w:rsidRDefault="006359C5" w:rsidP="00977CE8">
            <w:pPr>
              <w:rPr>
                <w:lang w:val="es-ES_tradnl"/>
              </w:rPr>
            </w:pPr>
            <w:r w:rsidRPr="005A5612">
              <w:rPr>
                <w:lang w:val="es-ES_tradnl"/>
              </w:rPr>
              <w:t xml:space="preserve">Trastornos Generales y en el lugar de administración </w:t>
            </w:r>
          </w:p>
        </w:tc>
        <w:tc>
          <w:tcPr>
            <w:tcW w:w="860" w:type="pct"/>
          </w:tcPr>
          <w:p w14:paraId="0F50580D" w14:textId="77777777" w:rsidR="006359C5" w:rsidRPr="005A5612" w:rsidRDefault="006359C5" w:rsidP="00977CE8">
            <w:pPr>
              <w:rPr>
                <w:lang w:val="es-ES_tradnl"/>
              </w:rPr>
            </w:pPr>
          </w:p>
        </w:tc>
        <w:tc>
          <w:tcPr>
            <w:tcW w:w="924" w:type="pct"/>
          </w:tcPr>
          <w:p w14:paraId="184EA88B" w14:textId="77777777" w:rsidR="006359C5" w:rsidRPr="005A5612" w:rsidRDefault="006359C5" w:rsidP="00977CE8">
            <w:pPr>
              <w:rPr>
                <w:lang w:val="es-ES_tradnl"/>
              </w:rPr>
            </w:pPr>
            <w:r w:rsidRPr="005A5612">
              <w:rPr>
                <w:lang w:val="es-ES"/>
              </w:rPr>
              <w:t>Edema periférico, Reacciones de hipersensibilidad</w:t>
            </w:r>
          </w:p>
        </w:tc>
        <w:tc>
          <w:tcPr>
            <w:tcW w:w="792" w:type="pct"/>
          </w:tcPr>
          <w:p w14:paraId="1CA48A5B" w14:textId="77777777" w:rsidR="006359C5" w:rsidRPr="005A5612" w:rsidRDefault="006359C5" w:rsidP="00977CE8">
            <w:pPr>
              <w:rPr>
                <w:lang w:val="es-ES"/>
              </w:rPr>
            </w:pPr>
          </w:p>
        </w:tc>
        <w:tc>
          <w:tcPr>
            <w:tcW w:w="792" w:type="pct"/>
          </w:tcPr>
          <w:p w14:paraId="6F5C7ED3" w14:textId="77777777" w:rsidR="006359C5" w:rsidRDefault="006359C5" w:rsidP="00977CE8">
            <w:pPr>
              <w:rPr>
                <w:lang w:val="es-ES"/>
              </w:rPr>
            </w:pPr>
          </w:p>
        </w:tc>
        <w:tc>
          <w:tcPr>
            <w:tcW w:w="792" w:type="pct"/>
          </w:tcPr>
          <w:p w14:paraId="4A7A6694" w14:textId="77777777" w:rsidR="006359C5" w:rsidRDefault="006359C5" w:rsidP="00977CE8">
            <w:pPr>
              <w:rPr>
                <w:lang w:val="es-ES"/>
              </w:rPr>
            </w:pPr>
          </w:p>
        </w:tc>
      </w:tr>
      <w:tr w:rsidR="006359C5" w:rsidRPr="00541248" w14:paraId="65B7F96D" w14:textId="77777777" w:rsidTr="00F30AB8">
        <w:trPr>
          <w:cantSplit/>
        </w:trPr>
        <w:tc>
          <w:tcPr>
            <w:tcW w:w="840" w:type="pct"/>
          </w:tcPr>
          <w:p w14:paraId="1B21AF0D" w14:textId="77777777" w:rsidR="006359C5" w:rsidRPr="005A5612" w:rsidRDefault="006359C5" w:rsidP="00977CE8">
            <w:pPr>
              <w:rPr>
                <w:lang w:val="es-ES_tradnl"/>
              </w:rPr>
            </w:pPr>
            <w:r w:rsidRPr="005A5612">
              <w:rPr>
                <w:lang w:val="es-ES_tradnl"/>
              </w:rPr>
              <w:t>Exploraciones complementarias</w:t>
            </w:r>
          </w:p>
        </w:tc>
        <w:tc>
          <w:tcPr>
            <w:tcW w:w="860" w:type="pct"/>
          </w:tcPr>
          <w:p w14:paraId="76455452" w14:textId="77777777" w:rsidR="006359C5" w:rsidRPr="005A5612" w:rsidRDefault="006359C5" w:rsidP="00977CE8">
            <w:pPr>
              <w:rPr>
                <w:lang w:val="es-ES_tradnl"/>
              </w:rPr>
            </w:pPr>
          </w:p>
        </w:tc>
        <w:tc>
          <w:tcPr>
            <w:tcW w:w="924" w:type="pct"/>
          </w:tcPr>
          <w:p w14:paraId="5CC0BC62" w14:textId="77777777" w:rsidR="006359C5" w:rsidRPr="005A5612" w:rsidRDefault="006359C5" w:rsidP="00977CE8">
            <w:pPr>
              <w:rPr>
                <w:lang w:val="es-ES"/>
              </w:rPr>
            </w:pPr>
            <w:r w:rsidRPr="005A5612">
              <w:rPr>
                <w:lang w:val="es-ES_tradnl"/>
              </w:rPr>
              <w:t>Elevación de las transaminasas hepáticas, Aumento de peso, Elevación de la bilirrubina total*</w:t>
            </w:r>
          </w:p>
        </w:tc>
        <w:tc>
          <w:tcPr>
            <w:tcW w:w="792" w:type="pct"/>
          </w:tcPr>
          <w:p w14:paraId="6907D956" w14:textId="77777777" w:rsidR="006359C5" w:rsidRPr="005A5612" w:rsidRDefault="006359C5" w:rsidP="00977CE8">
            <w:pPr>
              <w:rPr>
                <w:lang w:val="es-ES"/>
              </w:rPr>
            </w:pPr>
          </w:p>
        </w:tc>
        <w:tc>
          <w:tcPr>
            <w:tcW w:w="792" w:type="pct"/>
          </w:tcPr>
          <w:p w14:paraId="6D299AFF" w14:textId="77777777" w:rsidR="006359C5" w:rsidRDefault="006359C5" w:rsidP="00977CE8">
            <w:pPr>
              <w:rPr>
                <w:lang w:val="es-ES"/>
              </w:rPr>
            </w:pPr>
          </w:p>
        </w:tc>
        <w:tc>
          <w:tcPr>
            <w:tcW w:w="792" w:type="pct"/>
          </w:tcPr>
          <w:p w14:paraId="702C11E9" w14:textId="77777777" w:rsidR="006359C5" w:rsidRDefault="006359C5" w:rsidP="00977CE8">
            <w:pPr>
              <w:rPr>
                <w:lang w:val="es-ES"/>
              </w:rPr>
            </w:pPr>
          </w:p>
        </w:tc>
      </w:tr>
    </w:tbl>
    <w:p w14:paraId="5DE8A615" w14:textId="77777777" w:rsidR="00DC224A" w:rsidRPr="004B67DA" w:rsidRDefault="00DC224A" w:rsidP="00091E13">
      <w:pPr>
        <w:keepNext/>
        <w:keepLines/>
        <w:rPr>
          <w:sz w:val="18"/>
          <w:szCs w:val="18"/>
          <w:lang w:val="es-ES"/>
        </w:rPr>
      </w:pPr>
    </w:p>
    <w:p w14:paraId="41386B84" w14:textId="77777777" w:rsidR="00517607" w:rsidRDefault="00DC224A" w:rsidP="00091E13">
      <w:pPr>
        <w:keepNext/>
        <w:keepLines/>
        <w:rPr>
          <w:sz w:val="18"/>
          <w:szCs w:val="18"/>
          <w:lang w:val="es-ES_tradnl"/>
        </w:rPr>
      </w:pPr>
      <w:r w:rsidRPr="00817DCE">
        <w:rPr>
          <w:sz w:val="18"/>
          <w:szCs w:val="18"/>
          <w:lang w:val="es-ES_tradnl"/>
        </w:rPr>
        <w:t>* Incluida las elevaciones obtenidas como parte de la monitorización de rutina del laboratorio (ver texto más abajo).</w:t>
      </w:r>
    </w:p>
    <w:p w14:paraId="2C817268" w14:textId="77777777" w:rsidR="00DC224A" w:rsidRDefault="001053FE" w:rsidP="00DC224A">
      <w:pPr>
        <w:rPr>
          <w:sz w:val="18"/>
          <w:szCs w:val="18"/>
          <w:lang w:val="es-ES"/>
        </w:rPr>
      </w:pPr>
      <w:r>
        <w:rPr>
          <w:vertAlign w:val="superscript"/>
          <w:lang w:val="es-ES"/>
        </w:rPr>
        <w:t xml:space="preserve">1 </w:t>
      </w:r>
      <w:r>
        <w:rPr>
          <w:sz w:val="18"/>
          <w:szCs w:val="18"/>
          <w:lang w:val="es-ES"/>
        </w:rPr>
        <w:t>Ver sección 4.3</w:t>
      </w:r>
    </w:p>
    <w:p w14:paraId="7D0ED63F" w14:textId="77777777" w:rsidR="001053FE" w:rsidRDefault="001053FE" w:rsidP="00DC224A">
      <w:pPr>
        <w:rPr>
          <w:sz w:val="18"/>
          <w:szCs w:val="18"/>
          <w:lang w:val="es-ES"/>
        </w:rPr>
      </w:pPr>
      <w:r>
        <w:rPr>
          <w:sz w:val="18"/>
          <w:szCs w:val="18"/>
          <w:vertAlign w:val="superscript"/>
          <w:lang w:val="es-ES"/>
        </w:rPr>
        <w:t xml:space="preserve">2 </w:t>
      </w:r>
      <w:r>
        <w:rPr>
          <w:sz w:val="18"/>
          <w:szCs w:val="18"/>
          <w:lang w:val="es-ES"/>
        </w:rPr>
        <w:t>Ver sección 4.4</w:t>
      </w:r>
    </w:p>
    <w:p w14:paraId="3D3E2041" w14:textId="77777777" w:rsidR="005B71D1" w:rsidRDefault="001053FE" w:rsidP="00DC224A">
      <w:pPr>
        <w:rPr>
          <w:sz w:val="18"/>
          <w:szCs w:val="18"/>
          <w:lang w:val="es-ES"/>
        </w:rPr>
      </w:pPr>
      <w:r>
        <w:rPr>
          <w:sz w:val="18"/>
          <w:szCs w:val="18"/>
          <w:vertAlign w:val="superscript"/>
          <w:lang w:val="es-ES"/>
        </w:rPr>
        <w:t>3</w:t>
      </w:r>
      <w:r>
        <w:rPr>
          <w:sz w:val="18"/>
          <w:szCs w:val="18"/>
          <w:lang w:val="es-ES"/>
        </w:rPr>
        <w:t xml:space="preserve"> Esta </w:t>
      </w:r>
      <w:r w:rsidR="00D52B51">
        <w:rPr>
          <w:sz w:val="18"/>
          <w:szCs w:val="18"/>
          <w:lang w:val="es-ES"/>
        </w:rPr>
        <w:t xml:space="preserve">reacción adversa se </w:t>
      </w:r>
      <w:proofErr w:type="gramStart"/>
      <w:r w:rsidR="00D52B51">
        <w:rPr>
          <w:sz w:val="18"/>
          <w:szCs w:val="18"/>
          <w:lang w:val="es-ES"/>
        </w:rPr>
        <w:t xml:space="preserve">identificó </w:t>
      </w:r>
      <w:r w:rsidR="005B71D1">
        <w:rPr>
          <w:sz w:val="18"/>
          <w:szCs w:val="18"/>
          <w:lang w:val="es-ES"/>
        </w:rPr>
        <w:t xml:space="preserve"> por</w:t>
      </w:r>
      <w:proofErr w:type="gramEnd"/>
      <w:r w:rsidR="005B71D1">
        <w:rPr>
          <w:sz w:val="18"/>
          <w:szCs w:val="18"/>
          <w:lang w:val="es-ES"/>
        </w:rPr>
        <w:t xml:space="preserve"> vigilancia </w:t>
      </w:r>
      <w:r>
        <w:rPr>
          <w:sz w:val="18"/>
          <w:szCs w:val="18"/>
          <w:lang w:val="es-ES"/>
        </w:rPr>
        <w:t>post-co</w:t>
      </w:r>
      <w:r w:rsidR="005B71D1">
        <w:rPr>
          <w:sz w:val="18"/>
          <w:szCs w:val="18"/>
          <w:lang w:val="es-ES"/>
        </w:rPr>
        <w:t>mercializació</w:t>
      </w:r>
      <w:r w:rsidR="00D52B51">
        <w:rPr>
          <w:sz w:val="18"/>
          <w:szCs w:val="18"/>
          <w:lang w:val="es-ES"/>
        </w:rPr>
        <w:t xml:space="preserve">n pero no se observó </w:t>
      </w:r>
      <w:r>
        <w:rPr>
          <w:sz w:val="18"/>
          <w:szCs w:val="18"/>
          <w:lang w:val="es-ES"/>
        </w:rPr>
        <w:t xml:space="preserve">en ensayos clínicos controlados. </w:t>
      </w:r>
    </w:p>
    <w:p w14:paraId="136830B6" w14:textId="4FAC97AF" w:rsidR="001053FE" w:rsidRDefault="00D52B51" w:rsidP="00DC224A">
      <w:pPr>
        <w:rPr>
          <w:sz w:val="18"/>
          <w:szCs w:val="18"/>
          <w:lang w:val="es-ES"/>
        </w:rPr>
      </w:pPr>
      <w:r>
        <w:rPr>
          <w:sz w:val="18"/>
          <w:szCs w:val="18"/>
          <w:lang w:val="es-ES"/>
        </w:rPr>
        <w:t xml:space="preserve">La categoría de frecuencia se estimó </w:t>
      </w:r>
      <w:r w:rsidR="005B71D1">
        <w:rPr>
          <w:sz w:val="18"/>
          <w:szCs w:val="18"/>
          <w:lang w:val="es-ES"/>
        </w:rPr>
        <w:t xml:space="preserve">utilizando el límite superior </w:t>
      </w:r>
      <w:r w:rsidR="001053FE">
        <w:rPr>
          <w:sz w:val="18"/>
          <w:szCs w:val="18"/>
          <w:lang w:val="es-ES"/>
        </w:rPr>
        <w:t xml:space="preserve">del intervalo de confianza </w:t>
      </w:r>
      <w:r w:rsidR="005B71D1">
        <w:rPr>
          <w:sz w:val="18"/>
          <w:szCs w:val="18"/>
          <w:lang w:val="es-ES"/>
        </w:rPr>
        <w:t>del 95% calculado a partir del</w:t>
      </w:r>
      <w:r w:rsidR="001053FE">
        <w:rPr>
          <w:sz w:val="18"/>
          <w:szCs w:val="18"/>
          <w:lang w:val="es-ES"/>
        </w:rPr>
        <w:t xml:space="preserve"> número total de pacientes expuestos a </w:t>
      </w:r>
      <w:del w:id="1689" w:author="AUTHOR">
        <w:r w:rsidR="001053FE" w:rsidDel="00B46D8D">
          <w:rPr>
            <w:sz w:val="18"/>
            <w:szCs w:val="18"/>
            <w:lang w:val="es-ES"/>
          </w:rPr>
          <w:delText xml:space="preserve">TCZ </w:delText>
        </w:r>
      </w:del>
      <w:ins w:id="1690" w:author="AUTHOR">
        <w:r w:rsidR="00B46D8D">
          <w:rPr>
            <w:sz w:val="18"/>
            <w:szCs w:val="18"/>
            <w:lang w:val="es-ES"/>
          </w:rPr>
          <w:t xml:space="preserve">tocilizumab </w:t>
        </w:r>
      </w:ins>
      <w:r w:rsidR="001053FE">
        <w:rPr>
          <w:sz w:val="18"/>
          <w:szCs w:val="18"/>
          <w:lang w:val="es-ES"/>
        </w:rPr>
        <w:t>en ensayos clínicos.</w:t>
      </w:r>
    </w:p>
    <w:p w14:paraId="1F217A74" w14:textId="77777777" w:rsidR="001053FE" w:rsidRPr="00E576A0" w:rsidRDefault="001053FE" w:rsidP="00DC224A">
      <w:pPr>
        <w:rPr>
          <w:sz w:val="18"/>
          <w:szCs w:val="18"/>
          <w:lang w:val="es-ES"/>
        </w:rPr>
      </w:pPr>
    </w:p>
    <w:p w14:paraId="626380CA" w14:textId="77777777" w:rsidR="001053FE" w:rsidRDefault="006359C5" w:rsidP="001053FE">
      <w:pPr>
        <w:autoSpaceDE w:val="0"/>
        <w:autoSpaceDN w:val="0"/>
        <w:adjustRightInd w:val="0"/>
        <w:rPr>
          <w:rFonts w:eastAsia="SimSun"/>
          <w:szCs w:val="22"/>
          <w:u w:val="single"/>
          <w:lang w:val="es-ES" w:eastAsia="zh-CN"/>
        </w:rPr>
      </w:pPr>
      <w:r>
        <w:rPr>
          <w:rFonts w:eastAsia="SimSun"/>
          <w:szCs w:val="22"/>
          <w:u w:val="single"/>
          <w:lang w:val="es-ES" w:eastAsia="zh-CN"/>
        </w:rPr>
        <w:t>Descripción de reacciones adversas seleccionadas (</w:t>
      </w:r>
      <w:r w:rsidR="001053FE">
        <w:rPr>
          <w:rFonts w:eastAsia="SimSun"/>
          <w:szCs w:val="22"/>
          <w:u w:val="single"/>
          <w:lang w:val="es-ES" w:eastAsia="zh-CN"/>
        </w:rPr>
        <w:t>Uso</w:t>
      </w:r>
      <w:r w:rsidR="001053FE" w:rsidRPr="00286CDE">
        <w:rPr>
          <w:rFonts w:eastAsia="SimSun"/>
          <w:szCs w:val="22"/>
          <w:u w:val="single"/>
          <w:lang w:val="es-ES" w:eastAsia="zh-CN"/>
        </w:rPr>
        <w:t xml:space="preserve"> </w:t>
      </w:r>
      <w:r w:rsidR="001053FE">
        <w:rPr>
          <w:rFonts w:eastAsia="SimSun"/>
          <w:szCs w:val="22"/>
          <w:u w:val="single"/>
          <w:lang w:val="es-ES" w:eastAsia="zh-CN"/>
        </w:rPr>
        <w:t>subcutáneo</w:t>
      </w:r>
      <w:r>
        <w:rPr>
          <w:rFonts w:eastAsia="SimSun"/>
          <w:szCs w:val="22"/>
          <w:u w:val="single"/>
          <w:lang w:val="es-ES" w:eastAsia="zh-CN"/>
        </w:rPr>
        <w:t>)</w:t>
      </w:r>
    </w:p>
    <w:p w14:paraId="1E50BE9F" w14:textId="77777777" w:rsidR="006359C5" w:rsidDel="000C57B3" w:rsidRDefault="006359C5" w:rsidP="001053FE">
      <w:pPr>
        <w:autoSpaceDE w:val="0"/>
        <w:autoSpaceDN w:val="0"/>
        <w:adjustRightInd w:val="0"/>
        <w:rPr>
          <w:del w:id="1691" w:author="AUTHOR"/>
          <w:rFonts w:eastAsia="SimSun"/>
          <w:szCs w:val="22"/>
          <w:u w:val="single"/>
          <w:lang w:val="es-ES" w:eastAsia="zh-CN"/>
        </w:rPr>
      </w:pPr>
    </w:p>
    <w:p w14:paraId="1AAD8932" w14:textId="77777777" w:rsidR="001053FE" w:rsidRPr="00F30AB8" w:rsidRDefault="006359C5" w:rsidP="001053FE">
      <w:pPr>
        <w:autoSpaceDE w:val="0"/>
        <w:autoSpaceDN w:val="0"/>
        <w:adjustRightInd w:val="0"/>
        <w:rPr>
          <w:rFonts w:eastAsia="SimSun"/>
          <w:bCs/>
          <w:i/>
          <w:iCs/>
          <w:szCs w:val="22"/>
          <w:lang w:val="es-ES" w:eastAsia="zh-CN"/>
        </w:rPr>
      </w:pPr>
      <w:r w:rsidRPr="00F30AB8">
        <w:rPr>
          <w:rFonts w:eastAsia="SimSun"/>
          <w:bCs/>
          <w:i/>
          <w:iCs/>
          <w:szCs w:val="22"/>
          <w:lang w:val="es-ES" w:eastAsia="zh-CN"/>
        </w:rPr>
        <w:t xml:space="preserve">Pacientes con </w:t>
      </w:r>
      <w:r w:rsidR="001053FE" w:rsidRPr="00F30AB8">
        <w:rPr>
          <w:rFonts w:eastAsia="SimSun"/>
          <w:bCs/>
          <w:i/>
          <w:iCs/>
          <w:szCs w:val="22"/>
          <w:lang w:val="es-ES" w:eastAsia="zh-CN"/>
        </w:rPr>
        <w:t>AR</w:t>
      </w:r>
    </w:p>
    <w:p w14:paraId="0E74F5D2" w14:textId="077EFC00" w:rsidR="001053FE" w:rsidRDefault="001053FE" w:rsidP="001053FE">
      <w:pPr>
        <w:autoSpaceDE w:val="0"/>
        <w:autoSpaceDN w:val="0"/>
        <w:adjustRightInd w:val="0"/>
        <w:rPr>
          <w:lang w:val="es-ES"/>
        </w:rPr>
      </w:pPr>
      <w:r>
        <w:rPr>
          <w:rFonts w:eastAsia="SimSun"/>
          <w:szCs w:val="22"/>
          <w:lang w:val="es-ES" w:eastAsia="zh-CN"/>
        </w:rPr>
        <w:t xml:space="preserve">La seguridad de </w:t>
      </w:r>
      <w:r w:rsidR="006359C5">
        <w:rPr>
          <w:szCs w:val="22"/>
          <w:lang w:val="es-ES"/>
        </w:rPr>
        <w:t>tocilizumab</w:t>
      </w:r>
      <w:r w:rsidR="006359C5" w:rsidRPr="006868F5">
        <w:rPr>
          <w:szCs w:val="22"/>
          <w:lang w:val="es-ES"/>
        </w:rPr>
        <w:t xml:space="preserve"> </w:t>
      </w:r>
      <w:r>
        <w:rPr>
          <w:rFonts w:eastAsia="SimSun"/>
          <w:szCs w:val="22"/>
          <w:lang w:val="es-ES" w:eastAsia="zh-CN"/>
        </w:rPr>
        <w:t xml:space="preserve">subcutáneo en AR incluye un ensayo doble ciego, controlado, multicéntrico, </w:t>
      </w:r>
      <w:r w:rsidRPr="00286CDE">
        <w:rPr>
          <w:lang w:val="es-ES"/>
        </w:rPr>
        <w:t xml:space="preserve">SC-I. SC-I </w:t>
      </w:r>
      <w:r>
        <w:rPr>
          <w:lang w:val="es-ES"/>
        </w:rPr>
        <w:t>es</w:t>
      </w:r>
      <w:r w:rsidRPr="00286CDE">
        <w:rPr>
          <w:lang w:val="es-ES"/>
        </w:rPr>
        <w:t xml:space="preserve"> un e</w:t>
      </w:r>
      <w:r>
        <w:rPr>
          <w:lang w:val="es-ES"/>
        </w:rPr>
        <w:t>nsay</w:t>
      </w:r>
      <w:r w:rsidRPr="00286CDE">
        <w:rPr>
          <w:lang w:val="es-ES"/>
        </w:rPr>
        <w:t>o de no inferioridad</w:t>
      </w:r>
      <w:r>
        <w:rPr>
          <w:lang w:val="es-ES"/>
        </w:rPr>
        <w:t>,</w:t>
      </w:r>
      <w:r w:rsidRPr="00286CDE">
        <w:rPr>
          <w:lang w:val="es-ES"/>
        </w:rPr>
        <w:t xml:space="preserve"> que comparó la eficacia y seguridad de 162 mg administrado</w:t>
      </w:r>
      <w:r>
        <w:rPr>
          <w:lang w:val="es-ES"/>
        </w:rPr>
        <w:t>s</w:t>
      </w:r>
      <w:r w:rsidRPr="00286CDE">
        <w:rPr>
          <w:lang w:val="es-ES"/>
        </w:rPr>
        <w:t xml:space="preserve"> una vez por semana frente a 8 mg/kg v</w:t>
      </w:r>
      <w:r>
        <w:rPr>
          <w:lang w:val="es-ES"/>
        </w:rPr>
        <w:t>ía intravenosa en 1.262</w:t>
      </w:r>
      <w:r w:rsidR="00086861">
        <w:rPr>
          <w:lang w:val="es-ES"/>
        </w:rPr>
        <w:t> </w:t>
      </w:r>
      <w:r>
        <w:rPr>
          <w:lang w:val="es-ES"/>
        </w:rPr>
        <w:t xml:space="preserve">pacientes con AR. Todos los pacientes recibieron previamente FAMEs no biológicos. La seguridad e inmunogenicidad observada por la administración de </w:t>
      </w:r>
      <w:r w:rsidR="006359C5">
        <w:rPr>
          <w:szCs w:val="22"/>
          <w:lang w:val="es-ES"/>
        </w:rPr>
        <w:t>tocilizumab</w:t>
      </w:r>
      <w:r w:rsidRPr="006868F5">
        <w:rPr>
          <w:szCs w:val="22"/>
          <w:lang w:val="es-ES"/>
        </w:rPr>
        <w:t xml:space="preserve"> </w:t>
      </w:r>
      <w:r>
        <w:rPr>
          <w:lang w:val="es-ES"/>
        </w:rPr>
        <w:t xml:space="preserve">subcutáneo, estuvo en línea con el perfil de seguridad </w:t>
      </w:r>
      <w:r>
        <w:rPr>
          <w:lang w:val="es-ES"/>
        </w:rPr>
        <w:lastRenderedPageBreak/>
        <w:t xml:space="preserve">conocido de </w:t>
      </w:r>
      <w:r w:rsidR="006359C5">
        <w:rPr>
          <w:szCs w:val="22"/>
          <w:lang w:val="es-ES"/>
        </w:rPr>
        <w:t>tocilizumab</w:t>
      </w:r>
      <w:r w:rsidRPr="006868F5">
        <w:rPr>
          <w:szCs w:val="22"/>
          <w:lang w:val="es-ES"/>
        </w:rPr>
        <w:t xml:space="preserve"> </w:t>
      </w:r>
      <w:r>
        <w:rPr>
          <w:lang w:val="es-ES"/>
        </w:rPr>
        <w:t xml:space="preserve">intravenoso y no se observaron reacciones adversas nuevas o inesperadas (ver </w:t>
      </w:r>
      <w:ins w:id="1692" w:author="AUTHOR">
        <w:r w:rsidR="009E503F">
          <w:rPr>
            <w:lang w:val="es-ES"/>
          </w:rPr>
          <w:t>T</w:t>
        </w:r>
      </w:ins>
      <w:del w:id="1693" w:author="AUTHOR">
        <w:r w:rsidDel="009E503F">
          <w:rPr>
            <w:lang w:val="es-ES"/>
          </w:rPr>
          <w:delText>t</w:delText>
        </w:r>
      </w:del>
      <w:r>
        <w:rPr>
          <w:lang w:val="es-ES"/>
        </w:rPr>
        <w:t>abla</w:t>
      </w:r>
      <w:r w:rsidR="00086861">
        <w:rPr>
          <w:lang w:val="es-ES"/>
        </w:rPr>
        <w:t> </w:t>
      </w:r>
      <w:r>
        <w:rPr>
          <w:lang w:val="es-ES"/>
        </w:rPr>
        <w:t xml:space="preserve">1). Se observó una mayor frecuencia de reacciones en el lugar de la inyección en el </w:t>
      </w:r>
      <w:del w:id="1694" w:author="AUTHOR">
        <w:r w:rsidDel="004E273B">
          <w:rPr>
            <w:lang w:val="es-ES"/>
          </w:rPr>
          <w:delText>brazo</w:delText>
        </w:r>
      </w:del>
      <w:ins w:id="1695" w:author="AUTHOR">
        <w:r w:rsidR="004E273B">
          <w:rPr>
            <w:lang w:val="es-ES"/>
          </w:rPr>
          <w:t>grupo</w:t>
        </w:r>
      </w:ins>
      <w:r>
        <w:rPr>
          <w:lang w:val="es-ES"/>
        </w:rPr>
        <w:t xml:space="preserve"> subcutáneo comparado con la inyección subcutánea con placebo del </w:t>
      </w:r>
      <w:del w:id="1696" w:author="AUTHOR">
        <w:r w:rsidDel="004E273B">
          <w:rPr>
            <w:lang w:val="es-ES"/>
          </w:rPr>
          <w:delText>brazo</w:delText>
        </w:r>
      </w:del>
      <w:ins w:id="1697" w:author="AUTHOR">
        <w:r w:rsidR="004E273B">
          <w:rPr>
            <w:lang w:val="es-ES"/>
          </w:rPr>
          <w:t>grupo</w:t>
        </w:r>
      </w:ins>
      <w:r>
        <w:rPr>
          <w:lang w:val="es-ES"/>
        </w:rPr>
        <w:t xml:space="preserve"> intravenoso.</w:t>
      </w:r>
    </w:p>
    <w:p w14:paraId="380724AC" w14:textId="77777777" w:rsidR="001053FE" w:rsidRDefault="001053FE" w:rsidP="001053FE">
      <w:pPr>
        <w:autoSpaceDE w:val="0"/>
        <w:autoSpaceDN w:val="0"/>
        <w:adjustRightInd w:val="0"/>
        <w:rPr>
          <w:lang w:val="es-ES"/>
        </w:rPr>
      </w:pPr>
    </w:p>
    <w:p w14:paraId="0516BAD9" w14:textId="77777777" w:rsidR="001053FE" w:rsidRPr="00F30AB8" w:rsidRDefault="001053FE" w:rsidP="001053FE">
      <w:pPr>
        <w:autoSpaceDE w:val="0"/>
        <w:autoSpaceDN w:val="0"/>
        <w:adjustRightInd w:val="0"/>
        <w:rPr>
          <w:i/>
          <w:u w:val="single"/>
          <w:lang w:val="es-ES"/>
        </w:rPr>
      </w:pPr>
      <w:r w:rsidRPr="00F30AB8">
        <w:rPr>
          <w:i/>
          <w:u w:val="single"/>
          <w:lang w:val="es-ES"/>
        </w:rPr>
        <w:t>Reacciones en el lugar de la inyección</w:t>
      </w:r>
    </w:p>
    <w:p w14:paraId="540ABA92" w14:textId="77777777" w:rsidR="001053FE" w:rsidRDefault="001053FE" w:rsidP="001053FE">
      <w:pPr>
        <w:autoSpaceDE w:val="0"/>
        <w:autoSpaceDN w:val="0"/>
        <w:adjustRightInd w:val="0"/>
        <w:rPr>
          <w:lang w:val="es-ES"/>
        </w:rPr>
      </w:pPr>
      <w:r>
        <w:rPr>
          <w:lang w:val="es-ES"/>
        </w:rPr>
        <w:t xml:space="preserve">Durante el periodo controlado de 6 meses, en SC-I, la frecuencia de reacciones en el lugar de la inyección, fue de 10, 1 % (64/631) para tocilizumab subcutáneo y de 2,4 % (15/631) para el placebo </w:t>
      </w:r>
      <w:r w:rsidRPr="00286CDE">
        <w:rPr>
          <w:lang w:val="es-ES"/>
        </w:rPr>
        <w:t>subcutáneo (</w:t>
      </w:r>
      <w:r>
        <w:rPr>
          <w:lang w:val="es-ES"/>
        </w:rPr>
        <w:t>del grupo de tocilizumab intravenoso) con inyecciones semanales. Estas reacciones en el lugar de la inyección (incluyendo eritema, prurito, dolor y hematomas) fueron de intensidad leve a moderada en cuanto a gravedad. La mayoría fue resuelta sin ningún tratamiento y no se necesitó interrumpir el tratamiento.</w:t>
      </w:r>
    </w:p>
    <w:p w14:paraId="3AA46588" w14:textId="77777777" w:rsidR="001053FE" w:rsidRDefault="001053FE" w:rsidP="001053FE">
      <w:pPr>
        <w:autoSpaceDE w:val="0"/>
        <w:autoSpaceDN w:val="0"/>
        <w:adjustRightInd w:val="0"/>
        <w:rPr>
          <w:lang w:val="es-ES"/>
        </w:rPr>
      </w:pPr>
    </w:p>
    <w:p w14:paraId="4FD7DADC" w14:textId="77777777" w:rsidR="001053FE" w:rsidRPr="00286CDE" w:rsidRDefault="001053FE" w:rsidP="001053FE">
      <w:pPr>
        <w:autoSpaceDE w:val="0"/>
        <w:autoSpaceDN w:val="0"/>
        <w:adjustRightInd w:val="0"/>
        <w:rPr>
          <w:i/>
          <w:lang w:val="es-ES"/>
        </w:rPr>
      </w:pPr>
      <w:r w:rsidRPr="00286CDE">
        <w:rPr>
          <w:i/>
          <w:lang w:val="es-ES"/>
        </w:rPr>
        <w:t>Inmunogenicidad</w:t>
      </w:r>
    </w:p>
    <w:p w14:paraId="26F41C90" w14:textId="43CC4D04" w:rsidR="001053FE" w:rsidRDefault="001053FE" w:rsidP="001053FE">
      <w:pPr>
        <w:autoSpaceDE w:val="0"/>
        <w:autoSpaceDN w:val="0"/>
        <w:adjustRightInd w:val="0"/>
        <w:rPr>
          <w:lang w:val="es-ES"/>
        </w:rPr>
      </w:pPr>
      <w:r>
        <w:rPr>
          <w:lang w:val="es-ES"/>
        </w:rPr>
        <w:t xml:space="preserve">En </w:t>
      </w:r>
      <w:r w:rsidRPr="00286CDE">
        <w:rPr>
          <w:lang w:val="es-ES"/>
        </w:rPr>
        <w:t>SC-I,</w:t>
      </w:r>
      <w:r>
        <w:rPr>
          <w:lang w:val="es-ES"/>
        </w:rPr>
        <w:t xml:space="preserve"> en un total de 625 pacientes tratados con </w:t>
      </w:r>
      <w:r w:rsidR="006359C5">
        <w:rPr>
          <w:szCs w:val="22"/>
          <w:lang w:val="es-ES"/>
        </w:rPr>
        <w:t>tocilizumab</w:t>
      </w:r>
      <w:r w:rsidRPr="006868F5">
        <w:rPr>
          <w:szCs w:val="22"/>
          <w:lang w:val="es-ES"/>
        </w:rPr>
        <w:t xml:space="preserve"> </w:t>
      </w:r>
      <w:r>
        <w:rPr>
          <w:lang w:val="es-ES"/>
        </w:rPr>
        <w:t xml:space="preserve">162 mg semanal, </w:t>
      </w:r>
      <w:r w:rsidRPr="00286CDE">
        <w:rPr>
          <w:lang w:val="es-ES"/>
        </w:rPr>
        <w:t>se estudiaron los</w:t>
      </w:r>
      <w:r>
        <w:rPr>
          <w:lang w:val="es-ES"/>
        </w:rPr>
        <w:t xml:space="preserve"> anticuerpos anti-</w:t>
      </w:r>
      <w:r w:rsidRPr="006868F5">
        <w:rPr>
          <w:szCs w:val="22"/>
          <w:lang w:val="es-ES"/>
        </w:rPr>
        <w:t xml:space="preserve"> </w:t>
      </w:r>
      <w:r w:rsidR="006359C5">
        <w:rPr>
          <w:szCs w:val="22"/>
          <w:lang w:val="es-ES"/>
        </w:rPr>
        <w:t>tocilizumab</w:t>
      </w:r>
      <w:r w:rsidRPr="006868F5">
        <w:rPr>
          <w:szCs w:val="22"/>
          <w:lang w:val="es-ES"/>
        </w:rPr>
        <w:t xml:space="preserve"> </w:t>
      </w:r>
      <w:r>
        <w:rPr>
          <w:lang w:val="es-ES"/>
        </w:rPr>
        <w:t>en un periodo de 6 meses controlado. Cinco pacientes (0,8 %) desarrollaron anticuerpos anti-</w:t>
      </w:r>
      <w:r w:rsidRPr="006868F5">
        <w:rPr>
          <w:szCs w:val="22"/>
          <w:lang w:val="es-ES"/>
        </w:rPr>
        <w:t xml:space="preserve"> </w:t>
      </w:r>
      <w:r w:rsidR="006359C5">
        <w:rPr>
          <w:szCs w:val="22"/>
          <w:lang w:val="es-ES"/>
        </w:rPr>
        <w:t>tocilizumab</w:t>
      </w:r>
      <w:r w:rsidRPr="006868F5">
        <w:rPr>
          <w:szCs w:val="22"/>
          <w:lang w:val="es-ES"/>
        </w:rPr>
        <w:t xml:space="preserve"> </w:t>
      </w:r>
      <w:r>
        <w:rPr>
          <w:lang w:val="es-ES"/>
        </w:rPr>
        <w:t>positivos, de los cuales, todos desarrollaron anticuerpos anti-</w:t>
      </w:r>
      <w:r w:rsidRPr="006868F5">
        <w:rPr>
          <w:szCs w:val="22"/>
          <w:lang w:val="es-ES"/>
        </w:rPr>
        <w:t xml:space="preserve"> </w:t>
      </w:r>
      <w:r w:rsidR="006359C5">
        <w:rPr>
          <w:szCs w:val="22"/>
          <w:lang w:val="es-ES"/>
        </w:rPr>
        <w:t>tocilizumab</w:t>
      </w:r>
      <w:r w:rsidRPr="006868F5">
        <w:rPr>
          <w:szCs w:val="22"/>
          <w:lang w:val="es-ES"/>
        </w:rPr>
        <w:t xml:space="preserve"> </w:t>
      </w:r>
      <w:r>
        <w:rPr>
          <w:lang w:val="es-ES"/>
        </w:rPr>
        <w:t>neutralizantes. Un paciente dio positivo el isotipo de IgE (0,2 %).</w:t>
      </w:r>
    </w:p>
    <w:p w14:paraId="7DF896B4" w14:textId="77777777" w:rsidR="001053FE" w:rsidRDefault="001053FE" w:rsidP="001053FE">
      <w:pPr>
        <w:autoSpaceDE w:val="0"/>
        <w:autoSpaceDN w:val="0"/>
        <w:adjustRightInd w:val="0"/>
        <w:rPr>
          <w:lang w:val="es-ES"/>
        </w:rPr>
      </w:pPr>
    </w:p>
    <w:p w14:paraId="44BA61CA" w14:textId="34A1510E" w:rsidR="001053FE" w:rsidRDefault="001053FE" w:rsidP="001053FE">
      <w:pPr>
        <w:autoSpaceDE w:val="0"/>
        <w:autoSpaceDN w:val="0"/>
        <w:adjustRightInd w:val="0"/>
        <w:rPr>
          <w:lang w:val="es-ES"/>
        </w:rPr>
      </w:pPr>
      <w:r>
        <w:rPr>
          <w:lang w:val="es-ES"/>
        </w:rPr>
        <w:t xml:space="preserve">En </w:t>
      </w:r>
      <w:r w:rsidRPr="00286CDE">
        <w:rPr>
          <w:lang w:val="es-ES"/>
        </w:rPr>
        <w:t>SC-II</w:t>
      </w:r>
      <w:r>
        <w:rPr>
          <w:lang w:val="es-ES"/>
        </w:rPr>
        <w:t xml:space="preserve">, en un total de 434 pacientes tratados con tocilizumab 162 mg cada dos semanas, </w:t>
      </w:r>
      <w:r w:rsidRPr="00286CDE">
        <w:rPr>
          <w:lang w:val="es-ES"/>
        </w:rPr>
        <w:t>se estudiaron los anticuerpos anti-</w:t>
      </w:r>
      <w:r w:rsidRPr="006868F5">
        <w:rPr>
          <w:szCs w:val="22"/>
          <w:lang w:val="es-ES"/>
        </w:rPr>
        <w:t xml:space="preserve"> </w:t>
      </w:r>
      <w:r w:rsidR="006359C5">
        <w:rPr>
          <w:szCs w:val="22"/>
          <w:lang w:val="es-ES"/>
        </w:rPr>
        <w:t>tocilizumab</w:t>
      </w:r>
      <w:r w:rsidRPr="00286CDE" w:rsidDel="00C34E7D">
        <w:rPr>
          <w:lang w:val="es-ES"/>
        </w:rPr>
        <w:t xml:space="preserve"> </w:t>
      </w:r>
      <w:r w:rsidRPr="00286CDE">
        <w:rPr>
          <w:lang w:val="es-ES"/>
        </w:rPr>
        <w:t>en un periodo de 6 meses controlado. Siete pacient</w:t>
      </w:r>
      <w:r>
        <w:rPr>
          <w:lang w:val="es-ES"/>
        </w:rPr>
        <w:t>es (1,6 %) desarrollaron anticuerpos anti-</w:t>
      </w:r>
      <w:r w:rsidRPr="006868F5">
        <w:rPr>
          <w:szCs w:val="22"/>
          <w:lang w:val="es-ES"/>
        </w:rPr>
        <w:t xml:space="preserve"> </w:t>
      </w:r>
      <w:r w:rsidR="006359C5">
        <w:rPr>
          <w:szCs w:val="22"/>
          <w:lang w:val="es-ES"/>
        </w:rPr>
        <w:t>tocilizumab</w:t>
      </w:r>
      <w:r>
        <w:rPr>
          <w:lang w:val="es-ES"/>
        </w:rPr>
        <w:t xml:space="preserve"> positivos, de los cuales, seis (1,4 %) desarrollaron anticuerpos anti-</w:t>
      </w:r>
      <w:r w:rsidRPr="006868F5">
        <w:rPr>
          <w:szCs w:val="22"/>
          <w:lang w:val="es-ES"/>
        </w:rPr>
        <w:t xml:space="preserve"> </w:t>
      </w:r>
      <w:r w:rsidR="006359C5">
        <w:rPr>
          <w:szCs w:val="22"/>
          <w:lang w:val="es-ES"/>
        </w:rPr>
        <w:t>tocilizumab</w:t>
      </w:r>
      <w:r w:rsidDel="00254862">
        <w:rPr>
          <w:lang w:val="es-ES"/>
        </w:rPr>
        <w:t xml:space="preserve"> </w:t>
      </w:r>
      <w:r>
        <w:rPr>
          <w:lang w:val="es-ES"/>
        </w:rPr>
        <w:t>neutralizantes. Cuatro pacientes dieron positivo el isotipo de IgE (0,9 %).</w:t>
      </w:r>
    </w:p>
    <w:p w14:paraId="3D465986" w14:textId="77777777" w:rsidR="001053FE" w:rsidRDefault="001053FE" w:rsidP="001053FE">
      <w:pPr>
        <w:autoSpaceDE w:val="0"/>
        <w:autoSpaceDN w:val="0"/>
        <w:adjustRightInd w:val="0"/>
        <w:rPr>
          <w:lang w:val="es-ES"/>
        </w:rPr>
      </w:pPr>
    </w:p>
    <w:p w14:paraId="4EE54D09" w14:textId="77777777" w:rsidR="001053FE" w:rsidRDefault="001053FE" w:rsidP="001053FE">
      <w:pPr>
        <w:autoSpaceDE w:val="0"/>
        <w:autoSpaceDN w:val="0"/>
        <w:adjustRightInd w:val="0"/>
        <w:rPr>
          <w:lang w:val="es-ES"/>
        </w:rPr>
      </w:pPr>
      <w:r>
        <w:rPr>
          <w:lang w:val="es-ES"/>
        </w:rPr>
        <w:t>No se observó correlación entre el desarrollo de anticuerpos con la respuesta clínica o efectos adversos.</w:t>
      </w:r>
    </w:p>
    <w:p w14:paraId="4DC92690" w14:textId="77777777" w:rsidR="001053FE" w:rsidRDefault="001053FE" w:rsidP="001053FE">
      <w:pPr>
        <w:autoSpaceDE w:val="0"/>
        <w:autoSpaceDN w:val="0"/>
        <w:adjustRightInd w:val="0"/>
        <w:rPr>
          <w:lang w:val="es-ES"/>
        </w:rPr>
      </w:pPr>
    </w:p>
    <w:p w14:paraId="02E23EF4" w14:textId="77777777" w:rsidR="001053FE" w:rsidRPr="00F30AB8" w:rsidRDefault="001053FE" w:rsidP="001053FE">
      <w:pPr>
        <w:autoSpaceDE w:val="0"/>
        <w:autoSpaceDN w:val="0"/>
        <w:adjustRightInd w:val="0"/>
        <w:rPr>
          <w:i/>
          <w:iCs/>
          <w:u w:val="single"/>
          <w:lang w:val="es-ES_tradnl"/>
        </w:rPr>
      </w:pPr>
      <w:r w:rsidRPr="00F30AB8">
        <w:rPr>
          <w:i/>
          <w:iCs/>
          <w:u w:val="single"/>
          <w:lang w:val="es-ES_tradnl"/>
        </w:rPr>
        <w:t xml:space="preserve">Neutrófilos </w:t>
      </w:r>
    </w:p>
    <w:p w14:paraId="3C95C925" w14:textId="62663417" w:rsidR="001053FE" w:rsidRDefault="001053FE" w:rsidP="001053FE">
      <w:pPr>
        <w:autoSpaceDE w:val="0"/>
        <w:autoSpaceDN w:val="0"/>
        <w:adjustRightInd w:val="0"/>
        <w:rPr>
          <w:lang w:val="es-ES_tradnl"/>
        </w:rPr>
      </w:pPr>
      <w:r>
        <w:rPr>
          <w:lang w:val="es-ES_tradnl"/>
        </w:rPr>
        <w:t>Durante 6</w:t>
      </w:r>
      <w:r w:rsidR="00B8496E" w:rsidRPr="00F30AB8">
        <w:rPr>
          <w:szCs w:val="22"/>
          <w:lang w:val="es-ES" w:eastAsia="de-DE"/>
        </w:rPr>
        <w:t> </w:t>
      </w:r>
      <w:r>
        <w:rPr>
          <w:lang w:val="es-ES_tradnl"/>
        </w:rPr>
        <w:t xml:space="preserve">meses del </w:t>
      </w:r>
      <w:del w:id="1698" w:author="AUTHOR">
        <w:r w:rsidDel="00D0534D">
          <w:rPr>
            <w:lang w:val="es-ES_tradnl"/>
          </w:rPr>
          <w:delText>e</w:delText>
        </w:r>
      </w:del>
      <w:ins w:id="1699" w:author="AUTHOR">
        <w:r w:rsidR="00D0534D">
          <w:rPr>
            <w:lang w:val="es-ES_tradnl"/>
          </w:rPr>
          <w:t>E</w:t>
        </w:r>
      </w:ins>
      <w:r>
        <w:rPr>
          <w:lang w:val="es-ES_tradnl"/>
        </w:rPr>
        <w:t xml:space="preserve">nsayo clínico SC-I con </w:t>
      </w:r>
      <w:r w:rsidR="006359C5">
        <w:rPr>
          <w:szCs w:val="22"/>
          <w:lang w:val="es-ES"/>
        </w:rPr>
        <w:t>tocilizumab</w:t>
      </w:r>
      <w:r>
        <w:rPr>
          <w:lang w:val="es-ES_tradnl"/>
        </w:rPr>
        <w:t>, en la monitorización de rutina del laboratorio, se produjeron descensos en el</w:t>
      </w:r>
      <w:r w:rsidRPr="008A106B">
        <w:rPr>
          <w:lang w:val="es-ES_tradnl"/>
        </w:rPr>
        <w:t xml:space="preserve"> recuento de neutrófilos por debajo de 1 </w:t>
      </w:r>
      <w:r w:rsidR="006359C5" w:rsidRPr="00B65EA9">
        <w:rPr>
          <w:rFonts w:eastAsia="MS Mincho"/>
          <w:szCs w:val="22"/>
          <w:lang w:val="en-GB"/>
        </w:rPr>
        <w:sym w:font="Symbol" w:char="F0B4"/>
      </w:r>
      <w:r w:rsidRPr="008A106B">
        <w:rPr>
          <w:lang w:val="es-ES_tradnl"/>
        </w:rPr>
        <w:t xml:space="preserve"> 10</w:t>
      </w:r>
      <w:r w:rsidRPr="008A106B">
        <w:rPr>
          <w:vertAlign w:val="superscript"/>
          <w:lang w:val="es-ES_tradnl"/>
        </w:rPr>
        <w:t>9</w:t>
      </w:r>
      <w:r w:rsidRPr="008A106B">
        <w:rPr>
          <w:lang w:val="es-ES_tradnl"/>
        </w:rPr>
        <w:t xml:space="preserve">/l en el </w:t>
      </w:r>
      <w:r>
        <w:rPr>
          <w:lang w:val="es-ES_tradnl"/>
        </w:rPr>
        <w:t>2</w:t>
      </w:r>
      <w:r w:rsidRPr="008A106B">
        <w:rPr>
          <w:lang w:val="es-ES_tradnl"/>
        </w:rPr>
        <w:t>,</w:t>
      </w:r>
      <w:r>
        <w:rPr>
          <w:lang w:val="es-ES_tradnl"/>
        </w:rPr>
        <w:t>9</w:t>
      </w:r>
      <w:r w:rsidRPr="008A106B">
        <w:rPr>
          <w:lang w:val="es-ES_tradnl"/>
        </w:rPr>
        <w:t xml:space="preserve"> % de los pacientes </w:t>
      </w:r>
      <w:r>
        <w:rPr>
          <w:lang w:val="es-ES_tradnl"/>
        </w:rPr>
        <w:t>en la dosis subcutánea semanal.</w:t>
      </w:r>
    </w:p>
    <w:p w14:paraId="59525441" w14:textId="77777777" w:rsidR="001053FE" w:rsidRDefault="001053FE" w:rsidP="001053FE">
      <w:pPr>
        <w:autoSpaceDE w:val="0"/>
        <w:autoSpaceDN w:val="0"/>
        <w:adjustRightInd w:val="0"/>
        <w:rPr>
          <w:lang w:val="es-ES_tradnl"/>
        </w:rPr>
      </w:pPr>
    </w:p>
    <w:p w14:paraId="46771ADA" w14:textId="2C88D19C" w:rsidR="001053FE" w:rsidRDefault="001053FE" w:rsidP="001053FE">
      <w:pPr>
        <w:autoSpaceDE w:val="0"/>
        <w:autoSpaceDN w:val="0"/>
        <w:adjustRightInd w:val="0"/>
        <w:rPr>
          <w:lang w:val="es-ES_tradnl"/>
        </w:rPr>
      </w:pPr>
      <w:r>
        <w:rPr>
          <w:lang w:val="es-ES_tradnl"/>
        </w:rPr>
        <w:t xml:space="preserve">No hubo relación clara entre el descenso de neutrófilos </w:t>
      </w:r>
      <w:r w:rsidRPr="008A106B">
        <w:rPr>
          <w:lang w:val="es-ES_tradnl"/>
        </w:rPr>
        <w:t xml:space="preserve">por debajo de 1 </w:t>
      </w:r>
      <w:r w:rsidR="006359C5" w:rsidRPr="00B65EA9">
        <w:rPr>
          <w:rFonts w:eastAsia="MS Mincho"/>
          <w:szCs w:val="22"/>
          <w:lang w:val="en-GB"/>
        </w:rPr>
        <w:sym w:font="Symbol" w:char="F0B4"/>
      </w:r>
      <w:r w:rsidRPr="008A106B">
        <w:rPr>
          <w:lang w:val="es-ES_tradnl"/>
        </w:rPr>
        <w:t xml:space="preserve"> 10</w:t>
      </w:r>
      <w:r w:rsidRPr="008A106B">
        <w:rPr>
          <w:vertAlign w:val="superscript"/>
          <w:lang w:val="es-ES_tradnl"/>
        </w:rPr>
        <w:t>9</w:t>
      </w:r>
      <w:r w:rsidRPr="008A106B">
        <w:rPr>
          <w:lang w:val="es-ES_tradnl"/>
        </w:rPr>
        <w:t>/l</w:t>
      </w:r>
      <w:r>
        <w:rPr>
          <w:lang w:val="es-ES_tradnl"/>
        </w:rPr>
        <w:t xml:space="preserve"> y la aparición de infecciones graves.</w:t>
      </w:r>
    </w:p>
    <w:p w14:paraId="624E03D8" w14:textId="77777777" w:rsidR="001053FE" w:rsidRDefault="001053FE" w:rsidP="001053FE">
      <w:pPr>
        <w:autoSpaceDE w:val="0"/>
        <w:autoSpaceDN w:val="0"/>
        <w:adjustRightInd w:val="0"/>
        <w:rPr>
          <w:lang w:val="es-ES_tradnl"/>
        </w:rPr>
      </w:pPr>
    </w:p>
    <w:p w14:paraId="65F66FD3" w14:textId="77777777" w:rsidR="001053FE" w:rsidRPr="00F30AB8" w:rsidRDefault="001053FE" w:rsidP="001053FE">
      <w:pPr>
        <w:keepNext/>
        <w:autoSpaceDE w:val="0"/>
        <w:autoSpaceDN w:val="0"/>
        <w:adjustRightInd w:val="0"/>
        <w:rPr>
          <w:i/>
          <w:u w:val="single"/>
          <w:lang w:val="es-ES"/>
        </w:rPr>
      </w:pPr>
      <w:r w:rsidRPr="00F30AB8">
        <w:rPr>
          <w:i/>
          <w:u w:val="single"/>
          <w:lang w:val="es-ES_tradnl"/>
        </w:rPr>
        <w:t>Plaquetas</w:t>
      </w:r>
    </w:p>
    <w:p w14:paraId="3A2CE33F" w14:textId="1984DF5B" w:rsidR="001053FE" w:rsidRDefault="001053FE" w:rsidP="001053FE">
      <w:pPr>
        <w:autoSpaceDE w:val="0"/>
        <w:autoSpaceDN w:val="0"/>
        <w:adjustRightInd w:val="0"/>
        <w:rPr>
          <w:lang w:val="es-ES"/>
        </w:rPr>
      </w:pPr>
      <w:r>
        <w:rPr>
          <w:lang w:val="es-ES_tradnl"/>
        </w:rPr>
        <w:t xml:space="preserve">Durante 6 meses del </w:t>
      </w:r>
      <w:del w:id="1700" w:author="AUTHOR">
        <w:r w:rsidDel="00D0534D">
          <w:rPr>
            <w:lang w:val="es-ES_tradnl"/>
          </w:rPr>
          <w:delText xml:space="preserve">ensayo </w:delText>
        </w:r>
      </w:del>
      <w:ins w:id="1701" w:author="AUTHOR">
        <w:r w:rsidR="00D0534D">
          <w:rPr>
            <w:lang w:val="es-ES_tradnl"/>
          </w:rPr>
          <w:t xml:space="preserve">Ensayo </w:t>
        </w:r>
      </w:ins>
      <w:r>
        <w:rPr>
          <w:lang w:val="es-ES_tradnl"/>
        </w:rPr>
        <w:t xml:space="preserve">clínico SC-I con </w:t>
      </w:r>
      <w:r w:rsidR="006359C5">
        <w:rPr>
          <w:szCs w:val="22"/>
          <w:lang w:val="es-ES"/>
        </w:rPr>
        <w:t>tocilizumab</w:t>
      </w:r>
      <w:r>
        <w:rPr>
          <w:lang w:val="es-ES_tradnl"/>
        </w:rPr>
        <w:t xml:space="preserve">, en la monitorización de rutina del laboratorio, ninguno de los pacientes </w:t>
      </w:r>
      <w:r w:rsidRPr="008A106B">
        <w:rPr>
          <w:lang w:val="es-ES_tradnl"/>
        </w:rPr>
        <w:t xml:space="preserve">tratados con </w:t>
      </w:r>
      <w:r>
        <w:rPr>
          <w:lang w:val="es-ES_tradnl"/>
        </w:rPr>
        <w:t xml:space="preserve">la dosis subcutánea semanal tuvieron un descenso en el recuento de plaquetas </w:t>
      </w:r>
      <w:r w:rsidR="006359C5" w:rsidRPr="00F30AB8">
        <w:rPr>
          <w:szCs w:val="22"/>
          <w:lang w:val="es-ES" w:eastAsia="de-DE"/>
        </w:rPr>
        <w:t> ≤</w:t>
      </w:r>
      <w:r w:rsidRPr="00286CDE">
        <w:rPr>
          <w:lang w:val="es-ES"/>
        </w:rPr>
        <w:t xml:space="preserve">50 </w:t>
      </w:r>
      <w:r w:rsidR="006359C5" w:rsidRPr="00B65EA9">
        <w:rPr>
          <w:rFonts w:eastAsia="MS Mincho"/>
          <w:szCs w:val="22"/>
          <w:lang w:val="en-GB"/>
        </w:rPr>
        <w:sym w:font="Symbol" w:char="F0B4"/>
      </w:r>
      <w:r w:rsidR="006359C5" w:rsidRPr="00F30AB8">
        <w:rPr>
          <w:rFonts w:eastAsia="MS Mincho"/>
          <w:sz w:val="10"/>
          <w:szCs w:val="22"/>
          <w:lang w:val="es-ES"/>
        </w:rPr>
        <w:t> </w:t>
      </w:r>
      <w:r w:rsidRPr="00286CDE">
        <w:rPr>
          <w:lang w:val="es-ES"/>
        </w:rPr>
        <w:t xml:space="preserve"> 10</w:t>
      </w:r>
      <w:r w:rsidRPr="00286CDE">
        <w:rPr>
          <w:vertAlign w:val="superscript"/>
          <w:lang w:val="es-ES"/>
        </w:rPr>
        <w:t>3</w:t>
      </w:r>
      <w:r w:rsidRPr="00286CDE">
        <w:rPr>
          <w:lang w:val="es-ES"/>
        </w:rPr>
        <w:t>/</w:t>
      </w:r>
      <w:r w:rsidRPr="0044170A">
        <w:rPr>
          <w:lang w:val="en-GB"/>
        </w:rPr>
        <w:t>μ</w:t>
      </w:r>
      <w:r w:rsidRPr="00286CDE">
        <w:rPr>
          <w:lang w:val="es-ES"/>
        </w:rPr>
        <w:t>l.</w:t>
      </w:r>
    </w:p>
    <w:p w14:paraId="6716A972" w14:textId="77777777" w:rsidR="001053FE" w:rsidRDefault="001053FE" w:rsidP="001053FE">
      <w:pPr>
        <w:autoSpaceDE w:val="0"/>
        <w:autoSpaceDN w:val="0"/>
        <w:adjustRightInd w:val="0"/>
        <w:rPr>
          <w:lang w:val="es-ES"/>
        </w:rPr>
      </w:pPr>
    </w:p>
    <w:p w14:paraId="6B6F7824" w14:textId="77777777" w:rsidR="001053FE" w:rsidRPr="00F30AB8" w:rsidRDefault="001053FE" w:rsidP="001053FE">
      <w:pPr>
        <w:outlineLvl w:val="0"/>
        <w:rPr>
          <w:i/>
          <w:iCs/>
          <w:u w:val="single"/>
          <w:lang w:val="es-ES_tradnl"/>
        </w:rPr>
      </w:pPr>
      <w:r w:rsidRPr="00F30AB8">
        <w:rPr>
          <w:i/>
          <w:iCs/>
          <w:u w:val="single"/>
          <w:lang w:val="es-ES_tradnl"/>
        </w:rPr>
        <w:t>Elevaciones de las transaminasas hepáticas</w:t>
      </w:r>
    </w:p>
    <w:p w14:paraId="2E60F557" w14:textId="34079BC6" w:rsidR="001053FE" w:rsidRPr="00C555F2" w:rsidRDefault="001053FE" w:rsidP="001053FE">
      <w:pPr>
        <w:outlineLvl w:val="0"/>
        <w:rPr>
          <w:i/>
          <w:iCs/>
          <w:lang w:val="es-ES_tradnl"/>
        </w:rPr>
      </w:pPr>
      <w:r>
        <w:rPr>
          <w:lang w:val="es-ES_tradnl"/>
        </w:rPr>
        <w:t xml:space="preserve">Durante 6 meses del </w:t>
      </w:r>
      <w:del w:id="1702" w:author="AUTHOR">
        <w:r w:rsidDel="00D0534D">
          <w:rPr>
            <w:lang w:val="es-ES_tradnl"/>
          </w:rPr>
          <w:delText xml:space="preserve">ensayo </w:delText>
        </w:r>
      </w:del>
      <w:ins w:id="1703" w:author="AUTHOR">
        <w:r w:rsidR="00D0534D">
          <w:rPr>
            <w:lang w:val="es-ES_tradnl"/>
          </w:rPr>
          <w:t xml:space="preserve">Ensayo </w:t>
        </w:r>
      </w:ins>
      <w:r>
        <w:rPr>
          <w:lang w:val="es-ES_tradnl"/>
        </w:rPr>
        <w:t xml:space="preserve">clínico SC-I con </w:t>
      </w:r>
      <w:r w:rsidR="006359C5">
        <w:rPr>
          <w:szCs w:val="22"/>
          <w:lang w:val="es-ES"/>
        </w:rPr>
        <w:t>tocilizuma</w:t>
      </w:r>
      <w:ins w:id="1704" w:author="AUTHOR">
        <w:r w:rsidR="009E503F">
          <w:rPr>
            <w:szCs w:val="22"/>
            <w:lang w:val="es-ES"/>
          </w:rPr>
          <w:t>b</w:t>
        </w:r>
      </w:ins>
      <w:r>
        <w:rPr>
          <w:lang w:val="es-ES_tradnl"/>
        </w:rPr>
        <w:t xml:space="preserve">, en la monitorización de rutina del laboratorio, </w:t>
      </w:r>
      <w:r>
        <w:rPr>
          <w:lang w:val="es-ES"/>
        </w:rPr>
        <w:t>ocurrieron</w:t>
      </w:r>
      <w:r>
        <w:rPr>
          <w:lang w:val="es-ES_tradnl"/>
        </w:rPr>
        <w:t xml:space="preserve"> elevaciones en ALT o AST</w:t>
      </w:r>
      <w:r w:rsidRPr="00286CDE">
        <w:rPr>
          <w:lang w:val="es-ES"/>
        </w:rPr>
        <w:t xml:space="preserve"> </w:t>
      </w:r>
      <w:r w:rsidR="006359C5" w:rsidRPr="00F30AB8">
        <w:rPr>
          <w:szCs w:val="22"/>
          <w:lang w:val="es-ES" w:eastAsia="de-DE"/>
        </w:rPr>
        <w:t> ≥</w:t>
      </w:r>
      <w:r w:rsidRPr="00286CDE">
        <w:rPr>
          <w:lang w:val="es-ES"/>
        </w:rPr>
        <w:t xml:space="preserve">3 </w:t>
      </w:r>
      <w:r w:rsidR="006359C5" w:rsidRPr="00B65EA9">
        <w:rPr>
          <w:rFonts w:eastAsia="MS Mincho"/>
          <w:szCs w:val="22"/>
          <w:lang w:val="en-GB"/>
        </w:rPr>
        <w:sym w:font="Symbol" w:char="F0B4"/>
      </w:r>
      <w:r>
        <w:rPr>
          <w:lang w:val="es-ES"/>
        </w:rPr>
        <w:t xml:space="preserve"> LSN en el 6,5 % y el 1,4 % de los pacientes, respectivamente en la dosis</w:t>
      </w:r>
      <w:r w:rsidRPr="008A106B">
        <w:rPr>
          <w:lang w:val="es-ES_tradnl"/>
        </w:rPr>
        <w:t xml:space="preserve"> </w:t>
      </w:r>
      <w:r>
        <w:rPr>
          <w:lang w:val="es-ES_tradnl"/>
        </w:rPr>
        <w:t>subcutánea semanal.</w:t>
      </w:r>
    </w:p>
    <w:p w14:paraId="58B0D29C" w14:textId="77777777" w:rsidR="001053FE" w:rsidRDefault="001053FE" w:rsidP="001053FE">
      <w:pPr>
        <w:outlineLvl w:val="0"/>
        <w:rPr>
          <w:lang w:val="es-ES_tradnl"/>
        </w:rPr>
      </w:pPr>
    </w:p>
    <w:p w14:paraId="128C99DE" w14:textId="77777777" w:rsidR="001053FE" w:rsidRPr="00F30AB8" w:rsidRDefault="001053FE" w:rsidP="001053FE">
      <w:pPr>
        <w:outlineLvl w:val="0"/>
        <w:rPr>
          <w:i/>
          <w:iCs/>
          <w:u w:val="single"/>
          <w:lang w:val="es-ES_tradnl"/>
        </w:rPr>
      </w:pPr>
      <w:r w:rsidRPr="00F30AB8">
        <w:rPr>
          <w:i/>
          <w:iCs/>
          <w:u w:val="single"/>
          <w:lang w:val="es-ES_tradnl"/>
        </w:rPr>
        <w:t xml:space="preserve">Parámetros lipídicos </w:t>
      </w:r>
    </w:p>
    <w:p w14:paraId="36F7A268" w14:textId="41B1187D" w:rsidR="001053FE" w:rsidRDefault="001053FE" w:rsidP="001053FE">
      <w:pPr>
        <w:outlineLvl w:val="0"/>
        <w:rPr>
          <w:lang w:val="es-ES" w:eastAsia="de-DE"/>
        </w:rPr>
      </w:pPr>
      <w:r>
        <w:rPr>
          <w:lang w:val="es-ES_tradnl"/>
        </w:rPr>
        <w:t>Durante 6</w:t>
      </w:r>
      <w:r w:rsidR="00086861">
        <w:rPr>
          <w:lang w:val="es-ES_tradnl"/>
        </w:rPr>
        <w:t> </w:t>
      </w:r>
      <w:r>
        <w:rPr>
          <w:lang w:val="es-ES_tradnl"/>
        </w:rPr>
        <w:t xml:space="preserve">meses del </w:t>
      </w:r>
      <w:ins w:id="1705" w:author="AUTHOR">
        <w:r w:rsidR="00D0534D">
          <w:rPr>
            <w:lang w:val="es-ES_tradnl"/>
          </w:rPr>
          <w:t>E</w:t>
        </w:r>
      </w:ins>
      <w:del w:id="1706" w:author="AUTHOR">
        <w:r w:rsidDel="00D0534D">
          <w:rPr>
            <w:lang w:val="es-ES_tradnl"/>
          </w:rPr>
          <w:delText>e</w:delText>
        </w:r>
      </w:del>
      <w:r>
        <w:rPr>
          <w:lang w:val="es-ES_tradnl"/>
        </w:rPr>
        <w:t xml:space="preserve">nsayo clínico SC-I con </w:t>
      </w:r>
      <w:r w:rsidR="006359C5">
        <w:rPr>
          <w:szCs w:val="22"/>
          <w:lang w:val="es-ES"/>
        </w:rPr>
        <w:t>tocilizuma</w:t>
      </w:r>
      <w:ins w:id="1707" w:author="AUTHOR">
        <w:r w:rsidR="009E503F">
          <w:rPr>
            <w:szCs w:val="22"/>
            <w:lang w:val="es-ES"/>
          </w:rPr>
          <w:t>b</w:t>
        </w:r>
      </w:ins>
      <w:r>
        <w:rPr>
          <w:lang w:val="es-ES_tradnl"/>
        </w:rPr>
        <w:t>, en la monitorización de rutina del laboratorio, el 19 % de los pacient</w:t>
      </w:r>
      <w:r w:rsidRPr="00286CDE">
        <w:rPr>
          <w:lang w:val="es-ES_tradnl"/>
        </w:rPr>
        <w:t>es experimentaron elevacion</w:t>
      </w:r>
      <w:r>
        <w:rPr>
          <w:lang w:val="es-ES_tradnl"/>
        </w:rPr>
        <w:t xml:space="preserve">es sostenidas en el colesterol total </w:t>
      </w:r>
      <w:r w:rsidR="006359C5" w:rsidRPr="00B65EA9">
        <w:rPr>
          <w:rFonts w:eastAsia="MS Mincho"/>
          <w:szCs w:val="22"/>
          <w:lang w:val="en-GB"/>
        </w:rPr>
        <w:sym w:font="Symbol" w:char="F03E"/>
      </w:r>
      <w:r>
        <w:rPr>
          <w:lang w:val="es-ES" w:eastAsia="de-DE"/>
        </w:rPr>
        <w:t xml:space="preserve"> 6,</w:t>
      </w:r>
      <w:r w:rsidRPr="00286CDE">
        <w:rPr>
          <w:lang w:val="es-ES" w:eastAsia="de-DE"/>
        </w:rPr>
        <w:t>2</w:t>
      </w:r>
      <w:r w:rsidR="00B8496E" w:rsidRPr="00F30AB8">
        <w:rPr>
          <w:szCs w:val="22"/>
          <w:lang w:val="es-ES" w:eastAsia="de-DE"/>
        </w:rPr>
        <w:t> </w:t>
      </w:r>
      <w:r w:rsidRPr="00286CDE">
        <w:rPr>
          <w:lang w:val="es-ES" w:eastAsia="de-DE"/>
        </w:rPr>
        <w:t>mmol/l (240</w:t>
      </w:r>
      <w:r w:rsidR="00B8496E" w:rsidRPr="00F30AB8">
        <w:rPr>
          <w:szCs w:val="22"/>
          <w:lang w:val="es-ES" w:eastAsia="de-DE"/>
        </w:rPr>
        <w:t> </w:t>
      </w:r>
      <w:r w:rsidRPr="00286CDE">
        <w:rPr>
          <w:lang w:val="es-ES" w:eastAsia="de-DE"/>
        </w:rPr>
        <w:t>mg/dl),</w:t>
      </w:r>
      <w:r>
        <w:rPr>
          <w:lang w:val="es-ES" w:eastAsia="de-DE"/>
        </w:rPr>
        <w:t xml:space="preserve"> de estos el </w:t>
      </w:r>
      <w:r w:rsidRPr="00286CDE">
        <w:rPr>
          <w:lang w:val="es-ES" w:eastAsia="de-DE"/>
        </w:rPr>
        <w:t>9</w:t>
      </w:r>
      <w:r>
        <w:rPr>
          <w:lang w:val="es-ES" w:eastAsia="de-DE"/>
        </w:rPr>
        <w:t xml:space="preserve"> </w:t>
      </w:r>
      <w:r w:rsidRPr="00286CDE">
        <w:rPr>
          <w:lang w:val="es-ES" w:eastAsia="de-DE"/>
        </w:rPr>
        <w:t>%</w:t>
      </w:r>
      <w:r>
        <w:rPr>
          <w:lang w:val="es-ES" w:eastAsia="de-DE"/>
        </w:rPr>
        <w:t xml:space="preserve"> experimentó aumentos sostenidos en LDL a </w:t>
      </w:r>
      <w:r w:rsidR="00FB62AD" w:rsidRPr="00F30AB8">
        <w:rPr>
          <w:rFonts w:eastAsia="PMingLiU"/>
          <w:szCs w:val="22"/>
          <w:lang w:val="es-ES" w:eastAsia="de-DE"/>
        </w:rPr>
        <w:t>≥</w:t>
      </w:r>
      <w:r>
        <w:rPr>
          <w:lang w:val="es-ES" w:eastAsia="de-DE"/>
        </w:rPr>
        <w:t> 4,</w:t>
      </w:r>
      <w:r w:rsidRPr="00286CDE">
        <w:rPr>
          <w:lang w:val="es-ES" w:eastAsia="de-DE"/>
        </w:rPr>
        <w:t>1</w:t>
      </w:r>
      <w:r w:rsidR="00B8496E" w:rsidRPr="00F30AB8">
        <w:rPr>
          <w:szCs w:val="22"/>
          <w:lang w:val="es-ES" w:eastAsia="de-DE"/>
        </w:rPr>
        <w:t> </w:t>
      </w:r>
      <w:r w:rsidRPr="00286CDE">
        <w:rPr>
          <w:lang w:val="es-ES" w:eastAsia="de-DE"/>
        </w:rPr>
        <w:t>mmol/l (160</w:t>
      </w:r>
      <w:r w:rsidR="00B8496E" w:rsidRPr="00F30AB8">
        <w:rPr>
          <w:szCs w:val="22"/>
          <w:lang w:val="es-ES" w:eastAsia="de-DE"/>
        </w:rPr>
        <w:t> </w:t>
      </w:r>
      <w:r w:rsidRPr="00286CDE">
        <w:rPr>
          <w:lang w:val="es-ES" w:eastAsia="de-DE"/>
        </w:rPr>
        <w:t>mg/dl)</w:t>
      </w:r>
      <w:r>
        <w:rPr>
          <w:lang w:val="es-ES" w:eastAsia="de-DE"/>
        </w:rPr>
        <w:t xml:space="preserve"> en la dosis subcutánea semanal.</w:t>
      </w:r>
    </w:p>
    <w:p w14:paraId="551E3191" w14:textId="77777777" w:rsidR="00047BAB" w:rsidRDefault="00047BAB" w:rsidP="001053FE">
      <w:pPr>
        <w:outlineLvl w:val="0"/>
        <w:rPr>
          <w:lang w:val="es-ES" w:eastAsia="de-DE"/>
        </w:rPr>
      </w:pPr>
    </w:p>
    <w:p w14:paraId="494CF6D0" w14:textId="77777777" w:rsidR="00047BAB" w:rsidRPr="00F30AB8" w:rsidRDefault="006359C5" w:rsidP="00047BAB">
      <w:pPr>
        <w:outlineLvl w:val="0"/>
        <w:rPr>
          <w:bCs/>
          <w:i/>
          <w:iCs/>
          <w:lang w:val="es-ES" w:eastAsia="de-DE"/>
        </w:rPr>
      </w:pPr>
      <w:r w:rsidRPr="00F30AB8">
        <w:rPr>
          <w:bCs/>
          <w:i/>
          <w:iCs/>
          <w:lang w:val="es-ES" w:eastAsia="de-DE"/>
        </w:rPr>
        <w:t xml:space="preserve">Pacientes con </w:t>
      </w:r>
      <w:r w:rsidR="00047BAB" w:rsidRPr="00F30AB8">
        <w:rPr>
          <w:bCs/>
          <w:i/>
          <w:iCs/>
          <w:lang w:val="es-ES" w:eastAsia="de-DE"/>
        </w:rPr>
        <w:t>AIJs</w:t>
      </w:r>
    </w:p>
    <w:p w14:paraId="28A5529F" w14:textId="051A122A" w:rsidR="00047BAB" w:rsidRPr="0035042A" w:rsidRDefault="00047BAB" w:rsidP="00047BAB">
      <w:pPr>
        <w:outlineLvl w:val="0"/>
        <w:rPr>
          <w:lang w:val="es-ES" w:eastAsia="de-DE"/>
        </w:rPr>
      </w:pPr>
      <w:r w:rsidRPr="0035042A">
        <w:rPr>
          <w:lang w:val="es-ES" w:eastAsia="de-DE"/>
        </w:rPr>
        <w:t xml:space="preserve">El perfil de seguridad de </w:t>
      </w:r>
      <w:r w:rsidR="006359C5">
        <w:rPr>
          <w:szCs w:val="22"/>
          <w:lang w:val="es-ES"/>
        </w:rPr>
        <w:t>tocilizuma</w:t>
      </w:r>
      <w:ins w:id="1708" w:author="AUTHOR">
        <w:r w:rsidR="009E503F">
          <w:rPr>
            <w:szCs w:val="22"/>
            <w:lang w:val="es-ES"/>
          </w:rPr>
          <w:t>b</w:t>
        </w:r>
      </w:ins>
      <w:r w:rsidRPr="0035042A">
        <w:rPr>
          <w:lang w:val="es-ES" w:eastAsia="de-DE"/>
        </w:rPr>
        <w:t xml:space="preserve"> subcutáneo se evaluó en 51 pacientes pediátricos (de 1 año a 17</w:t>
      </w:r>
      <w:r w:rsidR="00B8496E" w:rsidRPr="00F30AB8">
        <w:rPr>
          <w:szCs w:val="22"/>
          <w:lang w:val="es-ES" w:eastAsia="de-DE"/>
        </w:rPr>
        <w:t> </w:t>
      </w:r>
      <w:r w:rsidRPr="0035042A">
        <w:rPr>
          <w:lang w:val="es-ES" w:eastAsia="de-DE"/>
        </w:rPr>
        <w:t>años de edad) con AIJs. En general, las reacciones adversas en pacientes con AIJs fueron similares en tipo a las observadas en pacientes con RA (ver sección</w:t>
      </w:r>
      <w:r w:rsidR="00B8496E" w:rsidRPr="00F30AB8">
        <w:rPr>
          <w:szCs w:val="22"/>
          <w:lang w:val="es-ES" w:eastAsia="de-DE"/>
        </w:rPr>
        <w:t> </w:t>
      </w:r>
      <w:r w:rsidR="006359C5">
        <w:rPr>
          <w:lang w:val="es-ES" w:eastAsia="de-DE"/>
        </w:rPr>
        <w:t>4.8</w:t>
      </w:r>
      <w:r w:rsidRPr="0035042A">
        <w:rPr>
          <w:lang w:val="es-ES" w:eastAsia="de-DE"/>
        </w:rPr>
        <w:t>)</w:t>
      </w:r>
      <w:r w:rsidR="00D53F45">
        <w:rPr>
          <w:lang w:val="es-ES" w:eastAsia="de-DE"/>
        </w:rPr>
        <w:t>.</w:t>
      </w:r>
    </w:p>
    <w:p w14:paraId="695F6C0F" w14:textId="77777777" w:rsidR="00047BAB" w:rsidRPr="0035042A" w:rsidRDefault="00047BAB" w:rsidP="00047BAB">
      <w:pPr>
        <w:outlineLvl w:val="0"/>
        <w:rPr>
          <w:lang w:val="es-ES" w:eastAsia="de-DE"/>
        </w:rPr>
      </w:pPr>
    </w:p>
    <w:p w14:paraId="0CC17489" w14:textId="77777777" w:rsidR="00047BAB" w:rsidRPr="00F30AB8" w:rsidRDefault="00047BAB" w:rsidP="00F30AB8">
      <w:pPr>
        <w:keepNext/>
        <w:keepLines/>
        <w:outlineLvl w:val="0"/>
        <w:rPr>
          <w:i/>
          <w:u w:val="single"/>
          <w:lang w:val="es-ES" w:eastAsia="de-DE"/>
        </w:rPr>
      </w:pPr>
      <w:r w:rsidRPr="00F30AB8">
        <w:rPr>
          <w:i/>
          <w:u w:val="single"/>
          <w:lang w:val="es-ES" w:eastAsia="de-DE"/>
        </w:rPr>
        <w:lastRenderedPageBreak/>
        <w:t>Infecciones</w:t>
      </w:r>
    </w:p>
    <w:p w14:paraId="74A0739F" w14:textId="006FFEE5" w:rsidR="00047BAB" w:rsidRPr="0035042A" w:rsidRDefault="00047BAB" w:rsidP="00F30AB8">
      <w:pPr>
        <w:keepNext/>
        <w:keepLines/>
        <w:outlineLvl w:val="0"/>
        <w:rPr>
          <w:lang w:val="es-ES" w:eastAsia="de-DE"/>
        </w:rPr>
      </w:pPr>
      <w:r w:rsidRPr="0035042A">
        <w:rPr>
          <w:lang w:val="es-ES" w:eastAsia="de-DE"/>
        </w:rPr>
        <w:t xml:space="preserve">La tasa de infección en pacientes con AIJs tratados con </w:t>
      </w:r>
      <w:r w:rsidR="006359C5">
        <w:rPr>
          <w:szCs w:val="22"/>
          <w:lang w:val="es-ES"/>
        </w:rPr>
        <w:t>tocilizuma</w:t>
      </w:r>
      <w:ins w:id="1709" w:author="AUTHOR">
        <w:r w:rsidR="009E503F">
          <w:rPr>
            <w:szCs w:val="22"/>
            <w:lang w:val="es-ES"/>
          </w:rPr>
          <w:t>b</w:t>
        </w:r>
      </w:ins>
      <w:r w:rsidR="006359C5">
        <w:rPr>
          <w:szCs w:val="22"/>
          <w:lang w:val="es-ES"/>
        </w:rPr>
        <w:t xml:space="preserve"> </w:t>
      </w:r>
      <w:r w:rsidR="006359C5">
        <w:rPr>
          <w:lang w:val="es-ES" w:eastAsia="de-DE"/>
        </w:rPr>
        <w:t>subcutáneo</w:t>
      </w:r>
      <w:r w:rsidRPr="0035042A">
        <w:rPr>
          <w:lang w:val="es-ES" w:eastAsia="de-DE"/>
        </w:rPr>
        <w:t xml:space="preserve"> fue comparable con la tasa de</w:t>
      </w:r>
      <w:r>
        <w:rPr>
          <w:lang w:val="es-ES" w:eastAsia="de-DE"/>
        </w:rPr>
        <w:t xml:space="preserve"> infección en pacientes con AIJ</w:t>
      </w:r>
      <w:r w:rsidRPr="0035042A">
        <w:rPr>
          <w:lang w:val="es-ES" w:eastAsia="de-DE"/>
        </w:rPr>
        <w:t xml:space="preserve">s tratados con </w:t>
      </w:r>
      <w:r w:rsidR="006359C5">
        <w:rPr>
          <w:szCs w:val="22"/>
          <w:lang w:val="es-ES"/>
        </w:rPr>
        <w:t>tocilizuma</w:t>
      </w:r>
      <w:r w:rsidR="00B8496E">
        <w:rPr>
          <w:szCs w:val="22"/>
          <w:lang w:val="es-ES"/>
        </w:rPr>
        <w:t>b</w:t>
      </w:r>
      <w:r w:rsidR="006359C5">
        <w:rPr>
          <w:szCs w:val="22"/>
          <w:lang w:val="es-ES"/>
        </w:rPr>
        <w:t xml:space="preserve"> intravenoso</w:t>
      </w:r>
      <w:r w:rsidRPr="0035042A">
        <w:rPr>
          <w:lang w:val="es-ES" w:eastAsia="de-DE"/>
        </w:rPr>
        <w:t xml:space="preserve"> IV.</w:t>
      </w:r>
    </w:p>
    <w:p w14:paraId="4A80A262" w14:textId="77777777" w:rsidR="00047BAB" w:rsidRPr="0035042A" w:rsidRDefault="00047BAB" w:rsidP="00047BAB">
      <w:pPr>
        <w:outlineLvl w:val="0"/>
        <w:rPr>
          <w:lang w:val="es-ES" w:eastAsia="de-DE"/>
        </w:rPr>
      </w:pPr>
    </w:p>
    <w:p w14:paraId="43E25AC0" w14:textId="77777777" w:rsidR="00047BAB" w:rsidRPr="00467FFD" w:rsidRDefault="00047BAB" w:rsidP="00047BAB">
      <w:pPr>
        <w:outlineLvl w:val="0"/>
        <w:rPr>
          <w:i/>
          <w:u w:val="single"/>
          <w:lang w:val="es-ES" w:eastAsia="de-DE"/>
          <w:rPrChange w:id="1710" w:author="AUTHOR">
            <w:rPr>
              <w:i/>
              <w:lang w:val="es-ES" w:eastAsia="de-DE"/>
            </w:rPr>
          </w:rPrChange>
        </w:rPr>
      </w:pPr>
      <w:r w:rsidRPr="00467FFD">
        <w:rPr>
          <w:i/>
          <w:u w:val="single"/>
          <w:lang w:val="es-ES" w:eastAsia="de-DE"/>
          <w:rPrChange w:id="1711" w:author="AUTHOR">
            <w:rPr>
              <w:i/>
              <w:lang w:val="es-ES" w:eastAsia="de-DE"/>
            </w:rPr>
          </w:rPrChange>
        </w:rPr>
        <w:t>Reacciones en el lugar de la inyección</w:t>
      </w:r>
      <w:r w:rsidR="00FB62AD" w:rsidRPr="00467FFD">
        <w:rPr>
          <w:i/>
          <w:u w:val="single"/>
          <w:lang w:val="es-ES" w:eastAsia="de-DE"/>
          <w:rPrChange w:id="1712" w:author="AUTHOR">
            <w:rPr>
              <w:i/>
              <w:lang w:val="es-ES" w:eastAsia="de-DE"/>
            </w:rPr>
          </w:rPrChange>
        </w:rPr>
        <w:t xml:space="preserve"> (RLI)</w:t>
      </w:r>
    </w:p>
    <w:p w14:paraId="5DC046B9" w14:textId="726DAEE9" w:rsidR="00047BAB" w:rsidRPr="0035042A" w:rsidRDefault="00047BAB" w:rsidP="00047BAB">
      <w:pPr>
        <w:outlineLvl w:val="0"/>
        <w:rPr>
          <w:lang w:val="es-ES" w:eastAsia="de-DE"/>
        </w:rPr>
      </w:pPr>
      <w:r w:rsidRPr="0035042A">
        <w:rPr>
          <w:lang w:val="es-ES" w:eastAsia="de-DE"/>
        </w:rPr>
        <w:t xml:space="preserve">En el </w:t>
      </w:r>
      <w:ins w:id="1713" w:author="AUTHOR">
        <w:r w:rsidR="00D0534D">
          <w:rPr>
            <w:lang w:val="es-ES" w:eastAsia="de-DE"/>
          </w:rPr>
          <w:t>ensayo</w:t>
        </w:r>
      </w:ins>
      <w:del w:id="1714" w:author="AUTHOR">
        <w:r w:rsidRPr="0035042A" w:rsidDel="00D0534D">
          <w:rPr>
            <w:lang w:val="es-ES" w:eastAsia="de-DE"/>
          </w:rPr>
          <w:delText>estudio</w:delText>
        </w:r>
      </w:del>
      <w:r w:rsidRPr="0035042A">
        <w:rPr>
          <w:lang w:val="es-ES" w:eastAsia="de-DE"/>
        </w:rPr>
        <w:t xml:space="preserve"> </w:t>
      </w:r>
      <w:r w:rsidR="00FB62AD">
        <w:rPr>
          <w:lang w:val="es-ES" w:eastAsia="de-DE"/>
        </w:rPr>
        <w:t>subctáneo</w:t>
      </w:r>
      <w:r w:rsidR="00FB62AD" w:rsidRPr="0035042A">
        <w:rPr>
          <w:lang w:val="es-ES" w:eastAsia="de-DE"/>
        </w:rPr>
        <w:t xml:space="preserve"> </w:t>
      </w:r>
      <w:r w:rsidRPr="0035042A">
        <w:rPr>
          <w:lang w:val="es-ES" w:eastAsia="de-DE"/>
        </w:rPr>
        <w:t xml:space="preserve">(WA28118), un total de 41,2% (21/51) de los pacientes con AIJs experimentaron RLI con </w:t>
      </w:r>
      <w:r w:rsidR="00FB62AD">
        <w:rPr>
          <w:lang w:val="es-ES" w:eastAsia="de-DE"/>
        </w:rPr>
        <w:t>tocilizumab</w:t>
      </w:r>
      <w:r w:rsidR="00FB62AD" w:rsidRPr="0035042A">
        <w:rPr>
          <w:lang w:val="es-ES" w:eastAsia="de-DE"/>
        </w:rPr>
        <w:t xml:space="preserve"> </w:t>
      </w:r>
      <w:r w:rsidR="00FB62AD">
        <w:rPr>
          <w:lang w:val="es-ES" w:eastAsia="de-DE"/>
        </w:rPr>
        <w:t>subctáneo</w:t>
      </w:r>
      <w:r w:rsidRPr="0035042A">
        <w:rPr>
          <w:lang w:val="es-ES" w:eastAsia="de-DE"/>
        </w:rPr>
        <w:t>. Las RLI más frequentes fueron eritema, prurito, dolor e hinchazón en el lugar de la inyección. La mayoría de las RLI notificadas fueron de Grado 1 y ninguna RLI notificada fue grave ni requiri</w:t>
      </w:r>
      <w:r w:rsidR="00281E08">
        <w:rPr>
          <w:lang w:val="es-ES" w:eastAsia="de-DE"/>
        </w:rPr>
        <w:t>ó</w:t>
      </w:r>
      <w:r w:rsidRPr="0035042A">
        <w:rPr>
          <w:lang w:val="es-ES" w:eastAsia="de-DE"/>
        </w:rPr>
        <w:t xml:space="preserve"> la retirada del tratamiento o la interrupción de la dosis.</w:t>
      </w:r>
    </w:p>
    <w:p w14:paraId="34661248" w14:textId="77777777" w:rsidR="00047BAB" w:rsidRPr="0035042A" w:rsidRDefault="00047BAB" w:rsidP="00047BAB">
      <w:pPr>
        <w:outlineLvl w:val="0"/>
        <w:rPr>
          <w:lang w:val="es-ES" w:eastAsia="de-DE"/>
        </w:rPr>
      </w:pPr>
    </w:p>
    <w:p w14:paraId="4AD81D49" w14:textId="77777777" w:rsidR="00047BAB" w:rsidRPr="00F30AB8" w:rsidRDefault="00047BAB" w:rsidP="00047BAB">
      <w:pPr>
        <w:outlineLvl w:val="0"/>
        <w:rPr>
          <w:u w:val="single"/>
          <w:lang w:val="es-ES" w:eastAsia="de-DE"/>
        </w:rPr>
      </w:pPr>
      <w:r w:rsidRPr="00F30AB8">
        <w:rPr>
          <w:i/>
          <w:u w:val="single"/>
          <w:lang w:val="es-ES" w:eastAsia="de-DE"/>
        </w:rPr>
        <w:t>Inmunogenicidad</w:t>
      </w:r>
    </w:p>
    <w:p w14:paraId="5FE85E26" w14:textId="56E37454" w:rsidR="00047BAB" w:rsidRPr="0035042A" w:rsidRDefault="00047BAB" w:rsidP="00047BAB">
      <w:pPr>
        <w:outlineLvl w:val="0"/>
        <w:rPr>
          <w:lang w:val="es-ES" w:eastAsia="de-DE"/>
        </w:rPr>
      </w:pPr>
      <w:r w:rsidRPr="0035042A">
        <w:rPr>
          <w:lang w:val="es-ES" w:eastAsia="de-DE"/>
        </w:rPr>
        <w:t xml:space="preserve">En el </w:t>
      </w:r>
      <w:del w:id="1715" w:author="AUTHOR">
        <w:r w:rsidRPr="0035042A" w:rsidDel="00D0534D">
          <w:rPr>
            <w:lang w:val="es-ES" w:eastAsia="de-DE"/>
          </w:rPr>
          <w:delText xml:space="preserve">estudio </w:delText>
        </w:r>
      </w:del>
      <w:ins w:id="1716" w:author="AUTHOR">
        <w:r w:rsidR="00D0534D">
          <w:rPr>
            <w:lang w:val="es-ES" w:eastAsia="de-DE"/>
          </w:rPr>
          <w:t>ensayo</w:t>
        </w:r>
        <w:r w:rsidR="00D0534D" w:rsidRPr="0035042A">
          <w:rPr>
            <w:lang w:val="es-ES" w:eastAsia="de-DE"/>
          </w:rPr>
          <w:t xml:space="preserve"> </w:t>
        </w:r>
      </w:ins>
      <w:r w:rsidR="00FB62AD">
        <w:rPr>
          <w:lang w:val="es-ES" w:eastAsia="de-DE"/>
        </w:rPr>
        <w:t>subc</w:t>
      </w:r>
      <w:ins w:id="1717" w:author="AUTHOR">
        <w:r w:rsidR="009E503F">
          <w:rPr>
            <w:lang w:val="es-ES" w:eastAsia="de-DE"/>
          </w:rPr>
          <w:t>u</w:t>
        </w:r>
      </w:ins>
      <w:r w:rsidR="00FB62AD">
        <w:rPr>
          <w:lang w:val="es-ES" w:eastAsia="de-DE"/>
        </w:rPr>
        <w:t>táneo</w:t>
      </w:r>
      <w:r w:rsidRPr="0035042A">
        <w:rPr>
          <w:lang w:val="es-ES" w:eastAsia="de-DE"/>
        </w:rPr>
        <w:t xml:space="preserve"> (WA28118), 46 de 51 (90,2%) de los pacientes analizados para anticuerpos anti-tocilizumab al inicio del estudio tenían al menos un resultado de detección posbasal. Ningún paciente desarrolló anticuerpos anti-tocil</w:t>
      </w:r>
      <w:ins w:id="1718" w:author="AUTHOR">
        <w:r w:rsidR="009E503F">
          <w:rPr>
            <w:lang w:val="es-ES" w:eastAsia="de-DE"/>
          </w:rPr>
          <w:t>i</w:t>
        </w:r>
      </w:ins>
      <w:del w:id="1719" w:author="AUTHOR">
        <w:r w:rsidRPr="0035042A" w:rsidDel="009E503F">
          <w:rPr>
            <w:lang w:val="es-ES" w:eastAsia="de-DE"/>
          </w:rPr>
          <w:delText>u</w:delText>
        </w:r>
      </w:del>
      <w:r w:rsidRPr="0035042A">
        <w:rPr>
          <w:lang w:val="es-ES" w:eastAsia="de-DE"/>
        </w:rPr>
        <w:t>zumab positivos después del inicio del estudio.</w:t>
      </w:r>
    </w:p>
    <w:p w14:paraId="7070AF78" w14:textId="77777777" w:rsidR="00047BAB" w:rsidRPr="0035042A" w:rsidRDefault="00047BAB" w:rsidP="00047BAB">
      <w:pPr>
        <w:outlineLvl w:val="0"/>
        <w:rPr>
          <w:lang w:val="es-ES" w:eastAsia="de-DE"/>
        </w:rPr>
      </w:pPr>
    </w:p>
    <w:p w14:paraId="2E087C5D" w14:textId="77777777" w:rsidR="00047BAB" w:rsidRPr="00F30AB8" w:rsidRDefault="00047BAB" w:rsidP="00047BAB">
      <w:pPr>
        <w:outlineLvl w:val="0"/>
        <w:rPr>
          <w:i/>
          <w:u w:val="single"/>
          <w:lang w:val="es-ES" w:eastAsia="de-DE"/>
        </w:rPr>
      </w:pPr>
      <w:r w:rsidRPr="00F30AB8">
        <w:rPr>
          <w:i/>
          <w:u w:val="single"/>
          <w:lang w:val="es-ES" w:eastAsia="de-DE"/>
        </w:rPr>
        <w:t>Anomalías en los valores de laboratorio</w:t>
      </w:r>
    </w:p>
    <w:p w14:paraId="1697D9AC" w14:textId="1C272F6A" w:rsidR="00047BAB" w:rsidRDefault="00047BAB" w:rsidP="00047BAB">
      <w:pPr>
        <w:outlineLvl w:val="0"/>
        <w:rPr>
          <w:lang w:val="es-ES" w:eastAsia="de-DE"/>
        </w:rPr>
      </w:pPr>
      <w:r w:rsidRPr="0035042A">
        <w:rPr>
          <w:lang w:val="es-ES" w:eastAsia="de-DE"/>
        </w:rPr>
        <w:t xml:space="preserve">En el </w:t>
      </w:r>
      <w:del w:id="1720" w:author="AUTHOR">
        <w:r w:rsidRPr="0035042A" w:rsidDel="00D0534D">
          <w:rPr>
            <w:lang w:val="es-ES" w:eastAsia="de-DE"/>
          </w:rPr>
          <w:delText xml:space="preserve">estudio </w:delText>
        </w:r>
      </w:del>
      <w:ins w:id="1721" w:author="AUTHOR">
        <w:r w:rsidR="00D0534D">
          <w:rPr>
            <w:lang w:val="es-ES" w:eastAsia="de-DE"/>
          </w:rPr>
          <w:t>ensayo</w:t>
        </w:r>
        <w:r w:rsidR="00D0534D" w:rsidRPr="0035042A">
          <w:rPr>
            <w:lang w:val="es-ES" w:eastAsia="de-DE"/>
          </w:rPr>
          <w:t xml:space="preserve"> </w:t>
        </w:r>
      </w:ins>
      <w:r w:rsidR="00FB62AD">
        <w:rPr>
          <w:lang w:val="es-ES" w:eastAsia="de-DE"/>
        </w:rPr>
        <w:t>sucutáneo</w:t>
      </w:r>
      <w:r w:rsidR="00FB62AD" w:rsidRPr="0035042A">
        <w:rPr>
          <w:lang w:val="es-ES" w:eastAsia="de-DE"/>
        </w:rPr>
        <w:t xml:space="preserve"> </w:t>
      </w:r>
      <w:r w:rsidRPr="0035042A">
        <w:rPr>
          <w:lang w:val="es-ES" w:eastAsia="de-DE"/>
        </w:rPr>
        <w:t xml:space="preserve">(WA28118) abierto, de 52 semanas, se produjo una disminución del recuento </w:t>
      </w:r>
      <w:r w:rsidRPr="00AB3513">
        <w:rPr>
          <w:lang w:val="es-ES" w:eastAsia="de-DE"/>
          <w:rPrChange w:id="1722" w:author="TCS" w:date="2026-03-19T15:08:00Z">
            <w:rPr>
              <w:lang w:val="es-ES" w:eastAsia="de-DE"/>
            </w:rPr>
          </w:rPrChange>
        </w:rPr>
        <w:t xml:space="preserve">de neutrófilos inferior a 1 </w:t>
      </w:r>
      <w:r w:rsidR="00FB62AD" w:rsidRPr="00AB3513">
        <w:rPr>
          <w:rFonts w:eastAsia="MS Mincho"/>
          <w:szCs w:val="22"/>
          <w:lang w:val="en-GB"/>
          <w:rPrChange w:id="1723" w:author="TCS" w:date="2026-03-19T15:08:00Z">
            <w:rPr>
              <w:rFonts w:ascii="Arial" w:eastAsia="MS Mincho" w:hAnsi="Arial" w:cs="Arial"/>
              <w:szCs w:val="22"/>
              <w:lang w:val="en-GB"/>
            </w:rPr>
          </w:rPrChange>
        </w:rPr>
        <w:sym w:font="Symbol" w:char="F0B4"/>
      </w:r>
      <w:r w:rsidRPr="00AB3513">
        <w:rPr>
          <w:lang w:val="es-ES" w:eastAsia="de-DE"/>
          <w:rPrChange w:id="1724" w:author="TCS" w:date="2026-03-19T15:08:00Z">
            <w:rPr>
              <w:lang w:val="es-ES" w:eastAsia="de-DE"/>
            </w:rPr>
          </w:rPrChange>
        </w:rPr>
        <w:t xml:space="preserve"> 10</w:t>
      </w:r>
      <w:r w:rsidRPr="00AB3513">
        <w:rPr>
          <w:vertAlign w:val="superscript"/>
          <w:lang w:val="es-ES" w:eastAsia="de-DE"/>
          <w:rPrChange w:id="1725" w:author="TCS" w:date="2026-03-19T15:08:00Z">
            <w:rPr>
              <w:vertAlign w:val="superscript"/>
              <w:lang w:val="es-ES" w:eastAsia="de-DE"/>
            </w:rPr>
          </w:rPrChange>
        </w:rPr>
        <w:t>9</w:t>
      </w:r>
      <w:r w:rsidRPr="00AB3513">
        <w:rPr>
          <w:lang w:val="es-ES" w:eastAsia="de-DE"/>
          <w:rPrChange w:id="1726" w:author="TCS" w:date="2026-03-19T15:08:00Z">
            <w:rPr>
              <w:lang w:val="es-ES" w:eastAsia="de-DE"/>
            </w:rPr>
          </w:rPrChange>
        </w:rPr>
        <w:t xml:space="preserve">/lL en el 23,5% de los pacientes tratados con </w:t>
      </w:r>
      <w:r w:rsidR="00FB62AD" w:rsidRPr="00AB3513">
        <w:rPr>
          <w:lang w:val="es-ES" w:eastAsia="de-DE"/>
          <w:rPrChange w:id="1727" w:author="TCS" w:date="2026-03-19T15:08:00Z">
            <w:rPr>
              <w:lang w:val="es-ES" w:eastAsia="de-DE"/>
            </w:rPr>
          </w:rPrChange>
        </w:rPr>
        <w:t>tocilizumab subcutáneo</w:t>
      </w:r>
      <w:r w:rsidRPr="00AB3513">
        <w:rPr>
          <w:lang w:val="es-ES" w:eastAsia="de-DE"/>
          <w:rPrChange w:id="1728" w:author="TCS" w:date="2026-03-19T15:08:00Z">
            <w:rPr>
              <w:lang w:val="es-ES" w:eastAsia="de-DE"/>
            </w:rPr>
          </w:rPrChange>
        </w:rPr>
        <w:t xml:space="preserve">. Se produjo un descenso del recuento de plaquetas por debajo de 100 </w:t>
      </w:r>
      <w:r w:rsidR="00FB62AD" w:rsidRPr="00AB3513">
        <w:rPr>
          <w:rFonts w:eastAsia="MS Mincho"/>
          <w:szCs w:val="22"/>
          <w:lang w:val="en-GB"/>
          <w:rPrChange w:id="1729" w:author="TCS" w:date="2026-03-19T15:08:00Z">
            <w:rPr>
              <w:rFonts w:ascii="Arial" w:eastAsia="MS Mincho" w:hAnsi="Arial" w:cs="Arial"/>
              <w:szCs w:val="22"/>
              <w:lang w:val="en-GB"/>
            </w:rPr>
          </w:rPrChange>
        </w:rPr>
        <w:sym w:font="Symbol" w:char="F0B4"/>
      </w:r>
      <w:r w:rsidRPr="00AB3513">
        <w:rPr>
          <w:lang w:val="es-ES" w:eastAsia="de-DE"/>
          <w:rPrChange w:id="1730" w:author="TCS" w:date="2026-03-19T15:08:00Z">
            <w:rPr>
              <w:lang w:val="es-ES" w:eastAsia="de-DE"/>
            </w:rPr>
          </w:rPrChange>
        </w:rPr>
        <w:t xml:space="preserve"> 10</w:t>
      </w:r>
      <w:r w:rsidRPr="00AB3513">
        <w:rPr>
          <w:vertAlign w:val="superscript"/>
          <w:lang w:val="es-ES" w:eastAsia="de-DE"/>
          <w:rPrChange w:id="1731" w:author="TCS" w:date="2026-03-19T15:08:00Z">
            <w:rPr>
              <w:vertAlign w:val="superscript"/>
              <w:lang w:val="es-ES" w:eastAsia="de-DE"/>
            </w:rPr>
          </w:rPrChange>
        </w:rPr>
        <w:t>3</w:t>
      </w:r>
      <w:r w:rsidRPr="00AB3513">
        <w:rPr>
          <w:lang w:val="es-ES" w:eastAsia="de-DE"/>
          <w:rPrChange w:id="1732" w:author="TCS" w:date="2026-03-19T15:08:00Z">
            <w:rPr>
              <w:lang w:val="es-ES" w:eastAsia="de-DE"/>
            </w:rPr>
          </w:rPrChange>
        </w:rPr>
        <w:t xml:space="preserve">/μlL en el 2% de los pacientes tratados con </w:t>
      </w:r>
      <w:r w:rsidR="00FB62AD" w:rsidRPr="00AB3513">
        <w:rPr>
          <w:lang w:val="es-ES" w:eastAsia="de-DE"/>
          <w:rPrChange w:id="1733" w:author="TCS" w:date="2026-03-19T15:08:00Z">
            <w:rPr>
              <w:lang w:val="es-ES" w:eastAsia="de-DE"/>
            </w:rPr>
          </w:rPrChange>
        </w:rPr>
        <w:t>tocilizumab subcutáneo</w:t>
      </w:r>
      <w:r w:rsidRPr="00AB3513">
        <w:rPr>
          <w:lang w:val="es-ES" w:eastAsia="de-DE"/>
          <w:rPrChange w:id="1734" w:author="TCS" w:date="2026-03-19T15:08:00Z">
            <w:rPr>
              <w:lang w:val="es-ES" w:eastAsia="de-DE"/>
            </w:rPr>
          </w:rPrChange>
        </w:rPr>
        <w:t xml:space="preserve">. Se produjo una elevación la ALT o la AST de ≥3 </w:t>
      </w:r>
      <w:r w:rsidR="00FB62AD" w:rsidRPr="00AB3513">
        <w:rPr>
          <w:rFonts w:eastAsia="MS Mincho"/>
          <w:szCs w:val="22"/>
          <w:lang w:val="en-GB"/>
          <w:rPrChange w:id="1735" w:author="TCS" w:date="2026-03-19T15:08:00Z">
            <w:rPr>
              <w:rFonts w:ascii="Arial" w:eastAsia="MS Mincho" w:hAnsi="Arial" w:cs="Arial"/>
              <w:szCs w:val="22"/>
              <w:lang w:val="en-GB"/>
            </w:rPr>
          </w:rPrChange>
        </w:rPr>
        <w:sym w:font="Symbol" w:char="F0B4"/>
      </w:r>
      <w:r>
        <w:rPr>
          <w:lang w:val="es-ES" w:eastAsia="de-DE"/>
        </w:rPr>
        <w:t xml:space="preserve"> LSN</w:t>
      </w:r>
      <w:r w:rsidRPr="0035042A">
        <w:rPr>
          <w:lang w:val="es-ES" w:eastAsia="de-DE"/>
        </w:rPr>
        <w:t xml:space="preserve"> en un 9,8% y  un 4,0% de los pacientes tratados con </w:t>
      </w:r>
      <w:r w:rsidR="00FB62AD">
        <w:rPr>
          <w:lang w:val="es-ES" w:eastAsia="de-DE"/>
        </w:rPr>
        <w:t>tocilizumab subcutáneo</w:t>
      </w:r>
      <w:r w:rsidRPr="0035042A">
        <w:rPr>
          <w:lang w:val="es-ES" w:eastAsia="de-DE"/>
        </w:rPr>
        <w:t>, respectivamente</w:t>
      </w:r>
      <w:r>
        <w:rPr>
          <w:lang w:val="es-ES" w:eastAsia="de-DE"/>
        </w:rPr>
        <w:t>.</w:t>
      </w:r>
    </w:p>
    <w:p w14:paraId="5A8665D0" w14:textId="77777777" w:rsidR="00047BAB" w:rsidRDefault="00047BAB" w:rsidP="00047BAB">
      <w:pPr>
        <w:outlineLvl w:val="0"/>
        <w:rPr>
          <w:lang w:val="es-ES" w:eastAsia="de-DE"/>
        </w:rPr>
      </w:pPr>
    </w:p>
    <w:p w14:paraId="70FCBD98" w14:textId="77777777" w:rsidR="00047BAB" w:rsidRPr="00F30AB8" w:rsidRDefault="00047BAB" w:rsidP="00047BAB">
      <w:pPr>
        <w:autoSpaceDE w:val="0"/>
        <w:autoSpaceDN w:val="0"/>
        <w:adjustRightInd w:val="0"/>
        <w:rPr>
          <w:i/>
          <w:u w:val="single"/>
          <w:lang w:val="es-ES" w:eastAsia="de-DE"/>
        </w:rPr>
      </w:pPr>
      <w:r w:rsidRPr="00F30AB8">
        <w:rPr>
          <w:i/>
          <w:u w:val="single"/>
          <w:lang w:val="es-ES" w:eastAsia="de-DE"/>
        </w:rPr>
        <w:t>Parámetros lipídicos</w:t>
      </w:r>
    </w:p>
    <w:p w14:paraId="2B0252AD" w14:textId="7BAE0D12" w:rsidR="00047BAB" w:rsidRDefault="00047BAB" w:rsidP="00047BAB">
      <w:pPr>
        <w:autoSpaceDE w:val="0"/>
        <w:autoSpaceDN w:val="0"/>
        <w:adjustRightInd w:val="0"/>
        <w:rPr>
          <w:u w:val="single"/>
          <w:lang w:val="es-ES" w:eastAsia="de-DE"/>
        </w:rPr>
      </w:pPr>
      <w:r>
        <w:rPr>
          <w:lang w:val="es-ES" w:eastAsia="de-DE"/>
        </w:rPr>
        <w:t xml:space="preserve">En el </w:t>
      </w:r>
      <w:del w:id="1736" w:author="AUTHOR">
        <w:r w:rsidDel="00D0534D">
          <w:rPr>
            <w:lang w:val="es-ES" w:eastAsia="de-DE"/>
          </w:rPr>
          <w:delText xml:space="preserve">estudio </w:delText>
        </w:r>
      </w:del>
      <w:ins w:id="1737" w:author="AUTHOR">
        <w:r w:rsidR="00D0534D">
          <w:rPr>
            <w:lang w:val="es-ES" w:eastAsia="de-DE"/>
          </w:rPr>
          <w:t xml:space="preserve">ensayo </w:t>
        </w:r>
      </w:ins>
      <w:r w:rsidR="00FB62AD">
        <w:rPr>
          <w:lang w:val="es-ES" w:eastAsia="de-DE"/>
        </w:rPr>
        <w:t>subcutáneo</w:t>
      </w:r>
      <w:r>
        <w:rPr>
          <w:lang w:val="es-ES" w:eastAsia="de-DE"/>
        </w:rPr>
        <w:t xml:space="preserve"> (WA28118) abierto, de 52 semanas, el 23,4% y el 35,4% de los pacientes experimentaron</w:t>
      </w:r>
      <w:r w:rsidRPr="006A1006">
        <w:rPr>
          <w:lang w:val="es-ES" w:eastAsia="de-DE"/>
        </w:rPr>
        <w:t xml:space="preserve"> una elevación pos</w:t>
      </w:r>
      <w:r w:rsidRPr="00BE7EBF">
        <w:rPr>
          <w:lang w:val="es-ES" w:eastAsia="de-DE"/>
        </w:rPr>
        <w:t xml:space="preserve">basal </w:t>
      </w:r>
      <w:r w:rsidRPr="00757A87">
        <w:rPr>
          <w:lang w:val="es-ES" w:eastAsia="de-DE"/>
        </w:rPr>
        <w:t xml:space="preserve">de su valor </w:t>
      </w:r>
      <w:r w:rsidRPr="00FC7261">
        <w:rPr>
          <w:lang w:val="es-ES" w:eastAsia="de-DE"/>
        </w:rPr>
        <w:t xml:space="preserve">de colesterol LDL a ≥ 130 mg/dl y un valor </w:t>
      </w:r>
      <w:r w:rsidRPr="001E5394">
        <w:rPr>
          <w:lang w:val="es-ES" w:eastAsia="de-DE"/>
        </w:rPr>
        <w:t xml:space="preserve">de colesterol total de </w:t>
      </w:r>
      <w:r w:rsidR="00FB62AD" w:rsidRPr="00F30AB8">
        <w:rPr>
          <w:szCs w:val="22"/>
          <w:lang w:val="es-ES"/>
        </w:rPr>
        <w:t> ≥</w:t>
      </w:r>
      <w:r w:rsidRPr="001E5394">
        <w:rPr>
          <w:lang w:val="es-ES" w:eastAsia="de-DE"/>
        </w:rPr>
        <w:t xml:space="preserve"> 200 mg/dl</w:t>
      </w:r>
      <w:r w:rsidRPr="00FA0A14">
        <w:rPr>
          <w:lang w:val="es-ES" w:eastAsia="de-DE"/>
        </w:rPr>
        <w:t>, respectivamente</w:t>
      </w:r>
      <w:r w:rsidRPr="006616E4">
        <w:rPr>
          <w:lang w:val="es-ES" w:eastAsia="de-DE"/>
        </w:rPr>
        <w:t>,</w:t>
      </w:r>
      <w:r w:rsidRPr="002F682A">
        <w:rPr>
          <w:lang w:val="es-ES" w:eastAsia="de-DE"/>
        </w:rPr>
        <w:t xml:space="preserve"> en cualquier momento d</w:t>
      </w:r>
      <w:r w:rsidRPr="00F1099C">
        <w:rPr>
          <w:lang w:val="es-ES" w:eastAsia="de-DE"/>
        </w:rPr>
        <w:t xml:space="preserve">el </w:t>
      </w:r>
      <w:del w:id="1738" w:author="AUTHOR">
        <w:r w:rsidRPr="00F1099C" w:rsidDel="00D0534D">
          <w:rPr>
            <w:lang w:val="es-ES" w:eastAsia="de-DE"/>
          </w:rPr>
          <w:delText>estudio</w:delText>
        </w:r>
      </w:del>
      <w:ins w:id="1739" w:author="AUTHOR">
        <w:r w:rsidR="00D0534D">
          <w:rPr>
            <w:lang w:val="es-ES" w:eastAsia="de-DE"/>
          </w:rPr>
          <w:t>ensayo</w:t>
        </w:r>
      </w:ins>
      <w:r>
        <w:rPr>
          <w:lang w:val="es-ES" w:eastAsia="de-DE"/>
        </w:rPr>
        <w:t>.</w:t>
      </w:r>
    </w:p>
    <w:p w14:paraId="132A8467" w14:textId="77777777" w:rsidR="00047BAB" w:rsidRPr="006616E4" w:rsidRDefault="00047BAB" w:rsidP="00047BAB">
      <w:pPr>
        <w:autoSpaceDE w:val="0"/>
        <w:autoSpaceDN w:val="0"/>
        <w:adjustRightInd w:val="0"/>
        <w:rPr>
          <w:u w:val="single"/>
          <w:lang w:val="es-ES" w:eastAsia="de-DE"/>
        </w:rPr>
      </w:pPr>
    </w:p>
    <w:p w14:paraId="0D4640FF" w14:textId="77777777" w:rsidR="00047BAB" w:rsidRPr="00F30AB8" w:rsidRDefault="00FB62AD" w:rsidP="00047BAB">
      <w:pPr>
        <w:autoSpaceDE w:val="0"/>
        <w:autoSpaceDN w:val="0"/>
        <w:adjustRightInd w:val="0"/>
        <w:rPr>
          <w:bCs/>
          <w:i/>
          <w:iCs/>
          <w:lang w:val="es-ES" w:eastAsia="de-DE"/>
        </w:rPr>
      </w:pPr>
      <w:r w:rsidRPr="00F30AB8">
        <w:rPr>
          <w:bCs/>
          <w:i/>
          <w:iCs/>
          <w:lang w:val="es-ES" w:eastAsia="de-DE"/>
        </w:rPr>
        <w:t xml:space="preserve">Pacientes con </w:t>
      </w:r>
      <w:r w:rsidR="00047BAB" w:rsidRPr="00F30AB8">
        <w:rPr>
          <w:bCs/>
          <w:i/>
          <w:iCs/>
          <w:lang w:val="es-ES" w:eastAsia="de-DE"/>
        </w:rPr>
        <w:t>AIJp</w:t>
      </w:r>
    </w:p>
    <w:p w14:paraId="5B382DC8" w14:textId="68E25220" w:rsidR="00047BAB" w:rsidRPr="005D42FD" w:rsidRDefault="00047BAB" w:rsidP="00047BAB">
      <w:pPr>
        <w:autoSpaceDE w:val="0"/>
        <w:autoSpaceDN w:val="0"/>
        <w:adjustRightInd w:val="0"/>
        <w:rPr>
          <w:lang w:val="es-ES" w:eastAsia="de-DE"/>
        </w:rPr>
      </w:pPr>
      <w:r w:rsidRPr="00666987">
        <w:rPr>
          <w:lang w:val="es-ES" w:eastAsia="de-DE"/>
        </w:rPr>
        <w:t xml:space="preserve">El </w:t>
      </w:r>
      <w:r w:rsidRPr="00865037">
        <w:rPr>
          <w:lang w:val="es-ES" w:eastAsia="de-DE"/>
        </w:rPr>
        <w:t xml:space="preserve">perfil de seguridad de </w:t>
      </w:r>
      <w:r w:rsidR="00FB62AD">
        <w:rPr>
          <w:lang w:val="es-ES" w:eastAsia="de-DE"/>
        </w:rPr>
        <w:t>tocilizumab</w:t>
      </w:r>
      <w:r w:rsidR="00FB62AD" w:rsidRPr="00865037">
        <w:rPr>
          <w:lang w:val="es-ES" w:eastAsia="de-DE"/>
        </w:rPr>
        <w:t xml:space="preserve"> </w:t>
      </w:r>
      <w:r w:rsidRPr="00865037">
        <w:rPr>
          <w:lang w:val="es-ES" w:eastAsia="de-DE"/>
        </w:rPr>
        <w:t>subcutáneo se</w:t>
      </w:r>
      <w:r w:rsidRPr="00666987">
        <w:rPr>
          <w:lang w:val="es-ES" w:eastAsia="de-DE"/>
        </w:rPr>
        <w:t xml:space="preserve"> evaluó </w:t>
      </w:r>
      <w:r>
        <w:rPr>
          <w:lang w:val="es-ES" w:eastAsia="de-DE"/>
        </w:rPr>
        <w:t xml:space="preserve">también </w:t>
      </w:r>
      <w:r w:rsidRPr="00666987">
        <w:rPr>
          <w:lang w:val="es-ES" w:eastAsia="de-DE"/>
        </w:rPr>
        <w:t xml:space="preserve">en 52 pacientes pediátricos con AIJp. En la población </w:t>
      </w:r>
      <w:r>
        <w:rPr>
          <w:lang w:val="es-ES" w:eastAsia="de-DE"/>
        </w:rPr>
        <w:t>expuesta</w:t>
      </w:r>
      <w:r w:rsidR="00FB62AD">
        <w:rPr>
          <w:lang w:val="es-ES" w:eastAsia="de-DE"/>
        </w:rPr>
        <w:t xml:space="preserve"> a tocilizumab</w:t>
      </w:r>
      <w:r>
        <w:rPr>
          <w:lang w:val="es-ES" w:eastAsia="de-DE"/>
        </w:rPr>
        <w:t xml:space="preserve"> total con AIJp, el total de pacientes que recibieron </w:t>
      </w:r>
      <w:r w:rsidR="00FB62AD">
        <w:rPr>
          <w:lang w:val="es-ES" w:eastAsia="de-DE"/>
        </w:rPr>
        <w:t>tocilizumab</w:t>
      </w:r>
      <w:ins w:id="1740" w:author="AUTHOR">
        <w:r w:rsidR="009E503F">
          <w:rPr>
            <w:lang w:val="es-ES" w:eastAsia="de-DE"/>
          </w:rPr>
          <w:t xml:space="preserve"> </w:t>
        </w:r>
      </w:ins>
      <w:r w:rsidR="00FB62AD">
        <w:rPr>
          <w:lang w:val="es-ES" w:eastAsia="de-DE"/>
        </w:rPr>
        <w:t>intravenoso</w:t>
      </w:r>
      <w:ins w:id="1741" w:author="AUTHOR">
        <w:r w:rsidR="009E503F">
          <w:rPr>
            <w:lang w:val="es-ES" w:eastAsia="de-DE"/>
          </w:rPr>
          <w:t xml:space="preserve"> </w:t>
        </w:r>
      </w:ins>
      <w:r>
        <w:rPr>
          <w:lang w:val="es-ES" w:eastAsia="de-DE"/>
        </w:rPr>
        <w:t>fue de 184,4</w:t>
      </w:r>
      <w:r w:rsidR="00B8496E" w:rsidRPr="00F30AB8">
        <w:rPr>
          <w:szCs w:val="22"/>
          <w:lang w:val="es-ES" w:eastAsia="de-DE"/>
        </w:rPr>
        <w:t> </w:t>
      </w:r>
      <w:r w:rsidRPr="005D42FD">
        <w:rPr>
          <w:lang w:val="es-ES" w:eastAsia="de-DE"/>
        </w:rPr>
        <w:t>paciente</w:t>
      </w:r>
      <w:r>
        <w:rPr>
          <w:lang w:val="es-ES" w:eastAsia="de-DE"/>
        </w:rPr>
        <w:t>s año</w:t>
      </w:r>
      <w:r w:rsidRPr="005D42FD">
        <w:rPr>
          <w:lang w:val="es-ES" w:eastAsia="de-DE"/>
        </w:rPr>
        <w:t xml:space="preserve"> y </w:t>
      </w:r>
      <w:r>
        <w:rPr>
          <w:lang w:val="es-ES" w:eastAsia="de-DE"/>
        </w:rPr>
        <w:t>de 50,4</w:t>
      </w:r>
      <w:r w:rsidR="00B8496E" w:rsidRPr="00F30AB8">
        <w:rPr>
          <w:szCs w:val="22"/>
          <w:lang w:val="es-ES" w:eastAsia="de-DE"/>
        </w:rPr>
        <w:t> </w:t>
      </w:r>
      <w:r>
        <w:rPr>
          <w:lang w:val="es-ES" w:eastAsia="de-DE"/>
        </w:rPr>
        <w:t xml:space="preserve">pacientes año en los pacientes que recibieron tocilizumab </w:t>
      </w:r>
      <w:r w:rsidR="00FB62AD">
        <w:rPr>
          <w:lang w:val="es-ES" w:eastAsia="de-DE"/>
        </w:rPr>
        <w:t>subcutáneo</w:t>
      </w:r>
      <w:r>
        <w:rPr>
          <w:lang w:val="es-ES" w:eastAsia="de-DE"/>
        </w:rPr>
        <w:t>.</w:t>
      </w:r>
      <w:r w:rsidRPr="005D42FD">
        <w:rPr>
          <w:lang w:val="es-ES" w:eastAsia="de-DE"/>
        </w:rPr>
        <w:t xml:space="preserve"> En general, el perfil de segurida</w:t>
      </w:r>
      <w:r>
        <w:rPr>
          <w:lang w:val="es-ES" w:eastAsia="de-DE"/>
        </w:rPr>
        <w:t xml:space="preserve">d observado en pacientes con </w:t>
      </w:r>
      <w:r w:rsidRPr="005D42FD">
        <w:rPr>
          <w:lang w:val="es-ES" w:eastAsia="de-DE"/>
        </w:rPr>
        <w:t>A</w:t>
      </w:r>
      <w:r>
        <w:rPr>
          <w:lang w:val="es-ES" w:eastAsia="de-DE"/>
        </w:rPr>
        <w:t>IJp</w:t>
      </w:r>
      <w:r w:rsidRPr="005D42FD">
        <w:rPr>
          <w:lang w:val="es-ES" w:eastAsia="de-DE"/>
        </w:rPr>
        <w:t xml:space="preserve"> fue consistente con el perfil de seguridad conocido de </w:t>
      </w:r>
      <w:r w:rsidR="00FB62AD">
        <w:rPr>
          <w:lang w:val="es-ES" w:eastAsia="de-DE"/>
        </w:rPr>
        <w:t>tocilizumab</w:t>
      </w:r>
      <w:r>
        <w:rPr>
          <w:lang w:val="es-ES" w:eastAsia="de-DE"/>
        </w:rPr>
        <w:t xml:space="preserve">, con excepción de las </w:t>
      </w:r>
      <w:r w:rsidRPr="005D42FD">
        <w:rPr>
          <w:lang w:val="es-ES" w:eastAsia="de-DE"/>
        </w:rPr>
        <w:t>R</w:t>
      </w:r>
      <w:r>
        <w:rPr>
          <w:lang w:val="es-ES" w:eastAsia="de-DE"/>
        </w:rPr>
        <w:t>LI</w:t>
      </w:r>
      <w:r w:rsidRPr="005D42FD">
        <w:rPr>
          <w:lang w:val="es-ES" w:eastAsia="de-DE"/>
        </w:rPr>
        <w:t xml:space="preserve"> (ver Tabla 1). </w:t>
      </w:r>
      <w:r>
        <w:rPr>
          <w:lang w:val="es-ES" w:eastAsia="de-DE"/>
        </w:rPr>
        <w:t xml:space="preserve">Tras las inyecciones con </w:t>
      </w:r>
      <w:r w:rsidR="00FB62AD">
        <w:rPr>
          <w:lang w:val="es-ES" w:eastAsia="de-DE"/>
        </w:rPr>
        <w:t>tocilizumab subcutáneo</w:t>
      </w:r>
      <w:r>
        <w:rPr>
          <w:lang w:val="es-ES" w:eastAsia="de-DE"/>
        </w:rPr>
        <w:t>,</w:t>
      </w:r>
      <w:r w:rsidRPr="005D42FD">
        <w:rPr>
          <w:lang w:val="es-ES" w:eastAsia="de-DE"/>
        </w:rPr>
        <w:t xml:space="preserve"> </w:t>
      </w:r>
      <w:r>
        <w:rPr>
          <w:lang w:val="es-ES" w:eastAsia="de-DE"/>
        </w:rPr>
        <w:t>u</w:t>
      </w:r>
      <w:r w:rsidRPr="005D42FD">
        <w:rPr>
          <w:lang w:val="es-ES" w:eastAsia="de-DE"/>
        </w:rPr>
        <w:t>na mayor</w:t>
      </w:r>
      <w:r>
        <w:rPr>
          <w:lang w:val="es-ES" w:eastAsia="de-DE"/>
        </w:rPr>
        <w:t xml:space="preserve"> proporción de pacientes con </w:t>
      </w:r>
      <w:r w:rsidRPr="005D42FD">
        <w:rPr>
          <w:lang w:val="es-ES" w:eastAsia="de-DE"/>
        </w:rPr>
        <w:t>A</w:t>
      </w:r>
      <w:r>
        <w:rPr>
          <w:lang w:val="es-ES" w:eastAsia="de-DE"/>
        </w:rPr>
        <w:t xml:space="preserve">IJp experimentaron </w:t>
      </w:r>
      <w:r w:rsidRPr="005D42FD">
        <w:rPr>
          <w:lang w:val="es-ES" w:eastAsia="de-DE"/>
        </w:rPr>
        <w:t>R</w:t>
      </w:r>
      <w:r>
        <w:rPr>
          <w:lang w:val="es-ES" w:eastAsia="de-DE"/>
        </w:rPr>
        <w:t xml:space="preserve">LI </w:t>
      </w:r>
      <w:r w:rsidRPr="005D42FD">
        <w:rPr>
          <w:lang w:val="es-ES" w:eastAsia="de-DE"/>
        </w:rPr>
        <w:t>en comparación con l</w:t>
      </w:r>
      <w:r>
        <w:rPr>
          <w:lang w:val="es-ES" w:eastAsia="de-DE"/>
        </w:rPr>
        <w:t xml:space="preserve">os pacientes adultos con </w:t>
      </w:r>
      <w:r w:rsidRPr="005D42FD">
        <w:rPr>
          <w:lang w:val="es-ES" w:eastAsia="de-DE"/>
        </w:rPr>
        <w:t>AR.</w:t>
      </w:r>
    </w:p>
    <w:p w14:paraId="154145DF" w14:textId="77777777" w:rsidR="00047BAB" w:rsidRPr="005D42FD" w:rsidRDefault="00047BAB" w:rsidP="00047BAB">
      <w:pPr>
        <w:autoSpaceDE w:val="0"/>
        <w:autoSpaceDN w:val="0"/>
        <w:adjustRightInd w:val="0"/>
        <w:rPr>
          <w:lang w:val="es-ES" w:eastAsia="de-DE"/>
        </w:rPr>
      </w:pPr>
    </w:p>
    <w:p w14:paraId="04224B4A" w14:textId="77777777" w:rsidR="00047BAB" w:rsidRPr="00F30AB8" w:rsidRDefault="00047BAB" w:rsidP="00047BAB">
      <w:pPr>
        <w:autoSpaceDE w:val="0"/>
        <w:autoSpaceDN w:val="0"/>
        <w:adjustRightInd w:val="0"/>
        <w:rPr>
          <w:i/>
          <w:u w:val="single"/>
          <w:lang w:val="es-ES" w:eastAsia="de-DE"/>
        </w:rPr>
      </w:pPr>
      <w:r w:rsidRPr="00F30AB8">
        <w:rPr>
          <w:i/>
          <w:u w:val="single"/>
          <w:lang w:val="es-ES" w:eastAsia="de-DE"/>
        </w:rPr>
        <w:t>Infecciones</w:t>
      </w:r>
    </w:p>
    <w:p w14:paraId="32AF101A" w14:textId="0003E9D3" w:rsidR="00047BAB" w:rsidRPr="005D42FD" w:rsidRDefault="00047BAB" w:rsidP="00047BAB">
      <w:pPr>
        <w:autoSpaceDE w:val="0"/>
        <w:autoSpaceDN w:val="0"/>
        <w:adjustRightInd w:val="0"/>
        <w:rPr>
          <w:lang w:val="es-ES" w:eastAsia="de-DE"/>
        </w:rPr>
      </w:pPr>
      <w:r>
        <w:rPr>
          <w:lang w:val="es-ES" w:eastAsia="de-DE"/>
        </w:rPr>
        <w:t xml:space="preserve">En el </w:t>
      </w:r>
      <w:ins w:id="1742" w:author="AUTHOR">
        <w:r w:rsidR="00D0534D">
          <w:rPr>
            <w:lang w:val="es-ES" w:eastAsia="de-DE"/>
          </w:rPr>
          <w:t>ensayo</w:t>
        </w:r>
      </w:ins>
      <w:del w:id="1743" w:author="AUTHOR">
        <w:r w:rsidDel="00D0534D">
          <w:rPr>
            <w:lang w:val="es-ES" w:eastAsia="de-DE"/>
          </w:rPr>
          <w:delText>estudio</w:delText>
        </w:r>
      </w:del>
      <w:r>
        <w:rPr>
          <w:lang w:val="es-ES" w:eastAsia="de-DE"/>
        </w:rPr>
        <w:t xml:space="preserve"> con </w:t>
      </w:r>
      <w:r w:rsidR="00FB62AD">
        <w:rPr>
          <w:lang w:val="es-ES" w:eastAsia="de-DE"/>
        </w:rPr>
        <w:t>tocilizumab subcutáneo</w:t>
      </w:r>
      <w:r w:rsidRPr="005D42FD">
        <w:rPr>
          <w:lang w:val="es-ES" w:eastAsia="de-DE"/>
        </w:rPr>
        <w:t>, la tasa d</w:t>
      </w:r>
      <w:r>
        <w:rPr>
          <w:lang w:val="es-ES" w:eastAsia="de-DE"/>
        </w:rPr>
        <w:t xml:space="preserve">e infección en pacientes con </w:t>
      </w:r>
      <w:r w:rsidRPr="005D42FD">
        <w:rPr>
          <w:lang w:val="es-ES" w:eastAsia="de-DE"/>
        </w:rPr>
        <w:t>A</w:t>
      </w:r>
      <w:r>
        <w:rPr>
          <w:lang w:val="es-ES" w:eastAsia="de-DE"/>
        </w:rPr>
        <w:t>IJp</w:t>
      </w:r>
      <w:r w:rsidRPr="005D42FD">
        <w:rPr>
          <w:lang w:val="es-ES" w:eastAsia="de-DE"/>
        </w:rPr>
        <w:t xml:space="preserve"> tratados con </w:t>
      </w:r>
      <w:r w:rsidR="00FB62AD">
        <w:rPr>
          <w:lang w:val="es-ES" w:eastAsia="de-DE"/>
        </w:rPr>
        <w:t>tocilizumab subcutáneo</w:t>
      </w:r>
      <w:r>
        <w:rPr>
          <w:lang w:val="es-ES" w:eastAsia="de-DE"/>
        </w:rPr>
        <w:t xml:space="preserve"> </w:t>
      </w:r>
      <w:r w:rsidRPr="005D42FD">
        <w:rPr>
          <w:lang w:val="es-ES" w:eastAsia="de-DE"/>
        </w:rPr>
        <w:t>fue comparable co</w:t>
      </w:r>
      <w:r>
        <w:rPr>
          <w:lang w:val="es-ES" w:eastAsia="de-DE"/>
        </w:rPr>
        <w:t xml:space="preserve">n la tasa de infección en pacientes con </w:t>
      </w:r>
      <w:r w:rsidRPr="005D42FD">
        <w:rPr>
          <w:lang w:val="es-ES" w:eastAsia="de-DE"/>
        </w:rPr>
        <w:t>A</w:t>
      </w:r>
      <w:r>
        <w:rPr>
          <w:lang w:val="es-ES" w:eastAsia="de-DE"/>
        </w:rPr>
        <w:t>IJp</w:t>
      </w:r>
      <w:r w:rsidRPr="005D42FD">
        <w:rPr>
          <w:lang w:val="es-ES" w:eastAsia="de-DE"/>
        </w:rPr>
        <w:t xml:space="preserve"> tratados con </w:t>
      </w:r>
      <w:r w:rsidR="00FB62AD">
        <w:rPr>
          <w:lang w:val="es-ES" w:eastAsia="de-DE"/>
        </w:rPr>
        <w:t>tocilizumab intravenoso</w:t>
      </w:r>
      <w:r w:rsidRPr="005D42FD">
        <w:rPr>
          <w:lang w:val="es-ES" w:eastAsia="de-DE"/>
        </w:rPr>
        <w:t>.</w:t>
      </w:r>
    </w:p>
    <w:p w14:paraId="01099475" w14:textId="77777777" w:rsidR="00047BAB" w:rsidRPr="005D42FD" w:rsidRDefault="00047BAB" w:rsidP="00047BAB">
      <w:pPr>
        <w:autoSpaceDE w:val="0"/>
        <w:autoSpaceDN w:val="0"/>
        <w:adjustRightInd w:val="0"/>
        <w:rPr>
          <w:lang w:val="es-ES" w:eastAsia="de-DE"/>
        </w:rPr>
      </w:pPr>
    </w:p>
    <w:p w14:paraId="67910C44" w14:textId="77777777" w:rsidR="00047BAB" w:rsidRPr="00F30AB8" w:rsidRDefault="00047BAB" w:rsidP="00047BAB">
      <w:pPr>
        <w:autoSpaceDE w:val="0"/>
        <w:autoSpaceDN w:val="0"/>
        <w:adjustRightInd w:val="0"/>
        <w:rPr>
          <w:i/>
          <w:u w:val="single"/>
          <w:lang w:val="es-ES" w:eastAsia="de-DE"/>
        </w:rPr>
      </w:pPr>
      <w:r w:rsidRPr="00F30AB8">
        <w:rPr>
          <w:i/>
          <w:u w:val="single"/>
          <w:lang w:val="es-ES" w:eastAsia="de-DE"/>
        </w:rPr>
        <w:t>Reacciones en el lugar de la inyección</w:t>
      </w:r>
    </w:p>
    <w:p w14:paraId="42907CA6" w14:textId="728B9FE2" w:rsidR="00047BAB" w:rsidRPr="005D42FD" w:rsidRDefault="00047BAB" w:rsidP="00047BAB">
      <w:pPr>
        <w:autoSpaceDE w:val="0"/>
        <w:autoSpaceDN w:val="0"/>
        <w:adjustRightInd w:val="0"/>
        <w:rPr>
          <w:lang w:val="es-ES" w:eastAsia="de-DE"/>
        </w:rPr>
      </w:pPr>
      <w:r>
        <w:rPr>
          <w:lang w:val="es-ES" w:eastAsia="de-DE"/>
        </w:rPr>
        <w:t>Un total de 28,</w:t>
      </w:r>
      <w:r w:rsidRPr="005D42FD">
        <w:rPr>
          <w:lang w:val="es-ES" w:eastAsia="de-DE"/>
        </w:rPr>
        <w:t xml:space="preserve">8% (15/52) </w:t>
      </w:r>
      <w:r>
        <w:rPr>
          <w:lang w:val="es-ES" w:eastAsia="de-DE"/>
        </w:rPr>
        <w:t xml:space="preserve">de los </w:t>
      </w:r>
      <w:r w:rsidRPr="005D42FD">
        <w:rPr>
          <w:lang w:val="es-ES" w:eastAsia="de-DE"/>
        </w:rPr>
        <w:t>paci</w:t>
      </w:r>
      <w:r>
        <w:rPr>
          <w:lang w:val="es-ES" w:eastAsia="de-DE"/>
        </w:rPr>
        <w:t xml:space="preserve">entes con AIJp experimentaron </w:t>
      </w:r>
      <w:r w:rsidRPr="005D42FD">
        <w:rPr>
          <w:lang w:val="es-ES" w:eastAsia="de-DE"/>
        </w:rPr>
        <w:t>R</w:t>
      </w:r>
      <w:r>
        <w:rPr>
          <w:lang w:val="es-ES" w:eastAsia="de-DE"/>
        </w:rPr>
        <w:t xml:space="preserve">LI con </w:t>
      </w:r>
      <w:r w:rsidR="00FB62AD">
        <w:rPr>
          <w:lang w:val="es-ES" w:eastAsia="de-DE"/>
        </w:rPr>
        <w:t>tocilizumab subcutáneo</w:t>
      </w:r>
      <w:r>
        <w:rPr>
          <w:lang w:val="es-ES" w:eastAsia="de-DE"/>
        </w:rPr>
        <w:t xml:space="preserve">. Estas </w:t>
      </w:r>
      <w:r w:rsidRPr="005D42FD">
        <w:rPr>
          <w:lang w:val="es-ES" w:eastAsia="de-DE"/>
        </w:rPr>
        <w:t>R</w:t>
      </w:r>
      <w:r>
        <w:rPr>
          <w:lang w:val="es-ES" w:eastAsia="de-DE"/>
        </w:rPr>
        <w:t>LI</w:t>
      </w:r>
      <w:r w:rsidRPr="005D42FD">
        <w:rPr>
          <w:lang w:val="es-ES" w:eastAsia="de-DE"/>
        </w:rPr>
        <w:t xml:space="preserve"> ocurrieron en un 44% de </w:t>
      </w:r>
      <w:r>
        <w:rPr>
          <w:lang w:val="es-ES" w:eastAsia="de-DE"/>
        </w:rPr>
        <w:t xml:space="preserve">los </w:t>
      </w:r>
      <w:r w:rsidRPr="005D42FD">
        <w:rPr>
          <w:lang w:val="es-ES" w:eastAsia="de-DE"/>
        </w:rPr>
        <w:t xml:space="preserve">pacientes </w:t>
      </w:r>
      <w:r>
        <w:rPr>
          <w:lang w:val="es-ES" w:eastAsia="de-DE"/>
        </w:rPr>
        <w:t xml:space="preserve">con peso </w:t>
      </w:r>
      <w:r w:rsidR="00FB62AD" w:rsidRPr="00F30AB8">
        <w:rPr>
          <w:szCs w:val="22"/>
          <w:lang w:val="es-ES"/>
        </w:rPr>
        <w:t>≥</w:t>
      </w:r>
      <w:r>
        <w:rPr>
          <w:lang w:val="es-ES" w:eastAsia="de-DE"/>
        </w:rPr>
        <w:t>30</w:t>
      </w:r>
      <w:r w:rsidR="00B8496E" w:rsidRPr="00F30AB8">
        <w:rPr>
          <w:szCs w:val="22"/>
          <w:lang w:val="es-ES" w:eastAsia="de-DE"/>
        </w:rPr>
        <w:t> </w:t>
      </w:r>
      <w:r>
        <w:rPr>
          <w:lang w:val="es-ES" w:eastAsia="de-DE"/>
        </w:rPr>
        <w:t>kg en comparación con un 14,8% en</w:t>
      </w:r>
      <w:r w:rsidRPr="005D42FD">
        <w:rPr>
          <w:lang w:val="es-ES" w:eastAsia="de-DE"/>
        </w:rPr>
        <w:t xml:space="preserve"> pacientes </w:t>
      </w:r>
      <w:r>
        <w:rPr>
          <w:lang w:val="es-ES" w:eastAsia="de-DE"/>
        </w:rPr>
        <w:t>con peso por debajo de los 30</w:t>
      </w:r>
      <w:r w:rsidR="00B8496E" w:rsidRPr="00F30AB8">
        <w:rPr>
          <w:szCs w:val="22"/>
          <w:lang w:val="es-ES" w:eastAsia="de-DE"/>
        </w:rPr>
        <w:t> </w:t>
      </w:r>
      <w:r>
        <w:rPr>
          <w:lang w:val="es-ES" w:eastAsia="de-DE"/>
        </w:rPr>
        <w:t xml:space="preserve">kg. Las </w:t>
      </w:r>
      <w:r w:rsidRPr="005D42FD">
        <w:rPr>
          <w:lang w:val="es-ES" w:eastAsia="de-DE"/>
        </w:rPr>
        <w:t>R</w:t>
      </w:r>
      <w:r>
        <w:rPr>
          <w:lang w:val="es-ES" w:eastAsia="de-DE"/>
        </w:rPr>
        <w:t>LI</w:t>
      </w:r>
      <w:r w:rsidRPr="005D42FD">
        <w:rPr>
          <w:lang w:val="es-ES" w:eastAsia="de-DE"/>
        </w:rPr>
        <w:t xml:space="preserve"> más frecuentes </w:t>
      </w:r>
      <w:r w:rsidRPr="000D74F0">
        <w:rPr>
          <w:lang w:val="es-ES" w:eastAsia="de-DE"/>
        </w:rPr>
        <w:t>fueron eritema, hinchazón, hematoma</w:t>
      </w:r>
      <w:r w:rsidRPr="005D42FD">
        <w:rPr>
          <w:lang w:val="es-ES" w:eastAsia="de-DE"/>
        </w:rPr>
        <w:t>, dolor y prurito en el lug</w:t>
      </w:r>
      <w:r>
        <w:rPr>
          <w:lang w:val="es-ES" w:eastAsia="de-DE"/>
        </w:rPr>
        <w:t xml:space="preserve">ar de la inyección. Todas las </w:t>
      </w:r>
      <w:r w:rsidRPr="005D42FD">
        <w:rPr>
          <w:lang w:val="es-ES" w:eastAsia="de-DE"/>
        </w:rPr>
        <w:t>R</w:t>
      </w:r>
      <w:r>
        <w:rPr>
          <w:lang w:val="es-ES" w:eastAsia="de-DE"/>
        </w:rPr>
        <w:t>LI notificadas</w:t>
      </w:r>
      <w:r w:rsidRPr="005D42FD">
        <w:rPr>
          <w:lang w:val="es-ES" w:eastAsia="de-DE"/>
        </w:rPr>
        <w:t xml:space="preserve"> </w:t>
      </w:r>
      <w:r>
        <w:rPr>
          <w:lang w:val="es-ES" w:eastAsia="de-DE"/>
        </w:rPr>
        <w:t xml:space="preserve">no </w:t>
      </w:r>
      <w:r w:rsidRPr="005D42FD">
        <w:rPr>
          <w:lang w:val="es-ES" w:eastAsia="de-DE"/>
        </w:rPr>
        <w:t>fueron eventos graves</w:t>
      </w:r>
      <w:r>
        <w:rPr>
          <w:lang w:val="es-ES" w:eastAsia="de-DE"/>
        </w:rPr>
        <w:t xml:space="preserve">, Grado 1, y ninguna de las </w:t>
      </w:r>
      <w:r w:rsidRPr="005D42FD">
        <w:rPr>
          <w:lang w:val="es-ES" w:eastAsia="de-DE"/>
        </w:rPr>
        <w:t>R</w:t>
      </w:r>
      <w:r>
        <w:rPr>
          <w:lang w:val="es-ES" w:eastAsia="de-DE"/>
        </w:rPr>
        <w:t>LI</w:t>
      </w:r>
      <w:r w:rsidRPr="005D42FD">
        <w:rPr>
          <w:lang w:val="es-ES" w:eastAsia="de-DE"/>
        </w:rPr>
        <w:t xml:space="preserve"> requirió la retirada del trata</w:t>
      </w:r>
      <w:r>
        <w:rPr>
          <w:lang w:val="es-ES" w:eastAsia="de-DE"/>
        </w:rPr>
        <w:t>miento o la interrupción de la dosis</w:t>
      </w:r>
      <w:r w:rsidRPr="005D42FD">
        <w:rPr>
          <w:lang w:val="es-ES" w:eastAsia="de-DE"/>
        </w:rPr>
        <w:t>.</w:t>
      </w:r>
    </w:p>
    <w:p w14:paraId="3C0AB97B" w14:textId="77777777" w:rsidR="00047BAB" w:rsidRPr="005D42FD" w:rsidRDefault="00047BAB" w:rsidP="00047BAB">
      <w:pPr>
        <w:autoSpaceDE w:val="0"/>
        <w:autoSpaceDN w:val="0"/>
        <w:adjustRightInd w:val="0"/>
        <w:rPr>
          <w:lang w:val="es-ES" w:eastAsia="de-DE"/>
        </w:rPr>
      </w:pPr>
    </w:p>
    <w:p w14:paraId="027A80F9" w14:textId="77777777" w:rsidR="00047BAB" w:rsidRPr="00F30AB8" w:rsidRDefault="00047BAB" w:rsidP="00047BAB">
      <w:pPr>
        <w:keepNext/>
        <w:keepLines/>
        <w:autoSpaceDE w:val="0"/>
        <w:autoSpaceDN w:val="0"/>
        <w:adjustRightInd w:val="0"/>
        <w:rPr>
          <w:i/>
          <w:u w:val="single"/>
          <w:lang w:val="es-ES" w:eastAsia="de-DE"/>
        </w:rPr>
      </w:pPr>
      <w:r w:rsidRPr="00F30AB8">
        <w:rPr>
          <w:i/>
          <w:u w:val="single"/>
          <w:lang w:val="es-ES" w:eastAsia="de-DE"/>
        </w:rPr>
        <w:lastRenderedPageBreak/>
        <w:t>Inmunogenicidad</w:t>
      </w:r>
    </w:p>
    <w:p w14:paraId="30B28967" w14:textId="6C2F3B85" w:rsidR="00047BAB" w:rsidRPr="005D42FD" w:rsidRDefault="00047BAB" w:rsidP="00047BAB">
      <w:pPr>
        <w:keepNext/>
        <w:keepLines/>
        <w:autoSpaceDE w:val="0"/>
        <w:autoSpaceDN w:val="0"/>
        <w:adjustRightInd w:val="0"/>
        <w:rPr>
          <w:lang w:val="es-ES" w:eastAsia="de-DE"/>
        </w:rPr>
      </w:pPr>
      <w:r>
        <w:rPr>
          <w:lang w:val="es-ES" w:eastAsia="de-DE"/>
        </w:rPr>
        <w:t xml:space="preserve">En el </w:t>
      </w:r>
      <w:ins w:id="1744" w:author="AUTHOR">
        <w:r w:rsidR="00D0534D">
          <w:rPr>
            <w:lang w:val="es-ES" w:eastAsia="de-DE"/>
          </w:rPr>
          <w:t>ensayo</w:t>
        </w:r>
      </w:ins>
      <w:del w:id="1745" w:author="AUTHOR">
        <w:r w:rsidDel="00D0534D">
          <w:rPr>
            <w:lang w:val="es-ES" w:eastAsia="de-DE"/>
          </w:rPr>
          <w:delText>estudio</w:delText>
        </w:r>
      </w:del>
      <w:r>
        <w:rPr>
          <w:lang w:val="es-ES" w:eastAsia="de-DE"/>
        </w:rPr>
        <w:t xml:space="preserve"> de </w:t>
      </w:r>
      <w:r w:rsidR="00FB62AD">
        <w:rPr>
          <w:lang w:val="es-ES" w:eastAsia="de-DE"/>
        </w:rPr>
        <w:t>subcutáneo</w:t>
      </w:r>
      <w:r w:rsidRPr="00CF214E">
        <w:rPr>
          <w:lang w:val="es-ES" w:eastAsia="de-DE"/>
        </w:rPr>
        <w:t>,</w:t>
      </w:r>
      <w:r>
        <w:rPr>
          <w:lang w:val="es-ES" w:eastAsia="de-DE"/>
        </w:rPr>
        <w:t xml:space="preserve"> el 5,8% </w:t>
      </w:r>
      <w:r w:rsidR="00B8496E" w:rsidRPr="00F30AB8">
        <w:rPr>
          <w:szCs w:val="22"/>
          <w:lang w:val="es-ES"/>
        </w:rPr>
        <w:t>[</w:t>
      </w:r>
      <w:r>
        <w:rPr>
          <w:lang w:val="es-ES" w:eastAsia="de-DE"/>
        </w:rPr>
        <w:t>3/52</w:t>
      </w:r>
      <w:r w:rsidR="00B8496E" w:rsidRPr="00F30AB8">
        <w:rPr>
          <w:szCs w:val="22"/>
          <w:lang w:val="es-ES"/>
        </w:rPr>
        <w:t>]</w:t>
      </w:r>
      <w:r w:rsidRPr="005D42FD">
        <w:rPr>
          <w:lang w:val="es-ES" w:eastAsia="de-DE"/>
        </w:rPr>
        <w:t xml:space="preserve"> </w:t>
      </w:r>
      <w:r>
        <w:rPr>
          <w:lang w:val="es-ES" w:eastAsia="de-DE"/>
        </w:rPr>
        <w:t xml:space="preserve">de los pacientes </w:t>
      </w:r>
      <w:r w:rsidRPr="005D42FD">
        <w:rPr>
          <w:lang w:val="es-ES" w:eastAsia="de-DE"/>
        </w:rPr>
        <w:t xml:space="preserve">desarrolló anticuerpos neutralizantes anti-tocilizumab positivos sin desarrollar una reacción de hipersensibilidad grave o clínicamente significativa. De estos 3 pacientes, 1 se retiró posteriormente del </w:t>
      </w:r>
      <w:ins w:id="1746" w:author="AUTHOR">
        <w:r w:rsidR="00D0534D">
          <w:rPr>
            <w:lang w:val="es-ES" w:eastAsia="de-DE"/>
          </w:rPr>
          <w:t>ensayo</w:t>
        </w:r>
      </w:ins>
      <w:del w:id="1747" w:author="AUTHOR">
        <w:r w:rsidRPr="005D42FD" w:rsidDel="00D0534D">
          <w:rPr>
            <w:lang w:val="es-ES" w:eastAsia="de-DE"/>
          </w:rPr>
          <w:delText>estudio</w:delText>
        </w:r>
      </w:del>
      <w:r w:rsidRPr="005D42FD">
        <w:rPr>
          <w:lang w:val="es-ES" w:eastAsia="de-DE"/>
        </w:rPr>
        <w:t xml:space="preserve">. No se observó ninguna correlación entre el desarrollo de anticuerpos y la respuesta clínica o </w:t>
      </w:r>
      <w:r>
        <w:rPr>
          <w:lang w:val="es-ES" w:eastAsia="de-DE"/>
        </w:rPr>
        <w:t>efectos</w:t>
      </w:r>
      <w:r w:rsidRPr="005D42FD">
        <w:rPr>
          <w:lang w:val="es-ES" w:eastAsia="de-DE"/>
        </w:rPr>
        <w:t xml:space="preserve"> adversos</w:t>
      </w:r>
      <w:r>
        <w:rPr>
          <w:lang w:val="es-ES" w:eastAsia="de-DE"/>
        </w:rPr>
        <w:t>.</w:t>
      </w:r>
    </w:p>
    <w:p w14:paraId="4C4E100F" w14:textId="77777777" w:rsidR="00047BAB" w:rsidRPr="005D42FD" w:rsidRDefault="00047BAB" w:rsidP="00047BAB">
      <w:pPr>
        <w:keepNext/>
        <w:keepLines/>
        <w:autoSpaceDE w:val="0"/>
        <w:autoSpaceDN w:val="0"/>
        <w:adjustRightInd w:val="0"/>
        <w:rPr>
          <w:lang w:val="es-ES" w:eastAsia="de-DE"/>
        </w:rPr>
      </w:pPr>
    </w:p>
    <w:p w14:paraId="69CADF8C" w14:textId="77777777" w:rsidR="00047BAB" w:rsidRPr="00F30AB8" w:rsidRDefault="00047BAB" w:rsidP="00047BAB">
      <w:pPr>
        <w:keepNext/>
        <w:keepLines/>
        <w:autoSpaceDE w:val="0"/>
        <w:autoSpaceDN w:val="0"/>
        <w:adjustRightInd w:val="0"/>
        <w:rPr>
          <w:i/>
          <w:u w:val="single"/>
          <w:lang w:val="es-ES" w:eastAsia="de-DE"/>
        </w:rPr>
      </w:pPr>
      <w:r w:rsidRPr="00F30AB8">
        <w:rPr>
          <w:i/>
          <w:u w:val="single"/>
          <w:lang w:val="es-ES" w:eastAsia="de-DE"/>
        </w:rPr>
        <w:t>Anomalías en los valores de laboratorio</w:t>
      </w:r>
    </w:p>
    <w:p w14:paraId="26EEDE5E" w14:textId="0CBC660A" w:rsidR="00047BAB" w:rsidRPr="005D42FD" w:rsidRDefault="00047BAB" w:rsidP="00047BAB">
      <w:pPr>
        <w:keepNext/>
        <w:keepLines/>
        <w:autoSpaceDE w:val="0"/>
        <w:autoSpaceDN w:val="0"/>
        <w:adjustRightInd w:val="0"/>
        <w:rPr>
          <w:lang w:val="es-ES" w:eastAsia="de-DE"/>
        </w:rPr>
      </w:pPr>
      <w:r>
        <w:rPr>
          <w:lang w:val="es-ES" w:eastAsia="de-DE"/>
        </w:rPr>
        <w:t>D</w:t>
      </w:r>
      <w:r w:rsidRPr="005D42FD">
        <w:rPr>
          <w:lang w:val="es-ES" w:eastAsia="de-DE"/>
        </w:rPr>
        <w:t xml:space="preserve">urante la monitorización rutinaria de </w:t>
      </w:r>
      <w:r>
        <w:rPr>
          <w:lang w:val="es-ES" w:eastAsia="de-DE"/>
        </w:rPr>
        <w:t xml:space="preserve">los valores de </w:t>
      </w:r>
      <w:r w:rsidRPr="005D42FD">
        <w:rPr>
          <w:lang w:val="es-ES" w:eastAsia="de-DE"/>
        </w:rPr>
        <w:t xml:space="preserve">laboratorio </w:t>
      </w:r>
      <w:r w:rsidRPr="00606BCF">
        <w:rPr>
          <w:lang w:val="es-ES" w:eastAsia="de-DE"/>
        </w:rPr>
        <w:t>e</w:t>
      </w:r>
      <w:r>
        <w:rPr>
          <w:lang w:val="es-ES" w:eastAsia="de-DE"/>
        </w:rPr>
        <w:t>n</w:t>
      </w:r>
      <w:r w:rsidRPr="00606BCF">
        <w:rPr>
          <w:lang w:val="es-ES" w:eastAsia="de-DE"/>
        </w:rPr>
        <w:t xml:space="preserve"> toda la población </w:t>
      </w:r>
      <w:r w:rsidRPr="006C05BA">
        <w:rPr>
          <w:lang w:val="es-ES" w:eastAsia="de-DE"/>
        </w:rPr>
        <w:t xml:space="preserve">expuesta a </w:t>
      </w:r>
      <w:r w:rsidR="00FB62AD">
        <w:rPr>
          <w:lang w:val="es-ES" w:eastAsia="de-DE"/>
        </w:rPr>
        <w:t>tocilizumab</w:t>
      </w:r>
      <w:r w:rsidRPr="005D42FD">
        <w:rPr>
          <w:lang w:val="es-ES" w:eastAsia="de-DE"/>
        </w:rPr>
        <w:t>, se o</w:t>
      </w:r>
      <w:r>
        <w:rPr>
          <w:lang w:val="es-ES" w:eastAsia="de-DE"/>
        </w:rPr>
        <w:t>bservó</w:t>
      </w:r>
      <w:r w:rsidRPr="005D42FD">
        <w:rPr>
          <w:lang w:val="es-ES" w:eastAsia="de-DE"/>
        </w:rPr>
        <w:t xml:space="preserve"> una disminución en el recuento de neutrófilos por debajo de 1 </w:t>
      </w:r>
      <w:r w:rsidR="00FB62AD" w:rsidRPr="00B65EA9">
        <w:rPr>
          <w:rFonts w:eastAsia="MS Mincho"/>
          <w:szCs w:val="22"/>
          <w:lang w:val="en-GB"/>
        </w:rPr>
        <w:sym w:font="Symbol" w:char="F0B4"/>
      </w:r>
      <w:r w:rsidRPr="005D42FD">
        <w:rPr>
          <w:lang w:val="es-ES" w:eastAsia="de-DE"/>
        </w:rPr>
        <w:t xml:space="preserve"> 10</w:t>
      </w:r>
      <w:r w:rsidRPr="006616E4">
        <w:rPr>
          <w:vertAlign w:val="superscript"/>
          <w:lang w:val="es-ES" w:eastAsia="de-DE"/>
        </w:rPr>
        <w:t>9</w:t>
      </w:r>
      <w:r>
        <w:rPr>
          <w:lang w:val="es-ES" w:eastAsia="de-DE"/>
        </w:rPr>
        <w:t>/</w:t>
      </w:r>
      <w:r w:rsidRPr="005D42FD">
        <w:rPr>
          <w:lang w:val="es-ES" w:eastAsia="de-DE"/>
        </w:rPr>
        <w:t>l en el 15,4% d</w:t>
      </w:r>
      <w:r>
        <w:rPr>
          <w:lang w:val="es-ES" w:eastAsia="de-DE"/>
        </w:rPr>
        <w:t xml:space="preserve">e los pacientes tratados con </w:t>
      </w:r>
      <w:r w:rsidR="00B16D10">
        <w:rPr>
          <w:lang w:val="es-ES" w:eastAsia="de-DE"/>
        </w:rPr>
        <w:t>subcutáneo</w:t>
      </w:r>
      <w:r w:rsidRPr="005D42FD">
        <w:rPr>
          <w:lang w:val="es-ES" w:eastAsia="de-DE"/>
        </w:rPr>
        <w:t>. Se o</w:t>
      </w:r>
      <w:r>
        <w:rPr>
          <w:lang w:val="es-ES" w:eastAsia="de-DE"/>
        </w:rPr>
        <w:t xml:space="preserve">bservó una elevación </w:t>
      </w:r>
      <w:r w:rsidRPr="005D42FD">
        <w:rPr>
          <w:lang w:val="es-ES" w:eastAsia="de-DE"/>
        </w:rPr>
        <w:t>e</w:t>
      </w:r>
      <w:r>
        <w:rPr>
          <w:lang w:val="es-ES" w:eastAsia="de-DE"/>
        </w:rPr>
        <w:t>n</w:t>
      </w:r>
      <w:r w:rsidRPr="005D42FD">
        <w:rPr>
          <w:lang w:val="es-ES" w:eastAsia="de-DE"/>
        </w:rPr>
        <w:t xml:space="preserve"> ALT o AST ≥3 </w:t>
      </w:r>
      <w:r w:rsidR="00FB62AD" w:rsidRPr="00B65EA9">
        <w:rPr>
          <w:rFonts w:eastAsia="MS Mincho"/>
          <w:szCs w:val="22"/>
          <w:lang w:val="en-GB"/>
        </w:rPr>
        <w:sym w:font="Symbol" w:char="F0B4"/>
      </w:r>
      <w:r w:rsidRPr="005D42FD">
        <w:rPr>
          <w:lang w:val="es-ES" w:eastAsia="de-DE"/>
        </w:rPr>
        <w:t xml:space="preserve"> LSN en el 9,6% y </w:t>
      </w:r>
      <w:r>
        <w:rPr>
          <w:lang w:val="es-ES" w:eastAsia="de-DE"/>
        </w:rPr>
        <w:t xml:space="preserve">en </w:t>
      </w:r>
      <w:r w:rsidRPr="005D42FD">
        <w:rPr>
          <w:lang w:val="es-ES" w:eastAsia="de-DE"/>
        </w:rPr>
        <w:t xml:space="preserve">el 3,8% de los pacientes tratados con </w:t>
      </w:r>
      <w:r w:rsidR="00B16D10">
        <w:rPr>
          <w:lang w:val="es-ES" w:eastAsia="de-DE"/>
        </w:rPr>
        <w:t>tocilizumab subcutáneo</w:t>
      </w:r>
      <w:r w:rsidRPr="005D42FD">
        <w:rPr>
          <w:lang w:val="es-ES" w:eastAsia="de-DE"/>
        </w:rPr>
        <w:t>, respectivamente.</w:t>
      </w:r>
      <w:r>
        <w:rPr>
          <w:lang w:val="es-ES" w:eastAsia="de-DE"/>
        </w:rPr>
        <w:t xml:space="preserve"> Ningún paciente tratado con </w:t>
      </w:r>
      <w:r w:rsidR="00B16D10">
        <w:rPr>
          <w:lang w:val="es-ES" w:eastAsia="de-DE"/>
        </w:rPr>
        <w:t>tocilizumab subcutáneo</w:t>
      </w:r>
      <w:r w:rsidRPr="005D42FD">
        <w:rPr>
          <w:lang w:val="es-ES" w:eastAsia="de-DE"/>
        </w:rPr>
        <w:t xml:space="preserve"> experimentó una disminución en el recuento de plaquetas </w:t>
      </w:r>
      <w:r w:rsidR="00B16D10" w:rsidRPr="00F30AB8">
        <w:rPr>
          <w:szCs w:val="22"/>
          <w:lang w:val="es-ES"/>
        </w:rPr>
        <w:t>≤</w:t>
      </w:r>
      <w:r w:rsidRPr="005D42FD">
        <w:rPr>
          <w:lang w:val="es-ES" w:eastAsia="de-DE"/>
        </w:rPr>
        <w:t xml:space="preserve">50 </w:t>
      </w:r>
      <w:r w:rsidR="00B16D10" w:rsidRPr="00B65EA9">
        <w:rPr>
          <w:rFonts w:eastAsia="MS Mincho"/>
          <w:szCs w:val="22"/>
          <w:lang w:val="en-GB"/>
        </w:rPr>
        <w:sym w:font="Symbol" w:char="F0B4"/>
      </w:r>
      <w:r w:rsidRPr="005D42FD">
        <w:rPr>
          <w:lang w:val="es-ES" w:eastAsia="de-DE"/>
        </w:rPr>
        <w:t xml:space="preserve"> 10</w:t>
      </w:r>
      <w:r w:rsidRPr="006616E4">
        <w:rPr>
          <w:vertAlign w:val="superscript"/>
          <w:lang w:val="es-ES" w:eastAsia="de-DE"/>
        </w:rPr>
        <w:t>3</w:t>
      </w:r>
      <w:r>
        <w:rPr>
          <w:lang w:val="es-ES" w:eastAsia="de-DE"/>
        </w:rPr>
        <w:t>/</w:t>
      </w:r>
      <w:r w:rsidRPr="005D42FD">
        <w:rPr>
          <w:lang w:val="es-ES" w:eastAsia="de-DE"/>
        </w:rPr>
        <w:t>μ</w:t>
      </w:r>
      <w:r>
        <w:rPr>
          <w:lang w:val="es-ES" w:eastAsia="de-DE"/>
        </w:rPr>
        <w:t>l</w:t>
      </w:r>
      <w:r w:rsidRPr="005D42FD">
        <w:rPr>
          <w:lang w:val="es-ES" w:eastAsia="de-DE"/>
        </w:rPr>
        <w:t>.</w:t>
      </w:r>
    </w:p>
    <w:p w14:paraId="34D59431" w14:textId="77777777" w:rsidR="00047BAB" w:rsidRPr="005D42FD" w:rsidRDefault="00047BAB" w:rsidP="00047BAB">
      <w:pPr>
        <w:keepNext/>
        <w:keepLines/>
        <w:autoSpaceDE w:val="0"/>
        <w:autoSpaceDN w:val="0"/>
        <w:adjustRightInd w:val="0"/>
        <w:rPr>
          <w:lang w:val="es-ES" w:eastAsia="de-DE"/>
        </w:rPr>
      </w:pPr>
    </w:p>
    <w:p w14:paraId="00A2DFB1" w14:textId="77777777" w:rsidR="00047BAB" w:rsidRPr="00F30AB8" w:rsidRDefault="00047BAB" w:rsidP="00047BAB">
      <w:pPr>
        <w:keepNext/>
        <w:keepLines/>
        <w:autoSpaceDE w:val="0"/>
        <w:autoSpaceDN w:val="0"/>
        <w:adjustRightInd w:val="0"/>
        <w:rPr>
          <w:i/>
          <w:u w:val="single"/>
          <w:lang w:val="es-ES" w:eastAsia="de-DE"/>
        </w:rPr>
      </w:pPr>
      <w:r w:rsidRPr="00F30AB8">
        <w:rPr>
          <w:i/>
          <w:u w:val="single"/>
          <w:lang w:val="es-ES" w:eastAsia="de-DE"/>
        </w:rPr>
        <w:t>Parámetros lipídicos</w:t>
      </w:r>
    </w:p>
    <w:p w14:paraId="036C2C25" w14:textId="155DF82C" w:rsidR="00047BAB" w:rsidRDefault="00047BAB" w:rsidP="00047BAB">
      <w:pPr>
        <w:outlineLvl w:val="0"/>
        <w:rPr>
          <w:lang w:val="es-ES" w:eastAsia="de-DE"/>
        </w:rPr>
      </w:pPr>
      <w:r w:rsidRPr="002F682A">
        <w:rPr>
          <w:lang w:val="es-ES" w:eastAsia="de-DE"/>
        </w:rPr>
        <w:t xml:space="preserve">En el </w:t>
      </w:r>
      <w:ins w:id="1748" w:author="AUTHOR">
        <w:r w:rsidR="00D0534D">
          <w:rPr>
            <w:lang w:val="es-ES" w:eastAsia="de-DE"/>
          </w:rPr>
          <w:t>ensayo</w:t>
        </w:r>
      </w:ins>
      <w:del w:id="1749" w:author="AUTHOR">
        <w:r w:rsidRPr="002F682A" w:rsidDel="00D0534D">
          <w:rPr>
            <w:lang w:val="es-ES" w:eastAsia="de-DE"/>
          </w:rPr>
          <w:delText>estudio</w:delText>
        </w:r>
      </w:del>
      <w:r w:rsidRPr="002F682A">
        <w:rPr>
          <w:lang w:val="es-ES" w:eastAsia="de-DE"/>
        </w:rPr>
        <w:t xml:space="preserve"> de </w:t>
      </w:r>
      <w:r w:rsidR="00B16D10">
        <w:rPr>
          <w:lang w:val="es-ES" w:eastAsia="de-DE"/>
        </w:rPr>
        <w:t>subcutáneo</w:t>
      </w:r>
      <w:r w:rsidRPr="006A1006">
        <w:rPr>
          <w:lang w:val="es-ES" w:eastAsia="de-DE"/>
        </w:rPr>
        <w:t>, el 14,3% y el 12,8% de los pacientes experimentaron una elevación pos</w:t>
      </w:r>
      <w:r w:rsidRPr="00BE7EBF">
        <w:rPr>
          <w:lang w:val="es-ES" w:eastAsia="de-DE"/>
        </w:rPr>
        <w:t xml:space="preserve">basal </w:t>
      </w:r>
      <w:r w:rsidRPr="00757A87">
        <w:rPr>
          <w:lang w:val="es-ES" w:eastAsia="de-DE"/>
        </w:rPr>
        <w:t xml:space="preserve">de su valor </w:t>
      </w:r>
      <w:r w:rsidRPr="00FC7261">
        <w:rPr>
          <w:lang w:val="es-ES" w:eastAsia="de-DE"/>
        </w:rPr>
        <w:t xml:space="preserve">de colesterol LDL a </w:t>
      </w:r>
      <w:r w:rsidR="00B16D10" w:rsidRPr="00F30AB8">
        <w:rPr>
          <w:szCs w:val="22"/>
          <w:lang w:val="es-ES"/>
        </w:rPr>
        <w:t>≥</w:t>
      </w:r>
      <w:r w:rsidRPr="00FC7261">
        <w:rPr>
          <w:lang w:val="es-ES" w:eastAsia="de-DE"/>
        </w:rPr>
        <w:t xml:space="preserve"> 130 mg/dl y un valor </w:t>
      </w:r>
      <w:r w:rsidRPr="001E5394">
        <w:rPr>
          <w:lang w:val="es-ES" w:eastAsia="de-DE"/>
        </w:rPr>
        <w:t xml:space="preserve">de colesterol total de </w:t>
      </w:r>
      <w:r w:rsidR="00B16D10" w:rsidRPr="00F30AB8">
        <w:rPr>
          <w:szCs w:val="22"/>
          <w:lang w:val="es-ES"/>
        </w:rPr>
        <w:t>≥</w:t>
      </w:r>
      <w:r w:rsidRPr="001E5394">
        <w:rPr>
          <w:lang w:val="es-ES" w:eastAsia="de-DE"/>
        </w:rPr>
        <w:t xml:space="preserve"> 200 mg/dl</w:t>
      </w:r>
      <w:r w:rsidRPr="00FA0A14">
        <w:rPr>
          <w:lang w:val="es-ES" w:eastAsia="de-DE"/>
        </w:rPr>
        <w:t>, respectivamente</w:t>
      </w:r>
      <w:r w:rsidRPr="006616E4">
        <w:rPr>
          <w:lang w:val="es-ES" w:eastAsia="de-DE"/>
        </w:rPr>
        <w:t>,</w:t>
      </w:r>
      <w:r w:rsidRPr="002F682A">
        <w:rPr>
          <w:lang w:val="es-ES" w:eastAsia="de-DE"/>
        </w:rPr>
        <w:t xml:space="preserve"> en cualquier momento d</w:t>
      </w:r>
      <w:r w:rsidRPr="00F1099C">
        <w:rPr>
          <w:lang w:val="es-ES" w:eastAsia="de-DE"/>
        </w:rPr>
        <w:t xml:space="preserve">el </w:t>
      </w:r>
      <w:ins w:id="1750" w:author="AUTHOR">
        <w:r w:rsidR="00D0534D">
          <w:rPr>
            <w:lang w:val="es-ES" w:eastAsia="de-DE"/>
          </w:rPr>
          <w:t>ensayo</w:t>
        </w:r>
      </w:ins>
      <w:del w:id="1751" w:author="AUTHOR">
        <w:r w:rsidRPr="00F1099C" w:rsidDel="00D0534D">
          <w:rPr>
            <w:lang w:val="es-ES" w:eastAsia="de-DE"/>
          </w:rPr>
          <w:delText>estudio</w:delText>
        </w:r>
      </w:del>
      <w:r w:rsidRPr="0035042A">
        <w:rPr>
          <w:lang w:val="es-ES" w:eastAsia="de-DE"/>
        </w:rPr>
        <w:t>.</w:t>
      </w:r>
    </w:p>
    <w:p w14:paraId="67E64CAD" w14:textId="77777777" w:rsidR="00047BAB" w:rsidRDefault="00047BAB" w:rsidP="001053FE">
      <w:pPr>
        <w:outlineLvl w:val="0"/>
        <w:rPr>
          <w:lang w:val="es-ES" w:eastAsia="de-DE"/>
        </w:rPr>
      </w:pPr>
    </w:p>
    <w:p w14:paraId="085664A8" w14:textId="77777777" w:rsidR="001053FE" w:rsidRPr="00F30AB8" w:rsidRDefault="00B16D10" w:rsidP="001053FE">
      <w:pPr>
        <w:ind w:left="567" w:hanging="567"/>
        <w:outlineLvl w:val="0"/>
        <w:rPr>
          <w:bCs/>
          <w:i/>
          <w:iCs/>
          <w:lang w:val="es-ES" w:eastAsia="de-DE"/>
        </w:rPr>
      </w:pPr>
      <w:r w:rsidRPr="00F30AB8">
        <w:rPr>
          <w:bCs/>
          <w:i/>
          <w:iCs/>
          <w:lang w:val="es-ES" w:eastAsia="de-DE"/>
        </w:rPr>
        <w:t xml:space="preserve">Pacientes con </w:t>
      </w:r>
      <w:r w:rsidR="001053FE" w:rsidRPr="00F30AB8">
        <w:rPr>
          <w:bCs/>
          <w:i/>
          <w:iCs/>
          <w:lang w:val="es-ES" w:eastAsia="de-DE"/>
        </w:rPr>
        <w:t>ACG</w:t>
      </w:r>
    </w:p>
    <w:p w14:paraId="756037CD" w14:textId="6C5F2A75" w:rsidR="001053FE" w:rsidRPr="00C22F3F" w:rsidRDefault="001053FE" w:rsidP="001053FE">
      <w:pPr>
        <w:outlineLvl w:val="0"/>
        <w:rPr>
          <w:lang w:val="es-ES" w:eastAsia="de-DE"/>
        </w:rPr>
      </w:pPr>
      <w:r w:rsidRPr="00606BCF">
        <w:rPr>
          <w:lang w:val="es-ES" w:eastAsia="de-DE"/>
        </w:rPr>
        <w:t>E</w:t>
      </w:r>
      <w:r w:rsidRPr="006C05BA">
        <w:rPr>
          <w:lang w:val="es-ES" w:eastAsia="de-DE"/>
        </w:rPr>
        <w:t xml:space="preserve">n un </w:t>
      </w:r>
      <w:r>
        <w:rPr>
          <w:lang w:val="es-ES" w:eastAsia="de-DE"/>
        </w:rPr>
        <w:t>ensayo</w:t>
      </w:r>
      <w:r w:rsidRPr="006C05BA">
        <w:rPr>
          <w:lang w:val="es-ES" w:eastAsia="de-DE"/>
        </w:rPr>
        <w:t xml:space="preserve"> </w:t>
      </w:r>
      <w:r w:rsidRPr="00C22F3F">
        <w:rPr>
          <w:lang w:val="es-ES" w:eastAsia="de-DE"/>
        </w:rPr>
        <w:t xml:space="preserve">fase III (WA28119) se estudió la seguridad de </w:t>
      </w:r>
      <w:r w:rsidR="00B16D10">
        <w:rPr>
          <w:szCs w:val="22"/>
          <w:lang w:val="es-ES"/>
        </w:rPr>
        <w:t>tocilizumab</w:t>
      </w:r>
      <w:r w:rsidR="00B16D10" w:rsidRPr="00182B3C">
        <w:rPr>
          <w:szCs w:val="22"/>
          <w:lang w:val="es-ES"/>
        </w:rPr>
        <w:t xml:space="preserve"> </w:t>
      </w:r>
      <w:r w:rsidRPr="00606BCF">
        <w:rPr>
          <w:szCs w:val="22"/>
          <w:lang w:val="es-ES"/>
        </w:rPr>
        <w:t xml:space="preserve">por vía subcutánea en 251 pacientes con ACG. </w:t>
      </w:r>
      <w:r w:rsidRPr="00606BCF">
        <w:rPr>
          <w:lang w:val="es-ES" w:eastAsia="de-DE"/>
        </w:rPr>
        <w:t xml:space="preserve">De toda la población </w:t>
      </w:r>
      <w:r w:rsidRPr="006C05BA">
        <w:rPr>
          <w:lang w:val="es-ES" w:eastAsia="de-DE"/>
        </w:rPr>
        <w:t>expuesta a</w:t>
      </w:r>
      <w:del w:id="1752" w:author="AUTHOR">
        <w:r w:rsidR="00B16D10" w:rsidDel="00B46D8D">
          <w:rPr>
            <w:lang w:val="es-ES" w:eastAsia="de-DE"/>
          </w:rPr>
          <w:delText>l tratamiento</w:delText>
        </w:r>
      </w:del>
      <w:ins w:id="1753" w:author="AUTHOR">
        <w:r w:rsidR="00B46D8D">
          <w:rPr>
            <w:lang w:val="es-ES" w:eastAsia="de-DE"/>
          </w:rPr>
          <w:t>tocilizumab</w:t>
        </w:r>
      </w:ins>
      <w:r w:rsidRPr="00C22F3F">
        <w:rPr>
          <w:szCs w:val="22"/>
          <w:lang w:val="es-ES"/>
        </w:rPr>
        <w:t xml:space="preserve"> </w:t>
      </w:r>
      <w:r w:rsidRPr="00C22F3F">
        <w:rPr>
          <w:lang w:val="es-ES" w:eastAsia="de-DE"/>
        </w:rPr>
        <w:t xml:space="preserve">el total de pacientes expuestos </w:t>
      </w:r>
      <w:ins w:id="1754" w:author="AUTHOR">
        <w:r w:rsidR="000F4E02">
          <w:rPr>
            <w:lang w:val="es-ES" w:eastAsia="de-DE"/>
          </w:rPr>
          <w:t>la duración total en pacientes-</w:t>
        </w:r>
      </w:ins>
      <w:del w:id="1755" w:author="AUTHOR">
        <w:r w:rsidRPr="00C22F3F" w:rsidDel="000F4E02">
          <w:rPr>
            <w:lang w:val="es-ES" w:eastAsia="de-DE"/>
          </w:rPr>
          <w:delText xml:space="preserve">al </w:delText>
        </w:r>
      </w:del>
      <w:r w:rsidRPr="00C22F3F">
        <w:rPr>
          <w:lang w:val="es-ES" w:eastAsia="de-DE"/>
        </w:rPr>
        <w:t>año fue de 138,5 pacientes durante los 12 meses de</w:t>
      </w:r>
      <w:r>
        <w:rPr>
          <w:lang w:val="es-ES" w:eastAsia="de-DE"/>
        </w:rPr>
        <w:t xml:space="preserve">l periodo del ensayo </w:t>
      </w:r>
      <w:r w:rsidRPr="00C22F3F">
        <w:rPr>
          <w:lang w:val="es-ES" w:eastAsia="de-DE"/>
        </w:rPr>
        <w:t>doble ciego, controlad</w:t>
      </w:r>
      <w:r>
        <w:rPr>
          <w:lang w:val="es-ES" w:eastAsia="de-DE"/>
        </w:rPr>
        <w:t>o</w:t>
      </w:r>
      <w:r w:rsidRPr="00C22F3F">
        <w:rPr>
          <w:lang w:val="es-ES" w:eastAsia="de-DE"/>
        </w:rPr>
        <w:t xml:space="preserve"> con placebo. El perfil de seguridad global observado en los grupos de tratamiento fue co</w:t>
      </w:r>
      <w:r>
        <w:rPr>
          <w:lang w:val="es-ES" w:eastAsia="de-DE"/>
        </w:rPr>
        <w:t>nsi</w:t>
      </w:r>
      <w:ins w:id="1756" w:author="AUTHOR">
        <w:r w:rsidR="000F4E02">
          <w:rPr>
            <w:lang w:val="es-ES" w:eastAsia="de-DE"/>
          </w:rPr>
          <w:t>s</w:t>
        </w:r>
      </w:ins>
      <w:r>
        <w:rPr>
          <w:lang w:val="es-ES" w:eastAsia="de-DE"/>
        </w:rPr>
        <w:t>tente</w:t>
      </w:r>
      <w:r w:rsidRPr="00C22F3F">
        <w:rPr>
          <w:lang w:val="es-ES" w:eastAsia="de-DE"/>
        </w:rPr>
        <w:t xml:space="preserve"> con el perfil de seguridad conocido de </w:t>
      </w:r>
      <w:r w:rsidR="00B16D10">
        <w:rPr>
          <w:szCs w:val="22"/>
          <w:lang w:val="es-ES"/>
        </w:rPr>
        <w:t>tocilizumab</w:t>
      </w:r>
      <w:r w:rsidRPr="00C22F3F">
        <w:rPr>
          <w:lang w:val="es-ES" w:eastAsia="de-DE"/>
        </w:rPr>
        <w:t xml:space="preserve"> (ver Tabla</w:t>
      </w:r>
      <w:r w:rsidR="00C2744E">
        <w:rPr>
          <w:lang w:val="es-ES" w:eastAsia="de-DE"/>
        </w:rPr>
        <w:t> </w:t>
      </w:r>
      <w:r w:rsidRPr="00C22F3F">
        <w:rPr>
          <w:lang w:val="es-ES" w:eastAsia="de-DE"/>
        </w:rPr>
        <w:t>1).</w:t>
      </w:r>
    </w:p>
    <w:p w14:paraId="0749AB36" w14:textId="77777777" w:rsidR="001053FE" w:rsidRPr="00C22F3F" w:rsidRDefault="001053FE" w:rsidP="001053FE">
      <w:pPr>
        <w:tabs>
          <w:tab w:val="left" w:pos="0"/>
        </w:tabs>
        <w:outlineLvl w:val="0"/>
        <w:rPr>
          <w:lang w:val="es-ES" w:eastAsia="de-DE"/>
        </w:rPr>
      </w:pPr>
    </w:p>
    <w:p w14:paraId="3039F449" w14:textId="77777777" w:rsidR="001053FE" w:rsidRPr="00F30AB8" w:rsidRDefault="001053FE" w:rsidP="001053FE">
      <w:pPr>
        <w:tabs>
          <w:tab w:val="left" w:pos="0"/>
        </w:tabs>
        <w:outlineLvl w:val="0"/>
        <w:rPr>
          <w:u w:val="single"/>
          <w:lang w:val="es-ES" w:eastAsia="de-DE"/>
        </w:rPr>
      </w:pPr>
      <w:r w:rsidRPr="00F30AB8">
        <w:rPr>
          <w:i/>
          <w:u w:val="single"/>
          <w:lang w:val="es-ES" w:eastAsia="de-DE"/>
        </w:rPr>
        <w:t>Infecciones</w:t>
      </w:r>
    </w:p>
    <w:p w14:paraId="3A5D5ACE" w14:textId="04E71B3A" w:rsidR="001053FE" w:rsidRPr="00C22F3F" w:rsidRDefault="001053FE" w:rsidP="001053FE">
      <w:pPr>
        <w:tabs>
          <w:tab w:val="left" w:pos="0"/>
        </w:tabs>
        <w:outlineLvl w:val="0"/>
        <w:rPr>
          <w:lang w:val="es-ES" w:eastAsia="de-DE"/>
        </w:rPr>
      </w:pPr>
      <w:r w:rsidRPr="00606BCF">
        <w:rPr>
          <w:lang w:val="es-ES" w:eastAsia="de-DE"/>
        </w:rPr>
        <w:t>La tasa de casos de infección/infección</w:t>
      </w:r>
      <w:r w:rsidRPr="006C05BA">
        <w:rPr>
          <w:lang w:val="es-ES" w:eastAsia="de-DE"/>
        </w:rPr>
        <w:t xml:space="preserve"> grave</w:t>
      </w:r>
      <w:r w:rsidRPr="00C22F3F">
        <w:rPr>
          <w:lang w:val="es-ES" w:eastAsia="de-DE"/>
        </w:rPr>
        <w:t xml:space="preserve"> fue similar entre el grupo semanal de </w:t>
      </w:r>
      <w:r w:rsidR="00B16D10">
        <w:rPr>
          <w:szCs w:val="22"/>
          <w:lang w:val="es-ES"/>
        </w:rPr>
        <w:t>tocilizumab</w:t>
      </w:r>
      <w:r w:rsidRPr="00182B3C">
        <w:rPr>
          <w:lang w:val="es-ES" w:eastAsia="de-DE"/>
        </w:rPr>
        <w:t xml:space="preserve"> (200,2/9,7</w:t>
      </w:r>
      <w:r w:rsidRPr="00606BCF">
        <w:rPr>
          <w:lang w:val="es-ES" w:eastAsia="de-DE"/>
        </w:rPr>
        <w:t xml:space="preserve"> casos por cada 100 pacientes-año)</w:t>
      </w:r>
      <w:r w:rsidRPr="006C05BA">
        <w:rPr>
          <w:lang w:val="es-ES" w:eastAsia="de-DE"/>
        </w:rPr>
        <w:t xml:space="preserve"> </w:t>
      </w:r>
      <w:r>
        <w:rPr>
          <w:lang w:val="es-ES" w:eastAsia="de-DE"/>
        </w:rPr>
        <w:t>frente a</w:t>
      </w:r>
      <w:r w:rsidRPr="00C22F3F">
        <w:rPr>
          <w:lang w:val="es-ES" w:eastAsia="de-DE"/>
        </w:rPr>
        <w:t xml:space="preserve"> los grupos de placebo más 26 semanas de reducción gradual de prednisona (156,0/4,2 casos por cada 100 pacientes-año) y placebo más 52 semanas de reducción gradual (210,2/12,5 casos por cada 100 pacientes-año).</w:t>
      </w:r>
    </w:p>
    <w:p w14:paraId="2A7152D9" w14:textId="77777777" w:rsidR="001053FE" w:rsidRPr="00C22F3F" w:rsidRDefault="001053FE" w:rsidP="001053FE">
      <w:pPr>
        <w:tabs>
          <w:tab w:val="left" w:pos="0"/>
        </w:tabs>
        <w:outlineLvl w:val="0"/>
        <w:rPr>
          <w:lang w:val="es-ES" w:eastAsia="de-DE"/>
        </w:rPr>
      </w:pPr>
    </w:p>
    <w:p w14:paraId="588429A5" w14:textId="77777777" w:rsidR="001053FE" w:rsidRPr="00F30AB8" w:rsidRDefault="001053FE" w:rsidP="001053FE">
      <w:pPr>
        <w:tabs>
          <w:tab w:val="left" w:pos="0"/>
        </w:tabs>
        <w:outlineLvl w:val="0"/>
        <w:rPr>
          <w:u w:val="single"/>
          <w:lang w:val="es-ES" w:eastAsia="de-DE"/>
        </w:rPr>
      </w:pPr>
      <w:r w:rsidRPr="00F30AB8">
        <w:rPr>
          <w:i/>
          <w:u w:val="single"/>
          <w:lang w:val="es-ES" w:eastAsia="de-DE"/>
        </w:rPr>
        <w:t>Reacciones en el lugar de inyección</w:t>
      </w:r>
    </w:p>
    <w:p w14:paraId="613E7E79" w14:textId="310C41EF" w:rsidR="001053FE" w:rsidRDefault="001053FE" w:rsidP="001053FE">
      <w:pPr>
        <w:tabs>
          <w:tab w:val="left" w:pos="0"/>
        </w:tabs>
        <w:outlineLvl w:val="0"/>
        <w:rPr>
          <w:lang w:val="es-ES" w:eastAsia="de-DE"/>
        </w:rPr>
      </w:pPr>
      <w:r w:rsidRPr="00606BCF">
        <w:rPr>
          <w:rFonts w:eastAsia="SimSun"/>
          <w:szCs w:val="22"/>
          <w:lang w:val="es-ES" w:eastAsia="zh-CN"/>
        </w:rPr>
        <w:t xml:space="preserve">En el grupo de </w:t>
      </w:r>
      <w:r w:rsidR="00B16D10">
        <w:rPr>
          <w:szCs w:val="22"/>
          <w:lang w:val="es-ES"/>
        </w:rPr>
        <w:t>tocilizumab</w:t>
      </w:r>
      <w:r w:rsidRPr="00182B3C">
        <w:rPr>
          <w:lang w:val="es-ES" w:eastAsia="de-DE"/>
        </w:rPr>
        <w:t xml:space="preserve"> </w:t>
      </w:r>
      <w:r w:rsidRPr="00606BCF">
        <w:rPr>
          <w:lang w:val="es-ES" w:eastAsia="de-DE"/>
        </w:rPr>
        <w:t>subcutáne</w:t>
      </w:r>
      <w:r>
        <w:rPr>
          <w:lang w:val="es-ES" w:eastAsia="de-DE"/>
        </w:rPr>
        <w:t>o semanal</w:t>
      </w:r>
      <w:r w:rsidRPr="00606BCF">
        <w:rPr>
          <w:lang w:val="es-ES" w:eastAsia="de-DE"/>
        </w:rPr>
        <w:t>, un total del 6</w:t>
      </w:r>
      <w:r>
        <w:rPr>
          <w:lang w:val="es-ES" w:eastAsia="de-DE"/>
        </w:rPr>
        <w:t xml:space="preserve"> </w:t>
      </w:r>
      <w:r w:rsidRPr="00606BCF">
        <w:rPr>
          <w:lang w:val="es-ES" w:eastAsia="de-DE"/>
        </w:rPr>
        <w:t xml:space="preserve">% (6/100) de los </w:t>
      </w:r>
      <w:r w:rsidRPr="006C05BA">
        <w:rPr>
          <w:lang w:val="es-ES" w:eastAsia="de-DE"/>
        </w:rPr>
        <w:t>pacientes notific</w:t>
      </w:r>
      <w:r>
        <w:rPr>
          <w:lang w:val="es-ES" w:eastAsia="de-DE"/>
        </w:rPr>
        <w:t>aron</w:t>
      </w:r>
      <w:r w:rsidRPr="006C05BA">
        <w:rPr>
          <w:lang w:val="es-ES" w:eastAsia="de-DE"/>
        </w:rPr>
        <w:t xml:space="preserve"> reacciones a</w:t>
      </w:r>
      <w:r w:rsidRPr="00C22F3F">
        <w:rPr>
          <w:lang w:val="es-ES" w:eastAsia="de-DE"/>
        </w:rPr>
        <w:t>dversas en el lugar de la inyección subcutánea. No se notificaron reacciones adversas graves en el lugar de inyección o que requirieran la suspensión del tratamiento.</w:t>
      </w:r>
    </w:p>
    <w:p w14:paraId="3586D880" w14:textId="77777777" w:rsidR="00CD5F32" w:rsidRPr="00F30AB8" w:rsidRDefault="00CD5F32" w:rsidP="001053FE">
      <w:pPr>
        <w:tabs>
          <w:tab w:val="left" w:pos="0"/>
        </w:tabs>
        <w:outlineLvl w:val="0"/>
        <w:rPr>
          <w:u w:val="single"/>
          <w:lang w:val="es-ES" w:eastAsia="de-DE"/>
        </w:rPr>
      </w:pPr>
    </w:p>
    <w:p w14:paraId="112C7999" w14:textId="77777777" w:rsidR="001053FE" w:rsidRPr="00F30AB8" w:rsidRDefault="001053FE" w:rsidP="00484513">
      <w:pPr>
        <w:keepNext/>
        <w:keepLines/>
        <w:autoSpaceDE w:val="0"/>
        <w:autoSpaceDN w:val="0"/>
        <w:adjustRightInd w:val="0"/>
        <w:rPr>
          <w:i/>
          <w:u w:val="single"/>
          <w:lang w:val="es-ES" w:eastAsia="de-DE"/>
        </w:rPr>
      </w:pPr>
      <w:r w:rsidRPr="00F30AB8">
        <w:rPr>
          <w:i/>
          <w:u w:val="single"/>
          <w:lang w:val="es-ES" w:eastAsia="de-DE"/>
        </w:rPr>
        <w:t>Inmunogenicidad</w:t>
      </w:r>
    </w:p>
    <w:p w14:paraId="7241A6EA" w14:textId="40BACCCE" w:rsidR="001053FE" w:rsidRPr="00C22F3F" w:rsidRDefault="001053FE" w:rsidP="00484513">
      <w:pPr>
        <w:keepNext/>
        <w:keepLines/>
        <w:autoSpaceDE w:val="0"/>
        <w:autoSpaceDN w:val="0"/>
        <w:adjustRightInd w:val="0"/>
        <w:rPr>
          <w:lang w:val="es-ES" w:eastAsia="de-DE"/>
        </w:rPr>
      </w:pPr>
      <w:r w:rsidRPr="006C05BA">
        <w:rPr>
          <w:rFonts w:eastAsia="SimSun"/>
          <w:szCs w:val="22"/>
          <w:lang w:val="es-ES" w:eastAsia="zh-CN"/>
        </w:rPr>
        <w:t xml:space="preserve">En el grupo de </w:t>
      </w:r>
      <w:r w:rsidR="00B16D10">
        <w:rPr>
          <w:szCs w:val="22"/>
          <w:lang w:val="es-ES"/>
        </w:rPr>
        <w:t>tocilizumab</w:t>
      </w:r>
      <w:r w:rsidRPr="006C05BA">
        <w:rPr>
          <w:lang w:val="es-ES" w:eastAsia="de-DE"/>
        </w:rPr>
        <w:t xml:space="preserve"> subcutáneo</w:t>
      </w:r>
      <w:r>
        <w:rPr>
          <w:lang w:val="es-ES" w:eastAsia="de-DE"/>
        </w:rPr>
        <w:t xml:space="preserve"> semanal</w:t>
      </w:r>
      <w:r w:rsidRPr="006C05BA">
        <w:rPr>
          <w:lang w:val="es-ES" w:eastAsia="de-DE"/>
        </w:rPr>
        <w:t>, un paciente (1,1</w:t>
      </w:r>
      <w:r>
        <w:rPr>
          <w:lang w:val="es-ES" w:eastAsia="de-DE"/>
        </w:rPr>
        <w:t xml:space="preserve"> </w:t>
      </w:r>
      <w:r w:rsidRPr="006C05BA">
        <w:rPr>
          <w:lang w:val="es-ES" w:eastAsia="de-DE"/>
        </w:rPr>
        <w:t>%, 1/95) desarroll</w:t>
      </w:r>
      <w:r w:rsidRPr="00C22F3F">
        <w:rPr>
          <w:lang w:val="es-ES" w:eastAsia="de-DE"/>
        </w:rPr>
        <w:t xml:space="preserve">ó anticuerpos neutralizantes </w:t>
      </w:r>
      <w:r w:rsidRPr="006868F5">
        <w:rPr>
          <w:lang w:val="es-ES" w:eastAsia="de-DE"/>
        </w:rPr>
        <w:t>anti-</w:t>
      </w:r>
      <w:r w:rsidR="00B16D10" w:rsidRPr="00B16D10">
        <w:rPr>
          <w:szCs w:val="22"/>
          <w:lang w:val="es-ES"/>
        </w:rPr>
        <w:t xml:space="preserve"> </w:t>
      </w:r>
      <w:r w:rsidR="00B16D10">
        <w:rPr>
          <w:szCs w:val="22"/>
          <w:lang w:val="es-ES"/>
        </w:rPr>
        <w:t>tocilizumab</w:t>
      </w:r>
      <w:r w:rsidRPr="00606BCF">
        <w:rPr>
          <w:lang w:val="es-ES" w:eastAsia="de-DE"/>
        </w:rPr>
        <w:t xml:space="preserve">, aunque no </w:t>
      </w:r>
      <w:r w:rsidRPr="006C05BA">
        <w:rPr>
          <w:lang w:val="es-ES" w:eastAsia="de-DE"/>
        </w:rPr>
        <w:t>fueron d</w:t>
      </w:r>
      <w:r w:rsidRPr="00C22F3F">
        <w:rPr>
          <w:lang w:val="es-ES" w:eastAsia="de-DE"/>
        </w:rPr>
        <w:t>el isotipo IgE. Este paciente no desarrolló reacción de hipersensibilidad o reacción en el lugar de inyección.</w:t>
      </w:r>
    </w:p>
    <w:p w14:paraId="5BAD5205" w14:textId="77777777" w:rsidR="001053FE" w:rsidRPr="00C22F3F" w:rsidRDefault="001053FE" w:rsidP="00484513">
      <w:pPr>
        <w:keepNext/>
        <w:keepLines/>
        <w:autoSpaceDE w:val="0"/>
        <w:autoSpaceDN w:val="0"/>
        <w:adjustRightInd w:val="0"/>
        <w:rPr>
          <w:lang w:val="es-ES" w:eastAsia="de-DE"/>
        </w:rPr>
      </w:pPr>
    </w:p>
    <w:p w14:paraId="17233F64" w14:textId="77777777" w:rsidR="001053FE" w:rsidRPr="00F30AB8" w:rsidRDefault="001053FE" w:rsidP="00484513">
      <w:pPr>
        <w:keepNext/>
        <w:keepLines/>
        <w:autoSpaceDE w:val="0"/>
        <w:autoSpaceDN w:val="0"/>
        <w:adjustRightInd w:val="0"/>
        <w:rPr>
          <w:i/>
          <w:u w:val="single"/>
          <w:lang w:val="es-ES" w:eastAsia="de-DE"/>
        </w:rPr>
      </w:pPr>
      <w:r w:rsidRPr="00F30AB8">
        <w:rPr>
          <w:i/>
          <w:u w:val="single"/>
          <w:lang w:val="es-ES" w:eastAsia="de-DE"/>
        </w:rPr>
        <w:t>Neutrófilos</w:t>
      </w:r>
    </w:p>
    <w:p w14:paraId="3E438DDC" w14:textId="0731EE94" w:rsidR="001053FE" w:rsidRPr="00C22F3F" w:rsidRDefault="001053FE" w:rsidP="00484513">
      <w:pPr>
        <w:keepNext/>
        <w:keepLines/>
        <w:autoSpaceDE w:val="0"/>
        <w:autoSpaceDN w:val="0"/>
        <w:adjustRightInd w:val="0"/>
        <w:rPr>
          <w:lang w:val="es-ES" w:eastAsia="de-DE"/>
        </w:rPr>
      </w:pPr>
      <w:r w:rsidRPr="00C22F3F">
        <w:rPr>
          <w:lang w:val="es-ES" w:eastAsia="de-DE"/>
        </w:rPr>
        <w:t>En el ensayo clínico controlado de 12</w:t>
      </w:r>
      <w:r w:rsidR="00024687" w:rsidRPr="00F30AB8">
        <w:rPr>
          <w:szCs w:val="22"/>
          <w:lang w:val="es-ES" w:eastAsia="de-DE"/>
        </w:rPr>
        <w:t> </w:t>
      </w:r>
      <w:r w:rsidRPr="00C22F3F">
        <w:rPr>
          <w:lang w:val="es-ES" w:eastAsia="de-DE"/>
        </w:rPr>
        <w:t xml:space="preserve">meses de </w:t>
      </w:r>
      <w:r w:rsidR="00B16D10">
        <w:rPr>
          <w:szCs w:val="22"/>
          <w:lang w:val="es-ES"/>
        </w:rPr>
        <w:t>tocilizumab</w:t>
      </w:r>
      <w:r w:rsidRPr="00C22F3F">
        <w:rPr>
          <w:lang w:val="es-ES" w:eastAsia="de-DE"/>
        </w:rPr>
        <w:t xml:space="preserve"> durante la monitorización de rutina, ocurrió un descenso en el recuento de neutrófilos por debajo de 1</w:t>
      </w:r>
      <w:r w:rsidRPr="006868F5">
        <w:rPr>
          <w:szCs w:val="22"/>
          <w:lang w:val="es-ES" w:eastAsia="de-DE"/>
        </w:rPr>
        <w:t>× 10</w:t>
      </w:r>
      <w:r w:rsidRPr="006868F5">
        <w:rPr>
          <w:szCs w:val="22"/>
          <w:vertAlign w:val="superscript"/>
          <w:lang w:val="es-ES" w:eastAsia="de-DE"/>
        </w:rPr>
        <w:t>9</w:t>
      </w:r>
      <w:r w:rsidRPr="006868F5">
        <w:rPr>
          <w:szCs w:val="22"/>
          <w:lang w:val="es-ES" w:eastAsia="de-DE"/>
        </w:rPr>
        <w:t>/</w:t>
      </w:r>
      <w:r w:rsidRPr="00606BCF">
        <w:rPr>
          <w:szCs w:val="22"/>
          <w:lang w:val="es-ES" w:eastAsia="de-DE"/>
        </w:rPr>
        <w:t>l</w:t>
      </w:r>
      <w:r w:rsidRPr="006C05BA">
        <w:rPr>
          <w:szCs w:val="22"/>
          <w:lang w:val="es-ES" w:eastAsia="de-DE"/>
        </w:rPr>
        <w:t xml:space="preserve"> en el 4</w:t>
      </w:r>
      <w:r>
        <w:rPr>
          <w:szCs w:val="22"/>
          <w:lang w:val="es-ES" w:eastAsia="de-DE"/>
        </w:rPr>
        <w:t xml:space="preserve"> </w:t>
      </w:r>
      <w:r w:rsidRPr="006C05BA">
        <w:rPr>
          <w:szCs w:val="22"/>
          <w:lang w:val="es-ES" w:eastAsia="de-DE"/>
        </w:rPr>
        <w:t>% de los pacientes d</w:t>
      </w:r>
      <w:r w:rsidRPr="00C22F3F">
        <w:rPr>
          <w:szCs w:val="22"/>
          <w:lang w:val="es-ES" w:eastAsia="de-DE"/>
        </w:rPr>
        <w:t xml:space="preserve">el grupo </w:t>
      </w:r>
      <w:r>
        <w:rPr>
          <w:szCs w:val="22"/>
          <w:lang w:val="es-ES" w:eastAsia="de-DE"/>
        </w:rPr>
        <w:t xml:space="preserve">de una dosis </w:t>
      </w:r>
      <w:r w:rsidRPr="00C22F3F">
        <w:rPr>
          <w:szCs w:val="22"/>
          <w:lang w:val="es-ES" w:eastAsia="de-DE"/>
        </w:rPr>
        <w:t xml:space="preserve">semanal de </w:t>
      </w:r>
      <w:r w:rsidR="00B16D10">
        <w:rPr>
          <w:szCs w:val="22"/>
          <w:lang w:val="es-ES"/>
        </w:rPr>
        <w:t>tocilizumab</w:t>
      </w:r>
      <w:r w:rsidRPr="006868F5">
        <w:rPr>
          <w:szCs w:val="22"/>
          <w:lang w:val="es-ES" w:eastAsia="de-DE"/>
        </w:rPr>
        <w:t xml:space="preserve"> </w:t>
      </w:r>
      <w:r w:rsidRPr="00606BCF">
        <w:rPr>
          <w:szCs w:val="22"/>
          <w:lang w:val="es-ES" w:eastAsia="de-DE"/>
        </w:rPr>
        <w:t xml:space="preserve">por vía </w:t>
      </w:r>
      <w:r w:rsidRPr="006868F5">
        <w:rPr>
          <w:szCs w:val="22"/>
          <w:lang w:val="es-ES" w:eastAsia="de-DE"/>
        </w:rPr>
        <w:t>subcut</w:t>
      </w:r>
      <w:r w:rsidRPr="00606BCF">
        <w:rPr>
          <w:szCs w:val="22"/>
          <w:lang w:val="es-ES" w:eastAsia="de-DE"/>
        </w:rPr>
        <w:t>ánea. Esto no se observ</w:t>
      </w:r>
      <w:r w:rsidRPr="006C05BA">
        <w:rPr>
          <w:szCs w:val="22"/>
          <w:lang w:val="es-ES" w:eastAsia="de-DE"/>
        </w:rPr>
        <w:t xml:space="preserve">ó en ninguno de los grupos de placebo </w:t>
      </w:r>
      <w:r>
        <w:rPr>
          <w:szCs w:val="22"/>
          <w:lang w:val="es-ES" w:eastAsia="de-DE"/>
        </w:rPr>
        <w:t>con la</w:t>
      </w:r>
      <w:r w:rsidRPr="006C05BA">
        <w:rPr>
          <w:szCs w:val="22"/>
          <w:lang w:val="es-ES" w:eastAsia="de-DE"/>
        </w:rPr>
        <w:t xml:space="preserve"> </w:t>
      </w:r>
      <w:r w:rsidRPr="00C22F3F">
        <w:rPr>
          <w:szCs w:val="22"/>
          <w:lang w:val="es-ES" w:eastAsia="de-DE"/>
        </w:rPr>
        <w:t>disminución progresiva de prednisona.</w:t>
      </w:r>
      <w:r w:rsidRPr="00C22F3F">
        <w:rPr>
          <w:lang w:val="es-ES" w:eastAsia="de-DE"/>
        </w:rPr>
        <w:t xml:space="preserve"> </w:t>
      </w:r>
    </w:p>
    <w:p w14:paraId="40A6030B" w14:textId="77777777" w:rsidR="001053FE" w:rsidRPr="00C22F3F" w:rsidRDefault="001053FE" w:rsidP="001053FE">
      <w:pPr>
        <w:autoSpaceDE w:val="0"/>
        <w:autoSpaceDN w:val="0"/>
        <w:adjustRightInd w:val="0"/>
        <w:rPr>
          <w:lang w:val="es-ES" w:eastAsia="de-DE"/>
        </w:rPr>
      </w:pPr>
    </w:p>
    <w:p w14:paraId="3BCF99D5" w14:textId="77777777" w:rsidR="001053FE" w:rsidRPr="00F30AB8" w:rsidRDefault="001053FE" w:rsidP="001053FE">
      <w:pPr>
        <w:autoSpaceDE w:val="0"/>
        <w:autoSpaceDN w:val="0"/>
        <w:adjustRightInd w:val="0"/>
        <w:rPr>
          <w:i/>
          <w:u w:val="single"/>
          <w:lang w:val="es-ES" w:eastAsia="de-DE"/>
        </w:rPr>
      </w:pPr>
      <w:r w:rsidRPr="00F30AB8">
        <w:rPr>
          <w:i/>
          <w:u w:val="single"/>
          <w:lang w:val="es-ES" w:eastAsia="de-DE"/>
        </w:rPr>
        <w:t>Plaquetas</w:t>
      </w:r>
    </w:p>
    <w:p w14:paraId="264D5C3E" w14:textId="2D86F909" w:rsidR="001053FE" w:rsidRPr="00C22F3F" w:rsidRDefault="001053FE" w:rsidP="001053FE">
      <w:pPr>
        <w:autoSpaceDE w:val="0"/>
        <w:autoSpaceDN w:val="0"/>
        <w:adjustRightInd w:val="0"/>
        <w:rPr>
          <w:lang w:val="es-ES" w:eastAsia="de-DE"/>
        </w:rPr>
      </w:pPr>
      <w:r>
        <w:rPr>
          <w:lang w:val="es-ES" w:eastAsia="de-DE"/>
        </w:rPr>
        <w:t>D</w:t>
      </w:r>
      <w:r w:rsidRPr="006C05BA">
        <w:rPr>
          <w:lang w:val="es-ES" w:eastAsia="de-DE"/>
        </w:rPr>
        <w:t>urante la monitorización rutina</w:t>
      </w:r>
      <w:r>
        <w:rPr>
          <w:lang w:val="es-ES" w:eastAsia="de-DE"/>
        </w:rPr>
        <w:t>ria e</w:t>
      </w:r>
      <w:r w:rsidRPr="006C05BA">
        <w:rPr>
          <w:lang w:val="es-ES" w:eastAsia="de-DE"/>
        </w:rPr>
        <w:t>n el ensayo clínico controlado de 12</w:t>
      </w:r>
      <w:r w:rsidR="00024687" w:rsidRPr="00F30AB8">
        <w:rPr>
          <w:szCs w:val="22"/>
          <w:lang w:val="es-ES" w:eastAsia="de-DE"/>
        </w:rPr>
        <w:t> </w:t>
      </w:r>
      <w:r w:rsidRPr="006C05BA">
        <w:rPr>
          <w:lang w:val="es-ES" w:eastAsia="de-DE"/>
        </w:rPr>
        <w:t xml:space="preserve">meses de </w:t>
      </w:r>
      <w:r w:rsidR="00B16D10">
        <w:rPr>
          <w:szCs w:val="22"/>
          <w:lang w:val="es-ES"/>
        </w:rPr>
        <w:t>tocilizumab</w:t>
      </w:r>
      <w:r w:rsidRPr="006C05BA">
        <w:rPr>
          <w:lang w:val="es-ES" w:eastAsia="de-DE"/>
        </w:rPr>
        <w:t>, un paciente (1</w:t>
      </w:r>
      <w:r>
        <w:rPr>
          <w:lang w:val="es-ES" w:eastAsia="de-DE"/>
        </w:rPr>
        <w:t xml:space="preserve"> </w:t>
      </w:r>
      <w:r w:rsidRPr="006C05BA">
        <w:rPr>
          <w:lang w:val="es-ES" w:eastAsia="de-DE"/>
        </w:rPr>
        <w:t xml:space="preserve">%, 1/100) </w:t>
      </w:r>
      <w:r>
        <w:rPr>
          <w:lang w:val="es-ES" w:eastAsia="de-DE"/>
        </w:rPr>
        <w:t>d</w:t>
      </w:r>
      <w:r w:rsidRPr="006C05BA">
        <w:rPr>
          <w:lang w:val="es-ES" w:eastAsia="de-DE"/>
        </w:rPr>
        <w:t xml:space="preserve">el grupo </w:t>
      </w:r>
      <w:r w:rsidRPr="00C22F3F">
        <w:rPr>
          <w:lang w:val="es-ES" w:eastAsia="de-DE"/>
        </w:rPr>
        <w:t xml:space="preserve">de </w:t>
      </w:r>
      <w:r w:rsidR="00B16D10">
        <w:rPr>
          <w:szCs w:val="22"/>
          <w:lang w:val="es-ES"/>
        </w:rPr>
        <w:t>tocilizumab</w:t>
      </w:r>
      <w:r w:rsidRPr="00C22F3F">
        <w:rPr>
          <w:lang w:val="es-ES" w:eastAsia="de-DE"/>
        </w:rPr>
        <w:t xml:space="preserve"> subcutáne</w:t>
      </w:r>
      <w:r>
        <w:rPr>
          <w:lang w:val="es-ES" w:eastAsia="de-DE"/>
        </w:rPr>
        <w:t>o</w:t>
      </w:r>
      <w:r w:rsidRPr="00C22F3F">
        <w:rPr>
          <w:lang w:val="es-ES" w:eastAsia="de-DE"/>
        </w:rPr>
        <w:t xml:space="preserve"> semanal</w:t>
      </w:r>
      <w:r>
        <w:rPr>
          <w:lang w:val="es-ES" w:eastAsia="de-DE"/>
        </w:rPr>
        <w:t>,</w:t>
      </w:r>
      <w:r w:rsidRPr="00C22F3F">
        <w:rPr>
          <w:lang w:val="es-ES" w:eastAsia="de-DE"/>
        </w:rPr>
        <w:t xml:space="preserve"> tuvo un único acontecimiento transitorio de disminución en el recuento de plaquetas a </w:t>
      </w:r>
      <w:r w:rsidR="00B16D10" w:rsidRPr="00B65EA9">
        <w:rPr>
          <w:rFonts w:eastAsia="MS Mincho"/>
          <w:szCs w:val="22"/>
          <w:lang w:val="en-GB"/>
        </w:rPr>
        <w:sym w:font="Symbol" w:char="F03C"/>
      </w:r>
      <w:r w:rsidRPr="00C22F3F">
        <w:rPr>
          <w:lang w:val="es-ES" w:eastAsia="de-DE"/>
        </w:rPr>
        <w:t xml:space="preserve">100 </w:t>
      </w:r>
      <w:r w:rsidR="00B16D10" w:rsidRPr="00B65EA9">
        <w:rPr>
          <w:rFonts w:eastAsia="MS Mincho"/>
          <w:szCs w:val="22"/>
          <w:lang w:val="en-GB"/>
        </w:rPr>
        <w:sym w:font="Symbol" w:char="F0B4"/>
      </w:r>
      <w:r w:rsidRPr="00C22F3F">
        <w:rPr>
          <w:lang w:val="es-ES" w:eastAsia="de-DE"/>
        </w:rPr>
        <w:t xml:space="preserve"> 10</w:t>
      </w:r>
      <w:r w:rsidRPr="006868F5">
        <w:rPr>
          <w:vertAlign w:val="superscript"/>
          <w:lang w:val="es-ES" w:eastAsia="de-DE"/>
        </w:rPr>
        <w:t>3</w:t>
      </w:r>
      <w:r w:rsidRPr="00606BCF">
        <w:rPr>
          <w:lang w:val="es-ES" w:eastAsia="de-DE"/>
        </w:rPr>
        <w:t>/</w:t>
      </w:r>
      <w:r w:rsidRPr="006C05BA">
        <w:rPr>
          <w:lang w:val="es-ES" w:eastAsia="de-DE"/>
        </w:rPr>
        <w:t>μl</w:t>
      </w:r>
      <w:r w:rsidRPr="00C22F3F">
        <w:rPr>
          <w:lang w:val="es-ES" w:eastAsia="de-DE"/>
        </w:rPr>
        <w:t xml:space="preserve"> sin eventos hemorrágicos asociados. No se observó una disminución del recuento de plaquetas por debajo de 100 </w:t>
      </w:r>
      <w:r w:rsidR="00B16D10" w:rsidRPr="00B65EA9">
        <w:rPr>
          <w:rFonts w:eastAsia="MS Mincho"/>
          <w:szCs w:val="22"/>
          <w:lang w:val="en-GB"/>
        </w:rPr>
        <w:sym w:font="Symbol" w:char="F0B4"/>
      </w:r>
      <w:r w:rsidRPr="00C22F3F">
        <w:rPr>
          <w:lang w:val="es-ES" w:eastAsia="de-DE"/>
        </w:rPr>
        <w:t xml:space="preserve"> 10</w:t>
      </w:r>
      <w:r w:rsidRPr="006868F5">
        <w:rPr>
          <w:vertAlign w:val="superscript"/>
          <w:lang w:val="es-ES" w:eastAsia="de-DE"/>
        </w:rPr>
        <w:t>3</w:t>
      </w:r>
      <w:r w:rsidRPr="00606BCF">
        <w:rPr>
          <w:lang w:val="es-ES" w:eastAsia="de-DE"/>
        </w:rPr>
        <w:t>/</w:t>
      </w:r>
      <w:r w:rsidRPr="006C05BA">
        <w:rPr>
          <w:lang w:val="es-ES" w:eastAsia="de-DE"/>
        </w:rPr>
        <w:t>μl en ninguno de los grupos de</w:t>
      </w:r>
      <w:r w:rsidRPr="00C22F3F">
        <w:rPr>
          <w:lang w:val="es-ES" w:eastAsia="de-DE"/>
        </w:rPr>
        <w:t xml:space="preserve"> placebo más disminución progresiva de prednisona.</w:t>
      </w:r>
    </w:p>
    <w:p w14:paraId="00D88487" w14:textId="77777777" w:rsidR="001053FE" w:rsidRPr="00C22F3F" w:rsidRDefault="001053FE" w:rsidP="001053FE">
      <w:pPr>
        <w:autoSpaceDE w:val="0"/>
        <w:autoSpaceDN w:val="0"/>
        <w:adjustRightInd w:val="0"/>
        <w:rPr>
          <w:lang w:val="es-ES" w:eastAsia="de-DE"/>
        </w:rPr>
      </w:pPr>
    </w:p>
    <w:p w14:paraId="0D60E5E5" w14:textId="77777777" w:rsidR="001053FE" w:rsidRPr="00F30AB8" w:rsidRDefault="001053FE" w:rsidP="00E576A0">
      <w:pPr>
        <w:keepNext/>
        <w:keepLines/>
        <w:ind w:left="567" w:hanging="567"/>
        <w:outlineLvl w:val="0"/>
        <w:rPr>
          <w:i/>
          <w:iCs/>
          <w:u w:val="single"/>
          <w:lang w:val="es-ES"/>
        </w:rPr>
      </w:pPr>
      <w:r w:rsidRPr="00F30AB8">
        <w:rPr>
          <w:i/>
          <w:iCs/>
          <w:u w:val="single"/>
          <w:lang w:val="es-ES_tradnl"/>
        </w:rPr>
        <w:lastRenderedPageBreak/>
        <w:t>Elevaciones de las transaminasas hepáticas</w:t>
      </w:r>
    </w:p>
    <w:p w14:paraId="5960342B" w14:textId="1E1104BB" w:rsidR="001053FE" w:rsidRPr="00C22F3F" w:rsidRDefault="001053FE" w:rsidP="003F3604">
      <w:pPr>
        <w:keepNext/>
        <w:keepLines/>
        <w:autoSpaceDE w:val="0"/>
        <w:autoSpaceDN w:val="0"/>
        <w:adjustRightInd w:val="0"/>
        <w:rPr>
          <w:szCs w:val="22"/>
          <w:lang w:val="es-ES" w:eastAsia="de-DE"/>
        </w:rPr>
      </w:pPr>
      <w:r>
        <w:rPr>
          <w:lang w:val="es-ES" w:eastAsia="de-DE"/>
        </w:rPr>
        <w:t>D</w:t>
      </w:r>
      <w:r w:rsidRPr="006C05BA">
        <w:rPr>
          <w:lang w:val="es-ES" w:eastAsia="de-DE"/>
        </w:rPr>
        <w:t>urante la monitorización rutina</w:t>
      </w:r>
      <w:r>
        <w:rPr>
          <w:lang w:val="es-ES" w:eastAsia="de-DE"/>
        </w:rPr>
        <w:t>ria</w:t>
      </w:r>
      <w:r w:rsidRPr="00C22F3F">
        <w:rPr>
          <w:lang w:val="es-ES" w:eastAsia="de-DE"/>
        </w:rPr>
        <w:t xml:space="preserve"> </w:t>
      </w:r>
      <w:r>
        <w:rPr>
          <w:lang w:val="es-ES" w:eastAsia="de-DE"/>
        </w:rPr>
        <w:t>e</w:t>
      </w:r>
      <w:r w:rsidRPr="00C22F3F">
        <w:rPr>
          <w:lang w:val="es-ES" w:eastAsia="de-DE"/>
        </w:rPr>
        <w:t>n el ensayo clínico controlado de 12</w:t>
      </w:r>
      <w:r w:rsidR="00024687" w:rsidRPr="00F30AB8">
        <w:rPr>
          <w:szCs w:val="22"/>
          <w:lang w:val="es-ES" w:eastAsia="de-DE"/>
        </w:rPr>
        <w:t> </w:t>
      </w:r>
      <w:r w:rsidRPr="00C22F3F">
        <w:rPr>
          <w:lang w:val="es-ES" w:eastAsia="de-DE"/>
        </w:rPr>
        <w:t xml:space="preserve">meses de </w:t>
      </w:r>
      <w:r w:rsidR="00B16D10">
        <w:rPr>
          <w:szCs w:val="22"/>
          <w:lang w:val="es-ES"/>
        </w:rPr>
        <w:t>tocilizumab</w:t>
      </w:r>
      <w:r w:rsidRPr="00C22F3F">
        <w:rPr>
          <w:lang w:val="es-ES" w:eastAsia="de-DE"/>
        </w:rPr>
        <w:t xml:space="preserve">, se observaron elevaciones en ALT </w:t>
      </w:r>
      <w:r w:rsidR="00B16D10" w:rsidRPr="00F30AB8">
        <w:rPr>
          <w:lang w:val="es-ES" w:eastAsia="de-DE"/>
        </w:rPr>
        <w:t> ≥</w:t>
      </w:r>
      <w:r w:rsidRPr="00C22F3F">
        <w:rPr>
          <w:szCs w:val="22"/>
          <w:lang w:val="es-ES" w:eastAsia="de-DE"/>
        </w:rPr>
        <w:t xml:space="preserve"> 3 </w:t>
      </w:r>
      <w:r w:rsidR="00B16D10" w:rsidRPr="00B65EA9">
        <w:rPr>
          <w:rFonts w:eastAsia="MS Mincho"/>
          <w:lang w:val="en-GB"/>
        </w:rPr>
        <w:sym w:font="Symbol" w:char="F0B4"/>
      </w:r>
      <w:r w:rsidRPr="00C22F3F">
        <w:rPr>
          <w:szCs w:val="22"/>
          <w:lang w:val="es-ES" w:eastAsia="de-DE"/>
        </w:rPr>
        <w:t xml:space="preserve"> </w:t>
      </w:r>
      <w:r w:rsidRPr="006868F5">
        <w:rPr>
          <w:szCs w:val="22"/>
          <w:lang w:val="es-ES" w:eastAsia="de-DE"/>
        </w:rPr>
        <w:t>L</w:t>
      </w:r>
      <w:r w:rsidRPr="00606BCF">
        <w:rPr>
          <w:szCs w:val="22"/>
          <w:lang w:val="es-ES" w:eastAsia="de-DE"/>
        </w:rPr>
        <w:t>SN</w:t>
      </w:r>
      <w:r w:rsidRPr="006C05BA">
        <w:rPr>
          <w:szCs w:val="22"/>
          <w:lang w:val="es-ES" w:eastAsia="de-DE"/>
        </w:rPr>
        <w:t xml:space="preserve"> en el 3</w:t>
      </w:r>
      <w:r>
        <w:rPr>
          <w:szCs w:val="22"/>
          <w:lang w:val="es-ES" w:eastAsia="de-DE"/>
        </w:rPr>
        <w:t xml:space="preserve"> </w:t>
      </w:r>
      <w:r w:rsidRPr="006C05BA">
        <w:rPr>
          <w:szCs w:val="22"/>
          <w:lang w:val="es-ES" w:eastAsia="de-DE"/>
        </w:rPr>
        <w:t xml:space="preserve">% de los pacientes </w:t>
      </w:r>
      <w:r>
        <w:rPr>
          <w:szCs w:val="22"/>
          <w:lang w:val="es-ES" w:eastAsia="de-DE"/>
        </w:rPr>
        <w:t>d</w:t>
      </w:r>
      <w:r w:rsidRPr="006C05BA">
        <w:rPr>
          <w:szCs w:val="22"/>
          <w:lang w:val="es-ES" w:eastAsia="de-DE"/>
        </w:rPr>
        <w:t xml:space="preserve">el grupo de </w:t>
      </w:r>
      <w:r w:rsidR="00B16D10">
        <w:rPr>
          <w:szCs w:val="22"/>
          <w:lang w:val="es-ES"/>
        </w:rPr>
        <w:t>tocilizumab</w:t>
      </w:r>
      <w:r w:rsidRPr="00606BCF">
        <w:rPr>
          <w:szCs w:val="22"/>
          <w:lang w:val="es-ES" w:eastAsia="de-DE"/>
        </w:rPr>
        <w:t xml:space="preserve"> </w:t>
      </w:r>
      <w:r w:rsidRPr="006C05BA">
        <w:rPr>
          <w:szCs w:val="22"/>
          <w:lang w:val="es-ES" w:eastAsia="de-DE"/>
        </w:rPr>
        <w:t>subcutáne</w:t>
      </w:r>
      <w:r>
        <w:rPr>
          <w:szCs w:val="22"/>
          <w:lang w:val="es-ES" w:eastAsia="de-DE"/>
        </w:rPr>
        <w:t>o</w:t>
      </w:r>
      <w:r w:rsidRPr="006C05BA">
        <w:rPr>
          <w:szCs w:val="22"/>
          <w:lang w:val="es-ES" w:eastAsia="de-DE"/>
        </w:rPr>
        <w:t xml:space="preserve"> semanal </w:t>
      </w:r>
      <w:r w:rsidRPr="00C22F3F">
        <w:rPr>
          <w:szCs w:val="22"/>
          <w:lang w:val="es-ES" w:eastAsia="de-DE"/>
        </w:rPr>
        <w:t>comparado con el 2</w:t>
      </w:r>
      <w:r>
        <w:rPr>
          <w:szCs w:val="22"/>
          <w:lang w:val="es-ES" w:eastAsia="de-DE"/>
        </w:rPr>
        <w:t xml:space="preserve"> </w:t>
      </w:r>
      <w:r w:rsidRPr="00C22F3F">
        <w:rPr>
          <w:szCs w:val="22"/>
          <w:lang w:val="es-ES" w:eastAsia="de-DE"/>
        </w:rPr>
        <w:t>% en el grupo placebo más disminución progresiva</w:t>
      </w:r>
      <w:r w:rsidRPr="006868F5">
        <w:rPr>
          <w:szCs w:val="22"/>
          <w:lang w:val="es-ES" w:eastAsia="de-DE"/>
        </w:rPr>
        <w:t xml:space="preserve"> </w:t>
      </w:r>
      <w:r w:rsidRPr="00606BCF">
        <w:rPr>
          <w:szCs w:val="22"/>
          <w:lang w:val="es-ES" w:eastAsia="de-DE"/>
        </w:rPr>
        <w:t>de</w:t>
      </w:r>
      <w:r w:rsidRPr="006C05BA">
        <w:rPr>
          <w:szCs w:val="22"/>
          <w:lang w:val="es-ES" w:eastAsia="de-DE"/>
        </w:rPr>
        <w:t xml:space="preserve"> prednisona durante 52</w:t>
      </w:r>
      <w:r w:rsidR="00024687" w:rsidRPr="00F30AB8">
        <w:rPr>
          <w:szCs w:val="22"/>
          <w:lang w:val="es-ES" w:eastAsia="de-DE"/>
        </w:rPr>
        <w:t> </w:t>
      </w:r>
      <w:r w:rsidRPr="006C05BA">
        <w:rPr>
          <w:szCs w:val="22"/>
          <w:lang w:val="es-ES" w:eastAsia="de-DE"/>
        </w:rPr>
        <w:t>semanas y n</w:t>
      </w:r>
      <w:r w:rsidRPr="00C22F3F">
        <w:rPr>
          <w:szCs w:val="22"/>
          <w:lang w:val="es-ES" w:eastAsia="de-DE"/>
        </w:rPr>
        <w:t xml:space="preserve">inguno en el grupo placebo </w:t>
      </w:r>
      <w:r w:rsidRPr="0023138F">
        <w:rPr>
          <w:szCs w:val="22"/>
          <w:lang w:val="es-ES" w:eastAsia="de-DE"/>
        </w:rPr>
        <w:t>con la</w:t>
      </w:r>
      <w:r>
        <w:rPr>
          <w:szCs w:val="22"/>
          <w:lang w:val="es-ES" w:eastAsia="de-DE"/>
        </w:rPr>
        <w:t xml:space="preserve"> </w:t>
      </w:r>
      <w:r w:rsidRPr="00C22F3F">
        <w:rPr>
          <w:szCs w:val="22"/>
          <w:lang w:val="es-ES" w:eastAsia="de-DE"/>
        </w:rPr>
        <w:t>disminución progresiva de prednisona durante 26</w:t>
      </w:r>
      <w:r w:rsidR="00024687" w:rsidRPr="00F30AB8">
        <w:rPr>
          <w:szCs w:val="22"/>
          <w:lang w:val="es-ES" w:eastAsia="de-DE"/>
        </w:rPr>
        <w:t> </w:t>
      </w:r>
      <w:r w:rsidRPr="00C22F3F">
        <w:rPr>
          <w:szCs w:val="22"/>
          <w:lang w:val="es-ES" w:eastAsia="de-DE"/>
        </w:rPr>
        <w:t xml:space="preserve">semanas. En el grupo de </w:t>
      </w:r>
      <w:r w:rsidR="00B16D10">
        <w:rPr>
          <w:szCs w:val="22"/>
          <w:lang w:val="es-ES"/>
        </w:rPr>
        <w:t>tocilizumab</w:t>
      </w:r>
      <w:r w:rsidRPr="00C22F3F">
        <w:rPr>
          <w:szCs w:val="22"/>
          <w:lang w:val="es-ES" w:eastAsia="de-DE"/>
        </w:rPr>
        <w:t xml:space="preserve"> subcutáne</w:t>
      </w:r>
      <w:r>
        <w:rPr>
          <w:szCs w:val="22"/>
          <w:lang w:val="es-ES" w:eastAsia="de-DE"/>
        </w:rPr>
        <w:t>o</w:t>
      </w:r>
      <w:r w:rsidRPr="00C22F3F">
        <w:rPr>
          <w:szCs w:val="22"/>
          <w:lang w:val="es-ES" w:eastAsia="de-DE"/>
        </w:rPr>
        <w:t xml:space="preserve"> semanal se produjo una elevación en AST &gt; 3 LSN en el 1</w:t>
      </w:r>
      <w:r>
        <w:rPr>
          <w:szCs w:val="22"/>
          <w:lang w:val="es-ES" w:eastAsia="de-DE"/>
        </w:rPr>
        <w:t xml:space="preserve"> </w:t>
      </w:r>
      <w:r w:rsidRPr="00C22F3F">
        <w:rPr>
          <w:szCs w:val="22"/>
          <w:lang w:val="es-ES" w:eastAsia="de-DE"/>
        </w:rPr>
        <w:t>% de los pacientes, comparado con los grupos placebo más disminución progresiva de prednisona</w:t>
      </w:r>
      <w:r>
        <w:rPr>
          <w:szCs w:val="22"/>
          <w:lang w:val="es-ES" w:eastAsia="de-DE"/>
        </w:rPr>
        <w:t xml:space="preserve"> en los que no se produjo ningún evento</w:t>
      </w:r>
      <w:r w:rsidRPr="00C22F3F">
        <w:rPr>
          <w:szCs w:val="22"/>
          <w:lang w:val="es-ES" w:eastAsia="de-DE"/>
        </w:rPr>
        <w:t>.</w:t>
      </w:r>
    </w:p>
    <w:p w14:paraId="5ABE40E1" w14:textId="77777777" w:rsidR="001053FE" w:rsidRPr="00C22F3F" w:rsidRDefault="001053FE" w:rsidP="001053FE">
      <w:pPr>
        <w:keepNext/>
        <w:keepLines/>
        <w:autoSpaceDE w:val="0"/>
        <w:autoSpaceDN w:val="0"/>
        <w:adjustRightInd w:val="0"/>
        <w:rPr>
          <w:szCs w:val="22"/>
          <w:lang w:val="es-ES" w:eastAsia="de-DE"/>
        </w:rPr>
      </w:pPr>
    </w:p>
    <w:p w14:paraId="4FCBE56F" w14:textId="77777777" w:rsidR="001053FE" w:rsidRPr="00F30AB8" w:rsidRDefault="001053FE" w:rsidP="001053FE">
      <w:pPr>
        <w:keepNext/>
        <w:keepLines/>
        <w:ind w:left="567" w:hanging="567"/>
        <w:outlineLvl w:val="0"/>
        <w:rPr>
          <w:i/>
          <w:iCs/>
          <w:u w:val="single"/>
          <w:lang w:val="es-ES"/>
        </w:rPr>
      </w:pPr>
      <w:r w:rsidRPr="00F30AB8">
        <w:rPr>
          <w:i/>
          <w:iCs/>
          <w:u w:val="single"/>
          <w:lang w:val="es-ES_tradnl"/>
        </w:rPr>
        <w:t>Parámetros lipídicos</w:t>
      </w:r>
    </w:p>
    <w:p w14:paraId="5C2DAA2A" w14:textId="6D583C2E" w:rsidR="001053FE" w:rsidRDefault="001053FE" w:rsidP="001053FE">
      <w:pPr>
        <w:keepNext/>
        <w:keepLines/>
        <w:autoSpaceDE w:val="0"/>
        <w:autoSpaceDN w:val="0"/>
        <w:adjustRightInd w:val="0"/>
        <w:rPr>
          <w:szCs w:val="22"/>
          <w:lang w:val="es-ES" w:eastAsia="de-DE"/>
        </w:rPr>
      </w:pPr>
      <w:r>
        <w:rPr>
          <w:lang w:val="es-ES" w:eastAsia="de-DE"/>
        </w:rPr>
        <w:t>D</w:t>
      </w:r>
      <w:r w:rsidRPr="006C05BA">
        <w:rPr>
          <w:lang w:val="es-ES" w:eastAsia="de-DE"/>
        </w:rPr>
        <w:t>urante la monitorización rutina</w:t>
      </w:r>
      <w:r>
        <w:rPr>
          <w:lang w:val="es-ES" w:eastAsia="de-DE"/>
        </w:rPr>
        <w:t>ria</w:t>
      </w:r>
      <w:r w:rsidRPr="00C22F3F">
        <w:rPr>
          <w:lang w:val="es-ES" w:eastAsia="de-DE"/>
        </w:rPr>
        <w:t xml:space="preserve"> </w:t>
      </w:r>
      <w:r>
        <w:rPr>
          <w:lang w:val="es-ES" w:eastAsia="de-DE"/>
        </w:rPr>
        <w:t>e</w:t>
      </w:r>
      <w:r w:rsidRPr="00C22F3F">
        <w:rPr>
          <w:lang w:val="es-ES" w:eastAsia="de-DE"/>
        </w:rPr>
        <w:t>n el ensayo clínico controlado de 12</w:t>
      </w:r>
      <w:r w:rsidR="00024687" w:rsidRPr="00F30AB8">
        <w:rPr>
          <w:szCs w:val="22"/>
          <w:lang w:val="es-ES" w:eastAsia="de-DE"/>
        </w:rPr>
        <w:t> </w:t>
      </w:r>
      <w:r w:rsidRPr="00C22F3F">
        <w:rPr>
          <w:lang w:val="es-ES" w:eastAsia="de-DE"/>
        </w:rPr>
        <w:t xml:space="preserve">meses de </w:t>
      </w:r>
      <w:r w:rsidR="00B16D10">
        <w:rPr>
          <w:szCs w:val="22"/>
          <w:lang w:val="es-ES"/>
        </w:rPr>
        <w:t>tocilizumab</w:t>
      </w:r>
      <w:r w:rsidRPr="00C22F3F">
        <w:rPr>
          <w:lang w:val="es-ES" w:eastAsia="de-DE"/>
        </w:rPr>
        <w:t xml:space="preserve"> el 34% de los pacientes experimentaron elevaciones prolongadas en el colesterol total </w:t>
      </w:r>
      <w:r w:rsidR="00B16D10" w:rsidRPr="00B65EA9">
        <w:rPr>
          <w:rFonts w:eastAsia="MS Mincho"/>
          <w:szCs w:val="22"/>
          <w:lang w:val="en-GB"/>
        </w:rPr>
        <w:sym w:font="Symbol" w:char="F03E"/>
      </w:r>
      <w:r w:rsidRPr="00C22F3F">
        <w:rPr>
          <w:lang w:val="es-ES" w:eastAsia="de-DE"/>
        </w:rPr>
        <w:t xml:space="preserve"> 6,2</w:t>
      </w:r>
      <w:r w:rsidR="00024687" w:rsidRPr="00F30AB8">
        <w:rPr>
          <w:szCs w:val="22"/>
          <w:lang w:val="es-ES" w:eastAsia="de-DE"/>
        </w:rPr>
        <w:t> </w:t>
      </w:r>
      <w:r w:rsidRPr="00C22F3F">
        <w:rPr>
          <w:lang w:val="es-ES" w:eastAsia="de-DE"/>
        </w:rPr>
        <w:t>mmol/l (240</w:t>
      </w:r>
      <w:r w:rsidR="00024687" w:rsidRPr="00F30AB8">
        <w:rPr>
          <w:szCs w:val="22"/>
          <w:lang w:val="es-ES" w:eastAsia="de-DE"/>
        </w:rPr>
        <w:t> </w:t>
      </w:r>
      <w:r w:rsidRPr="00C22F3F">
        <w:rPr>
          <w:lang w:val="es-ES" w:eastAsia="de-DE"/>
        </w:rPr>
        <w:t>mg/dl), con un 15</w:t>
      </w:r>
      <w:r>
        <w:rPr>
          <w:lang w:val="es-ES" w:eastAsia="de-DE"/>
        </w:rPr>
        <w:t xml:space="preserve"> </w:t>
      </w:r>
      <w:r w:rsidRPr="00C22F3F">
        <w:rPr>
          <w:lang w:val="es-ES" w:eastAsia="de-DE"/>
        </w:rPr>
        <w:t>% que experimentó una elevación prolongada de LDL a</w:t>
      </w:r>
      <w:r w:rsidR="00024687" w:rsidRPr="00F30AB8">
        <w:rPr>
          <w:szCs w:val="22"/>
          <w:lang w:val="es-ES" w:eastAsia="de-DE"/>
        </w:rPr>
        <w:t> </w:t>
      </w:r>
      <w:r w:rsidR="00B16D10" w:rsidRPr="00F30AB8">
        <w:rPr>
          <w:rFonts w:eastAsia="PMingLiU"/>
          <w:szCs w:val="22"/>
          <w:lang w:val="es-ES" w:eastAsia="de-DE"/>
        </w:rPr>
        <w:t>≥</w:t>
      </w:r>
      <w:r w:rsidRPr="00606BCF">
        <w:rPr>
          <w:szCs w:val="22"/>
          <w:lang w:val="es-ES" w:eastAsia="de-DE"/>
        </w:rPr>
        <w:t> 4</w:t>
      </w:r>
      <w:r w:rsidRPr="006C05BA">
        <w:rPr>
          <w:szCs w:val="22"/>
          <w:lang w:val="es-ES" w:eastAsia="de-DE"/>
        </w:rPr>
        <w:t>,1 mmol/</w:t>
      </w:r>
      <w:r w:rsidRPr="00C22F3F">
        <w:rPr>
          <w:szCs w:val="22"/>
          <w:lang w:val="es-ES" w:eastAsia="de-DE"/>
        </w:rPr>
        <w:t>l (160</w:t>
      </w:r>
      <w:r w:rsidR="00024687" w:rsidRPr="00F30AB8">
        <w:rPr>
          <w:szCs w:val="22"/>
          <w:lang w:val="es-ES" w:eastAsia="de-DE"/>
        </w:rPr>
        <w:t> </w:t>
      </w:r>
      <w:r w:rsidRPr="00C22F3F">
        <w:rPr>
          <w:szCs w:val="22"/>
          <w:lang w:val="es-ES" w:eastAsia="de-DE"/>
        </w:rPr>
        <w:t>mg/dl</w:t>
      </w:r>
      <w:r w:rsidRPr="006868F5">
        <w:rPr>
          <w:szCs w:val="22"/>
          <w:lang w:val="es-ES" w:eastAsia="de-DE"/>
        </w:rPr>
        <w:t>)</w:t>
      </w:r>
      <w:r w:rsidRPr="00606BCF">
        <w:rPr>
          <w:szCs w:val="22"/>
          <w:lang w:val="es-ES" w:eastAsia="de-DE"/>
        </w:rPr>
        <w:t xml:space="preserve"> en el grupo de </w:t>
      </w:r>
      <w:r w:rsidR="00B16D10">
        <w:rPr>
          <w:szCs w:val="22"/>
          <w:lang w:val="es-ES"/>
        </w:rPr>
        <w:t>tocilizumab</w:t>
      </w:r>
      <w:r w:rsidRPr="00606BCF">
        <w:rPr>
          <w:szCs w:val="22"/>
          <w:lang w:val="es-ES" w:eastAsia="de-DE"/>
        </w:rPr>
        <w:t xml:space="preserve"> </w:t>
      </w:r>
      <w:r w:rsidRPr="006C05BA">
        <w:rPr>
          <w:szCs w:val="22"/>
          <w:lang w:val="es-ES" w:eastAsia="de-DE"/>
        </w:rPr>
        <w:t>subcutáne</w:t>
      </w:r>
      <w:r>
        <w:rPr>
          <w:szCs w:val="22"/>
          <w:lang w:val="es-ES" w:eastAsia="de-DE"/>
        </w:rPr>
        <w:t>o</w:t>
      </w:r>
      <w:r w:rsidRPr="00606BCF">
        <w:rPr>
          <w:szCs w:val="22"/>
          <w:lang w:val="es-ES" w:eastAsia="de-DE"/>
        </w:rPr>
        <w:t xml:space="preserve"> semanal</w:t>
      </w:r>
      <w:r w:rsidRPr="00C22F3F">
        <w:rPr>
          <w:szCs w:val="22"/>
          <w:lang w:val="es-ES" w:eastAsia="de-DE"/>
        </w:rPr>
        <w:t>.</w:t>
      </w:r>
    </w:p>
    <w:p w14:paraId="5EE5FB1A" w14:textId="77777777" w:rsidR="00CD5F32" w:rsidRDefault="00CD5F32" w:rsidP="001053FE">
      <w:pPr>
        <w:keepNext/>
        <w:keepLines/>
        <w:autoSpaceDE w:val="0"/>
        <w:autoSpaceDN w:val="0"/>
        <w:adjustRightInd w:val="0"/>
        <w:rPr>
          <w:szCs w:val="22"/>
          <w:lang w:val="es-ES" w:eastAsia="de-DE"/>
        </w:rPr>
      </w:pPr>
    </w:p>
    <w:p w14:paraId="37DEF93A" w14:textId="261D8317" w:rsidR="00CD5F32" w:rsidRDefault="00B16D10" w:rsidP="001053FE">
      <w:pPr>
        <w:keepNext/>
        <w:keepLines/>
        <w:autoSpaceDE w:val="0"/>
        <w:autoSpaceDN w:val="0"/>
        <w:adjustRightInd w:val="0"/>
        <w:rPr>
          <w:szCs w:val="22"/>
          <w:u w:val="single"/>
          <w:lang w:val="es-ES" w:eastAsia="de-DE"/>
        </w:rPr>
      </w:pPr>
      <w:r>
        <w:rPr>
          <w:rFonts w:eastAsia="SimSun"/>
          <w:szCs w:val="22"/>
          <w:u w:val="single"/>
          <w:lang w:val="es-ES" w:eastAsia="zh-CN"/>
        </w:rPr>
        <w:t>Descripción de reacciones adversas seleccionadas</w:t>
      </w:r>
      <w:r w:rsidRPr="00E576A0">
        <w:rPr>
          <w:szCs w:val="22"/>
          <w:u w:val="single"/>
          <w:lang w:val="es-ES" w:eastAsia="de-DE"/>
        </w:rPr>
        <w:t xml:space="preserve"> </w:t>
      </w:r>
      <w:r>
        <w:rPr>
          <w:szCs w:val="22"/>
          <w:u w:val="single"/>
          <w:lang w:val="es-ES" w:eastAsia="de-DE"/>
        </w:rPr>
        <w:t>(</w:t>
      </w:r>
      <w:ins w:id="1757" w:author="AUTHOR">
        <w:r w:rsidR="000C57B3">
          <w:rPr>
            <w:szCs w:val="22"/>
            <w:u w:val="single"/>
            <w:lang w:val="es-ES" w:eastAsia="de-DE"/>
          </w:rPr>
          <w:t>v</w:t>
        </w:r>
      </w:ins>
      <w:del w:id="1758" w:author="AUTHOR">
        <w:r w:rsidR="00CD5F32" w:rsidRPr="00E576A0" w:rsidDel="000C57B3">
          <w:rPr>
            <w:szCs w:val="22"/>
            <w:u w:val="single"/>
            <w:lang w:val="es-ES" w:eastAsia="de-DE"/>
          </w:rPr>
          <w:delText>V</w:delText>
        </w:r>
      </w:del>
      <w:r w:rsidR="00CD5F32" w:rsidRPr="00E576A0">
        <w:rPr>
          <w:szCs w:val="22"/>
          <w:u w:val="single"/>
          <w:lang w:val="es-ES" w:eastAsia="de-DE"/>
        </w:rPr>
        <w:t>ía intravenosa</w:t>
      </w:r>
      <w:r>
        <w:rPr>
          <w:szCs w:val="22"/>
          <w:u w:val="single"/>
          <w:lang w:val="es-ES" w:eastAsia="de-DE"/>
        </w:rPr>
        <w:t>)</w:t>
      </w:r>
    </w:p>
    <w:p w14:paraId="000BE550" w14:textId="77777777" w:rsidR="00B16D10" w:rsidRPr="00E576A0" w:rsidDel="000C57B3" w:rsidRDefault="00B16D10" w:rsidP="001053FE">
      <w:pPr>
        <w:keepNext/>
        <w:keepLines/>
        <w:autoSpaceDE w:val="0"/>
        <w:autoSpaceDN w:val="0"/>
        <w:adjustRightInd w:val="0"/>
        <w:rPr>
          <w:del w:id="1759" w:author="AUTHOR"/>
          <w:u w:val="single"/>
          <w:lang w:val="es-ES" w:eastAsia="de-DE"/>
        </w:rPr>
      </w:pPr>
    </w:p>
    <w:p w14:paraId="291264CE" w14:textId="77777777" w:rsidR="00BE14A0" w:rsidRDefault="00B16D10" w:rsidP="00DC224A">
      <w:pPr>
        <w:keepNext/>
        <w:keepLines/>
        <w:rPr>
          <w:ins w:id="1760" w:author="AUTHOR"/>
          <w:bCs/>
          <w:i/>
          <w:lang w:val="es-ES_tradnl"/>
        </w:rPr>
      </w:pPr>
      <w:r w:rsidRPr="00F30AB8">
        <w:rPr>
          <w:bCs/>
          <w:i/>
          <w:lang w:val="es-ES_tradnl"/>
        </w:rPr>
        <w:t xml:space="preserve">Pacientes con </w:t>
      </w:r>
      <w:r w:rsidR="00DC224A" w:rsidRPr="00F30AB8">
        <w:rPr>
          <w:bCs/>
          <w:i/>
          <w:lang w:val="es-ES_tradnl"/>
        </w:rPr>
        <w:t>AR</w:t>
      </w:r>
    </w:p>
    <w:p w14:paraId="155EE95C" w14:textId="0450C140" w:rsidR="00B46D8D" w:rsidDel="000C57B3" w:rsidRDefault="00DC224A" w:rsidP="00DC224A">
      <w:pPr>
        <w:keepNext/>
        <w:keepLines/>
        <w:rPr>
          <w:ins w:id="1761" w:author="AUTHOR"/>
          <w:del w:id="1762" w:author="AUTHOR"/>
          <w:lang w:val="es-ES_tradnl"/>
        </w:rPr>
      </w:pPr>
      <w:r w:rsidRPr="008A106B">
        <w:rPr>
          <w:lang w:val="es-ES_tradnl"/>
        </w:rPr>
        <w:t xml:space="preserve">La seguridad de </w:t>
      </w:r>
      <w:r w:rsidR="00B16D10">
        <w:rPr>
          <w:szCs w:val="22"/>
          <w:lang w:val="es-ES"/>
        </w:rPr>
        <w:t>tocilizumab</w:t>
      </w:r>
      <w:r>
        <w:rPr>
          <w:lang w:val="es-ES_tradnl"/>
        </w:rPr>
        <w:t xml:space="preserve"> fue </w:t>
      </w:r>
      <w:r w:rsidRPr="008A106B">
        <w:rPr>
          <w:lang w:val="es-ES_tradnl"/>
        </w:rPr>
        <w:t xml:space="preserve">estudiada en </w:t>
      </w:r>
      <w:del w:id="1763" w:author="AUTHOR">
        <w:r w:rsidRPr="008A106B" w:rsidDel="00B46D8D">
          <w:rPr>
            <w:lang w:val="es-ES_tradnl"/>
          </w:rPr>
          <w:delText xml:space="preserve">4 </w:delText>
        </w:r>
      </w:del>
    </w:p>
    <w:p w14:paraId="7C8F18CD" w14:textId="2A4C44C1" w:rsidR="00DC224A" w:rsidRPr="006868F5" w:rsidRDefault="00B46D8D" w:rsidP="00DC224A">
      <w:pPr>
        <w:keepNext/>
        <w:keepLines/>
        <w:rPr>
          <w:lang w:val="es-ES_tradnl"/>
        </w:rPr>
      </w:pPr>
      <w:ins w:id="1764" w:author="AUTHOR">
        <w:r>
          <w:rPr>
            <w:lang w:val="es-ES_tradnl"/>
          </w:rPr>
          <w:t>5</w:t>
        </w:r>
        <w:r w:rsidRPr="008A106B">
          <w:rPr>
            <w:lang w:val="es-ES_tradnl"/>
          </w:rPr>
          <w:t xml:space="preserve"> </w:t>
        </w:r>
      </w:ins>
      <w:r w:rsidR="00DC224A" w:rsidRPr="008A106B">
        <w:rPr>
          <w:lang w:val="es-ES_tradnl"/>
        </w:rPr>
        <w:t>e</w:t>
      </w:r>
      <w:r w:rsidR="00DC224A">
        <w:rPr>
          <w:lang w:val="es-ES_tradnl"/>
        </w:rPr>
        <w:t>nsay</w:t>
      </w:r>
      <w:r w:rsidR="00DC224A" w:rsidRPr="008A106B">
        <w:rPr>
          <w:lang w:val="es-ES_tradnl"/>
        </w:rPr>
        <w:t xml:space="preserve">os </w:t>
      </w:r>
      <w:ins w:id="1765" w:author="AUTHOR">
        <w:r w:rsidR="00BE14A0">
          <w:rPr>
            <w:lang w:val="es-ES_tradnl"/>
          </w:rPr>
          <w:t xml:space="preserve">fase III, doble ciego </w:t>
        </w:r>
      </w:ins>
      <w:r w:rsidR="00DC224A" w:rsidRPr="008A106B">
        <w:rPr>
          <w:lang w:val="es-ES_tradnl"/>
        </w:rPr>
        <w:t xml:space="preserve">controlados </w:t>
      </w:r>
      <w:del w:id="1766" w:author="AUTHOR">
        <w:r w:rsidR="00DC224A" w:rsidRPr="008A106B" w:rsidDel="00BE14A0">
          <w:rPr>
            <w:lang w:val="es-ES_tradnl"/>
          </w:rPr>
          <w:delText>con placebo (e</w:delText>
        </w:r>
        <w:r w:rsidR="00DC224A" w:rsidDel="00BE14A0">
          <w:rPr>
            <w:lang w:val="es-ES_tradnl"/>
          </w:rPr>
          <w:delText>nsay</w:delText>
        </w:r>
        <w:r w:rsidR="00DC224A" w:rsidRPr="008A106B" w:rsidDel="00BE14A0">
          <w:rPr>
            <w:lang w:val="es-ES_tradnl"/>
          </w:rPr>
          <w:delText>os II, III, IV y V)</w:delText>
        </w:r>
        <w:r w:rsidR="00DC224A" w:rsidDel="00BE14A0">
          <w:rPr>
            <w:lang w:val="es-ES_tradnl"/>
          </w:rPr>
          <w:delText>, 1</w:delText>
        </w:r>
        <w:r w:rsidR="00DC224A" w:rsidRPr="008A106B" w:rsidDel="00BE14A0">
          <w:rPr>
            <w:lang w:val="es-ES_tradnl"/>
          </w:rPr>
          <w:delText xml:space="preserve"> estudio con</w:delText>
        </w:r>
        <w:r w:rsidR="00DC224A" w:rsidDel="00BE14A0">
          <w:rPr>
            <w:lang w:val="es-ES_tradnl"/>
          </w:rPr>
          <w:delText xml:space="preserve">trolado con MTX </w:delText>
        </w:r>
        <w:r w:rsidR="00DC224A" w:rsidRPr="008A106B" w:rsidDel="00BE14A0">
          <w:rPr>
            <w:lang w:val="es-ES_tradnl"/>
          </w:rPr>
          <w:delText>(e</w:delText>
        </w:r>
        <w:r w:rsidR="00DC224A" w:rsidDel="00BE14A0">
          <w:rPr>
            <w:lang w:val="es-ES_tradnl"/>
          </w:rPr>
          <w:delText>nsay</w:delText>
        </w:r>
        <w:r w:rsidR="00DC224A" w:rsidRPr="008A106B" w:rsidDel="00BE14A0">
          <w:rPr>
            <w:lang w:val="es-ES_tradnl"/>
          </w:rPr>
          <w:delText xml:space="preserve">o I) </w:delText>
        </w:r>
      </w:del>
      <w:r w:rsidR="00DC224A" w:rsidRPr="008A106B">
        <w:rPr>
          <w:lang w:val="es-ES_tradnl"/>
        </w:rPr>
        <w:t xml:space="preserve">y sus </w:t>
      </w:r>
      <w:r w:rsidR="00DC224A" w:rsidRPr="00CE21AF">
        <w:rPr>
          <w:lang w:val="es-ES_tradnl"/>
        </w:rPr>
        <w:t>fases de extensión</w:t>
      </w:r>
      <w:r w:rsidR="00DC224A" w:rsidRPr="008A106B">
        <w:rPr>
          <w:lang w:val="es-ES_tradnl"/>
        </w:rPr>
        <w:t xml:space="preserve"> (ver sección</w:t>
      </w:r>
      <w:r w:rsidR="00024687" w:rsidRPr="00F30AB8">
        <w:rPr>
          <w:szCs w:val="22"/>
          <w:lang w:val="es-ES" w:eastAsia="de-DE"/>
        </w:rPr>
        <w:t> </w:t>
      </w:r>
      <w:r w:rsidR="00DC224A" w:rsidRPr="008A106B">
        <w:rPr>
          <w:lang w:val="es-ES_tradnl"/>
        </w:rPr>
        <w:t>5.1).</w:t>
      </w:r>
      <w:r w:rsidR="00DC224A" w:rsidRPr="008A106B">
        <w:rPr>
          <w:lang w:val="es-ES"/>
        </w:rPr>
        <w:t xml:space="preserve"> </w:t>
      </w:r>
    </w:p>
    <w:p w14:paraId="18B77B64" w14:textId="77777777" w:rsidR="00DC224A" w:rsidRPr="008A106B" w:rsidRDefault="00DC224A" w:rsidP="00DC224A">
      <w:pPr>
        <w:keepNext/>
        <w:keepLines/>
        <w:rPr>
          <w:lang w:val="es-ES"/>
        </w:rPr>
      </w:pPr>
    </w:p>
    <w:p w14:paraId="52057C2D" w14:textId="2BB73462" w:rsidR="00DC224A" w:rsidRPr="00286CDE" w:rsidRDefault="00DC224A" w:rsidP="00DC224A">
      <w:pPr>
        <w:keepNext/>
        <w:keepLines/>
        <w:rPr>
          <w:lang w:val="es-ES_tradnl"/>
        </w:rPr>
      </w:pPr>
      <w:del w:id="1767" w:author="AUTHOR">
        <w:r w:rsidRPr="00A4272C" w:rsidDel="00BE14A0">
          <w:rPr>
            <w:lang w:val="es-ES"/>
          </w:rPr>
          <w:delText>El periodo doble ciego controlado</w:delText>
        </w:r>
        <w:r w:rsidRPr="006F7B21" w:rsidDel="00BE14A0">
          <w:rPr>
            <w:lang w:val="es-ES"/>
          </w:rPr>
          <w:delText xml:space="preserve"> </w:delText>
        </w:r>
      </w:del>
      <w:ins w:id="1768" w:author="AUTHOR">
        <w:r w:rsidR="00BE14A0" w:rsidRPr="00BE14A0">
          <w:rPr>
            <w:lang w:val="es-ES"/>
          </w:rPr>
          <w:t xml:space="preserve">La población </w:t>
        </w:r>
        <w:r w:rsidR="00BE14A0" w:rsidRPr="00467FFD">
          <w:rPr>
            <w:i/>
            <w:iCs/>
            <w:lang w:val="es-ES"/>
            <w:rPrChange w:id="1769" w:author="AUTHOR">
              <w:rPr>
                <w:lang w:val="es-ES"/>
              </w:rPr>
            </w:rPrChange>
          </w:rPr>
          <w:t>control total</w:t>
        </w:r>
        <w:r w:rsidR="00BE14A0" w:rsidRPr="00BE14A0">
          <w:rPr>
            <w:lang w:val="es-ES"/>
          </w:rPr>
          <w:t xml:space="preserve"> </w:t>
        </w:r>
        <w:r w:rsidR="00BE14A0">
          <w:rPr>
            <w:lang w:val="es-ES"/>
          </w:rPr>
          <w:t>incluye</w:t>
        </w:r>
        <w:r w:rsidR="00BE14A0" w:rsidRPr="00BE14A0">
          <w:rPr>
            <w:lang w:val="es-ES"/>
          </w:rPr>
          <w:t xml:space="preserve"> a todos los pacientes de las fases de doble</w:t>
        </w:r>
        <w:r w:rsidR="00BE14A0">
          <w:rPr>
            <w:lang w:val="es-ES"/>
          </w:rPr>
          <w:t xml:space="preserve"> ciego</w:t>
        </w:r>
        <w:r w:rsidR="00BE14A0" w:rsidRPr="00BE14A0">
          <w:rPr>
            <w:lang w:val="es-ES"/>
          </w:rPr>
          <w:t xml:space="preserve"> de cada </w:t>
        </w:r>
        <w:r w:rsidR="00BE14A0">
          <w:rPr>
            <w:lang w:val="es-ES"/>
          </w:rPr>
          <w:t>ensayo</w:t>
        </w:r>
        <w:r w:rsidR="00BE14A0" w:rsidRPr="00BE14A0">
          <w:rPr>
            <w:lang w:val="es-ES"/>
          </w:rPr>
          <w:t xml:space="preserve"> </w:t>
        </w:r>
        <w:r w:rsidR="00BE14A0">
          <w:rPr>
            <w:lang w:val="es-ES"/>
          </w:rPr>
          <w:t xml:space="preserve">principal </w:t>
        </w:r>
        <w:r w:rsidR="00BE14A0" w:rsidRPr="00BE14A0">
          <w:rPr>
            <w:lang w:val="es-ES"/>
          </w:rPr>
          <w:t xml:space="preserve">desde la </w:t>
        </w:r>
        <w:r w:rsidR="00BE14A0">
          <w:rPr>
            <w:lang w:val="es-ES"/>
          </w:rPr>
          <w:t>randomi</w:t>
        </w:r>
        <w:r w:rsidR="00BE14A0" w:rsidRPr="00BE14A0">
          <w:rPr>
            <w:lang w:val="es-ES"/>
          </w:rPr>
          <w:t xml:space="preserve">zación hasta el primer cambio </w:t>
        </w:r>
        <w:r w:rsidR="00BE14A0">
          <w:rPr>
            <w:lang w:val="es-ES"/>
          </w:rPr>
          <w:t>en la pauta</w:t>
        </w:r>
        <w:r w:rsidR="00BE14A0" w:rsidRPr="00BE14A0">
          <w:rPr>
            <w:lang w:val="es-ES"/>
          </w:rPr>
          <w:t xml:space="preserve"> de tratamiento o hasta alcanzar los 2 años</w:t>
        </w:r>
        <w:r w:rsidR="00BE14A0">
          <w:rPr>
            <w:lang w:val="es-ES"/>
          </w:rPr>
          <w:t>.</w:t>
        </w:r>
        <w:r w:rsidR="007653FD">
          <w:rPr>
            <w:lang w:val="es-ES"/>
          </w:rPr>
          <w:t xml:space="preserve"> </w:t>
        </w:r>
        <w:r w:rsidR="00BE14A0">
          <w:rPr>
            <w:lang w:val="es-ES"/>
          </w:rPr>
          <w:t xml:space="preserve">El periodo controlado en 4 de los </w:t>
        </w:r>
        <w:r w:rsidR="00D0534D">
          <w:rPr>
            <w:lang w:val="es-ES" w:eastAsia="de-DE"/>
          </w:rPr>
          <w:t>ensayos</w:t>
        </w:r>
        <w:r w:rsidR="00BE14A0">
          <w:rPr>
            <w:lang w:val="es-ES"/>
          </w:rPr>
          <w:t xml:space="preserve"> </w:t>
        </w:r>
      </w:ins>
      <w:r w:rsidRPr="006F7B21">
        <w:rPr>
          <w:lang w:val="es-ES"/>
        </w:rPr>
        <w:t>fue</w:t>
      </w:r>
      <w:r w:rsidRPr="008A106B">
        <w:rPr>
          <w:lang w:val="es-ES"/>
        </w:rPr>
        <w:t xml:space="preserve"> de 6</w:t>
      </w:r>
      <w:r w:rsidR="00024687" w:rsidRPr="00F30AB8">
        <w:rPr>
          <w:szCs w:val="22"/>
          <w:lang w:val="es-ES" w:eastAsia="de-DE"/>
        </w:rPr>
        <w:t> </w:t>
      </w:r>
      <w:r w:rsidRPr="008A106B">
        <w:rPr>
          <w:lang w:val="es-ES"/>
        </w:rPr>
        <w:t xml:space="preserve">meses </w:t>
      </w:r>
      <w:del w:id="1770" w:author="AUTHOR">
        <w:r w:rsidRPr="008A106B" w:rsidDel="00BE14A0">
          <w:rPr>
            <w:lang w:val="es-ES"/>
          </w:rPr>
          <w:delText>en cuatro e</w:delText>
        </w:r>
        <w:r w:rsidDel="00BE14A0">
          <w:rPr>
            <w:lang w:val="es-ES"/>
          </w:rPr>
          <w:delText>nsay</w:delText>
        </w:r>
        <w:r w:rsidRPr="008A106B" w:rsidDel="00BE14A0">
          <w:rPr>
            <w:lang w:val="es-ES"/>
          </w:rPr>
          <w:delText>os (estudio I, III, I</w:delText>
        </w:r>
        <w:r w:rsidDel="00BE14A0">
          <w:rPr>
            <w:lang w:val="es-ES"/>
          </w:rPr>
          <w:delText xml:space="preserve">V y V) </w:delText>
        </w:r>
      </w:del>
      <w:r>
        <w:rPr>
          <w:lang w:val="es-ES"/>
        </w:rPr>
        <w:t xml:space="preserve">y </w:t>
      </w:r>
      <w:ins w:id="1771" w:author="AUTHOR">
        <w:r w:rsidR="00BE14A0">
          <w:rPr>
            <w:lang w:val="es-ES"/>
          </w:rPr>
          <w:t xml:space="preserve">en un ensayo fue </w:t>
        </w:r>
      </w:ins>
      <w:r>
        <w:rPr>
          <w:lang w:val="es-ES"/>
        </w:rPr>
        <w:t>de hasta 2 años</w:t>
      </w:r>
      <w:del w:id="1772" w:author="AUTHOR">
        <w:r w:rsidDel="00BE14A0">
          <w:rPr>
            <w:lang w:val="es-ES"/>
          </w:rPr>
          <w:delText xml:space="preserve"> en un</w:delText>
        </w:r>
        <w:r w:rsidRPr="008A106B" w:rsidDel="00BE14A0">
          <w:rPr>
            <w:lang w:val="es-ES"/>
          </w:rPr>
          <w:delText xml:space="preserve"> e</w:delText>
        </w:r>
        <w:r w:rsidDel="00BE14A0">
          <w:rPr>
            <w:lang w:val="es-ES"/>
          </w:rPr>
          <w:delText>nsay</w:delText>
        </w:r>
        <w:r w:rsidRPr="008A106B" w:rsidDel="00BE14A0">
          <w:rPr>
            <w:lang w:val="es-ES"/>
          </w:rPr>
          <w:delText>o (e</w:delText>
        </w:r>
        <w:r w:rsidDel="00BE14A0">
          <w:rPr>
            <w:lang w:val="es-ES"/>
          </w:rPr>
          <w:delText>nsay</w:delText>
        </w:r>
        <w:r w:rsidRPr="008A106B" w:rsidDel="00BE14A0">
          <w:rPr>
            <w:lang w:val="es-ES"/>
          </w:rPr>
          <w:delText xml:space="preserve">o II). </w:delText>
        </w:r>
      </w:del>
      <w:r w:rsidRPr="008A106B">
        <w:rPr>
          <w:lang w:val="es-ES_tradnl"/>
        </w:rPr>
        <w:t>En los e</w:t>
      </w:r>
      <w:r>
        <w:rPr>
          <w:lang w:val="es-ES_tradnl"/>
        </w:rPr>
        <w:t>nsay</w:t>
      </w:r>
      <w:r w:rsidRPr="008A106B">
        <w:rPr>
          <w:lang w:val="es-ES_tradnl"/>
        </w:rPr>
        <w:t>os doble ciego</w:t>
      </w:r>
      <w:r w:rsidRPr="00F8631D">
        <w:rPr>
          <w:lang w:val="es-ES_tradnl"/>
        </w:rPr>
        <w:t xml:space="preserve"> </w:t>
      </w:r>
      <w:r w:rsidRPr="008A106B">
        <w:rPr>
          <w:lang w:val="es-ES_tradnl"/>
        </w:rPr>
        <w:t>controlados, 774</w:t>
      </w:r>
      <w:r w:rsidR="00024687" w:rsidRPr="00F30AB8">
        <w:rPr>
          <w:szCs w:val="22"/>
          <w:lang w:val="es-ES" w:eastAsia="de-DE"/>
        </w:rPr>
        <w:t> </w:t>
      </w:r>
      <w:r w:rsidRPr="008A106B">
        <w:rPr>
          <w:lang w:val="es-ES_tradnl"/>
        </w:rPr>
        <w:t>pacientes recibieron</w:t>
      </w:r>
      <w:r>
        <w:rPr>
          <w:lang w:val="es-ES_tradnl"/>
        </w:rPr>
        <w:t xml:space="preserve"> </w:t>
      </w:r>
      <w:r w:rsidR="00B16D10">
        <w:rPr>
          <w:szCs w:val="22"/>
          <w:lang w:val="es-ES"/>
        </w:rPr>
        <w:t>tocilizumab</w:t>
      </w:r>
      <w:r w:rsidRPr="008A106B">
        <w:rPr>
          <w:lang w:val="es-ES_tradnl"/>
        </w:rPr>
        <w:t xml:space="preserve"> </w:t>
      </w:r>
      <w:r>
        <w:rPr>
          <w:lang w:val="es-ES_tradnl"/>
        </w:rPr>
        <w:t xml:space="preserve">a una dosis de </w:t>
      </w:r>
      <w:r w:rsidRPr="008A106B">
        <w:rPr>
          <w:lang w:val="es-ES_tradnl"/>
        </w:rPr>
        <w:t>4 mg/kg en combinación con MTX, 1</w:t>
      </w:r>
      <w:r>
        <w:rPr>
          <w:lang w:val="es-ES_tradnl"/>
        </w:rPr>
        <w:t>.</w:t>
      </w:r>
      <w:r w:rsidRPr="008A106B">
        <w:rPr>
          <w:lang w:val="es-ES_tradnl"/>
        </w:rPr>
        <w:t>870</w:t>
      </w:r>
      <w:r w:rsidR="00024687" w:rsidRPr="00F30AB8">
        <w:rPr>
          <w:szCs w:val="22"/>
          <w:lang w:val="es-ES" w:eastAsia="de-DE"/>
        </w:rPr>
        <w:t> </w:t>
      </w:r>
      <w:r w:rsidRPr="008A106B">
        <w:rPr>
          <w:lang w:val="es-ES_tradnl"/>
        </w:rPr>
        <w:t xml:space="preserve">pacientes recibieron </w:t>
      </w:r>
      <w:r w:rsidR="00B16D10">
        <w:rPr>
          <w:szCs w:val="22"/>
          <w:lang w:val="es-ES"/>
        </w:rPr>
        <w:t>tocilizumab</w:t>
      </w:r>
      <w:r w:rsidRPr="001F318B">
        <w:rPr>
          <w:szCs w:val="22"/>
          <w:lang w:val="es-ES"/>
        </w:rPr>
        <w:t xml:space="preserve"> a una dosis de</w:t>
      </w:r>
      <w:r w:rsidRPr="008A106B">
        <w:rPr>
          <w:lang w:val="es-ES_tradnl"/>
        </w:rPr>
        <w:t xml:space="preserve"> 8 mg/kg en combinación con MTX </w:t>
      </w:r>
      <w:del w:id="1773" w:author="AUTHOR">
        <w:r w:rsidRPr="008A106B" w:rsidDel="00BE14A0">
          <w:rPr>
            <w:lang w:val="es-ES_tradnl"/>
          </w:rPr>
          <w:delText xml:space="preserve">u </w:delText>
        </w:r>
      </w:del>
      <w:ins w:id="1774" w:author="AUTHOR">
        <w:r w:rsidR="00BE14A0">
          <w:rPr>
            <w:lang w:val="es-ES_tradnl"/>
          </w:rPr>
          <w:t>/</w:t>
        </w:r>
        <w:r w:rsidR="00BE14A0" w:rsidRPr="008A106B">
          <w:rPr>
            <w:lang w:val="es-ES_tradnl"/>
          </w:rPr>
          <w:t xml:space="preserve"> </w:t>
        </w:r>
      </w:ins>
      <w:r w:rsidRPr="008A106B">
        <w:rPr>
          <w:lang w:val="es-ES_tradnl"/>
        </w:rPr>
        <w:t>otros FAMEs y 288</w:t>
      </w:r>
      <w:r w:rsidR="00024687" w:rsidRPr="00F30AB8">
        <w:rPr>
          <w:szCs w:val="22"/>
          <w:lang w:val="es-ES" w:eastAsia="de-DE"/>
        </w:rPr>
        <w:t> </w:t>
      </w:r>
      <w:r w:rsidRPr="008A106B">
        <w:rPr>
          <w:lang w:val="es-ES_tradnl"/>
        </w:rPr>
        <w:t xml:space="preserve">pacientes recibieron </w:t>
      </w:r>
      <w:r w:rsidR="00B16D10">
        <w:rPr>
          <w:szCs w:val="22"/>
          <w:lang w:val="es-ES"/>
        </w:rPr>
        <w:t>tocilizumab</w:t>
      </w:r>
      <w:r w:rsidRPr="008A106B">
        <w:rPr>
          <w:lang w:val="es-ES_tradnl"/>
        </w:rPr>
        <w:t xml:space="preserve"> </w:t>
      </w:r>
      <w:r>
        <w:rPr>
          <w:lang w:val="es-ES_tradnl"/>
        </w:rPr>
        <w:t xml:space="preserve">a una dosis de </w:t>
      </w:r>
      <w:r w:rsidRPr="008A106B">
        <w:rPr>
          <w:lang w:val="es-ES_tradnl"/>
        </w:rPr>
        <w:t>8 mg/kg en monoterapia.</w:t>
      </w:r>
      <w:r w:rsidRPr="008A106B">
        <w:rPr>
          <w:lang w:val="es-ES"/>
        </w:rPr>
        <w:t xml:space="preserve"> </w:t>
      </w:r>
    </w:p>
    <w:p w14:paraId="3779A3D0" w14:textId="77777777" w:rsidR="00DC224A" w:rsidRPr="008A106B" w:rsidRDefault="00DC224A" w:rsidP="00DC224A">
      <w:pPr>
        <w:rPr>
          <w:lang w:val="es-ES"/>
        </w:rPr>
      </w:pPr>
    </w:p>
    <w:p w14:paraId="508E37C1" w14:textId="1D96C6B8" w:rsidR="00DC224A" w:rsidRPr="008A106B" w:rsidRDefault="00DC224A" w:rsidP="00DC224A">
      <w:pPr>
        <w:rPr>
          <w:lang w:val="es-ES"/>
        </w:rPr>
      </w:pPr>
      <w:r w:rsidRPr="008A106B">
        <w:rPr>
          <w:lang w:val="es-ES_tradnl"/>
        </w:rPr>
        <w:t xml:space="preserve">La población expuesta </w:t>
      </w:r>
      <w:ins w:id="1775" w:author="AUTHOR">
        <w:r w:rsidR="00B707BE">
          <w:rPr>
            <w:lang w:val="es-ES_tradnl"/>
          </w:rPr>
          <w:t>total</w:t>
        </w:r>
      </w:ins>
      <w:del w:id="1776" w:author="AUTHOR">
        <w:r w:rsidRPr="008A106B" w:rsidDel="00BE14A0">
          <w:rPr>
            <w:lang w:val="es-ES_tradnl"/>
          </w:rPr>
          <w:delText xml:space="preserve">a largo plazo </w:delText>
        </w:r>
      </w:del>
      <w:r w:rsidRPr="008A106B">
        <w:rPr>
          <w:lang w:val="es-ES_tradnl"/>
        </w:rPr>
        <w:t xml:space="preserve">incluye a todos los pacientes que recibieron al menos una dosis de </w:t>
      </w:r>
      <w:r w:rsidR="00B16D10">
        <w:rPr>
          <w:szCs w:val="22"/>
          <w:lang w:val="es-ES"/>
        </w:rPr>
        <w:t>tocilizumab</w:t>
      </w:r>
      <w:r w:rsidRPr="008A106B">
        <w:rPr>
          <w:lang w:val="es-ES_tradnl"/>
        </w:rPr>
        <w:t xml:space="preserve"> </w:t>
      </w:r>
      <w:r>
        <w:rPr>
          <w:lang w:val="es-ES_tradnl"/>
        </w:rPr>
        <w:t xml:space="preserve">bien </w:t>
      </w:r>
      <w:r w:rsidRPr="008A106B">
        <w:rPr>
          <w:lang w:val="es-ES_tradnl"/>
        </w:rPr>
        <w:t xml:space="preserve">en </w:t>
      </w:r>
      <w:r>
        <w:rPr>
          <w:lang w:val="es-ES_tradnl"/>
        </w:rPr>
        <w:t>el periodo</w:t>
      </w:r>
      <w:r w:rsidRPr="008A106B">
        <w:rPr>
          <w:lang w:val="es-ES_tradnl"/>
        </w:rPr>
        <w:t xml:space="preserve"> doble ciego controlado</w:t>
      </w:r>
      <w:r>
        <w:rPr>
          <w:lang w:val="es-ES_tradnl"/>
        </w:rPr>
        <w:t xml:space="preserve"> </w:t>
      </w:r>
      <w:r w:rsidRPr="008A106B">
        <w:rPr>
          <w:lang w:val="es-ES_tradnl"/>
        </w:rPr>
        <w:t xml:space="preserve">o en la fase abierta de los </w:t>
      </w:r>
      <w:ins w:id="1777" w:author="AUTHOR">
        <w:r w:rsidR="00D0534D">
          <w:rPr>
            <w:lang w:val="es-ES" w:eastAsia="de-DE"/>
          </w:rPr>
          <w:t>ensayos</w:t>
        </w:r>
      </w:ins>
      <w:del w:id="1778" w:author="AUTHOR">
        <w:r w:rsidRPr="008A106B" w:rsidDel="00D0534D">
          <w:rPr>
            <w:lang w:val="es-ES_tradnl"/>
          </w:rPr>
          <w:delText>estudios</w:delText>
        </w:r>
      </w:del>
      <w:r w:rsidRPr="008A106B">
        <w:rPr>
          <w:lang w:val="es-ES_tradnl"/>
        </w:rPr>
        <w:t xml:space="preserve"> de extensión. De los 4</w:t>
      </w:r>
      <w:r>
        <w:rPr>
          <w:lang w:val="es-ES_tradnl"/>
        </w:rPr>
        <w:t>.</w:t>
      </w:r>
      <w:r w:rsidRPr="008A106B">
        <w:rPr>
          <w:lang w:val="es-ES_tradnl"/>
        </w:rPr>
        <w:t>009</w:t>
      </w:r>
      <w:r w:rsidR="00024687" w:rsidRPr="00F30AB8">
        <w:rPr>
          <w:szCs w:val="22"/>
          <w:lang w:val="es-ES" w:eastAsia="de-DE"/>
        </w:rPr>
        <w:t> </w:t>
      </w:r>
      <w:r w:rsidRPr="008A106B">
        <w:rPr>
          <w:lang w:val="es-ES_tradnl"/>
        </w:rPr>
        <w:t>pacientes expuestos, 3</w:t>
      </w:r>
      <w:r>
        <w:rPr>
          <w:lang w:val="es-ES_tradnl"/>
        </w:rPr>
        <w:t>.</w:t>
      </w:r>
      <w:r w:rsidRPr="008A106B">
        <w:rPr>
          <w:lang w:val="es-ES_tradnl"/>
        </w:rPr>
        <w:t>577 recibieron tratamiento durante al menos 6</w:t>
      </w:r>
      <w:r w:rsidR="00024687" w:rsidRPr="00F30AB8">
        <w:rPr>
          <w:szCs w:val="22"/>
          <w:lang w:val="es-ES" w:eastAsia="de-DE"/>
        </w:rPr>
        <w:t> </w:t>
      </w:r>
      <w:r w:rsidRPr="008A106B">
        <w:rPr>
          <w:lang w:val="es-ES_tradnl"/>
        </w:rPr>
        <w:t>meses, 3</w:t>
      </w:r>
      <w:r>
        <w:rPr>
          <w:lang w:val="es-ES_tradnl"/>
        </w:rPr>
        <w:t>.</w:t>
      </w:r>
      <w:r w:rsidRPr="008A106B">
        <w:rPr>
          <w:lang w:val="es-ES_tradnl"/>
        </w:rPr>
        <w:t>296 durante al menos 1 año, 2</w:t>
      </w:r>
      <w:r>
        <w:rPr>
          <w:lang w:val="es-ES_tradnl"/>
        </w:rPr>
        <w:t>.</w:t>
      </w:r>
      <w:r w:rsidRPr="008A106B">
        <w:rPr>
          <w:lang w:val="es-ES_tradnl"/>
        </w:rPr>
        <w:t>806 recibieron tratamiento durante al menos 2</w:t>
      </w:r>
      <w:r w:rsidR="00024687" w:rsidRPr="00F30AB8">
        <w:rPr>
          <w:szCs w:val="22"/>
          <w:lang w:val="es-ES" w:eastAsia="de-DE"/>
        </w:rPr>
        <w:t> </w:t>
      </w:r>
      <w:r w:rsidRPr="008A106B">
        <w:rPr>
          <w:lang w:val="es-ES_tradnl"/>
        </w:rPr>
        <w:t>años y 1</w:t>
      </w:r>
      <w:r>
        <w:rPr>
          <w:lang w:val="es-ES_tradnl"/>
        </w:rPr>
        <w:t>.</w:t>
      </w:r>
      <w:r w:rsidRPr="008A106B">
        <w:rPr>
          <w:lang w:val="es-ES_tradnl"/>
        </w:rPr>
        <w:t>222 durante 3 años.</w:t>
      </w:r>
    </w:p>
    <w:p w14:paraId="7AFDD51B" w14:textId="77777777" w:rsidR="00DC224A" w:rsidRDefault="00DC224A" w:rsidP="00DC224A">
      <w:pPr>
        <w:ind w:left="567" w:hanging="567"/>
        <w:outlineLvl w:val="0"/>
        <w:rPr>
          <w:iCs/>
          <w:u w:val="single"/>
          <w:lang w:val="es-ES_tradnl"/>
        </w:rPr>
      </w:pPr>
    </w:p>
    <w:p w14:paraId="6C2FC6DA" w14:textId="77777777" w:rsidR="00DC224A" w:rsidRPr="00467FFD" w:rsidRDefault="00DC224A" w:rsidP="00DC224A">
      <w:pPr>
        <w:ind w:left="567" w:hanging="567"/>
        <w:outlineLvl w:val="0"/>
        <w:rPr>
          <w:u w:val="single"/>
          <w:lang w:val="es-ES"/>
          <w:rPrChange w:id="1779" w:author="AUTHOR">
            <w:rPr>
              <w:lang w:val="es-ES"/>
            </w:rPr>
          </w:rPrChange>
        </w:rPr>
      </w:pPr>
      <w:r w:rsidRPr="00467FFD">
        <w:rPr>
          <w:i/>
          <w:iCs/>
          <w:u w:val="single"/>
          <w:lang w:val="es-ES_tradnl"/>
          <w:rPrChange w:id="1780" w:author="AUTHOR">
            <w:rPr>
              <w:i/>
              <w:iCs/>
              <w:lang w:val="es-ES_tradnl"/>
            </w:rPr>
          </w:rPrChange>
        </w:rPr>
        <w:t>Infecciones</w:t>
      </w:r>
      <w:r w:rsidRPr="00467FFD">
        <w:rPr>
          <w:i/>
          <w:iCs/>
          <w:u w:val="single"/>
          <w:lang w:val="es-ES"/>
          <w:rPrChange w:id="1781" w:author="AUTHOR">
            <w:rPr>
              <w:i/>
              <w:iCs/>
              <w:lang w:val="es-ES"/>
            </w:rPr>
          </w:rPrChange>
        </w:rPr>
        <w:t xml:space="preserve"> </w:t>
      </w:r>
    </w:p>
    <w:p w14:paraId="7FEC99EB" w14:textId="29650D5F" w:rsidR="00DC224A" w:rsidRPr="008A106B" w:rsidRDefault="00DC224A" w:rsidP="00DC224A">
      <w:pPr>
        <w:rPr>
          <w:lang w:val="es-ES"/>
        </w:rPr>
      </w:pPr>
      <w:r w:rsidRPr="008A106B">
        <w:rPr>
          <w:lang w:val="es-ES_tradnl"/>
        </w:rPr>
        <w:t xml:space="preserve">En los </w:t>
      </w:r>
      <w:del w:id="1782" w:author="AUTHOR">
        <w:r w:rsidRPr="008A106B" w:rsidDel="00B707BE">
          <w:rPr>
            <w:lang w:val="es-ES_tradnl"/>
          </w:rPr>
          <w:delText xml:space="preserve">estudios </w:delText>
        </w:r>
      </w:del>
      <w:ins w:id="1783" w:author="AUTHOR">
        <w:r w:rsidR="00B707BE">
          <w:rPr>
            <w:lang w:val="es-ES_tradnl"/>
          </w:rPr>
          <w:t>ensayos</w:t>
        </w:r>
        <w:r w:rsidR="00B707BE" w:rsidRPr="008A106B">
          <w:rPr>
            <w:lang w:val="es-ES_tradnl"/>
          </w:rPr>
          <w:t xml:space="preserve"> </w:t>
        </w:r>
      </w:ins>
      <w:r w:rsidRPr="008A106B">
        <w:rPr>
          <w:lang w:val="es-ES_tradnl"/>
        </w:rPr>
        <w:t>controlados de 6</w:t>
      </w:r>
      <w:r w:rsidR="00C2744E">
        <w:rPr>
          <w:lang w:val="es-ES_tradnl"/>
        </w:rPr>
        <w:t> </w:t>
      </w:r>
      <w:r w:rsidRPr="008A106B">
        <w:rPr>
          <w:lang w:val="es-ES_tradnl"/>
        </w:rPr>
        <w:t xml:space="preserve">meses, la tasa de todas las infecciones notificadas con el tratamiento de </w:t>
      </w:r>
      <w:r w:rsidR="00640FAC">
        <w:rPr>
          <w:szCs w:val="22"/>
          <w:lang w:val="es-ES"/>
        </w:rPr>
        <w:t>tocilizumab</w:t>
      </w:r>
      <w:r w:rsidRPr="006868F5">
        <w:rPr>
          <w:szCs w:val="22"/>
          <w:lang w:val="es-ES"/>
        </w:rPr>
        <w:t xml:space="preserve"> </w:t>
      </w:r>
      <w:r w:rsidRPr="008A106B">
        <w:rPr>
          <w:lang w:val="es-ES_tradnl"/>
        </w:rPr>
        <w:t>8 mg/kg más FAMEs</w:t>
      </w:r>
      <w:r>
        <w:rPr>
          <w:lang w:val="es-ES_tradnl"/>
        </w:rPr>
        <w:t>,</w:t>
      </w:r>
      <w:r w:rsidRPr="008A106B">
        <w:rPr>
          <w:lang w:val="es-ES_tradnl"/>
        </w:rPr>
        <w:t xml:space="preserve"> fue de 127 acontecimientos por 100</w:t>
      </w:r>
      <w:r w:rsidR="00C2744E">
        <w:rPr>
          <w:lang w:val="es-ES_tradnl"/>
        </w:rPr>
        <w:t> </w:t>
      </w:r>
      <w:r w:rsidRPr="008A106B">
        <w:rPr>
          <w:lang w:val="es-ES_tradnl"/>
        </w:rPr>
        <w:t>pacientes-años comparada con 112</w:t>
      </w:r>
      <w:r w:rsidR="00C2744E">
        <w:rPr>
          <w:lang w:val="es-ES_tradnl"/>
        </w:rPr>
        <w:t> </w:t>
      </w:r>
      <w:r w:rsidRPr="008A106B">
        <w:rPr>
          <w:lang w:val="es-ES_tradnl"/>
        </w:rPr>
        <w:t>acontecimientos por 100 pacientes</w:t>
      </w:r>
      <w:r>
        <w:rPr>
          <w:lang w:val="es-ES_tradnl"/>
        </w:rPr>
        <w:t>-</w:t>
      </w:r>
      <w:r w:rsidRPr="008A106B">
        <w:rPr>
          <w:lang w:val="es-ES_tradnl"/>
        </w:rPr>
        <w:t>años en el grupo de placebo más FAMEs.</w:t>
      </w:r>
      <w:r w:rsidRPr="008A106B">
        <w:rPr>
          <w:lang w:val="es-ES"/>
        </w:rPr>
        <w:t xml:space="preserve"> </w:t>
      </w:r>
      <w:r w:rsidRPr="008A106B">
        <w:rPr>
          <w:lang w:val="es-ES_tradnl"/>
        </w:rPr>
        <w:t xml:space="preserve">En la población expuesta a largo plazo, la tasa global de infecciones con </w:t>
      </w:r>
      <w:r w:rsidR="00640FAC">
        <w:rPr>
          <w:szCs w:val="22"/>
          <w:lang w:val="es-ES"/>
        </w:rPr>
        <w:t>tocilizumab</w:t>
      </w:r>
      <w:r w:rsidRPr="008A106B">
        <w:rPr>
          <w:lang w:val="es-ES_tradnl"/>
        </w:rPr>
        <w:t xml:space="preserve"> fue de 108</w:t>
      </w:r>
      <w:r w:rsidR="00C2744E">
        <w:rPr>
          <w:lang w:val="es-ES_tradnl"/>
        </w:rPr>
        <w:t> </w:t>
      </w:r>
      <w:r w:rsidRPr="008A106B">
        <w:rPr>
          <w:lang w:val="es-ES_tradnl"/>
        </w:rPr>
        <w:t>acontecimientos por 100</w:t>
      </w:r>
      <w:r w:rsidR="00C2744E">
        <w:rPr>
          <w:lang w:val="es-ES_tradnl"/>
        </w:rPr>
        <w:t> </w:t>
      </w:r>
      <w:r w:rsidRPr="008A106B">
        <w:rPr>
          <w:lang w:val="es-ES_tradnl"/>
        </w:rPr>
        <w:t>pacientes-años de exposición.</w:t>
      </w:r>
    </w:p>
    <w:p w14:paraId="32D9CEF9" w14:textId="77777777" w:rsidR="00DC224A" w:rsidRPr="008A106B" w:rsidRDefault="00DC224A" w:rsidP="00DC224A">
      <w:pPr>
        <w:rPr>
          <w:lang w:val="es-ES"/>
        </w:rPr>
      </w:pPr>
    </w:p>
    <w:p w14:paraId="68E5F102" w14:textId="5C1E6A8C" w:rsidR="00DC224A" w:rsidRPr="008A106B" w:rsidRDefault="00DC224A" w:rsidP="00DC224A">
      <w:pPr>
        <w:rPr>
          <w:lang w:val="es-ES"/>
        </w:rPr>
      </w:pPr>
      <w:r w:rsidRPr="008A106B">
        <w:rPr>
          <w:lang w:val="es-ES_tradnl"/>
        </w:rPr>
        <w:t xml:space="preserve">En los ensayos clínicos controlados de 6 meses, la tasa de todas las infecciones graves comunicadas con </w:t>
      </w:r>
      <w:r w:rsidR="00640FAC">
        <w:rPr>
          <w:szCs w:val="22"/>
          <w:lang w:val="es-ES"/>
        </w:rPr>
        <w:t>tocilizumab</w:t>
      </w:r>
      <w:r w:rsidRPr="006868F5">
        <w:rPr>
          <w:szCs w:val="22"/>
          <w:lang w:val="es-ES"/>
        </w:rPr>
        <w:t xml:space="preserve"> </w:t>
      </w:r>
      <w:r w:rsidRPr="008A106B">
        <w:rPr>
          <w:lang w:val="es-ES_tradnl"/>
        </w:rPr>
        <w:t>8 mg/kg más FAMEs</w:t>
      </w:r>
      <w:r>
        <w:rPr>
          <w:lang w:val="es-ES_tradnl"/>
        </w:rPr>
        <w:t>,</w:t>
      </w:r>
      <w:r w:rsidRPr="008A106B">
        <w:rPr>
          <w:lang w:val="es-ES_tradnl"/>
        </w:rPr>
        <w:t xml:space="preserve"> fue de 5,3 acontecimientos por 100 pacientes-años de exposición comparada con 3,9 acontecimientos por 100 pacientes</w:t>
      </w:r>
      <w:r>
        <w:rPr>
          <w:lang w:val="es-ES_tradnl"/>
        </w:rPr>
        <w:t>-</w:t>
      </w:r>
      <w:r w:rsidRPr="008A106B">
        <w:rPr>
          <w:lang w:val="es-ES_tradnl"/>
        </w:rPr>
        <w:t>años de exposición en el grupo de placebo más FAMEs.</w:t>
      </w:r>
      <w:r w:rsidRPr="008A106B">
        <w:rPr>
          <w:lang w:val="es-ES"/>
        </w:rPr>
        <w:t xml:space="preserve"> </w:t>
      </w:r>
      <w:r w:rsidRPr="008A106B">
        <w:rPr>
          <w:lang w:val="es-ES_tradnl"/>
        </w:rPr>
        <w:t>En el e</w:t>
      </w:r>
      <w:r>
        <w:rPr>
          <w:lang w:val="es-ES_tradnl"/>
        </w:rPr>
        <w:t>nsay</w:t>
      </w:r>
      <w:r w:rsidRPr="008A106B">
        <w:rPr>
          <w:lang w:val="es-ES_tradnl"/>
        </w:rPr>
        <w:t>o de monoterapia, la tasa de infecciones graves fue de 3,6 acontecimientos por 100 pacientes</w:t>
      </w:r>
      <w:r>
        <w:rPr>
          <w:lang w:val="es-ES_tradnl"/>
        </w:rPr>
        <w:t>-</w:t>
      </w:r>
      <w:r w:rsidRPr="008A106B">
        <w:rPr>
          <w:lang w:val="es-ES_tradnl"/>
        </w:rPr>
        <w:t xml:space="preserve">años de exposición en el grupo de </w:t>
      </w:r>
      <w:r w:rsidR="00640FAC">
        <w:rPr>
          <w:szCs w:val="22"/>
          <w:lang w:val="es-ES"/>
        </w:rPr>
        <w:t>tocilizumab</w:t>
      </w:r>
      <w:r w:rsidRPr="006868F5">
        <w:rPr>
          <w:szCs w:val="22"/>
          <w:lang w:val="es-ES"/>
        </w:rPr>
        <w:t xml:space="preserve"> </w:t>
      </w:r>
      <w:r w:rsidRPr="008A106B">
        <w:rPr>
          <w:lang w:val="es-ES_tradnl"/>
        </w:rPr>
        <w:t>y 1,5 acontecimientos por 100 pacientes</w:t>
      </w:r>
      <w:r>
        <w:rPr>
          <w:lang w:val="es-ES_tradnl"/>
        </w:rPr>
        <w:t>-</w:t>
      </w:r>
      <w:r w:rsidRPr="008A106B">
        <w:rPr>
          <w:lang w:val="es-ES_tradnl"/>
        </w:rPr>
        <w:t>años de exposición en el grupo de MTX.</w:t>
      </w:r>
      <w:r w:rsidRPr="008A106B">
        <w:rPr>
          <w:lang w:val="es-ES"/>
        </w:rPr>
        <w:t xml:space="preserve"> </w:t>
      </w:r>
    </w:p>
    <w:p w14:paraId="585BCFAA" w14:textId="77777777" w:rsidR="00DC224A" w:rsidRPr="008A106B" w:rsidRDefault="00DC224A" w:rsidP="00DC224A">
      <w:pPr>
        <w:rPr>
          <w:lang w:val="es-ES_tradnl"/>
        </w:rPr>
      </w:pPr>
    </w:p>
    <w:p w14:paraId="553A82D9" w14:textId="65A47901" w:rsidR="00DC224A" w:rsidRPr="008A106B" w:rsidRDefault="00DC224A" w:rsidP="00DC224A">
      <w:pPr>
        <w:rPr>
          <w:lang w:val="es-ES"/>
        </w:rPr>
      </w:pPr>
      <w:r w:rsidRPr="008A106B">
        <w:rPr>
          <w:lang w:val="es-ES_tradnl"/>
        </w:rPr>
        <w:t xml:space="preserve">En la población expuesta a largo plazo, la tasa global de infecciones </w:t>
      </w:r>
      <w:r>
        <w:rPr>
          <w:lang w:val="es-ES_tradnl"/>
        </w:rPr>
        <w:t xml:space="preserve">graves </w:t>
      </w:r>
      <w:r w:rsidRPr="008A106B">
        <w:rPr>
          <w:lang w:val="es-ES_tradnl"/>
        </w:rPr>
        <w:t>(bacterianas, víricas y fúngicas) fue de 4,7</w:t>
      </w:r>
      <w:r w:rsidR="00C2744E">
        <w:rPr>
          <w:lang w:val="es-ES_tradnl"/>
        </w:rPr>
        <w:t> </w:t>
      </w:r>
      <w:r w:rsidRPr="008A106B">
        <w:rPr>
          <w:lang w:val="es-ES_tradnl"/>
        </w:rPr>
        <w:t>acontecimientos por</w:t>
      </w:r>
      <w:r w:rsidR="00C2744E">
        <w:rPr>
          <w:lang w:val="es-ES_tradnl"/>
        </w:rPr>
        <w:t> </w:t>
      </w:r>
      <w:r w:rsidRPr="008A106B">
        <w:rPr>
          <w:lang w:val="es-ES_tradnl"/>
        </w:rPr>
        <w:t>100 pacientes-años.</w:t>
      </w:r>
      <w:r w:rsidRPr="008A106B">
        <w:rPr>
          <w:lang w:val="es-ES"/>
        </w:rPr>
        <w:t xml:space="preserve"> </w:t>
      </w:r>
      <w:r w:rsidRPr="008A106B">
        <w:rPr>
          <w:lang w:val="es-ES_tradnl"/>
        </w:rPr>
        <w:t>Entre las infecciones graves notificadas</w:t>
      </w:r>
      <w:r>
        <w:rPr>
          <w:lang w:val="es-ES_tradnl"/>
        </w:rPr>
        <w:t>,</w:t>
      </w:r>
      <w:r w:rsidRPr="008A106B">
        <w:rPr>
          <w:lang w:val="es-ES_tradnl"/>
        </w:rPr>
        <w:t xml:space="preserve"> algunas mortales</w:t>
      </w:r>
      <w:r>
        <w:rPr>
          <w:lang w:val="es-ES_tradnl"/>
        </w:rPr>
        <w:t>,</w:t>
      </w:r>
      <w:r w:rsidRPr="008A106B">
        <w:rPr>
          <w:lang w:val="es-ES_tradnl"/>
        </w:rPr>
        <w:t xml:space="preserve"> se incluyeron tuberculosis activa, que se puede presentar con enfermedad intrapulmonar o extrapulmonar, infecciones pulmonares invasivas, incluidas candidiasis, aspergilosis, co</w:t>
      </w:r>
      <w:r>
        <w:rPr>
          <w:lang w:val="es-ES_tradnl"/>
        </w:rPr>
        <w:t>c</w:t>
      </w:r>
      <w:r w:rsidRPr="008A106B">
        <w:rPr>
          <w:lang w:val="es-ES_tradnl"/>
        </w:rPr>
        <w:t>cidiodomicosis y neumocistis jirovecii, neumonía, celulitis, herpes zoster, gastroenteritis, diverticulitis, sepsis y artritis bacteriana. Se han notificado</w:t>
      </w:r>
      <w:ins w:id="1784" w:author="AUTHOR">
        <w:r w:rsidR="00B707BE">
          <w:rPr>
            <w:lang w:val="es-ES_tradnl"/>
          </w:rPr>
          <w:t xml:space="preserve"> también</w:t>
        </w:r>
      </w:ins>
      <w:r w:rsidRPr="008A106B">
        <w:rPr>
          <w:lang w:val="es-ES_tradnl"/>
        </w:rPr>
        <w:t xml:space="preserve"> casos de infecciones oportunistas.</w:t>
      </w:r>
      <w:r w:rsidRPr="008A106B">
        <w:rPr>
          <w:lang w:val="es-ES"/>
        </w:rPr>
        <w:t xml:space="preserve"> </w:t>
      </w:r>
    </w:p>
    <w:p w14:paraId="40BAB3B8" w14:textId="77777777" w:rsidR="00DC224A" w:rsidRPr="008A106B" w:rsidRDefault="00DC224A" w:rsidP="00DC224A">
      <w:pPr>
        <w:rPr>
          <w:lang w:val="es-ES"/>
        </w:rPr>
      </w:pPr>
    </w:p>
    <w:p w14:paraId="558D8178" w14:textId="77777777" w:rsidR="00DC224A" w:rsidRPr="00F30AB8" w:rsidRDefault="00DC224A" w:rsidP="00E576A0">
      <w:pPr>
        <w:keepNext/>
        <w:keepLines/>
        <w:rPr>
          <w:i/>
          <w:u w:val="single"/>
          <w:lang w:val="es-ES"/>
        </w:rPr>
      </w:pPr>
      <w:r w:rsidRPr="00F30AB8">
        <w:rPr>
          <w:i/>
          <w:u w:val="single"/>
          <w:lang w:val="es-ES"/>
        </w:rPr>
        <w:t>Enfermedad pulmonar intersticial</w:t>
      </w:r>
    </w:p>
    <w:p w14:paraId="30ACBA74" w14:textId="658A63C0" w:rsidR="00DC224A" w:rsidRPr="008A106B" w:rsidRDefault="00DC224A" w:rsidP="00E576A0">
      <w:pPr>
        <w:keepNext/>
        <w:keepLines/>
        <w:rPr>
          <w:lang w:val="es-ES"/>
        </w:rPr>
      </w:pPr>
      <w:r w:rsidRPr="008A106B">
        <w:rPr>
          <w:lang w:val="es-ES"/>
        </w:rPr>
        <w:t xml:space="preserve">El deterioro de la función pulmonar puede aumentar el riesgo de desarrollo de infecciones. Durante la comercialización se han notificado casos de enfermedad pulmonar intersticial (incluyendo </w:t>
      </w:r>
      <w:ins w:id="1785" w:author="AUTHOR">
        <w:r w:rsidR="000F4E02" w:rsidRPr="000F4E02">
          <w:rPr>
            <w:lang w:val="es-ES"/>
          </w:rPr>
          <w:t>neumonitis</w:t>
        </w:r>
      </w:ins>
      <w:del w:id="1786" w:author="AUTHOR">
        <w:r w:rsidRPr="008A106B" w:rsidDel="000F4E02">
          <w:rPr>
            <w:lang w:val="es-ES"/>
          </w:rPr>
          <w:delText>neumonía</w:delText>
        </w:r>
      </w:del>
      <w:r w:rsidRPr="008A106B">
        <w:rPr>
          <w:lang w:val="es-ES"/>
        </w:rPr>
        <w:t>, y fibrosis pulmonar)</w:t>
      </w:r>
      <w:r>
        <w:rPr>
          <w:lang w:val="es-ES"/>
        </w:rPr>
        <w:t>,</w:t>
      </w:r>
      <w:r w:rsidRPr="008A106B">
        <w:rPr>
          <w:lang w:val="es-ES"/>
        </w:rPr>
        <w:t xml:space="preserve"> alguno de los cuales fue mortal.</w:t>
      </w:r>
    </w:p>
    <w:p w14:paraId="6D79B028" w14:textId="77777777" w:rsidR="00DC224A" w:rsidRPr="008A106B" w:rsidRDefault="00DC224A" w:rsidP="00DC224A">
      <w:pPr>
        <w:rPr>
          <w:lang w:val="es-ES"/>
        </w:rPr>
      </w:pPr>
    </w:p>
    <w:p w14:paraId="7067DB53" w14:textId="77777777" w:rsidR="00DC224A" w:rsidRPr="00F30AB8" w:rsidRDefault="00DC224A" w:rsidP="00A50280">
      <w:pPr>
        <w:keepNext/>
        <w:keepLines/>
        <w:rPr>
          <w:i/>
          <w:u w:val="single"/>
          <w:lang w:val="es-ES"/>
        </w:rPr>
      </w:pPr>
      <w:r w:rsidRPr="00F30AB8">
        <w:rPr>
          <w:i/>
          <w:iCs/>
          <w:u w:val="single"/>
          <w:lang w:val="es-ES"/>
        </w:rPr>
        <w:t>Perforación gastrointestinal</w:t>
      </w:r>
    </w:p>
    <w:p w14:paraId="5B55F576" w14:textId="0D82AA0C" w:rsidR="00DC224A" w:rsidRPr="008A106B" w:rsidRDefault="00DC224A" w:rsidP="00A50280">
      <w:pPr>
        <w:keepNext/>
        <w:keepLines/>
        <w:rPr>
          <w:lang w:val="es-ES"/>
        </w:rPr>
      </w:pPr>
      <w:r w:rsidRPr="008A106B">
        <w:rPr>
          <w:lang w:val="es-ES_tradnl"/>
        </w:rPr>
        <w:t>Durante 6</w:t>
      </w:r>
      <w:r w:rsidR="00C2744E">
        <w:rPr>
          <w:lang w:val="es-ES_tradnl"/>
        </w:rPr>
        <w:t> </w:t>
      </w:r>
      <w:r w:rsidRPr="008A106B">
        <w:rPr>
          <w:lang w:val="es-ES_tradnl"/>
        </w:rPr>
        <w:t>meses de ensayos clínicos controlados, la tasa global de perforaciones gastrointestinales fue de 0,26</w:t>
      </w:r>
      <w:r w:rsidR="00C2744E">
        <w:rPr>
          <w:lang w:val="es-ES_tradnl"/>
        </w:rPr>
        <w:t> </w:t>
      </w:r>
      <w:r w:rsidRPr="008A106B">
        <w:rPr>
          <w:lang w:val="es-ES_tradnl"/>
        </w:rPr>
        <w:t>acontecimientos por</w:t>
      </w:r>
      <w:r w:rsidR="00C2744E">
        <w:rPr>
          <w:lang w:val="es-ES_tradnl"/>
        </w:rPr>
        <w:t> </w:t>
      </w:r>
      <w:r w:rsidRPr="008A106B">
        <w:rPr>
          <w:lang w:val="es-ES_tradnl"/>
        </w:rPr>
        <w:t>100 pacientes</w:t>
      </w:r>
      <w:r>
        <w:rPr>
          <w:lang w:val="es-ES_tradnl"/>
        </w:rPr>
        <w:t>-</w:t>
      </w:r>
      <w:r w:rsidRPr="008A106B">
        <w:rPr>
          <w:lang w:val="es-ES_tradnl"/>
        </w:rPr>
        <w:t xml:space="preserve">años en tratamiento con </w:t>
      </w:r>
      <w:r w:rsidR="00640FAC">
        <w:rPr>
          <w:szCs w:val="22"/>
          <w:lang w:val="es-ES"/>
        </w:rPr>
        <w:t>tocilizumab</w:t>
      </w:r>
      <w:r w:rsidRPr="008A106B">
        <w:rPr>
          <w:lang w:val="es-ES_tradnl"/>
        </w:rPr>
        <w:t>. En la población expuesta a largo plazo la tasa global de perforaciones gastrointestinales fue 0,28 acontecimientos por 100</w:t>
      </w:r>
      <w:r w:rsidR="00C2744E">
        <w:rPr>
          <w:lang w:val="es-ES_tradnl"/>
        </w:rPr>
        <w:t> </w:t>
      </w:r>
      <w:r w:rsidRPr="008A106B">
        <w:rPr>
          <w:lang w:val="es-ES_tradnl"/>
        </w:rPr>
        <w:t>pacientes</w:t>
      </w:r>
      <w:r>
        <w:rPr>
          <w:lang w:val="es-ES_tradnl"/>
        </w:rPr>
        <w:t>-</w:t>
      </w:r>
      <w:r w:rsidRPr="008A106B">
        <w:rPr>
          <w:lang w:val="es-ES_tradnl"/>
        </w:rPr>
        <w:t xml:space="preserve">años. Las notificaciones de perforación grastrointestinal con </w:t>
      </w:r>
      <w:r w:rsidR="00640FAC">
        <w:rPr>
          <w:szCs w:val="22"/>
          <w:lang w:val="es-ES"/>
        </w:rPr>
        <w:t>el tratamiento</w:t>
      </w:r>
      <w:r w:rsidR="00640FAC" w:rsidRPr="006868F5">
        <w:rPr>
          <w:szCs w:val="22"/>
          <w:lang w:val="es-ES"/>
        </w:rPr>
        <w:t xml:space="preserve"> </w:t>
      </w:r>
      <w:r w:rsidRPr="008A106B">
        <w:rPr>
          <w:lang w:val="es-ES_tradnl"/>
        </w:rPr>
        <w:t>fueron comunicadas inicialmente como complicaciones de la diverticulitis</w:t>
      </w:r>
      <w:r>
        <w:rPr>
          <w:lang w:val="es-ES_tradnl"/>
        </w:rPr>
        <w:t>,</w:t>
      </w:r>
      <w:r w:rsidRPr="008A106B">
        <w:rPr>
          <w:lang w:val="es-ES_tradnl"/>
        </w:rPr>
        <w:t xml:space="preserve"> tales como peritonitis purulenta generalizada, perforación gastrointestinal inferior, fístulas y abscesos. </w:t>
      </w:r>
    </w:p>
    <w:p w14:paraId="0BB6A8E1" w14:textId="77777777" w:rsidR="00DC224A" w:rsidRPr="008A106B" w:rsidRDefault="00DC224A" w:rsidP="00DC224A">
      <w:pPr>
        <w:rPr>
          <w:lang w:val="es-ES"/>
        </w:rPr>
      </w:pPr>
    </w:p>
    <w:p w14:paraId="7979809F" w14:textId="7B7A1608" w:rsidR="00DC224A" w:rsidRPr="00F30AB8" w:rsidRDefault="00DC224A" w:rsidP="00DC224A">
      <w:pPr>
        <w:ind w:left="567" w:hanging="567"/>
        <w:outlineLvl w:val="0"/>
        <w:rPr>
          <w:u w:val="single"/>
          <w:lang w:val="es-ES"/>
        </w:rPr>
      </w:pPr>
      <w:proofErr w:type="gramStart"/>
      <w:r w:rsidRPr="00F30AB8">
        <w:rPr>
          <w:i/>
          <w:iCs/>
          <w:u w:val="single"/>
          <w:lang w:val="es-ES_tradnl"/>
        </w:rPr>
        <w:t xml:space="preserve">Reacciones </w:t>
      </w:r>
      <w:r w:rsidR="00C2744E" w:rsidRPr="00F30AB8">
        <w:rPr>
          <w:i/>
          <w:iCs/>
          <w:u w:val="single"/>
          <w:lang w:val="es-ES_tradnl"/>
        </w:rPr>
        <w:t xml:space="preserve"> relacionadas</w:t>
      </w:r>
      <w:proofErr w:type="gramEnd"/>
      <w:r w:rsidR="00640FAC" w:rsidRPr="00F30AB8">
        <w:rPr>
          <w:i/>
          <w:iCs/>
          <w:u w:val="single"/>
          <w:lang w:val="es-ES_tradnl"/>
        </w:rPr>
        <w:t xml:space="preserve"> </w:t>
      </w:r>
      <w:r w:rsidR="00F72025" w:rsidRPr="00F30AB8">
        <w:rPr>
          <w:i/>
          <w:iCs/>
          <w:u w:val="single"/>
          <w:lang w:val="es-ES_tradnl"/>
        </w:rPr>
        <w:t>con</w:t>
      </w:r>
      <w:r w:rsidRPr="00F30AB8">
        <w:rPr>
          <w:i/>
          <w:iCs/>
          <w:u w:val="single"/>
          <w:lang w:val="es-ES_tradnl"/>
        </w:rPr>
        <w:t xml:space="preserve"> la </w:t>
      </w:r>
      <w:r w:rsidR="00C2744E" w:rsidRPr="00F30AB8">
        <w:rPr>
          <w:i/>
          <w:iCs/>
          <w:u w:val="single"/>
          <w:lang w:val="es-ES_tradnl"/>
        </w:rPr>
        <w:t>perfusión</w:t>
      </w:r>
    </w:p>
    <w:p w14:paraId="45485F81" w14:textId="15AC2832" w:rsidR="00DC224A" w:rsidRPr="008A106B" w:rsidRDefault="00DC224A" w:rsidP="00DC224A">
      <w:pPr>
        <w:rPr>
          <w:lang w:val="es-ES"/>
        </w:rPr>
      </w:pPr>
      <w:r w:rsidRPr="008A106B">
        <w:rPr>
          <w:lang w:val="es-ES_tradnl"/>
        </w:rPr>
        <w:t>En los e</w:t>
      </w:r>
      <w:r>
        <w:rPr>
          <w:lang w:val="es-ES_tradnl"/>
        </w:rPr>
        <w:t>nsay</w:t>
      </w:r>
      <w:r w:rsidRPr="008A106B">
        <w:rPr>
          <w:lang w:val="es-ES_tradnl"/>
        </w:rPr>
        <w:t xml:space="preserve">os controlados de 6 meses se notificaron acontecimientos adversos asociados a perfusión (acontecimientos seleccionados que se producen durante o dentro de las 24 horas después de la perfusión) el 6,9 % de los pacientes en el grupo de </w:t>
      </w:r>
      <w:r w:rsidR="00640FAC">
        <w:rPr>
          <w:szCs w:val="22"/>
          <w:lang w:val="es-ES"/>
        </w:rPr>
        <w:t>tocilizumab</w:t>
      </w:r>
      <w:r w:rsidRPr="00C555F2">
        <w:rPr>
          <w:szCs w:val="22"/>
          <w:lang w:val="es-ES"/>
        </w:rPr>
        <w:t xml:space="preserve"> </w:t>
      </w:r>
      <w:r w:rsidRPr="008A106B">
        <w:rPr>
          <w:lang w:val="es-ES_tradnl"/>
        </w:rPr>
        <w:t>8 mg/kg más FAMEs y el 5,1 % de los pacientes del grupo placebo más FAMEs.</w:t>
      </w:r>
      <w:r w:rsidRPr="008A106B">
        <w:rPr>
          <w:lang w:val="es-ES"/>
        </w:rPr>
        <w:t xml:space="preserve"> </w:t>
      </w:r>
      <w:r w:rsidRPr="008A106B">
        <w:rPr>
          <w:lang w:val="es-ES_tradnl"/>
        </w:rPr>
        <w:t>Los acontecimientos notificados durante la perfusión fueron fundamentalmente episodios de hipertensión; los acontecimientos notificados en el plazo de 24 horas desde la terminación de una perfusión fueron cefalea y reacciones cutáneas (erupción, urticaria).</w:t>
      </w:r>
      <w:r w:rsidRPr="008A106B">
        <w:rPr>
          <w:lang w:val="es-ES"/>
        </w:rPr>
        <w:t xml:space="preserve"> </w:t>
      </w:r>
      <w:r w:rsidRPr="008A106B">
        <w:rPr>
          <w:lang w:val="es-ES_tradnl"/>
        </w:rPr>
        <w:t>Estos acontecimientos no fueron limitantes para el tratamiento.</w:t>
      </w:r>
    </w:p>
    <w:p w14:paraId="0484A891" w14:textId="77777777" w:rsidR="00DC224A" w:rsidRPr="008A106B" w:rsidRDefault="00DC224A" w:rsidP="00DC224A">
      <w:pPr>
        <w:rPr>
          <w:lang w:val="es-ES"/>
        </w:rPr>
      </w:pPr>
    </w:p>
    <w:p w14:paraId="704367D6" w14:textId="01E8859A" w:rsidR="00DC224A" w:rsidRPr="008A106B" w:rsidRDefault="00DC224A" w:rsidP="00DC224A">
      <w:pPr>
        <w:rPr>
          <w:lang w:val="es-ES"/>
        </w:rPr>
      </w:pPr>
      <w:r w:rsidRPr="008A106B">
        <w:rPr>
          <w:lang w:val="es-ES_tradnl"/>
        </w:rPr>
        <w:t xml:space="preserve">La tasa de reacciones anafilácticas (que se produjeron en un total de </w:t>
      </w:r>
      <w:r>
        <w:rPr>
          <w:lang w:val="es-ES_tradnl"/>
        </w:rPr>
        <w:t>8</w:t>
      </w:r>
      <w:r w:rsidRPr="008A106B">
        <w:rPr>
          <w:lang w:val="es-ES_tradnl"/>
        </w:rPr>
        <w:t>/</w:t>
      </w:r>
      <w:r>
        <w:rPr>
          <w:lang w:val="es-ES_tradnl"/>
        </w:rPr>
        <w:t>4.009</w:t>
      </w:r>
      <w:r w:rsidRPr="008A106B">
        <w:rPr>
          <w:lang w:val="es-ES_tradnl"/>
        </w:rPr>
        <w:t xml:space="preserve"> pacientes, 0,2 %) fue varias veces más elevada con la dosis de 4 mg/kg que con la de 8 mg/kg.</w:t>
      </w:r>
      <w:r w:rsidRPr="008A106B">
        <w:rPr>
          <w:lang w:val="es-ES"/>
        </w:rPr>
        <w:t xml:space="preserve"> </w:t>
      </w:r>
      <w:r w:rsidRPr="008A106B">
        <w:rPr>
          <w:lang w:val="es-ES_tradnl"/>
        </w:rPr>
        <w:t xml:space="preserve">Se notificaron reacciones de hipersensibilidad clínicamente significativas asociadas a </w:t>
      </w:r>
      <w:r w:rsidR="00640FAC">
        <w:rPr>
          <w:szCs w:val="22"/>
          <w:lang w:val="es-ES"/>
        </w:rPr>
        <w:t>tocilizumab</w:t>
      </w:r>
      <w:r w:rsidRPr="006868F5">
        <w:rPr>
          <w:szCs w:val="22"/>
          <w:lang w:val="es-ES"/>
        </w:rPr>
        <w:t xml:space="preserve"> </w:t>
      </w:r>
      <w:r w:rsidRPr="008A106B">
        <w:rPr>
          <w:lang w:val="es-ES_tradnl"/>
        </w:rPr>
        <w:t xml:space="preserve">y que precisaron suspensión del tratamiento en un total de </w:t>
      </w:r>
      <w:r>
        <w:rPr>
          <w:lang w:val="es-ES_tradnl"/>
        </w:rPr>
        <w:t xml:space="preserve">56 </w:t>
      </w:r>
      <w:r w:rsidRPr="008A106B">
        <w:rPr>
          <w:lang w:val="es-ES_tradnl"/>
        </w:rPr>
        <w:t xml:space="preserve">de </w:t>
      </w:r>
      <w:r>
        <w:rPr>
          <w:lang w:val="es-ES_tradnl"/>
        </w:rPr>
        <w:t>4.009</w:t>
      </w:r>
      <w:r w:rsidRPr="008A106B">
        <w:rPr>
          <w:lang w:val="es-ES_tradnl"/>
        </w:rPr>
        <w:t xml:space="preserve"> pacientes (</w:t>
      </w:r>
      <w:r>
        <w:rPr>
          <w:lang w:val="es-ES_tradnl"/>
        </w:rPr>
        <w:t>1</w:t>
      </w:r>
      <w:r w:rsidRPr="008A106B">
        <w:rPr>
          <w:lang w:val="es-ES_tradnl"/>
        </w:rPr>
        <w:t>,</w:t>
      </w:r>
      <w:r>
        <w:rPr>
          <w:lang w:val="es-ES_tradnl"/>
        </w:rPr>
        <w:t>4</w:t>
      </w:r>
      <w:r w:rsidRPr="008A106B">
        <w:rPr>
          <w:lang w:val="es-ES_tradnl"/>
        </w:rPr>
        <w:t> %) tratados durante los e</w:t>
      </w:r>
      <w:r>
        <w:rPr>
          <w:lang w:val="es-ES_tradnl"/>
        </w:rPr>
        <w:t>nsay</w:t>
      </w:r>
      <w:r w:rsidRPr="008A106B">
        <w:rPr>
          <w:lang w:val="es-ES_tradnl"/>
        </w:rPr>
        <w:t>os clínicos controlados y abiertos.</w:t>
      </w:r>
      <w:r w:rsidRPr="008A106B">
        <w:rPr>
          <w:lang w:val="es-ES"/>
        </w:rPr>
        <w:t xml:space="preserve"> </w:t>
      </w:r>
      <w:r w:rsidRPr="008A106B">
        <w:rPr>
          <w:lang w:val="es-ES_tradnl"/>
        </w:rPr>
        <w:t xml:space="preserve">Estas reacciones se observaron generalmente de la segunda a la quinta perfusión de </w:t>
      </w:r>
      <w:r w:rsidR="00640FAC">
        <w:rPr>
          <w:szCs w:val="22"/>
          <w:lang w:val="es-ES"/>
        </w:rPr>
        <w:t>tocilizumab</w:t>
      </w:r>
      <w:r w:rsidRPr="00C555F2">
        <w:rPr>
          <w:szCs w:val="22"/>
          <w:lang w:val="es-ES"/>
        </w:rPr>
        <w:t xml:space="preserve"> </w:t>
      </w:r>
      <w:r w:rsidRPr="008A106B">
        <w:rPr>
          <w:lang w:val="es-ES_tradnl"/>
        </w:rPr>
        <w:t xml:space="preserve">(ver sección 4.4). </w:t>
      </w:r>
      <w:r w:rsidRPr="008A106B">
        <w:rPr>
          <w:szCs w:val="22"/>
          <w:lang w:val="es-ES"/>
        </w:rPr>
        <w:t xml:space="preserve">Se ha notificado una reacción de anafilaxia mortal durante el tratamiento con </w:t>
      </w:r>
      <w:r w:rsidR="00640FAC">
        <w:rPr>
          <w:szCs w:val="22"/>
          <w:lang w:val="es-ES"/>
        </w:rPr>
        <w:t>tocilizumab</w:t>
      </w:r>
      <w:r w:rsidRPr="006868F5">
        <w:rPr>
          <w:szCs w:val="22"/>
          <w:lang w:val="es-ES"/>
        </w:rPr>
        <w:t xml:space="preserve"> </w:t>
      </w:r>
      <w:ins w:id="1787" w:author="AUTHOR">
        <w:r w:rsidR="000F4E02">
          <w:rPr>
            <w:szCs w:val="22"/>
            <w:lang w:val="es-ES"/>
          </w:rPr>
          <w:t xml:space="preserve">intravenoso </w:t>
        </w:r>
      </w:ins>
      <w:r w:rsidRPr="008A106B">
        <w:rPr>
          <w:szCs w:val="22"/>
          <w:lang w:val="es-ES"/>
        </w:rPr>
        <w:t xml:space="preserve">después de la autorización de comercialización </w:t>
      </w:r>
      <w:r w:rsidRPr="008A106B">
        <w:rPr>
          <w:lang w:val="es-ES_tradnl"/>
        </w:rPr>
        <w:t>(ver sección</w:t>
      </w:r>
      <w:r w:rsidR="00505928">
        <w:rPr>
          <w:lang w:val="es-ES_tradnl"/>
        </w:rPr>
        <w:t> </w:t>
      </w:r>
      <w:r w:rsidRPr="008A106B">
        <w:rPr>
          <w:lang w:val="es-ES_tradnl"/>
        </w:rPr>
        <w:t>4.4).</w:t>
      </w:r>
    </w:p>
    <w:p w14:paraId="64F3808A" w14:textId="77777777" w:rsidR="00DC224A" w:rsidRPr="008A106B" w:rsidRDefault="00DC224A" w:rsidP="00DC224A">
      <w:pPr>
        <w:rPr>
          <w:lang w:val="es-ES"/>
        </w:rPr>
      </w:pPr>
    </w:p>
    <w:p w14:paraId="6C971B73" w14:textId="77777777" w:rsidR="00DC224A" w:rsidRPr="00F30AB8" w:rsidRDefault="00DC224A" w:rsidP="00DC224A">
      <w:pPr>
        <w:ind w:left="567" w:hanging="567"/>
        <w:outlineLvl w:val="0"/>
        <w:rPr>
          <w:u w:val="single"/>
          <w:lang w:val="es-ES"/>
        </w:rPr>
      </w:pPr>
      <w:r w:rsidRPr="00F30AB8">
        <w:rPr>
          <w:i/>
          <w:iCs/>
          <w:u w:val="single"/>
          <w:lang w:val="es-ES_tradnl"/>
        </w:rPr>
        <w:t>Inmunogeni</w:t>
      </w:r>
      <w:r w:rsidR="00D54DB5" w:rsidRPr="00F30AB8">
        <w:rPr>
          <w:i/>
          <w:iCs/>
          <w:u w:val="single"/>
          <w:lang w:val="es-ES_tradnl"/>
        </w:rPr>
        <w:t>cidad</w:t>
      </w:r>
      <w:r w:rsidRPr="00F30AB8">
        <w:rPr>
          <w:i/>
          <w:iCs/>
          <w:u w:val="single"/>
          <w:lang w:val="es-ES"/>
        </w:rPr>
        <w:t xml:space="preserve"> </w:t>
      </w:r>
    </w:p>
    <w:p w14:paraId="7C050B80" w14:textId="2922F4C1" w:rsidR="00DC224A" w:rsidRPr="008A106B" w:rsidRDefault="00DC224A" w:rsidP="00DC224A">
      <w:pPr>
        <w:outlineLvl w:val="0"/>
        <w:rPr>
          <w:lang w:val="es-ES"/>
        </w:rPr>
      </w:pPr>
      <w:r w:rsidRPr="008A106B">
        <w:rPr>
          <w:lang w:val="es-ES_tradnl"/>
        </w:rPr>
        <w:t>En ensayos clínicos controlados de 6 meses se ha estudiado un total de 2</w:t>
      </w:r>
      <w:r>
        <w:rPr>
          <w:lang w:val="es-ES_tradnl"/>
        </w:rPr>
        <w:t>.</w:t>
      </w:r>
      <w:r w:rsidRPr="008A106B">
        <w:rPr>
          <w:lang w:val="es-ES_tradnl"/>
        </w:rPr>
        <w:t>876</w:t>
      </w:r>
      <w:r w:rsidR="00B86A58">
        <w:rPr>
          <w:lang w:val="es-ES_tradnl"/>
        </w:rPr>
        <w:t> </w:t>
      </w:r>
      <w:r w:rsidRPr="008A106B">
        <w:rPr>
          <w:lang w:val="es-ES_tradnl"/>
        </w:rPr>
        <w:t>pacientes en cuanto a anticuerpos anti-</w:t>
      </w:r>
      <w:r w:rsidR="00640FAC">
        <w:rPr>
          <w:szCs w:val="22"/>
          <w:lang w:val="es-ES"/>
        </w:rPr>
        <w:t>tocilizumab</w:t>
      </w:r>
      <w:r w:rsidRPr="008A106B">
        <w:rPr>
          <w:lang w:val="es-ES_tradnl"/>
        </w:rPr>
        <w:t>.</w:t>
      </w:r>
      <w:r w:rsidRPr="008A106B">
        <w:rPr>
          <w:lang w:val="es-ES"/>
        </w:rPr>
        <w:t xml:space="preserve"> </w:t>
      </w:r>
      <w:r w:rsidR="00705E78">
        <w:rPr>
          <w:lang w:val="es-ES_tradnl"/>
        </w:rPr>
        <w:t>46</w:t>
      </w:r>
      <w:r w:rsidRPr="008A106B">
        <w:rPr>
          <w:lang w:val="es-ES_tradnl"/>
        </w:rPr>
        <w:t xml:space="preserve"> pacientes (1,6 %) desarrollaron anticuerpos anti-</w:t>
      </w:r>
      <w:r w:rsidR="00640FAC">
        <w:rPr>
          <w:szCs w:val="22"/>
          <w:lang w:val="es-ES"/>
        </w:rPr>
        <w:t>tocilizumab</w:t>
      </w:r>
      <w:r>
        <w:rPr>
          <w:lang w:val="es-ES_tradnl"/>
        </w:rPr>
        <w:t>,</w:t>
      </w:r>
      <w:r w:rsidRPr="008A106B">
        <w:rPr>
          <w:lang w:val="es-ES_tradnl"/>
        </w:rPr>
        <w:t xml:space="preserve"> de los cuales 6 tuvieron una reacción de hipersensibilidad asociada y médicamente significativa, que en </w:t>
      </w:r>
      <w:r>
        <w:rPr>
          <w:lang w:val="es-ES_tradnl"/>
        </w:rPr>
        <w:t>5</w:t>
      </w:r>
      <w:r w:rsidRPr="008A106B">
        <w:rPr>
          <w:lang w:val="es-ES_tradnl"/>
        </w:rPr>
        <w:t xml:space="preserve"> de los casos condujo a la retirada</w:t>
      </w:r>
      <w:r>
        <w:rPr>
          <w:lang w:val="es-ES_tradnl"/>
        </w:rPr>
        <w:t xml:space="preserve"> del tratamiento</w:t>
      </w:r>
      <w:r w:rsidRPr="008A106B">
        <w:rPr>
          <w:lang w:val="es-ES_tradnl"/>
        </w:rPr>
        <w:t>.</w:t>
      </w:r>
      <w:r w:rsidRPr="008A106B">
        <w:rPr>
          <w:lang w:val="es-ES"/>
        </w:rPr>
        <w:t xml:space="preserve"> </w:t>
      </w:r>
      <w:r w:rsidRPr="008A106B">
        <w:rPr>
          <w:lang w:val="es-ES_tradnl"/>
        </w:rPr>
        <w:t>Treinta pacientes (1,1 %) desarrollaron anticuerpos neutraliza</w:t>
      </w:r>
      <w:ins w:id="1788" w:author="AUTHOR">
        <w:r w:rsidR="000F4E02">
          <w:rPr>
            <w:lang w:val="es-ES_tradnl"/>
          </w:rPr>
          <w:t>ntes</w:t>
        </w:r>
      </w:ins>
      <w:del w:id="1789" w:author="AUTHOR">
        <w:r w:rsidRPr="008A106B" w:rsidDel="000F4E02">
          <w:rPr>
            <w:lang w:val="es-ES_tradnl"/>
          </w:rPr>
          <w:delText>dores</w:delText>
        </w:r>
      </w:del>
      <w:r w:rsidRPr="008A106B">
        <w:rPr>
          <w:lang w:val="es-ES_tradnl"/>
        </w:rPr>
        <w:t xml:space="preserve">. </w:t>
      </w:r>
    </w:p>
    <w:p w14:paraId="68973019" w14:textId="77777777" w:rsidR="00DC224A" w:rsidRPr="008A106B" w:rsidRDefault="00DC224A" w:rsidP="00DC224A">
      <w:pPr>
        <w:rPr>
          <w:lang w:val="es-ES"/>
        </w:rPr>
      </w:pPr>
    </w:p>
    <w:p w14:paraId="77616F92" w14:textId="77777777" w:rsidR="00DC224A" w:rsidRPr="00F30AB8" w:rsidRDefault="00DC224A" w:rsidP="00484513">
      <w:pPr>
        <w:keepNext/>
        <w:keepLines/>
        <w:ind w:left="567" w:hanging="567"/>
        <w:outlineLvl w:val="0"/>
        <w:rPr>
          <w:i/>
          <w:iCs/>
          <w:u w:val="single"/>
          <w:lang w:val="es-ES"/>
        </w:rPr>
      </w:pPr>
      <w:r w:rsidRPr="00F30AB8">
        <w:rPr>
          <w:i/>
          <w:iCs/>
          <w:u w:val="single"/>
          <w:lang w:val="es-ES_tradnl"/>
        </w:rPr>
        <w:lastRenderedPageBreak/>
        <w:t>Neutrófilos</w:t>
      </w:r>
    </w:p>
    <w:p w14:paraId="7002307E" w14:textId="750C37FA" w:rsidR="00DC224A" w:rsidRPr="008A106B" w:rsidRDefault="00DC224A" w:rsidP="00484513">
      <w:pPr>
        <w:keepNext/>
        <w:keepLines/>
        <w:rPr>
          <w:lang w:val="es-ES"/>
        </w:rPr>
      </w:pPr>
      <w:r w:rsidRPr="008A106B">
        <w:rPr>
          <w:lang w:val="es-ES_tradnl"/>
        </w:rPr>
        <w:t xml:space="preserve">En los ensayos clínicos controlados de 6 meses se produjeron descensos de los recuentos de neutrófilos por debajo de 1 </w:t>
      </w:r>
      <w:r w:rsidR="00640FAC" w:rsidRPr="00B65EA9">
        <w:rPr>
          <w:rFonts w:eastAsia="MS Mincho"/>
          <w:szCs w:val="22"/>
          <w:lang w:val="en-GB"/>
        </w:rPr>
        <w:sym w:font="Symbol" w:char="F0B4"/>
      </w:r>
      <w:r w:rsidRPr="008A106B">
        <w:rPr>
          <w:lang w:val="es-ES_tradnl"/>
        </w:rPr>
        <w:t xml:space="preserve"> 10</w:t>
      </w:r>
      <w:r w:rsidRPr="008A106B">
        <w:rPr>
          <w:vertAlign w:val="superscript"/>
          <w:lang w:val="es-ES_tradnl"/>
        </w:rPr>
        <w:t>9</w:t>
      </w:r>
      <w:r w:rsidRPr="008A106B">
        <w:rPr>
          <w:lang w:val="es-ES_tradnl"/>
        </w:rPr>
        <w:t xml:space="preserve">/l en el 3,4 % de los pacientes tratados con </w:t>
      </w:r>
      <w:r w:rsidR="00640FAC">
        <w:rPr>
          <w:szCs w:val="22"/>
          <w:lang w:val="es-ES"/>
        </w:rPr>
        <w:t>tocilizumab</w:t>
      </w:r>
      <w:r w:rsidRPr="006868F5">
        <w:rPr>
          <w:szCs w:val="22"/>
          <w:lang w:val="es-ES"/>
        </w:rPr>
        <w:t xml:space="preserve"> </w:t>
      </w:r>
      <w:r w:rsidRPr="008A106B">
        <w:rPr>
          <w:lang w:val="es-ES_tradnl"/>
        </w:rPr>
        <w:t>8 mg/kg más FAMEs</w:t>
      </w:r>
      <w:r>
        <w:rPr>
          <w:lang w:val="es-ES_tradnl"/>
        </w:rPr>
        <w:t>,</w:t>
      </w:r>
      <w:r w:rsidRPr="008A106B">
        <w:rPr>
          <w:lang w:val="es-ES_tradnl"/>
        </w:rPr>
        <w:t xml:space="preserve"> en comparación con </w:t>
      </w:r>
      <w:r w:rsidR="00640FAC" w:rsidRPr="00B65EA9">
        <w:rPr>
          <w:rFonts w:eastAsia="MS Mincho"/>
          <w:szCs w:val="22"/>
          <w:lang w:val="en-GB"/>
        </w:rPr>
        <w:sym w:font="Symbol" w:char="F03C"/>
      </w:r>
      <w:r w:rsidRPr="008A106B">
        <w:rPr>
          <w:lang w:val="es-ES_tradnl"/>
        </w:rPr>
        <w:t xml:space="preserve"> 0,1 % de los pacientes con placebo más FAMEs.</w:t>
      </w:r>
      <w:r w:rsidRPr="008A106B">
        <w:rPr>
          <w:lang w:val="es-ES"/>
        </w:rPr>
        <w:t xml:space="preserve"> </w:t>
      </w:r>
      <w:r w:rsidRPr="008A106B">
        <w:rPr>
          <w:lang w:val="es-ES_tradnl"/>
        </w:rPr>
        <w:t xml:space="preserve">Aproximadamente la mitad de los pacientes que desarrollaron RAN </w:t>
      </w:r>
      <w:r w:rsidR="00640FAC" w:rsidRPr="00B65EA9">
        <w:rPr>
          <w:rFonts w:eastAsia="MS Mincho"/>
          <w:szCs w:val="22"/>
          <w:lang w:val="en-GB"/>
        </w:rPr>
        <w:sym w:font="Symbol" w:char="F03C"/>
      </w:r>
      <w:r w:rsidRPr="008A106B">
        <w:rPr>
          <w:lang w:val="es-ES_tradnl"/>
        </w:rPr>
        <w:t xml:space="preserve"> 1 </w:t>
      </w:r>
      <w:r w:rsidR="00640FAC" w:rsidRPr="00B65EA9">
        <w:rPr>
          <w:rFonts w:eastAsia="MS Mincho"/>
          <w:szCs w:val="22"/>
          <w:lang w:val="en-GB"/>
        </w:rPr>
        <w:sym w:font="Symbol" w:char="F0B4"/>
      </w:r>
      <w:r w:rsidRPr="008A106B">
        <w:rPr>
          <w:lang w:val="es-ES_tradnl"/>
        </w:rPr>
        <w:t xml:space="preserve"> 10</w:t>
      </w:r>
      <w:r w:rsidRPr="008A106B">
        <w:rPr>
          <w:vertAlign w:val="superscript"/>
          <w:lang w:val="es-ES_tradnl"/>
        </w:rPr>
        <w:t>9</w:t>
      </w:r>
      <w:r w:rsidRPr="008A106B">
        <w:rPr>
          <w:lang w:val="es-ES_tradnl"/>
        </w:rPr>
        <w:t>/l lo hicieron en el plazo de 8 semanas después de comenzar el tratamiento.</w:t>
      </w:r>
      <w:r w:rsidRPr="008A106B">
        <w:rPr>
          <w:lang w:val="es-ES"/>
        </w:rPr>
        <w:t xml:space="preserve"> </w:t>
      </w:r>
      <w:r w:rsidRPr="008A106B">
        <w:rPr>
          <w:lang w:val="es-ES_tradnl"/>
        </w:rPr>
        <w:t>Se notificaron descensos por debajo de 0,5 x 10</w:t>
      </w:r>
      <w:r w:rsidRPr="008A106B">
        <w:rPr>
          <w:vertAlign w:val="superscript"/>
          <w:lang w:val="es-ES_tradnl"/>
        </w:rPr>
        <w:t>9</w:t>
      </w:r>
      <w:r w:rsidRPr="008A106B">
        <w:rPr>
          <w:lang w:val="es-ES_tradnl"/>
        </w:rPr>
        <w:t xml:space="preserve">/l en el 0,3 % de los pacientes que recibieron </w:t>
      </w:r>
      <w:r w:rsidR="00B86A58">
        <w:rPr>
          <w:szCs w:val="22"/>
          <w:lang w:val="es-ES"/>
        </w:rPr>
        <w:t>tocilizumab</w:t>
      </w:r>
      <w:r w:rsidR="00B86A58" w:rsidRPr="006868F5">
        <w:rPr>
          <w:szCs w:val="22"/>
          <w:lang w:val="es-ES"/>
        </w:rPr>
        <w:t xml:space="preserve"> </w:t>
      </w:r>
      <w:r w:rsidRPr="008A106B">
        <w:rPr>
          <w:lang w:val="es-ES_tradnl"/>
        </w:rPr>
        <w:t>8 mg/kg más FAMEs.</w:t>
      </w:r>
      <w:r w:rsidRPr="008A106B">
        <w:rPr>
          <w:lang w:val="es-ES"/>
        </w:rPr>
        <w:t xml:space="preserve"> </w:t>
      </w:r>
      <w:r w:rsidRPr="008A106B">
        <w:rPr>
          <w:lang w:val="es-ES_tradnl"/>
        </w:rPr>
        <w:t>Se han notificado casos de infecciones con neutropenia</w:t>
      </w:r>
      <w:r w:rsidRPr="008A106B">
        <w:rPr>
          <w:lang w:val="es-ES"/>
        </w:rPr>
        <w:t xml:space="preserve">. </w:t>
      </w:r>
    </w:p>
    <w:p w14:paraId="1F0B46BD" w14:textId="77777777" w:rsidR="00DC224A" w:rsidRPr="008A106B" w:rsidRDefault="00DC224A" w:rsidP="00484513">
      <w:pPr>
        <w:keepNext/>
        <w:keepLines/>
        <w:rPr>
          <w:lang w:val="es-ES"/>
        </w:rPr>
      </w:pPr>
    </w:p>
    <w:p w14:paraId="0EA588F8" w14:textId="77777777" w:rsidR="00DC224A" w:rsidRPr="008A106B" w:rsidRDefault="00DC224A" w:rsidP="00484513">
      <w:pPr>
        <w:keepNext/>
        <w:keepLines/>
        <w:autoSpaceDE w:val="0"/>
        <w:autoSpaceDN w:val="0"/>
        <w:adjustRightInd w:val="0"/>
        <w:rPr>
          <w:lang w:val="es-ES"/>
        </w:rPr>
      </w:pPr>
      <w:r w:rsidRPr="008A106B">
        <w:rPr>
          <w:lang w:val="es-ES"/>
        </w:rPr>
        <w:t>Durante el periodo controlado doble ciego y en el periodo de exposición a largo plazo, el patrón y la incidencia de descensos en los recuentos de neutrófilos continuaron en línea con lo observado en los 6 meses de ensayos clínicos controlados.</w:t>
      </w:r>
    </w:p>
    <w:p w14:paraId="7F84506E" w14:textId="77777777" w:rsidR="00DC224A" w:rsidRPr="008A106B" w:rsidRDefault="00DC224A" w:rsidP="00484513">
      <w:pPr>
        <w:keepNext/>
        <w:keepLines/>
        <w:autoSpaceDE w:val="0"/>
        <w:autoSpaceDN w:val="0"/>
        <w:adjustRightInd w:val="0"/>
        <w:rPr>
          <w:lang w:val="es-ES"/>
        </w:rPr>
      </w:pPr>
    </w:p>
    <w:p w14:paraId="120E90F6" w14:textId="77777777" w:rsidR="00DC224A" w:rsidRPr="00F30AB8" w:rsidRDefault="00DC224A" w:rsidP="00484513">
      <w:pPr>
        <w:keepNext/>
        <w:keepLines/>
        <w:autoSpaceDE w:val="0"/>
        <w:autoSpaceDN w:val="0"/>
        <w:adjustRightInd w:val="0"/>
        <w:rPr>
          <w:i/>
          <w:u w:val="single"/>
          <w:lang w:val="es-ES"/>
        </w:rPr>
      </w:pPr>
      <w:r w:rsidRPr="00F30AB8">
        <w:rPr>
          <w:i/>
          <w:u w:val="single"/>
          <w:lang w:val="es-ES"/>
        </w:rPr>
        <w:t xml:space="preserve">Plaquetas </w:t>
      </w:r>
    </w:p>
    <w:p w14:paraId="53DBF0BA" w14:textId="41E3F02E" w:rsidR="00DC224A" w:rsidRPr="008A106B" w:rsidRDefault="00DC224A" w:rsidP="00484513">
      <w:pPr>
        <w:keepNext/>
        <w:keepLines/>
        <w:autoSpaceDE w:val="0"/>
        <w:autoSpaceDN w:val="0"/>
        <w:adjustRightInd w:val="0"/>
        <w:rPr>
          <w:sz w:val="20"/>
          <w:lang w:val="es-ES"/>
        </w:rPr>
      </w:pPr>
      <w:r w:rsidRPr="008A106B">
        <w:rPr>
          <w:lang w:val="es-ES_tradnl"/>
        </w:rPr>
        <w:t>En los ensayos clínicos controlados de 6 meses</w:t>
      </w:r>
      <w:r>
        <w:rPr>
          <w:lang w:val="es-ES_tradnl"/>
        </w:rPr>
        <w:t>,</w:t>
      </w:r>
      <w:r w:rsidRPr="008A106B">
        <w:rPr>
          <w:lang w:val="es-ES_tradnl"/>
        </w:rPr>
        <w:t xml:space="preserve"> se produjeron descensos de los recuentos de plaquetas por debajo de 100 </w:t>
      </w:r>
      <w:r w:rsidR="00640FAC" w:rsidRPr="00B65EA9">
        <w:rPr>
          <w:rFonts w:eastAsia="MS Mincho"/>
          <w:szCs w:val="22"/>
          <w:lang w:val="en-GB"/>
        </w:rPr>
        <w:sym w:font="Symbol" w:char="F0B4"/>
      </w:r>
      <w:r w:rsidRPr="008A106B">
        <w:rPr>
          <w:lang w:val="es-ES_tradnl"/>
        </w:rPr>
        <w:t xml:space="preserve"> 10</w:t>
      </w:r>
      <w:r w:rsidRPr="008A106B">
        <w:rPr>
          <w:vertAlign w:val="superscript"/>
          <w:lang w:val="es-ES_tradnl"/>
        </w:rPr>
        <w:t>3</w:t>
      </w:r>
      <w:r w:rsidRPr="008A106B">
        <w:rPr>
          <w:lang w:val="es-ES_tradnl"/>
        </w:rPr>
        <w:t xml:space="preserve">/μl en el 1,7 % de los pacientes tratados con </w:t>
      </w:r>
      <w:r w:rsidR="00B86A58">
        <w:rPr>
          <w:szCs w:val="22"/>
          <w:lang w:val="es-ES"/>
        </w:rPr>
        <w:t>tocilizumab</w:t>
      </w:r>
      <w:r w:rsidR="00B86A58" w:rsidRPr="006868F5">
        <w:rPr>
          <w:szCs w:val="22"/>
          <w:lang w:val="es-ES"/>
        </w:rPr>
        <w:t xml:space="preserve"> </w:t>
      </w:r>
      <w:r w:rsidRPr="008A106B">
        <w:rPr>
          <w:lang w:val="es-ES_tradnl"/>
        </w:rPr>
        <w:t>8 mg/kg más FAMEs</w:t>
      </w:r>
      <w:r>
        <w:rPr>
          <w:lang w:val="es-ES_tradnl"/>
        </w:rPr>
        <w:t>,</w:t>
      </w:r>
      <w:r w:rsidRPr="008A106B">
        <w:rPr>
          <w:lang w:val="es-ES_tradnl"/>
        </w:rPr>
        <w:t xml:space="preserve"> en comparación con </w:t>
      </w:r>
      <w:r w:rsidR="00640FAC" w:rsidRPr="00B65EA9">
        <w:rPr>
          <w:rFonts w:eastAsia="MS Mincho"/>
          <w:szCs w:val="22"/>
          <w:lang w:val="en-GB"/>
        </w:rPr>
        <w:sym w:font="Symbol" w:char="F03C"/>
      </w:r>
      <w:r w:rsidR="00640FAC" w:rsidRPr="00F30AB8">
        <w:rPr>
          <w:rFonts w:eastAsia="MS Mincho"/>
          <w:sz w:val="10"/>
          <w:szCs w:val="22"/>
          <w:lang w:val="es-ES"/>
        </w:rPr>
        <w:t> </w:t>
      </w:r>
      <w:r w:rsidRPr="008A106B">
        <w:rPr>
          <w:lang w:val="es-ES_tradnl"/>
        </w:rPr>
        <w:t xml:space="preserve"> 1 % de los pacientes con placebo más FAMEs.</w:t>
      </w:r>
      <w:r w:rsidRPr="008A106B">
        <w:rPr>
          <w:lang w:val="es-ES"/>
        </w:rPr>
        <w:t xml:space="preserve"> </w:t>
      </w:r>
      <w:r w:rsidRPr="008A106B">
        <w:rPr>
          <w:lang w:val="es-ES_tradnl"/>
        </w:rPr>
        <w:t>Estos descensos se produjeron sin episodios hemorrágicos asociados.</w:t>
      </w:r>
    </w:p>
    <w:p w14:paraId="37AEF4B9" w14:textId="77777777" w:rsidR="00DC224A" w:rsidRPr="008A106B" w:rsidRDefault="00DC224A" w:rsidP="00484513">
      <w:pPr>
        <w:keepNext/>
        <w:keepLines/>
        <w:autoSpaceDE w:val="0"/>
        <w:autoSpaceDN w:val="0"/>
        <w:adjustRightInd w:val="0"/>
        <w:rPr>
          <w:lang w:val="es-ES"/>
        </w:rPr>
      </w:pPr>
    </w:p>
    <w:p w14:paraId="4DEF3F4A" w14:textId="77777777" w:rsidR="00DC224A" w:rsidRPr="008A106B" w:rsidRDefault="00DC224A" w:rsidP="00484513">
      <w:pPr>
        <w:keepNext/>
        <w:keepLines/>
        <w:rPr>
          <w:lang w:val="es-ES"/>
        </w:rPr>
      </w:pPr>
      <w:r w:rsidRPr="008A106B">
        <w:rPr>
          <w:lang w:val="es-ES"/>
        </w:rPr>
        <w:t>Durante el periodo controlado doble ciego y en el periodo de exposición a largo plazo, el patrón y la incidencia de descensos en los recuentos de plaquetas continuaron en línea con lo observado en los 6 meses de ensayos clínicos controlados.</w:t>
      </w:r>
    </w:p>
    <w:p w14:paraId="6E5BCACE" w14:textId="77777777" w:rsidR="00DC224A" w:rsidRPr="008A106B" w:rsidRDefault="00DC224A" w:rsidP="00DC224A">
      <w:pPr>
        <w:rPr>
          <w:lang w:val="es-ES"/>
        </w:rPr>
      </w:pPr>
    </w:p>
    <w:p w14:paraId="52802145" w14:textId="77777777" w:rsidR="00DC224A" w:rsidRPr="008A106B" w:rsidRDefault="00DC224A" w:rsidP="00DC224A">
      <w:pPr>
        <w:rPr>
          <w:lang w:val="es-ES"/>
        </w:rPr>
      </w:pPr>
      <w:r w:rsidRPr="008A106B">
        <w:rPr>
          <w:lang w:val="es-ES"/>
        </w:rPr>
        <w:t>Se han notificado casos muy poco frecuentes de pancitopenia durante la comercialización</w:t>
      </w:r>
      <w:r>
        <w:rPr>
          <w:lang w:val="es-ES"/>
        </w:rPr>
        <w:t>.</w:t>
      </w:r>
    </w:p>
    <w:p w14:paraId="18892537" w14:textId="77777777" w:rsidR="00DC224A" w:rsidRPr="008A106B" w:rsidRDefault="00DC224A" w:rsidP="00DC224A">
      <w:pPr>
        <w:rPr>
          <w:lang w:val="es-ES"/>
        </w:rPr>
      </w:pPr>
    </w:p>
    <w:p w14:paraId="60657DF4" w14:textId="77777777" w:rsidR="00DC224A" w:rsidRPr="00F30AB8" w:rsidRDefault="00DC224A" w:rsidP="00DC224A">
      <w:pPr>
        <w:ind w:left="567" w:hanging="567"/>
        <w:outlineLvl w:val="0"/>
        <w:rPr>
          <w:i/>
          <w:iCs/>
          <w:u w:val="single"/>
          <w:lang w:val="es-ES"/>
        </w:rPr>
      </w:pPr>
      <w:r w:rsidRPr="00F30AB8">
        <w:rPr>
          <w:i/>
          <w:iCs/>
          <w:u w:val="single"/>
          <w:lang w:val="es-ES_tradnl"/>
        </w:rPr>
        <w:t>Elevaciones de las transaminasas hepáticas</w:t>
      </w:r>
    </w:p>
    <w:p w14:paraId="309DE4B7" w14:textId="56FD02B2" w:rsidR="00DC224A" w:rsidRPr="008A106B" w:rsidRDefault="00DC224A" w:rsidP="00DC224A">
      <w:pPr>
        <w:rPr>
          <w:lang w:val="es-ES"/>
        </w:rPr>
      </w:pPr>
      <w:r w:rsidRPr="008A106B">
        <w:rPr>
          <w:lang w:val="es-ES_tradnl"/>
        </w:rPr>
        <w:t>Durante los ensayos clínicos controlados de 6 meses</w:t>
      </w:r>
      <w:r>
        <w:rPr>
          <w:lang w:val="es-ES_tradnl"/>
        </w:rPr>
        <w:t>,</w:t>
      </w:r>
      <w:r w:rsidRPr="008A106B">
        <w:rPr>
          <w:lang w:val="es-ES_tradnl"/>
        </w:rPr>
        <w:t xml:space="preserve"> se observaron </w:t>
      </w:r>
      <w:r>
        <w:rPr>
          <w:lang w:val="es-ES_tradnl"/>
        </w:rPr>
        <w:t>elevaciones transitorias de ALT/</w:t>
      </w:r>
      <w:r w:rsidRPr="008A106B">
        <w:rPr>
          <w:lang w:val="es-ES_tradnl"/>
        </w:rPr>
        <w:t xml:space="preserve">AST </w:t>
      </w:r>
      <w:r w:rsidR="00640FAC" w:rsidRPr="00B65EA9">
        <w:rPr>
          <w:rFonts w:eastAsia="MS Mincho"/>
          <w:szCs w:val="22"/>
          <w:lang w:val="en-GB"/>
        </w:rPr>
        <w:sym w:font="Symbol" w:char="F03E"/>
      </w:r>
      <w:r w:rsidRPr="008A106B">
        <w:rPr>
          <w:lang w:val="es-ES_tradnl"/>
        </w:rPr>
        <w:t xml:space="preserve"> 3 </w:t>
      </w:r>
      <w:r w:rsidR="00640FAC" w:rsidRPr="00B65EA9">
        <w:rPr>
          <w:rFonts w:eastAsia="MS Mincho"/>
          <w:szCs w:val="22"/>
          <w:lang w:val="en-GB"/>
        </w:rPr>
        <w:sym w:font="Symbol" w:char="F0B4"/>
      </w:r>
      <w:r w:rsidRPr="008A106B">
        <w:rPr>
          <w:lang w:val="es-ES_tradnl"/>
        </w:rPr>
        <w:t xml:space="preserve"> LSN en el 2,1 % de los pacientes con </w:t>
      </w:r>
      <w:r w:rsidR="00640FAC" w:rsidRPr="00F30AB8">
        <w:rPr>
          <w:szCs w:val="22"/>
          <w:lang w:val="es-ES"/>
        </w:rPr>
        <w:t>tocilizumab</w:t>
      </w:r>
      <w:r w:rsidRPr="006868F5">
        <w:rPr>
          <w:szCs w:val="22"/>
          <w:lang w:val="es-ES"/>
        </w:rPr>
        <w:t xml:space="preserve"> </w:t>
      </w:r>
      <w:r w:rsidRPr="008A106B">
        <w:rPr>
          <w:lang w:val="es-ES_tradnl"/>
        </w:rPr>
        <w:t xml:space="preserve">8 mg/kg en comparación con el 4,9 % de los pacientes con MTX y en el 6,5 % de los pacientes que recibieron 8 mg/kg de </w:t>
      </w:r>
      <w:r w:rsidR="00640FAC" w:rsidRPr="00F30AB8">
        <w:rPr>
          <w:szCs w:val="22"/>
          <w:lang w:val="es-ES"/>
        </w:rPr>
        <w:t>tocilizumab</w:t>
      </w:r>
      <w:r w:rsidRPr="006868F5">
        <w:rPr>
          <w:szCs w:val="22"/>
          <w:lang w:val="es-ES"/>
        </w:rPr>
        <w:t xml:space="preserve"> </w:t>
      </w:r>
      <w:r w:rsidRPr="008A106B">
        <w:rPr>
          <w:lang w:val="es-ES_tradnl"/>
        </w:rPr>
        <w:t>más FAMEs en comparación con el 1,5 % de los pacientes con placebo más FAMEs.</w:t>
      </w:r>
    </w:p>
    <w:p w14:paraId="345C099D" w14:textId="77777777" w:rsidR="00DC224A" w:rsidRPr="008A106B" w:rsidRDefault="00DC224A" w:rsidP="00DC224A">
      <w:pPr>
        <w:rPr>
          <w:lang w:val="es-ES"/>
        </w:rPr>
      </w:pPr>
    </w:p>
    <w:p w14:paraId="49E98A4D" w14:textId="0A55DC5A" w:rsidR="00DC224A" w:rsidRPr="008A106B" w:rsidRDefault="00DC224A" w:rsidP="00DC224A">
      <w:pPr>
        <w:rPr>
          <w:lang w:val="es-ES"/>
        </w:rPr>
      </w:pPr>
      <w:r w:rsidRPr="00D528B7">
        <w:rPr>
          <w:lang w:val="es-ES_tradnl"/>
        </w:rPr>
        <w:t xml:space="preserve">La adición de </w:t>
      </w:r>
      <w:r w:rsidR="00640FAC">
        <w:rPr>
          <w:lang w:val="es-ES_tradnl"/>
        </w:rPr>
        <w:t>medicamentos</w:t>
      </w:r>
      <w:r w:rsidR="00640FAC" w:rsidRPr="00D528B7">
        <w:rPr>
          <w:lang w:val="es-ES_tradnl"/>
        </w:rPr>
        <w:t xml:space="preserve"> </w:t>
      </w:r>
      <w:r w:rsidRPr="00D528B7">
        <w:rPr>
          <w:lang w:val="es-ES_tradnl"/>
        </w:rPr>
        <w:t>potencialmente hepatotóxicos</w:t>
      </w:r>
      <w:r w:rsidRPr="008A106B">
        <w:rPr>
          <w:lang w:val="es-ES_tradnl"/>
        </w:rPr>
        <w:t xml:space="preserve"> (p. ej., MTX) a la monoterapia con </w:t>
      </w:r>
      <w:r w:rsidR="00640FAC" w:rsidRPr="00F30AB8">
        <w:rPr>
          <w:szCs w:val="22"/>
          <w:lang w:val="es-ES"/>
        </w:rPr>
        <w:t>tocilizumab</w:t>
      </w:r>
      <w:r w:rsidRPr="008A106B">
        <w:rPr>
          <w:lang w:val="es-ES_tradnl"/>
        </w:rPr>
        <w:t xml:space="preserve"> produjo aumento de la frecuencia de estas elevaciones.</w:t>
      </w:r>
      <w:r w:rsidRPr="008A106B">
        <w:rPr>
          <w:lang w:val="es-ES"/>
        </w:rPr>
        <w:t xml:space="preserve"> </w:t>
      </w:r>
      <w:r w:rsidRPr="008A106B">
        <w:rPr>
          <w:lang w:val="es-ES_tradnl"/>
        </w:rPr>
        <w:t>S</w:t>
      </w:r>
      <w:r>
        <w:rPr>
          <w:lang w:val="es-ES_tradnl"/>
        </w:rPr>
        <w:t xml:space="preserve">e observaron elevaciones de </w:t>
      </w:r>
      <w:r w:rsidRPr="00AB3513">
        <w:rPr>
          <w:lang w:val="es-ES_tradnl"/>
          <w:rPrChange w:id="1790" w:author="TCS" w:date="2026-03-19T15:09:00Z">
            <w:rPr>
              <w:lang w:val="es-ES_tradnl"/>
            </w:rPr>
          </w:rPrChange>
        </w:rPr>
        <w:t xml:space="preserve">ALT/AST </w:t>
      </w:r>
      <w:r w:rsidR="00640FAC" w:rsidRPr="00AB3513">
        <w:rPr>
          <w:rFonts w:eastAsia="MS Mincho"/>
          <w:sz w:val="10"/>
          <w:szCs w:val="22"/>
          <w:lang w:val="es-ES"/>
          <w:rPrChange w:id="1791" w:author="TCS" w:date="2026-03-19T15:09:00Z">
            <w:rPr>
              <w:rFonts w:ascii="Arial" w:eastAsia="MS Mincho" w:hAnsi="Arial" w:cs="Arial"/>
              <w:sz w:val="10"/>
              <w:szCs w:val="22"/>
              <w:lang w:val="es-ES"/>
            </w:rPr>
          </w:rPrChange>
        </w:rPr>
        <w:t> </w:t>
      </w:r>
      <w:r w:rsidR="00640FAC" w:rsidRPr="00AB3513">
        <w:rPr>
          <w:rFonts w:eastAsia="MS Mincho"/>
          <w:szCs w:val="22"/>
          <w:lang w:val="en-GB"/>
          <w:rPrChange w:id="1792" w:author="TCS" w:date="2026-03-19T15:09:00Z">
            <w:rPr>
              <w:rFonts w:ascii="Arial" w:eastAsia="MS Mincho" w:hAnsi="Arial" w:cs="Arial"/>
              <w:szCs w:val="22"/>
              <w:lang w:val="en-GB"/>
            </w:rPr>
          </w:rPrChange>
        </w:rPr>
        <w:sym w:font="Symbol" w:char="F03E"/>
      </w:r>
      <w:r w:rsidRPr="00AB3513">
        <w:rPr>
          <w:lang w:val="es-ES_tradnl"/>
          <w:rPrChange w:id="1793" w:author="TCS" w:date="2026-03-19T15:09:00Z">
            <w:rPr>
              <w:lang w:val="es-ES_tradnl"/>
            </w:rPr>
          </w:rPrChange>
        </w:rPr>
        <w:t xml:space="preserve"> 5 </w:t>
      </w:r>
      <w:r w:rsidR="00640FAC" w:rsidRPr="00AB3513">
        <w:rPr>
          <w:rFonts w:eastAsia="MS Mincho"/>
          <w:szCs w:val="22"/>
          <w:lang w:val="en-GB"/>
          <w:rPrChange w:id="1794" w:author="TCS" w:date="2026-03-19T15:09:00Z">
            <w:rPr>
              <w:rFonts w:eastAsia="MS Mincho"/>
              <w:szCs w:val="22"/>
              <w:lang w:val="en-GB"/>
            </w:rPr>
          </w:rPrChange>
        </w:rPr>
        <w:sym w:font="Symbol" w:char="F0B4"/>
      </w:r>
      <w:r w:rsidRPr="00AB3513">
        <w:rPr>
          <w:lang w:val="es-ES_tradnl"/>
          <w:rPrChange w:id="1795" w:author="TCS" w:date="2026-03-19T15:09:00Z">
            <w:rPr>
              <w:lang w:val="es-ES_tradnl"/>
            </w:rPr>
          </w:rPrChange>
        </w:rPr>
        <w:t xml:space="preserve"> LSN en el 0,7 % de los pacientes en monoterapia con </w:t>
      </w:r>
      <w:r w:rsidR="00640FAC" w:rsidRPr="00AB3513">
        <w:rPr>
          <w:szCs w:val="22"/>
          <w:lang w:val="es-ES"/>
          <w:rPrChange w:id="1796" w:author="TCS" w:date="2026-03-19T15:09:00Z">
            <w:rPr>
              <w:szCs w:val="22"/>
              <w:lang w:val="es-ES"/>
            </w:rPr>
          </w:rPrChange>
        </w:rPr>
        <w:t>tocilizumab</w:t>
      </w:r>
      <w:r w:rsidRPr="00AB3513">
        <w:rPr>
          <w:szCs w:val="22"/>
          <w:lang w:val="es-ES"/>
          <w:rPrChange w:id="1797" w:author="TCS" w:date="2026-03-19T15:09:00Z">
            <w:rPr>
              <w:szCs w:val="22"/>
              <w:lang w:val="es-ES"/>
            </w:rPr>
          </w:rPrChange>
        </w:rPr>
        <w:t xml:space="preserve"> </w:t>
      </w:r>
      <w:r w:rsidRPr="00AB3513">
        <w:rPr>
          <w:lang w:val="es-ES_tradnl"/>
          <w:rPrChange w:id="1798" w:author="TCS" w:date="2026-03-19T15:09:00Z">
            <w:rPr>
              <w:lang w:val="es-ES_tradnl"/>
            </w:rPr>
          </w:rPrChange>
        </w:rPr>
        <w:t>y en el 1,4 % de</w:t>
      </w:r>
      <w:r w:rsidRPr="008A106B">
        <w:rPr>
          <w:lang w:val="es-ES_tradnl"/>
        </w:rPr>
        <w:t xml:space="preserve"> los pacientes con </w:t>
      </w:r>
      <w:r w:rsidR="00640FAC" w:rsidRPr="00554BAE">
        <w:rPr>
          <w:szCs w:val="22"/>
          <w:lang w:val="es-ES"/>
        </w:rPr>
        <w:t>tocilizumab</w:t>
      </w:r>
      <w:r w:rsidRPr="008A106B">
        <w:rPr>
          <w:lang w:val="es-ES_tradnl"/>
        </w:rPr>
        <w:t xml:space="preserve"> más FAME</w:t>
      </w:r>
      <w:r>
        <w:rPr>
          <w:lang w:val="es-ES_tradnl"/>
        </w:rPr>
        <w:t>s</w:t>
      </w:r>
      <w:r w:rsidRPr="008A106B">
        <w:rPr>
          <w:lang w:val="es-ES_tradnl"/>
        </w:rPr>
        <w:t xml:space="preserve">, la mayoría de los cuales abandonaron de forma permanente el tratamiento con </w:t>
      </w:r>
      <w:r w:rsidR="00640FAC" w:rsidRPr="00554BAE">
        <w:rPr>
          <w:szCs w:val="22"/>
          <w:lang w:val="es-ES"/>
        </w:rPr>
        <w:t>tocilizumab</w:t>
      </w:r>
      <w:r w:rsidRPr="00C555F2">
        <w:rPr>
          <w:szCs w:val="22"/>
          <w:lang w:val="es-ES"/>
        </w:rPr>
        <w:t>a</w:t>
      </w:r>
      <w:r w:rsidRPr="008A106B">
        <w:rPr>
          <w:lang w:val="es-ES_tradnl"/>
        </w:rPr>
        <w:t>. Durante un periodo controlado doble ciego la incidencia de niveles de bilirrubina indirecta por encima del límite superior normal, obtenidos como un parámetro de rutina de laboratorio, es de 6,2</w:t>
      </w:r>
      <w:r>
        <w:rPr>
          <w:lang w:val="es-ES_tradnl"/>
        </w:rPr>
        <w:t xml:space="preserve"> </w:t>
      </w:r>
      <w:r w:rsidRPr="008A106B">
        <w:rPr>
          <w:lang w:val="es-ES_tradnl"/>
        </w:rPr>
        <w:t xml:space="preserve">% en pacientes tratados con 8 mg/kg de </w:t>
      </w:r>
      <w:r w:rsidR="00640FAC" w:rsidRPr="00554BAE">
        <w:rPr>
          <w:szCs w:val="22"/>
          <w:lang w:val="es-ES"/>
        </w:rPr>
        <w:t>tocilizumab</w:t>
      </w:r>
      <w:r w:rsidRPr="006868F5">
        <w:rPr>
          <w:szCs w:val="22"/>
          <w:lang w:val="es-ES"/>
        </w:rPr>
        <w:t xml:space="preserve"> </w:t>
      </w:r>
      <w:r w:rsidRPr="008A106B">
        <w:rPr>
          <w:lang w:val="es-ES_tradnl"/>
        </w:rPr>
        <w:t>+ FAMEs. Un total de 5</w:t>
      </w:r>
      <w:r>
        <w:rPr>
          <w:lang w:val="es-ES_tradnl"/>
        </w:rPr>
        <w:t>,</w:t>
      </w:r>
      <w:r w:rsidRPr="008A106B">
        <w:rPr>
          <w:lang w:val="es-ES_tradnl"/>
        </w:rPr>
        <w:t>8</w:t>
      </w:r>
      <w:r>
        <w:rPr>
          <w:lang w:val="es-ES_tradnl"/>
        </w:rPr>
        <w:t xml:space="preserve"> </w:t>
      </w:r>
      <w:r w:rsidRPr="008A106B">
        <w:rPr>
          <w:lang w:val="es-ES_tradnl"/>
        </w:rPr>
        <w:t xml:space="preserve">% de pacientes sufrieron una elevación de los niveles de bilirrubina indirecta de </w:t>
      </w:r>
      <w:r w:rsidR="00640FAC" w:rsidRPr="00B65EA9">
        <w:rPr>
          <w:rFonts w:eastAsia="MS Mincho"/>
          <w:szCs w:val="22"/>
          <w:lang w:val="en-GB"/>
        </w:rPr>
        <w:sym w:font="Symbol" w:char="F03E"/>
      </w:r>
      <w:r w:rsidRPr="008A106B">
        <w:rPr>
          <w:lang w:val="es-ES_tradnl"/>
        </w:rPr>
        <w:t xml:space="preserve"> 1 a 2 </w:t>
      </w:r>
      <w:r w:rsidR="00640FAC" w:rsidRPr="00B65EA9">
        <w:rPr>
          <w:rFonts w:eastAsia="MS Mincho"/>
          <w:szCs w:val="22"/>
          <w:lang w:val="en-GB"/>
        </w:rPr>
        <w:sym w:font="Symbol" w:char="F0B4"/>
      </w:r>
      <w:r w:rsidRPr="008A106B">
        <w:rPr>
          <w:lang w:val="es-ES_tradnl"/>
        </w:rPr>
        <w:t xml:space="preserve"> LSN y 0</w:t>
      </w:r>
      <w:r>
        <w:rPr>
          <w:lang w:val="es-ES_tradnl"/>
        </w:rPr>
        <w:t>,</w:t>
      </w:r>
      <w:r w:rsidRPr="008A106B">
        <w:rPr>
          <w:lang w:val="es-ES_tradnl"/>
        </w:rPr>
        <w:t>4</w:t>
      </w:r>
      <w:r>
        <w:rPr>
          <w:lang w:val="es-ES_tradnl"/>
        </w:rPr>
        <w:t xml:space="preserve"> </w:t>
      </w:r>
      <w:r w:rsidRPr="008A106B">
        <w:rPr>
          <w:lang w:val="es-ES_tradnl"/>
        </w:rPr>
        <w:t xml:space="preserve">% tuvieron una elevación de </w:t>
      </w:r>
      <w:r w:rsidR="00640FAC" w:rsidRPr="00B65EA9">
        <w:rPr>
          <w:rFonts w:eastAsia="MS Mincho"/>
          <w:szCs w:val="22"/>
          <w:lang w:val="en-GB"/>
        </w:rPr>
        <w:sym w:font="Symbol" w:char="F03E"/>
      </w:r>
      <w:r w:rsidRPr="008A106B">
        <w:rPr>
          <w:lang w:val="es-ES_tradnl"/>
        </w:rPr>
        <w:t xml:space="preserve"> 2 </w:t>
      </w:r>
      <w:r w:rsidR="00640FAC" w:rsidRPr="00B65EA9">
        <w:rPr>
          <w:rFonts w:eastAsia="MS Mincho"/>
          <w:szCs w:val="22"/>
          <w:lang w:val="en-GB"/>
        </w:rPr>
        <w:sym w:font="Symbol" w:char="F0B4"/>
      </w:r>
      <w:r w:rsidRPr="008A106B">
        <w:rPr>
          <w:lang w:val="es-ES_tradnl"/>
        </w:rPr>
        <w:t xml:space="preserve"> LSN.</w:t>
      </w:r>
    </w:p>
    <w:p w14:paraId="1F6B83A4" w14:textId="77777777" w:rsidR="00DC224A" w:rsidRPr="008A106B" w:rsidRDefault="00DC224A" w:rsidP="00DC224A">
      <w:pPr>
        <w:rPr>
          <w:lang w:val="es-ES"/>
        </w:rPr>
      </w:pPr>
    </w:p>
    <w:p w14:paraId="7AA5F1FB" w14:textId="77777777" w:rsidR="00DC224A" w:rsidRPr="008A106B" w:rsidRDefault="00DC224A" w:rsidP="00DC224A">
      <w:pPr>
        <w:rPr>
          <w:lang w:val="es-ES"/>
        </w:rPr>
      </w:pPr>
      <w:r w:rsidRPr="008A106B">
        <w:rPr>
          <w:lang w:val="es-ES"/>
        </w:rPr>
        <w:t>Durante el periodo controlado doble ciego y en el periodo de exposición a largo plazo, el patrón y la incidencia de aumento en ALT/AST continuaron en línea con lo observado en los 6 meses de ensayos clínicos controlados.</w:t>
      </w:r>
    </w:p>
    <w:p w14:paraId="4B412E5B" w14:textId="77777777" w:rsidR="00DC224A" w:rsidRPr="008A106B" w:rsidRDefault="00DC224A" w:rsidP="00DC224A">
      <w:pPr>
        <w:rPr>
          <w:lang w:val="es-ES"/>
        </w:rPr>
      </w:pPr>
    </w:p>
    <w:p w14:paraId="1E9C42C9" w14:textId="77777777" w:rsidR="00DC224A" w:rsidRPr="00F30AB8" w:rsidRDefault="00DC224A" w:rsidP="00DC224A">
      <w:pPr>
        <w:ind w:left="567" w:hanging="567"/>
        <w:outlineLvl w:val="0"/>
        <w:rPr>
          <w:i/>
          <w:iCs/>
          <w:u w:val="single"/>
          <w:lang w:val="es-ES"/>
        </w:rPr>
      </w:pPr>
      <w:r w:rsidRPr="00F30AB8">
        <w:rPr>
          <w:i/>
          <w:iCs/>
          <w:u w:val="single"/>
          <w:lang w:val="es-ES_tradnl"/>
        </w:rPr>
        <w:t>Parámetros lipídicos</w:t>
      </w:r>
    </w:p>
    <w:p w14:paraId="6BBAD7CF" w14:textId="7E8B196C" w:rsidR="00DC224A" w:rsidRPr="008A106B" w:rsidRDefault="00DC224A" w:rsidP="00DC224A">
      <w:pPr>
        <w:rPr>
          <w:lang w:val="es-ES"/>
        </w:rPr>
      </w:pPr>
      <w:r w:rsidRPr="008A106B">
        <w:rPr>
          <w:lang w:val="es-ES_tradnl"/>
        </w:rPr>
        <w:t>Durante 6 meses de ensayos clínicos controlados se han notificado de forma frecuente incrementos en los parámetros lipídicos, tales como:</w:t>
      </w:r>
      <w:r w:rsidRPr="008A106B">
        <w:rPr>
          <w:lang w:val="es-ES"/>
        </w:rPr>
        <w:t xml:space="preserve"> </w:t>
      </w:r>
      <w:r w:rsidRPr="008A106B">
        <w:rPr>
          <w:lang w:val="es-ES_tradnl"/>
        </w:rPr>
        <w:t xml:space="preserve">colesterol total, triglicéridos, colesterol LDL, y/o colesterol HDL. Se observó, con monitorización de rutina, en el laboratorio, que aproximadamente el 24 % de los pacientes que recibieron </w:t>
      </w:r>
      <w:r w:rsidR="00640FAC" w:rsidRPr="00F30AB8">
        <w:rPr>
          <w:rFonts w:eastAsia="PMingLiU"/>
          <w:szCs w:val="22"/>
          <w:lang w:val="es-ES" w:eastAsia="zh-CN"/>
        </w:rPr>
        <w:t>tocilizumab</w:t>
      </w:r>
      <w:r w:rsidRPr="008A106B">
        <w:rPr>
          <w:lang w:val="es-ES_tradnl"/>
        </w:rPr>
        <w:t xml:space="preserve"> en los ensayos clínicos experimentaron una elevación sostenida del colesterol total </w:t>
      </w:r>
      <w:r w:rsidR="00640FAC" w:rsidRPr="00F30AB8">
        <w:rPr>
          <w:rFonts w:eastAsia="PMingLiU"/>
          <w:szCs w:val="22"/>
          <w:lang w:val="es-ES" w:eastAsia="zh-CN"/>
        </w:rPr>
        <w:t>≥</w:t>
      </w:r>
      <w:r w:rsidRPr="008A106B">
        <w:rPr>
          <w:lang w:val="es-ES_tradnl"/>
        </w:rPr>
        <w:t xml:space="preserve"> 6,2 mmol/l y un 15 % experimentaron un aumento sostenido de los valores de LDL </w:t>
      </w:r>
      <w:r w:rsidR="00640FAC" w:rsidRPr="00F30AB8">
        <w:rPr>
          <w:rFonts w:eastAsia="PMingLiU"/>
          <w:szCs w:val="22"/>
          <w:lang w:val="es-ES" w:eastAsia="zh-CN"/>
        </w:rPr>
        <w:t>≥</w:t>
      </w:r>
      <w:r w:rsidRPr="008A106B">
        <w:rPr>
          <w:lang w:val="es-ES_tradnl"/>
        </w:rPr>
        <w:t xml:space="preserve"> 4,1 mmol/l. Las elevaciones en los parámetros lipídicos respondieron al tratamiento con agentes hipolipidemiantes.</w:t>
      </w:r>
    </w:p>
    <w:p w14:paraId="79F60247" w14:textId="77777777" w:rsidR="00DC224A" w:rsidRPr="008A106B" w:rsidRDefault="00DC224A" w:rsidP="00DC224A">
      <w:pPr>
        <w:autoSpaceDE w:val="0"/>
        <w:autoSpaceDN w:val="0"/>
        <w:adjustRightInd w:val="0"/>
        <w:rPr>
          <w:lang w:val="es-ES"/>
        </w:rPr>
      </w:pPr>
    </w:p>
    <w:p w14:paraId="6DC25527" w14:textId="77777777" w:rsidR="00DC224A" w:rsidRPr="008A106B" w:rsidRDefault="00DC224A" w:rsidP="00DC224A">
      <w:pPr>
        <w:autoSpaceDE w:val="0"/>
        <w:autoSpaceDN w:val="0"/>
        <w:adjustRightInd w:val="0"/>
        <w:rPr>
          <w:lang w:val="es-ES"/>
        </w:rPr>
      </w:pPr>
      <w:r w:rsidRPr="005167BD">
        <w:rPr>
          <w:lang w:val="es-ES"/>
        </w:rPr>
        <w:t>Durante el periodo controlado doble</w:t>
      </w:r>
      <w:r w:rsidRPr="008A106B">
        <w:rPr>
          <w:lang w:val="es-ES"/>
        </w:rPr>
        <w:t xml:space="preserve"> ciego y en el periodo de exposición a largo plazo, el patrón y la incidencia de aumento en los parámetros lipídicos continuaron en línea con lo observado en los 6 meses de ensayos clínicos controlados.</w:t>
      </w:r>
    </w:p>
    <w:p w14:paraId="5349A0A5" w14:textId="77777777" w:rsidR="00DC224A" w:rsidRPr="008A106B" w:rsidRDefault="00DC224A" w:rsidP="00DC224A">
      <w:pPr>
        <w:autoSpaceDE w:val="0"/>
        <w:autoSpaceDN w:val="0"/>
        <w:adjustRightInd w:val="0"/>
        <w:rPr>
          <w:rFonts w:eastAsia="SimSun"/>
          <w:iCs/>
          <w:szCs w:val="22"/>
          <w:lang w:val="es-ES" w:eastAsia="zh-CN"/>
        </w:rPr>
      </w:pPr>
    </w:p>
    <w:p w14:paraId="04708EB2" w14:textId="22423771" w:rsidR="00DC224A" w:rsidRPr="00F30AB8" w:rsidRDefault="00DC224A" w:rsidP="00FF2AFA">
      <w:pPr>
        <w:keepNext/>
        <w:keepLines/>
        <w:autoSpaceDE w:val="0"/>
        <w:autoSpaceDN w:val="0"/>
        <w:adjustRightInd w:val="0"/>
        <w:rPr>
          <w:rFonts w:eastAsia="SimSun"/>
          <w:i/>
          <w:szCs w:val="22"/>
          <w:u w:val="single"/>
          <w:lang w:val="es-ES" w:eastAsia="zh-CN"/>
        </w:rPr>
      </w:pPr>
      <w:r w:rsidRPr="00F30AB8">
        <w:rPr>
          <w:rFonts w:eastAsia="SimSun"/>
          <w:i/>
          <w:szCs w:val="22"/>
          <w:u w:val="single"/>
          <w:lang w:val="es-ES" w:eastAsia="zh-CN"/>
        </w:rPr>
        <w:t xml:space="preserve">Reacciones </w:t>
      </w:r>
      <w:ins w:id="1799" w:author="AUTHOR">
        <w:r w:rsidR="00174473">
          <w:rPr>
            <w:rFonts w:eastAsia="SimSun"/>
            <w:i/>
            <w:szCs w:val="22"/>
            <w:u w:val="single"/>
            <w:lang w:val="es-ES" w:eastAsia="zh-CN"/>
          </w:rPr>
          <w:t>c</w:t>
        </w:r>
      </w:ins>
      <w:del w:id="1800" w:author="AUTHOR">
        <w:r w:rsidRPr="00F30AB8" w:rsidDel="00174473">
          <w:rPr>
            <w:rFonts w:eastAsia="SimSun"/>
            <w:i/>
            <w:szCs w:val="22"/>
            <w:u w:val="single"/>
            <w:lang w:val="es-ES" w:eastAsia="zh-CN"/>
          </w:rPr>
          <w:delText>C</w:delText>
        </w:r>
      </w:del>
      <w:r w:rsidRPr="00F30AB8">
        <w:rPr>
          <w:rFonts w:eastAsia="SimSun"/>
          <w:i/>
          <w:szCs w:val="22"/>
          <w:u w:val="single"/>
          <w:lang w:val="es-ES" w:eastAsia="zh-CN"/>
        </w:rPr>
        <w:t>utáneas</w:t>
      </w:r>
    </w:p>
    <w:p w14:paraId="6D1EEE58" w14:textId="77777777" w:rsidR="00DC224A" w:rsidRDefault="00DC224A" w:rsidP="00FF2AFA">
      <w:pPr>
        <w:keepNext/>
        <w:keepLines/>
        <w:autoSpaceDE w:val="0"/>
        <w:autoSpaceDN w:val="0"/>
        <w:adjustRightInd w:val="0"/>
        <w:rPr>
          <w:rFonts w:eastAsia="SimSun"/>
          <w:szCs w:val="22"/>
          <w:lang w:val="es-ES" w:eastAsia="zh-CN"/>
        </w:rPr>
      </w:pPr>
      <w:r w:rsidRPr="006A4361">
        <w:rPr>
          <w:rFonts w:eastAsia="SimSun"/>
          <w:szCs w:val="22"/>
          <w:lang w:val="es-ES" w:eastAsia="zh-CN"/>
        </w:rPr>
        <w:t>Se han notificado rarament</w:t>
      </w:r>
      <w:r w:rsidRPr="001B78FC">
        <w:rPr>
          <w:rFonts w:eastAsia="SimSun"/>
          <w:szCs w:val="22"/>
          <w:lang w:val="es-ES" w:eastAsia="zh-CN"/>
        </w:rPr>
        <w:t>e casos de Síndrome de Stevens-</w:t>
      </w:r>
      <w:r>
        <w:rPr>
          <w:rFonts w:eastAsia="SimSun"/>
          <w:szCs w:val="22"/>
          <w:lang w:val="es-ES" w:eastAsia="zh-CN"/>
        </w:rPr>
        <w:t>J</w:t>
      </w:r>
      <w:r w:rsidRPr="006A4361">
        <w:rPr>
          <w:rFonts w:eastAsia="SimSun"/>
          <w:szCs w:val="22"/>
          <w:lang w:val="es-ES" w:eastAsia="zh-CN"/>
        </w:rPr>
        <w:t>ohnson ocurridos tras la comercialización.</w:t>
      </w:r>
    </w:p>
    <w:p w14:paraId="56AAA233" w14:textId="77777777" w:rsidR="00DC224A" w:rsidRDefault="00DC224A" w:rsidP="00DC224A">
      <w:pPr>
        <w:autoSpaceDE w:val="0"/>
        <w:autoSpaceDN w:val="0"/>
        <w:adjustRightInd w:val="0"/>
        <w:rPr>
          <w:rFonts w:eastAsia="SimSun"/>
          <w:szCs w:val="22"/>
          <w:lang w:val="es-ES" w:eastAsia="zh-CN"/>
        </w:rPr>
      </w:pPr>
    </w:p>
    <w:p w14:paraId="6B1D5EA8" w14:textId="77777777" w:rsidR="00DC224A" w:rsidRDefault="00DC224A" w:rsidP="00DC224A">
      <w:pPr>
        <w:autoSpaceDE w:val="0"/>
        <w:autoSpaceDN w:val="0"/>
        <w:adjustRightInd w:val="0"/>
        <w:jc w:val="both"/>
        <w:rPr>
          <w:szCs w:val="24"/>
          <w:u w:val="single"/>
          <w:lang w:val="es-ES_tradnl"/>
        </w:rPr>
      </w:pPr>
      <w:r>
        <w:rPr>
          <w:szCs w:val="24"/>
          <w:u w:val="single"/>
          <w:lang w:val="es-ES_tradnl"/>
        </w:rPr>
        <w:t>Notificación de sospechas de reacciones adversas</w:t>
      </w:r>
    </w:p>
    <w:p w14:paraId="60C554F5" w14:textId="4956AEBE" w:rsidR="00DC224A" w:rsidRDefault="00DC224A" w:rsidP="00DC224A">
      <w:pPr>
        <w:autoSpaceDE w:val="0"/>
        <w:autoSpaceDN w:val="0"/>
        <w:adjustRightInd w:val="0"/>
        <w:rPr>
          <w:szCs w:val="24"/>
          <w:lang w:val="es-ES_tradnl"/>
        </w:rPr>
      </w:pPr>
      <w:r>
        <w:rPr>
          <w:szCs w:val="24"/>
          <w:lang w:val="es-ES_tradnl"/>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C43447">
        <w:rPr>
          <w:szCs w:val="22"/>
          <w:highlight w:val="lightGray"/>
          <w:lang w:val="es-ES" w:eastAsia="en-US"/>
        </w:rPr>
        <w:t>s</w:t>
      </w:r>
      <w:r>
        <w:rPr>
          <w:szCs w:val="22"/>
          <w:highlight w:val="lightGray"/>
          <w:lang w:val="es-ES" w:eastAsia="en-US"/>
        </w:rPr>
        <w:t>istema nacional de notificación</w:t>
      </w:r>
      <w:r w:rsidRPr="00C43447">
        <w:rPr>
          <w:szCs w:val="22"/>
          <w:highlight w:val="lightGray"/>
          <w:lang w:val="es-ES" w:eastAsia="en-US"/>
        </w:rPr>
        <w:t xml:space="preserve"> incluido en el </w:t>
      </w:r>
      <w:r>
        <w:fldChar w:fldCharType="begin"/>
      </w:r>
      <w:r w:rsidRPr="00467FFD">
        <w:rPr>
          <w:lang w:val="es-ES"/>
          <w:rPrChange w:id="1801" w:author="AUTHOR">
            <w:rPr/>
          </w:rPrChange>
        </w:rPr>
        <w:instrText>HYPERLINK "https://www.ema.europa.eu/documents/template-form/qrd-appendix-v-adverse-drug-reaction-reporting-details_en.docx"</w:instrText>
      </w:r>
      <w:r>
        <w:fldChar w:fldCharType="separate"/>
      </w:r>
      <w:r w:rsidRPr="00C43447">
        <w:rPr>
          <w:rStyle w:val="Hyperlink"/>
          <w:szCs w:val="22"/>
          <w:highlight w:val="lightGray"/>
          <w:lang w:val="es-ES" w:eastAsia="en-US"/>
        </w:rPr>
        <w:t>A</w:t>
      </w:r>
      <w:r>
        <w:rPr>
          <w:rStyle w:val="Hyperlink"/>
          <w:szCs w:val="22"/>
          <w:highlight w:val="lightGray"/>
          <w:lang w:val="es-ES" w:eastAsia="en-US"/>
        </w:rPr>
        <w:t>péndice</w:t>
      </w:r>
      <w:r w:rsidRPr="00C43447">
        <w:rPr>
          <w:rStyle w:val="Hyperlink"/>
          <w:szCs w:val="22"/>
          <w:highlight w:val="lightGray"/>
          <w:lang w:val="es-ES" w:eastAsia="en-US"/>
        </w:rPr>
        <w:t xml:space="preserve"> V</w:t>
      </w:r>
      <w:r>
        <w:fldChar w:fldCharType="end"/>
      </w:r>
      <w:r>
        <w:rPr>
          <w:szCs w:val="24"/>
          <w:lang w:val="es-ES_tradnl"/>
        </w:rPr>
        <w:t>.</w:t>
      </w:r>
    </w:p>
    <w:p w14:paraId="0D5913A6" w14:textId="77777777" w:rsidR="00DC224A" w:rsidRPr="000911DD" w:rsidRDefault="00DC224A" w:rsidP="00DC224A">
      <w:pPr>
        <w:keepNext/>
        <w:keepLines/>
        <w:ind w:left="567" w:hanging="567"/>
        <w:outlineLvl w:val="0"/>
        <w:rPr>
          <w:b/>
          <w:bCs/>
          <w:lang w:val="es-ES_tradnl"/>
        </w:rPr>
      </w:pPr>
    </w:p>
    <w:p w14:paraId="2D537636" w14:textId="77777777" w:rsidR="00DC224A" w:rsidRDefault="00DC224A" w:rsidP="00E576A0">
      <w:pPr>
        <w:keepNext/>
        <w:keepLines/>
        <w:ind w:left="567" w:hanging="567"/>
        <w:outlineLvl w:val="0"/>
        <w:rPr>
          <w:b/>
          <w:bCs/>
          <w:lang w:val="es-ES_tradnl"/>
        </w:rPr>
      </w:pPr>
      <w:r w:rsidRPr="008A106B">
        <w:rPr>
          <w:b/>
          <w:bCs/>
          <w:lang w:val="es-ES"/>
        </w:rPr>
        <w:t>4.9</w:t>
      </w:r>
      <w:r w:rsidRPr="008A106B">
        <w:rPr>
          <w:b/>
          <w:bCs/>
          <w:lang w:val="es-ES"/>
        </w:rPr>
        <w:tab/>
      </w:r>
      <w:r w:rsidRPr="008A106B">
        <w:rPr>
          <w:b/>
          <w:bCs/>
          <w:lang w:val="es-ES_tradnl"/>
        </w:rPr>
        <w:t>Sobredosis</w:t>
      </w:r>
    </w:p>
    <w:p w14:paraId="75EAC437" w14:textId="77777777" w:rsidR="00DC224A" w:rsidRPr="008A106B" w:rsidRDefault="00DC224A" w:rsidP="00E576A0">
      <w:pPr>
        <w:keepNext/>
        <w:keepLines/>
        <w:rPr>
          <w:lang w:val="es-ES"/>
        </w:rPr>
      </w:pPr>
    </w:p>
    <w:p w14:paraId="4A766093" w14:textId="3FA30343" w:rsidR="00DC224A" w:rsidRPr="008A106B" w:rsidRDefault="00DC224A" w:rsidP="00E576A0">
      <w:pPr>
        <w:keepNext/>
        <w:keepLines/>
        <w:rPr>
          <w:lang w:val="es-ES"/>
        </w:rPr>
      </w:pPr>
      <w:r w:rsidRPr="007740ED">
        <w:rPr>
          <w:lang w:val="es-ES_tradnl"/>
        </w:rPr>
        <w:t>Hay pocos datos disponibles</w:t>
      </w:r>
      <w:r w:rsidRPr="008A106B">
        <w:rPr>
          <w:lang w:val="es-ES_tradnl"/>
        </w:rPr>
        <w:t xml:space="preserve"> acerca de la sobredosis con </w:t>
      </w:r>
      <w:r w:rsidR="00640FAC" w:rsidRPr="00F30AB8">
        <w:rPr>
          <w:szCs w:val="22"/>
          <w:lang w:val="es-ES"/>
        </w:rPr>
        <w:t>tocilizumab</w:t>
      </w:r>
      <w:r w:rsidRPr="008A106B">
        <w:rPr>
          <w:lang w:val="es-ES_tradnl"/>
        </w:rPr>
        <w:t>.</w:t>
      </w:r>
      <w:r w:rsidRPr="008A106B">
        <w:rPr>
          <w:lang w:val="es-ES"/>
        </w:rPr>
        <w:t xml:space="preserve"> </w:t>
      </w:r>
      <w:r w:rsidRPr="008A106B">
        <w:rPr>
          <w:lang w:val="es-ES_tradnl"/>
        </w:rPr>
        <w:t>Se notificó un caso de sobredosis accidental en el que un paciente con mieloma múltiple recibió una dosis única de 40 mg/kg</w:t>
      </w:r>
      <w:ins w:id="1802" w:author="AUTHOR">
        <w:r w:rsidR="00174473">
          <w:rPr>
            <w:lang w:val="es-ES_tradnl"/>
          </w:rPr>
          <w:t xml:space="preserve"> </w:t>
        </w:r>
        <w:r w:rsidR="00174473" w:rsidRPr="00174473">
          <w:rPr>
            <w:lang w:val="es-ES_tradnl"/>
          </w:rPr>
          <w:t>administrada por vía intravenosa</w:t>
        </w:r>
      </w:ins>
      <w:r w:rsidRPr="008A106B">
        <w:rPr>
          <w:lang w:val="es-ES_tradnl"/>
        </w:rPr>
        <w:t>. No se observaron reacciones adversas.</w:t>
      </w:r>
      <w:r w:rsidRPr="008A106B">
        <w:rPr>
          <w:lang w:val="es-ES"/>
        </w:rPr>
        <w:t xml:space="preserve"> </w:t>
      </w:r>
    </w:p>
    <w:p w14:paraId="3A63C523" w14:textId="77777777" w:rsidR="00DC224A" w:rsidRPr="008A106B" w:rsidRDefault="00DC224A" w:rsidP="00DC224A">
      <w:pPr>
        <w:rPr>
          <w:lang w:val="es-ES"/>
        </w:rPr>
      </w:pPr>
    </w:p>
    <w:p w14:paraId="208EB279" w14:textId="77777777" w:rsidR="00DC224A" w:rsidRDefault="00DC224A" w:rsidP="00DC224A">
      <w:pPr>
        <w:rPr>
          <w:lang w:val="es-ES_tradnl"/>
        </w:rPr>
      </w:pPr>
      <w:r w:rsidRPr="000911DD">
        <w:rPr>
          <w:lang w:val="es-ES_tradnl"/>
        </w:rPr>
        <w:t>No se observaron reacciones adversas graves en voluntarios sanos que recibieron una dosis única de hasta 28 mg/kg, aunque se observó neutropenia limitante de la dosis.</w:t>
      </w:r>
    </w:p>
    <w:p w14:paraId="1D618EDF" w14:textId="77777777" w:rsidR="00DC224A" w:rsidRPr="008A106B" w:rsidRDefault="00DC224A" w:rsidP="00DC224A">
      <w:pPr>
        <w:rPr>
          <w:lang w:val="es-ES"/>
        </w:rPr>
      </w:pPr>
    </w:p>
    <w:p w14:paraId="42B2BC5B" w14:textId="77777777" w:rsidR="00DC224A" w:rsidRPr="008A106B" w:rsidRDefault="00DC224A" w:rsidP="00DC224A">
      <w:pPr>
        <w:ind w:left="567" w:hanging="567"/>
        <w:outlineLvl w:val="0"/>
        <w:rPr>
          <w:lang w:val="es-ES"/>
        </w:rPr>
      </w:pPr>
    </w:p>
    <w:p w14:paraId="5DF0C380" w14:textId="77777777" w:rsidR="00DC224A" w:rsidRPr="008A106B" w:rsidRDefault="00DC224A" w:rsidP="00A50280">
      <w:pPr>
        <w:keepNext/>
        <w:keepLines/>
        <w:ind w:left="567" w:hanging="567"/>
        <w:rPr>
          <w:lang w:val="es-ES"/>
        </w:rPr>
      </w:pPr>
      <w:r w:rsidRPr="008A106B">
        <w:rPr>
          <w:b/>
          <w:bCs/>
          <w:lang w:val="es-ES"/>
        </w:rPr>
        <w:t>5.</w:t>
      </w:r>
      <w:r w:rsidRPr="008A106B">
        <w:rPr>
          <w:b/>
          <w:bCs/>
          <w:lang w:val="es-ES"/>
        </w:rPr>
        <w:tab/>
      </w:r>
      <w:r w:rsidRPr="008A106B">
        <w:rPr>
          <w:b/>
          <w:bCs/>
          <w:lang w:val="es-ES_tradnl"/>
        </w:rPr>
        <w:t>PROPIEDADES FARMACOLÓGICAS</w:t>
      </w:r>
    </w:p>
    <w:p w14:paraId="7888FA89" w14:textId="77777777" w:rsidR="00DC224A" w:rsidRPr="008A106B" w:rsidRDefault="00DC224A" w:rsidP="00A50280">
      <w:pPr>
        <w:keepNext/>
        <w:keepLines/>
        <w:rPr>
          <w:lang w:val="es-ES"/>
        </w:rPr>
      </w:pPr>
    </w:p>
    <w:p w14:paraId="3A004F55" w14:textId="77777777" w:rsidR="00DC224A" w:rsidRDefault="00DC224A" w:rsidP="00A50280">
      <w:pPr>
        <w:keepNext/>
        <w:keepLines/>
        <w:ind w:left="567" w:hanging="567"/>
        <w:outlineLvl w:val="0"/>
        <w:rPr>
          <w:b/>
          <w:bCs/>
          <w:lang w:val="es-ES_tradnl"/>
        </w:rPr>
      </w:pPr>
      <w:r w:rsidRPr="008A106B">
        <w:rPr>
          <w:b/>
          <w:bCs/>
          <w:lang w:val="es-ES"/>
        </w:rPr>
        <w:t xml:space="preserve">5.1 </w:t>
      </w:r>
      <w:r w:rsidRPr="008A106B">
        <w:rPr>
          <w:b/>
          <w:bCs/>
          <w:lang w:val="es-ES"/>
        </w:rPr>
        <w:tab/>
      </w:r>
      <w:r w:rsidRPr="008A106B">
        <w:rPr>
          <w:b/>
          <w:bCs/>
          <w:lang w:val="es-ES_tradnl"/>
        </w:rPr>
        <w:t>Propiedades farmacodinámicas</w:t>
      </w:r>
    </w:p>
    <w:p w14:paraId="38F04992" w14:textId="77777777" w:rsidR="00DC224A" w:rsidRDefault="00DC224A" w:rsidP="00DC224A">
      <w:pPr>
        <w:ind w:left="567" w:hanging="567"/>
        <w:outlineLvl w:val="0"/>
        <w:rPr>
          <w:b/>
          <w:bCs/>
          <w:lang w:val="es-ES_tradnl"/>
        </w:rPr>
      </w:pPr>
    </w:p>
    <w:p w14:paraId="754329C5" w14:textId="77777777" w:rsidR="00DC224A" w:rsidRPr="008A106B" w:rsidRDefault="00DC224A" w:rsidP="00DC224A">
      <w:pPr>
        <w:numPr>
          <w:ilvl w:val="12"/>
          <w:numId w:val="0"/>
        </w:numPr>
        <w:ind w:right="-2"/>
        <w:rPr>
          <w:lang w:val="es-ES"/>
        </w:rPr>
      </w:pPr>
      <w:r w:rsidRPr="008A106B">
        <w:rPr>
          <w:lang w:val="es-ES_tradnl"/>
        </w:rPr>
        <w:t>Grupo farmacoterapéutico:</w:t>
      </w:r>
      <w:r w:rsidRPr="008A106B">
        <w:rPr>
          <w:lang w:val="es-ES"/>
        </w:rPr>
        <w:t xml:space="preserve"> </w:t>
      </w:r>
      <w:r w:rsidRPr="008A106B">
        <w:rPr>
          <w:lang w:val="es-ES_tradnl"/>
        </w:rPr>
        <w:t>Agente inmunosupresor, inhibidores de la interleucina; Código ATC:</w:t>
      </w:r>
      <w:r w:rsidRPr="008A106B">
        <w:rPr>
          <w:lang w:val="es-ES"/>
        </w:rPr>
        <w:t xml:space="preserve"> </w:t>
      </w:r>
      <w:r w:rsidRPr="008A106B">
        <w:rPr>
          <w:lang w:val="es-ES_tradnl"/>
        </w:rPr>
        <w:t>L04AC07.</w:t>
      </w:r>
    </w:p>
    <w:p w14:paraId="2CA67290" w14:textId="77777777" w:rsidR="00DC224A" w:rsidRPr="008A106B" w:rsidRDefault="00DC224A" w:rsidP="00DC224A">
      <w:pPr>
        <w:numPr>
          <w:ilvl w:val="12"/>
          <w:numId w:val="0"/>
        </w:numPr>
        <w:ind w:right="-2"/>
        <w:rPr>
          <w:lang w:val="es-ES"/>
        </w:rPr>
      </w:pPr>
    </w:p>
    <w:p w14:paraId="0885CBDE" w14:textId="77777777" w:rsidR="00DC224A" w:rsidRDefault="00DC224A" w:rsidP="00DC224A">
      <w:pPr>
        <w:keepNext/>
        <w:numPr>
          <w:ilvl w:val="12"/>
          <w:numId w:val="0"/>
        </w:numPr>
        <w:rPr>
          <w:iCs/>
          <w:u w:val="single"/>
          <w:lang w:val="es-ES_tradnl"/>
        </w:rPr>
      </w:pPr>
      <w:r w:rsidRPr="008A106B">
        <w:rPr>
          <w:iCs/>
          <w:u w:val="single"/>
          <w:lang w:val="es-ES_tradnl"/>
        </w:rPr>
        <w:t>Mecanismo de acción</w:t>
      </w:r>
    </w:p>
    <w:p w14:paraId="0FEAB70D" w14:textId="77777777" w:rsidR="00CA2789" w:rsidRPr="008A106B" w:rsidRDefault="00CA2789" w:rsidP="00DC224A">
      <w:pPr>
        <w:keepNext/>
        <w:numPr>
          <w:ilvl w:val="12"/>
          <w:numId w:val="0"/>
        </w:numPr>
        <w:rPr>
          <w:iCs/>
          <w:u w:val="single"/>
          <w:lang w:val="es-ES"/>
        </w:rPr>
      </w:pPr>
    </w:p>
    <w:p w14:paraId="3A7D386D" w14:textId="3F7B030B" w:rsidR="00DC224A" w:rsidRPr="008A106B" w:rsidRDefault="00640FAC" w:rsidP="00DC224A">
      <w:pPr>
        <w:numPr>
          <w:ilvl w:val="12"/>
          <w:numId w:val="0"/>
        </w:numPr>
        <w:ind w:right="-2"/>
        <w:rPr>
          <w:lang w:val="es-ES"/>
        </w:rPr>
      </w:pPr>
      <w:r w:rsidRPr="00F30AB8">
        <w:rPr>
          <w:szCs w:val="22"/>
          <w:lang w:val="es-ES"/>
        </w:rPr>
        <w:t>Tocilizumab</w:t>
      </w:r>
      <w:r w:rsidR="00DC224A">
        <w:rPr>
          <w:szCs w:val="22"/>
          <w:lang w:val="es-ES"/>
        </w:rPr>
        <w:t xml:space="preserve"> </w:t>
      </w:r>
      <w:r w:rsidR="00DC224A" w:rsidRPr="008A106B">
        <w:rPr>
          <w:lang w:val="es-ES_tradnl"/>
        </w:rPr>
        <w:t>se une específicamente a los receptores de IL-6 tanto solubles como unidos a membranas (IL-6Rs e IL-6Rm).</w:t>
      </w:r>
      <w:r w:rsidR="00DC224A" w:rsidRPr="008A106B">
        <w:rPr>
          <w:lang w:val="es-ES"/>
        </w:rPr>
        <w:t xml:space="preserve"> </w:t>
      </w:r>
      <w:r w:rsidR="00DC224A" w:rsidRPr="008A106B">
        <w:rPr>
          <w:lang w:val="es-ES_tradnl"/>
        </w:rPr>
        <w:t xml:space="preserve">Se ha demostrado que </w:t>
      </w:r>
      <w:r w:rsidRPr="00F30AB8">
        <w:rPr>
          <w:szCs w:val="22"/>
          <w:lang w:val="es-ES"/>
        </w:rPr>
        <w:t>tocilizumab</w:t>
      </w:r>
      <w:r w:rsidR="00DC224A" w:rsidRPr="00C555F2">
        <w:rPr>
          <w:lang w:val="es-ES"/>
        </w:rPr>
        <w:t xml:space="preserve"> </w:t>
      </w:r>
      <w:r w:rsidR="00DC224A" w:rsidRPr="008A106B">
        <w:rPr>
          <w:lang w:val="es-ES_tradnl"/>
        </w:rPr>
        <w:t>inhibe la señalización mediada por IL-6Rs e IL-6Rm.</w:t>
      </w:r>
      <w:r w:rsidR="00DC224A" w:rsidRPr="008A106B">
        <w:rPr>
          <w:lang w:val="es-ES"/>
        </w:rPr>
        <w:t xml:space="preserve"> </w:t>
      </w:r>
      <w:r w:rsidR="00DC224A" w:rsidRPr="009449E1">
        <w:rPr>
          <w:lang w:val="es-ES_tradnl"/>
        </w:rPr>
        <w:t>La IL-6 es una citocina</w:t>
      </w:r>
      <w:r w:rsidR="00DC224A" w:rsidRPr="008A106B">
        <w:rPr>
          <w:lang w:val="es-ES_tradnl"/>
        </w:rPr>
        <w:t xml:space="preserve"> proinflamatoria pleiotrópica producida por diversos tipos celulares incluidas células T y B, los monocitos y los fibroblastos.</w:t>
      </w:r>
      <w:r w:rsidR="00DC224A" w:rsidRPr="008A106B">
        <w:rPr>
          <w:lang w:val="es-ES"/>
        </w:rPr>
        <w:t xml:space="preserve"> </w:t>
      </w:r>
      <w:r w:rsidR="00DC224A" w:rsidRPr="008A106B">
        <w:rPr>
          <w:lang w:val="es-ES_tradnl"/>
        </w:rPr>
        <w:t xml:space="preserve">La IL-6 participa en diversos procesos fisiológicos como la activación de los linfocitos T, </w:t>
      </w:r>
      <w:r w:rsidR="00DC224A" w:rsidRPr="00FD4AE3">
        <w:rPr>
          <w:lang w:val="es-ES_tradnl"/>
        </w:rPr>
        <w:t>la inducción de secreción</w:t>
      </w:r>
      <w:r w:rsidR="00DC224A" w:rsidRPr="008A106B">
        <w:rPr>
          <w:lang w:val="es-ES_tradnl"/>
        </w:rPr>
        <w:t xml:space="preserve"> de inmunoglobulina, la inducción de síntesis hepática de proteínas de la fase aguda y</w:t>
      </w:r>
      <w:r w:rsidR="00DC224A" w:rsidRPr="008A106B">
        <w:rPr>
          <w:lang w:val="es-ES"/>
        </w:rPr>
        <w:t xml:space="preserve"> </w:t>
      </w:r>
      <w:r w:rsidR="00DC224A" w:rsidRPr="008A106B">
        <w:rPr>
          <w:lang w:val="es-ES_tradnl"/>
        </w:rPr>
        <w:t>la estimulación de la hemopoyesis.</w:t>
      </w:r>
      <w:r w:rsidR="00DC224A" w:rsidRPr="008A106B">
        <w:rPr>
          <w:lang w:val="es-ES"/>
        </w:rPr>
        <w:t xml:space="preserve"> </w:t>
      </w:r>
      <w:r w:rsidR="00DC224A" w:rsidRPr="008A106B">
        <w:rPr>
          <w:lang w:val="es-ES_tradnl"/>
        </w:rPr>
        <w:t>Se ha implicado a la IL-6 en la patogenia de enfermedades como enfermedades inflamatorias, osteoporosis y neoplasias.</w:t>
      </w:r>
      <w:r w:rsidR="00DC224A" w:rsidRPr="008A106B">
        <w:rPr>
          <w:lang w:val="es-ES"/>
        </w:rPr>
        <w:t xml:space="preserve"> </w:t>
      </w:r>
    </w:p>
    <w:p w14:paraId="70EA8B1B" w14:textId="77777777" w:rsidR="00DC224A" w:rsidRPr="008A106B" w:rsidRDefault="00DC224A" w:rsidP="00DC224A">
      <w:pPr>
        <w:numPr>
          <w:ilvl w:val="12"/>
          <w:numId w:val="0"/>
        </w:numPr>
        <w:ind w:right="-2"/>
        <w:rPr>
          <w:lang w:val="es-ES"/>
        </w:rPr>
      </w:pPr>
    </w:p>
    <w:p w14:paraId="70E77F05" w14:textId="77777777" w:rsidR="00DC224A" w:rsidRDefault="00DC224A" w:rsidP="00DC224A">
      <w:pPr>
        <w:keepNext/>
        <w:numPr>
          <w:ilvl w:val="12"/>
          <w:numId w:val="0"/>
        </w:numPr>
        <w:rPr>
          <w:u w:val="single"/>
          <w:lang w:val="es-ES"/>
        </w:rPr>
      </w:pPr>
      <w:r w:rsidRPr="008A106B">
        <w:rPr>
          <w:u w:val="single"/>
          <w:lang w:val="es-ES"/>
        </w:rPr>
        <w:t>Efectos farmacodinámicos</w:t>
      </w:r>
    </w:p>
    <w:p w14:paraId="7C00D887" w14:textId="77777777" w:rsidR="00C53BFF" w:rsidRPr="008A106B" w:rsidRDefault="00C53BFF" w:rsidP="00DC224A">
      <w:pPr>
        <w:keepNext/>
        <w:numPr>
          <w:ilvl w:val="12"/>
          <w:numId w:val="0"/>
        </w:numPr>
        <w:rPr>
          <w:u w:val="single"/>
          <w:lang w:val="es-ES"/>
        </w:rPr>
      </w:pPr>
    </w:p>
    <w:p w14:paraId="477F9AAB" w14:textId="1CADDAA6" w:rsidR="00DC224A" w:rsidRPr="008A106B" w:rsidRDefault="00DC224A" w:rsidP="00DC224A">
      <w:pPr>
        <w:numPr>
          <w:ilvl w:val="12"/>
          <w:numId w:val="0"/>
        </w:numPr>
        <w:tabs>
          <w:tab w:val="left" w:pos="1985"/>
        </w:tabs>
        <w:ind w:right="-2"/>
        <w:rPr>
          <w:lang w:val="es-ES"/>
        </w:rPr>
      </w:pPr>
      <w:r w:rsidRPr="008A106B">
        <w:rPr>
          <w:lang w:val="es-ES_tradnl"/>
        </w:rPr>
        <w:t>En ensayos clínicos</w:t>
      </w:r>
      <w:r>
        <w:rPr>
          <w:lang w:val="es-ES_tradnl"/>
        </w:rPr>
        <w:t xml:space="preserve"> de AR</w:t>
      </w:r>
      <w:r w:rsidRPr="008A106B">
        <w:rPr>
          <w:lang w:val="es-ES_tradnl"/>
        </w:rPr>
        <w:t xml:space="preserve"> con </w:t>
      </w:r>
      <w:r w:rsidR="00640FAC" w:rsidRPr="00F30AB8">
        <w:rPr>
          <w:szCs w:val="22"/>
          <w:lang w:val="es-ES"/>
        </w:rPr>
        <w:t>tocilizumab</w:t>
      </w:r>
      <w:r w:rsidRPr="008A106B">
        <w:rPr>
          <w:lang w:val="es-ES_tradnl"/>
        </w:rPr>
        <w:t>, se observaron reducciones rápidas de la proteína C reactiva (PCR), la velocidad de sedimentación globular (VSG)</w:t>
      </w:r>
      <w:r w:rsidR="00AA06D3">
        <w:rPr>
          <w:lang w:val="es-ES_tradnl"/>
        </w:rPr>
        <w:t>,</w:t>
      </w:r>
      <w:r w:rsidRPr="008A106B">
        <w:rPr>
          <w:lang w:val="es-ES_tradnl"/>
        </w:rPr>
        <w:t xml:space="preserve"> el amiloide A sérico (AAS)</w:t>
      </w:r>
      <w:r w:rsidR="00AA06D3">
        <w:rPr>
          <w:lang w:val="es-ES_tradnl"/>
        </w:rPr>
        <w:t xml:space="preserve"> y el fibrinógeno</w:t>
      </w:r>
      <w:r w:rsidRPr="008A106B">
        <w:rPr>
          <w:lang w:val="es-ES_tradnl"/>
        </w:rPr>
        <w:t>.</w:t>
      </w:r>
      <w:r w:rsidRPr="008A106B">
        <w:rPr>
          <w:lang w:val="es-ES"/>
        </w:rPr>
        <w:t xml:space="preserve"> </w:t>
      </w:r>
      <w:r w:rsidRPr="008A106B">
        <w:rPr>
          <w:lang w:val="es-ES_tradnl"/>
        </w:rPr>
        <w:t xml:space="preserve">De forma coherente con el efecto sobre los reactantes de la fase aguda, el tratamiento con </w:t>
      </w:r>
      <w:r w:rsidR="00640FAC" w:rsidRPr="00F30AB8">
        <w:rPr>
          <w:szCs w:val="22"/>
          <w:lang w:val="es-ES"/>
        </w:rPr>
        <w:t>tocilizumab</w:t>
      </w:r>
      <w:r>
        <w:rPr>
          <w:szCs w:val="22"/>
          <w:lang w:val="es-ES"/>
        </w:rPr>
        <w:t xml:space="preserve"> </w:t>
      </w:r>
      <w:r w:rsidRPr="008A106B">
        <w:rPr>
          <w:lang w:val="es-ES_tradnl"/>
        </w:rPr>
        <w:t>se asoció a reducción del recuento de plaquetas dentro del rango normal.</w:t>
      </w:r>
      <w:r w:rsidRPr="008A106B">
        <w:rPr>
          <w:lang w:val="es-ES"/>
        </w:rPr>
        <w:t xml:space="preserve"> </w:t>
      </w:r>
      <w:r w:rsidRPr="008A106B">
        <w:rPr>
          <w:lang w:val="es-ES_tradnl"/>
        </w:rPr>
        <w:t xml:space="preserve">Se observaron aumentos de los niveles de hemoglobina, debidos a la reducción por </w:t>
      </w:r>
      <w:r w:rsidR="00640FAC" w:rsidRPr="00F30AB8">
        <w:rPr>
          <w:szCs w:val="22"/>
          <w:lang w:val="es-ES"/>
        </w:rPr>
        <w:t>tocilizumab</w:t>
      </w:r>
      <w:r>
        <w:rPr>
          <w:szCs w:val="22"/>
          <w:lang w:val="es-ES"/>
        </w:rPr>
        <w:t xml:space="preserve"> </w:t>
      </w:r>
      <w:r w:rsidRPr="008A106B">
        <w:rPr>
          <w:lang w:val="es-ES_tradnl"/>
        </w:rPr>
        <w:t>de los efectos impulsados por la IL-6 sobre la producción de hepcidina para aumentar la disponibilidad del hierro.</w:t>
      </w:r>
      <w:r w:rsidRPr="008A106B">
        <w:rPr>
          <w:lang w:val="es-ES"/>
        </w:rPr>
        <w:t xml:space="preserve"> </w:t>
      </w:r>
      <w:r w:rsidRPr="008A106B">
        <w:rPr>
          <w:lang w:val="es-ES_tradnl"/>
        </w:rPr>
        <w:t xml:space="preserve">En pacientes tratados con </w:t>
      </w:r>
      <w:r w:rsidR="00640FAC" w:rsidRPr="00F30AB8">
        <w:rPr>
          <w:szCs w:val="22"/>
          <w:lang w:val="es-ES"/>
        </w:rPr>
        <w:t>tocilizumab</w:t>
      </w:r>
      <w:r w:rsidRPr="008A106B">
        <w:rPr>
          <w:lang w:val="es-ES_tradnl"/>
        </w:rPr>
        <w:t xml:space="preserve">, se observaron disminuciones de los niveles de PCR dentro de los valores normales </w:t>
      </w:r>
      <w:r>
        <w:rPr>
          <w:lang w:val="es-ES_tradnl"/>
        </w:rPr>
        <w:t>desde</w:t>
      </w:r>
      <w:r w:rsidRPr="008A106B">
        <w:rPr>
          <w:lang w:val="es-ES_tradnl"/>
        </w:rPr>
        <w:t xml:space="preserve"> la segunda semana y las reducciones se mantuvieron mientras se mantenía el tratamiento.</w:t>
      </w:r>
    </w:p>
    <w:p w14:paraId="055D740E" w14:textId="77777777" w:rsidR="00DC224A" w:rsidRPr="008A106B" w:rsidRDefault="00DC224A" w:rsidP="00DC224A">
      <w:pPr>
        <w:numPr>
          <w:ilvl w:val="12"/>
          <w:numId w:val="0"/>
        </w:numPr>
        <w:ind w:right="-2"/>
        <w:rPr>
          <w:lang w:val="es-ES"/>
        </w:rPr>
      </w:pPr>
    </w:p>
    <w:p w14:paraId="554C5D61" w14:textId="374CF5E1" w:rsidR="00DC224A" w:rsidRDefault="00DC224A" w:rsidP="00DC224A">
      <w:pPr>
        <w:numPr>
          <w:ilvl w:val="12"/>
          <w:numId w:val="0"/>
        </w:numPr>
        <w:ind w:right="-2"/>
        <w:rPr>
          <w:lang w:val="es-ES"/>
        </w:rPr>
      </w:pPr>
      <w:r w:rsidRPr="0071356C">
        <w:rPr>
          <w:lang w:val="es-ES"/>
        </w:rPr>
        <w:t xml:space="preserve">En el </w:t>
      </w:r>
      <w:r>
        <w:rPr>
          <w:lang w:val="es-ES"/>
        </w:rPr>
        <w:t>ensayo</w:t>
      </w:r>
      <w:r w:rsidRPr="0071356C">
        <w:rPr>
          <w:lang w:val="es-ES"/>
        </w:rPr>
        <w:t xml:space="preserve"> clínico </w:t>
      </w:r>
      <w:r>
        <w:rPr>
          <w:lang w:val="es-ES"/>
        </w:rPr>
        <w:t xml:space="preserve">de ACG </w:t>
      </w:r>
      <w:r w:rsidRPr="0071356C">
        <w:rPr>
          <w:lang w:val="es-ES"/>
        </w:rPr>
        <w:t>WA28119, se observaron dismi</w:t>
      </w:r>
      <w:r>
        <w:rPr>
          <w:lang w:val="es-ES"/>
        </w:rPr>
        <w:t xml:space="preserve">nuciones rápidas similares en </w:t>
      </w:r>
      <w:r w:rsidRPr="0071356C">
        <w:rPr>
          <w:lang w:val="es-ES"/>
        </w:rPr>
        <w:t>P</w:t>
      </w:r>
      <w:r>
        <w:rPr>
          <w:lang w:val="es-ES"/>
        </w:rPr>
        <w:t>CR y VSG</w:t>
      </w:r>
      <w:r w:rsidRPr="0071356C">
        <w:rPr>
          <w:lang w:val="es-ES"/>
        </w:rPr>
        <w:t xml:space="preserve"> junto con ligeros incrementos en la concentración media de hemoglobina corpuscular.</w:t>
      </w:r>
      <w:r>
        <w:rPr>
          <w:lang w:val="es-ES"/>
        </w:rPr>
        <w:t xml:space="preserve"> En </w:t>
      </w:r>
      <w:r w:rsidRPr="008A106B">
        <w:rPr>
          <w:lang w:val="es-ES"/>
        </w:rPr>
        <w:t xml:space="preserve">voluntarios sanos a los que se administró </w:t>
      </w:r>
      <w:r w:rsidR="00640FAC" w:rsidRPr="00F30AB8">
        <w:rPr>
          <w:szCs w:val="22"/>
          <w:lang w:val="es-ES"/>
        </w:rPr>
        <w:t>tocilizumab</w:t>
      </w:r>
      <w:r w:rsidRPr="006868F5">
        <w:rPr>
          <w:rFonts w:eastAsia="SimSun"/>
          <w:lang w:val="es-ES" w:eastAsia="zh-CN"/>
        </w:rPr>
        <w:t xml:space="preserve"> </w:t>
      </w:r>
      <w:r w:rsidRPr="008A106B">
        <w:rPr>
          <w:lang w:val="es-ES"/>
        </w:rPr>
        <w:t>a dosis de 2 a 28 mg/kg</w:t>
      </w:r>
      <w:r>
        <w:rPr>
          <w:lang w:val="es-ES"/>
        </w:rPr>
        <w:t xml:space="preserve"> por vía intravenosa y 81 a 162 mg vía subcutánea</w:t>
      </w:r>
      <w:r w:rsidRPr="008A106B">
        <w:rPr>
          <w:lang w:val="es-ES"/>
        </w:rPr>
        <w:t>, el recuento absoluto de neutrófilos disminuyó a su nivel más bajo tra</w:t>
      </w:r>
      <w:ins w:id="1803" w:author="AUTHOR">
        <w:r w:rsidR="00174473">
          <w:rPr>
            <w:lang w:val="es-ES"/>
          </w:rPr>
          <w:t>n</w:t>
        </w:r>
      </w:ins>
      <w:r w:rsidRPr="008A106B">
        <w:rPr>
          <w:lang w:val="es-ES"/>
        </w:rPr>
        <w:t xml:space="preserve">scurridos de </w:t>
      </w:r>
      <w:r>
        <w:rPr>
          <w:lang w:val="es-ES"/>
        </w:rPr>
        <w:t>2</w:t>
      </w:r>
      <w:r w:rsidRPr="008A106B">
        <w:rPr>
          <w:lang w:val="es-ES"/>
        </w:rPr>
        <w:t xml:space="preserve"> a 5 días tras la administración. Posteriormente</w:t>
      </w:r>
      <w:r>
        <w:rPr>
          <w:lang w:val="es-ES"/>
        </w:rPr>
        <w:t>,</w:t>
      </w:r>
      <w:r w:rsidRPr="008A106B">
        <w:rPr>
          <w:lang w:val="es-ES"/>
        </w:rPr>
        <w:t xml:space="preserve"> los niveles de neutrófilos se recuperaron hasta el valor basal de una manera </w:t>
      </w:r>
      <w:ins w:id="1804" w:author="AUTHOR">
        <w:r w:rsidR="00174473">
          <w:rPr>
            <w:lang w:val="es-ES"/>
          </w:rPr>
          <w:t xml:space="preserve">dependiente de la </w:t>
        </w:r>
      </w:ins>
      <w:r w:rsidRPr="008A106B">
        <w:rPr>
          <w:lang w:val="es-ES"/>
        </w:rPr>
        <w:t>dosis</w:t>
      </w:r>
      <w:del w:id="1805" w:author="AUTHOR">
        <w:r w:rsidRPr="008A106B" w:rsidDel="00174473">
          <w:rPr>
            <w:lang w:val="es-ES"/>
          </w:rPr>
          <w:delText xml:space="preserve"> dependiente</w:delText>
        </w:r>
      </w:del>
      <w:r w:rsidRPr="008A106B">
        <w:rPr>
          <w:lang w:val="es-ES"/>
        </w:rPr>
        <w:t xml:space="preserve">. Los pacientes con </w:t>
      </w:r>
      <w:r>
        <w:rPr>
          <w:lang w:val="es-ES"/>
        </w:rPr>
        <w:lastRenderedPageBreak/>
        <w:t>AR y ACG</w:t>
      </w:r>
      <w:r w:rsidRPr="008A106B">
        <w:rPr>
          <w:lang w:val="es-ES"/>
        </w:rPr>
        <w:t xml:space="preserve"> han mostrado un </w:t>
      </w:r>
      <w:r>
        <w:rPr>
          <w:lang w:val="es-ES"/>
        </w:rPr>
        <w:t>descenso</w:t>
      </w:r>
      <w:r w:rsidRPr="008A106B">
        <w:rPr>
          <w:lang w:val="es-ES"/>
        </w:rPr>
        <w:t xml:space="preserve"> </w:t>
      </w:r>
      <w:r>
        <w:rPr>
          <w:lang w:val="es-ES"/>
        </w:rPr>
        <w:t xml:space="preserve">comparable a los voluntarios sanos, </w:t>
      </w:r>
      <w:r w:rsidRPr="008A106B">
        <w:rPr>
          <w:lang w:val="es-ES"/>
        </w:rPr>
        <w:t xml:space="preserve">en el recuento absoluto de neutrófilos tras la administración con </w:t>
      </w:r>
      <w:r w:rsidR="00640FAC" w:rsidRPr="00F30AB8">
        <w:rPr>
          <w:szCs w:val="22"/>
          <w:lang w:val="es-ES"/>
        </w:rPr>
        <w:t>tocilizumab</w:t>
      </w:r>
      <w:r w:rsidRPr="006868F5">
        <w:rPr>
          <w:rFonts w:eastAsia="SimSun"/>
          <w:lang w:val="es-ES" w:eastAsia="zh-CN"/>
        </w:rPr>
        <w:t xml:space="preserve"> </w:t>
      </w:r>
      <w:r w:rsidRPr="008A106B">
        <w:rPr>
          <w:lang w:val="es-ES"/>
        </w:rPr>
        <w:t>(ver sección</w:t>
      </w:r>
      <w:r w:rsidR="00C53BFF">
        <w:rPr>
          <w:lang w:val="es-ES"/>
        </w:rPr>
        <w:t> </w:t>
      </w:r>
      <w:r w:rsidRPr="008A106B">
        <w:rPr>
          <w:lang w:val="es-ES"/>
        </w:rPr>
        <w:t>4.8).</w:t>
      </w:r>
    </w:p>
    <w:p w14:paraId="6DA72841" w14:textId="77777777" w:rsidR="00DC224A" w:rsidRDefault="00DC224A" w:rsidP="00DC224A">
      <w:pPr>
        <w:numPr>
          <w:ilvl w:val="12"/>
          <w:numId w:val="0"/>
        </w:numPr>
        <w:ind w:right="-2"/>
        <w:rPr>
          <w:lang w:val="es-ES"/>
        </w:rPr>
      </w:pPr>
    </w:p>
    <w:p w14:paraId="40C03389" w14:textId="77777777" w:rsidR="00CD5F32" w:rsidRDefault="00CD5F32" w:rsidP="00CD5F32">
      <w:pPr>
        <w:keepNext/>
        <w:rPr>
          <w:u w:val="single"/>
          <w:lang w:val="es-ES_tradnl"/>
        </w:rPr>
      </w:pPr>
      <w:r>
        <w:rPr>
          <w:u w:val="single"/>
          <w:lang w:val="es-ES_tradnl"/>
        </w:rPr>
        <w:t>Uso subcutáneo</w:t>
      </w:r>
    </w:p>
    <w:p w14:paraId="2885D43B" w14:textId="77777777" w:rsidR="00397360" w:rsidRDefault="00397360" w:rsidP="00CD5F32">
      <w:pPr>
        <w:keepNext/>
        <w:rPr>
          <w:u w:val="single"/>
          <w:lang w:val="es-ES_tradnl"/>
        </w:rPr>
      </w:pPr>
    </w:p>
    <w:p w14:paraId="312B9D86" w14:textId="77777777" w:rsidR="00CD5F32" w:rsidRPr="00F30AB8" w:rsidRDefault="00397360" w:rsidP="00CD5F32">
      <w:pPr>
        <w:keepNext/>
        <w:rPr>
          <w:bCs/>
          <w:i/>
          <w:iCs/>
          <w:lang w:val="es-ES_tradnl"/>
        </w:rPr>
      </w:pPr>
      <w:r w:rsidRPr="00F30AB8">
        <w:rPr>
          <w:bCs/>
          <w:i/>
          <w:iCs/>
          <w:lang w:val="es-ES_tradnl"/>
        </w:rPr>
        <w:t xml:space="preserve">Pacientes con </w:t>
      </w:r>
      <w:r w:rsidR="00CD5F32" w:rsidRPr="00F30AB8">
        <w:rPr>
          <w:bCs/>
          <w:i/>
          <w:iCs/>
          <w:lang w:val="es-ES_tradnl"/>
        </w:rPr>
        <w:t>AR</w:t>
      </w:r>
    </w:p>
    <w:p w14:paraId="7146D918" w14:textId="77777777" w:rsidR="00CD5F32" w:rsidRPr="00F30AB8" w:rsidRDefault="00CD5F32" w:rsidP="00CD5F32">
      <w:pPr>
        <w:keepNext/>
        <w:rPr>
          <w:i/>
          <w:iCs/>
          <w:u w:val="single"/>
          <w:lang w:val="es-ES_tradnl"/>
        </w:rPr>
      </w:pPr>
      <w:r w:rsidRPr="00F30AB8">
        <w:rPr>
          <w:i/>
          <w:iCs/>
          <w:u w:val="single"/>
          <w:lang w:val="es-ES_tradnl"/>
        </w:rPr>
        <w:t>Eficacia clínica</w:t>
      </w:r>
    </w:p>
    <w:p w14:paraId="46036F7F" w14:textId="06CBDE08" w:rsidR="00CD5F32" w:rsidRDefault="00CD5F32" w:rsidP="00CD5F32">
      <w:pPr>
        <w:numPr>
          <w:ilvl w:val="12"/>
          <w:numId w:val="0"/>
        </w:numPr>
        <w:rPr>
          <w:lang w:val="es-ES_tradnl"/>
        </w:rPr>
      </w:pPr>
      <w:r w:rsidRPr="008A106B">
        <w:rPr>
          <w:lang w:val="es-ES_tradnl"/>
        </w:rPr>
        <w:t xml:space="preserve">Se ha evaluado la eficacia de </w:t>
      </w:r>
      <w:r w:rsidR="00397360" w:rsidRPr="00554BAE">
        <w:rPr>
          <w:szCs w:val="22"/>
          <w:lang w:val="es-ES"/>
        </w:rPr>
        <w:t>tocilizumab</w:t>
      </w:r>
      <w:r w:rsidRPr="006868F5">
        <w:rPr>
          <w:szCs w:val="22"/>
          <w:lang w:val="es-ES"/>
        </w:rPr>
        <w:t xml:space="preserve"> </w:t>
      </w:r>
      <w:r>
        <w:rPr>
          <w:lang w:val="es-ES_tradnl"/>
        </w:rPr>
        <w:t xml:space="preserve">administrado vía subcutánea </w:t>
      </w:r>
      <w:r w:rsidRPr="008A106B">
        <w:rPr>
          <w:lang w:val="es-ES_tradnl"/>
        </w:rPr>
        <w:t xml:space="preserve">para aliviar los signos y síntomas de </w:t>
      </w:r>
      <w:r>
        <w:rPr>
          <w:lang w:val="es-ES_tradnl"/>
        </w:rPr>
        <w:t xml:space="preserve">la </w:t>
      </w:r>
      <w:r w:rsidRPr="008A106B">
        <w:rPr>
          <w:lang w:val="es-ES_tradnl"/>
        </w:rPr>
        <w:t xml:space="preserve">artritis reumatoide </w:t>
      </w:r>
      <w:r>
        <w:rPr>
          <w:lang w:val="es-ES_tradnl"/>
        </w:rPr>
        <w:t xml:space="preserve">y la respuesta radiográfica, </w:t>
      </w:r>
      <w:r w:rsidRPr="008A106B">
        <w:rPr>
          <w:lang w:val="es-ES_tradnl"/>
        </w:rPr>
        <w:t xml:space="preserve">en </w:t>
      </w:r>
      <w:r>
        <w:rPr>
          <w:lang w:val="es-ES_tradnl"/>
        </w:rPr>
        <w:t>dos</w:t>
      </w:r>
      <w:r w:rsidRPr="008A106B">
        <w:rPr>
          <w:lang w:val="es-ES_tradnl"/>
        </w:rPr>
        <w:t xml:space="preserve"> ensayos aleatorizados, doble ciego,</w:t>
      </w:r>
      <w:r>
        <w:rPr>
          <w:lang w:val="es-ES_tradnl"/>
        </w:rPr>
        <w:t xml:space="preserve"> controlados, </w:t>
      </w:r>
      <w:r w:rsidRPr="008A106B">
        <w:rPr>
          <w:lang w:val="es-ES_tradnl"/>
        </w:rPr>
        <w:t>multicéntricos.</w:t>
      </w:r>
      <w:r>
        <w:rPr>
          <w:lang w:val="es-ES_tradnl"/>
        </w:rPr>
        <w:t xml:space="preserve"> Para el ensayo </w:t>
      </w:r>
      <w:r w:rsidRPr="00286CDE">
        <w:rPr>
          <w:lang w:val="es-ES_tradnl"/>
        </w:rPr>
        <w:t>I (SC-I), l</w:t>
      </w:r>
      <w:r>
        <w:rPr>
          <w:lang w:val="es-ES_tradnl"/>
        </w:rPr>
        <w:t xml:space="preserve">os pacientes tenían que ser </w:t>
      </w:r>
      <w:r w:rsidRPr="00286CDE">
        <w:rPr>
          <w:lang w:val="es-ES"/>
        </w:rPr>
        <w:t>&gt;</w:t>
      </w:r>
      <w:r w:rsidRPr="008A106B">
        <w:rPr>
          <w:lang w:val="es-ES_tradnl"/>
        </w:rPr>
        <w:t xml:space="preserve">18 años de edad con artritis reumatoide activa </w:t>
      </w:r>
      <w:r>
        <w:rPr>
          <w:lang w:val="es-ES_tradnl"/>
        </w:rPr>
        <w:t xml:space="preserve">de moderada a grave, </w:t>
      </w:r>
      <w:r w:rsidRPr="008A106B">
        <w:rPr>
          <w:lang w:val="es-ES_tradnl"/>
        </w:rPr>
        <w:t>diagnosticada según los criterios del American</w:t>
      </w:r>
      <w:r>
        <w:rPr>
          <w:lang w:val="es-ES_tradnl"/>
        </w:rPr>
        <w:t xml:space="preserve"> College of Rheumatology (ACR), </w:t>
      </w:r>
      <w:r w:rsidRPr="008A106B">
        <w:rPr>
          <w:lang w:val="es-ES_tradnl"/>
        </w:rPr>
        <w:t xml:space="preserve">tenían al menos </w:t>
      </w:r>
      <w:r>
        <w:rPr>
          <w:lang w:val="es-ES_tradnl"/>
        </w:rPr>
        <w:t>4</w:t>
      </w:r>
      <w:r w:rsidRPr="008A106B">
        <w:rPr>
          <w:lang w:val="es-ES_tradnl"/>
        </w:rPr>
        <w:t xml:space="preserve"> articulaciones doloridas y </w:t>
      </w:r>
      <w:r>
        <w:rPr>
          <w:lang w:val="es-ES_tradnl"/>
        </w:rPr>
        <w:t>4</w:t>
      </w:r>
      <w:r w:rsidRPr="008A106B">
        <w:rPr>
          <w:lang w:val="es-ES_tradnl"/>
        </w:rPr>
        <w:t xml:space="preserve"> inflamadas al inicio</w:t>
      </w:r>
      <w:r>
        <w:rPr>
          <w:lang w:val="es-ES_tradnl"/>
        </w:rPr>
        <w:t xml:space="preserve"> del ensayo</w:t>
      </w:r>
      <w:r w:rsidRPr="008A106B">
        <w:rPr>
          <w:lang w:val="es-ES_tradnl"/>
        </w:rPr>
        <w:t>.</w:t>
      </w:r>
      <w:r w:rsidRPr="008A106B">
        <w:rPr>
          <w:lang w:val="es-ES"/>
        </w:rPr>
        <w:t xml:space="preserve"> </w:t>
      </w:r>
      <w:r>
        <w:rPr>
          <w:lang w:val="es-ES"/>
        </w:rPr>
        <w:t xml:space="preserve">Todos los pacientes recibieron anteriormente FAMEs no biológicos. Para el ensayo II </w:t>
      </w:r>
      <w:r w:rsidRPr="00286CDE">
        <w:rPr>
          <w:lang w:val="es-ES"/>
        </w:rPr>
        <w:t>(SC-II),</w:t>
      </w:r>
      <w:r>
        <w:rPr>
          <w:lang w:val="es-ES"/>
        </w:rPr>
        <w:t xml:space="preserve"> los pacientes tenían que ser</w:t>
      </w:r>
      <w:r w:rsidRPr="00286CDE">
        <w:rPr>
          <w:lang w:val="es-ES"/>
        </w:rPr>
        <w:t xml:space="preserve"> &gt;18</w:t>
      </w:r>
      <w:r>
        <w:rPr>
          <w:lang w:val="es-ES"/>
        </w:rPr>
        <w:t xml:space="preserve"> años de edad </w:t>
      </w:r>
      <w:r w:rsidRPr="008A106B">
        <w:rPr>
          <w:lang w:val="es-ES_tradnl"/>
        </w:rPr>
        <w:t xml:space="preserve">con artritis reumatoide activa </w:t>
      </w:r>
      <w:r>
        <w:rPr>
          <w:lang w:val="es-ES_tradnl"/>
        </w:rPr>
        <w:t xml:space="preserve">de moderada a grave, </w:t>
      </w:r>
      <w:r w:rsidRPr="008A106B">
        <w:rPr>
          <w:lang w:val="es-ES_tradnl"/>
        </w:rPr>
        <w:t xml:space="preserve">diagnosticada según los criterios del American College </w:t>
      </w:r>
      <w:r>
        <w:rPr>
          <w:lang w:val="es-ES_tradnl"/>
        </w:rPr>
        <w:t xml:space="preserve">of Rheumatology (ACR), </w:t>
      </w:r>
      <w:r w:rsidRPr="008A106B">
        <w:rPr>
          <w:lang w:val="es-ES_tradnl"/>
        </w:rPr>
        <w:t xml:space="preserve">tenían al menos </w:t>
      </w:r>
      <w:r>
        <w:rPr>
          <w:lang w:val="es-ES_tradnl"/>
        </w:rPr>
        <w:t>8</w:t>
      </w:r>
      <w:r w:rsidRPr="008A106B">
        <w:rPr>
          <w:lang w:val="es-ES_tradnl"/>
        </w:rPr>
        <w:t xml:space="preserve"> articulaciones doloridas y </w:t>
      </w:r>
      <w:r>
        <w:rPr>
          <w:lang w:val="es-ES_tradnl"/>
        </w:rPr>
        <w:t>6</w:t>
      </w:r>
      <w:r w:rsidRPr="008A106B">
        <w:rPr>
          <w:lang w:val="es-ES_tradnl"/>
        </w:rPr>
        <w:t xml:space="preserve"> inflamadas al inicio</w:t>
      </w:r>
      <w:r>
        <w:rPr>
          <w:lang w:val="es-ES_tradnl"/>
        </w:rPr>
        <w:t xml:space="preserve"> del ensayo</w:t>
      </w:r>
      <w:r w:rsidRPr="008A106B">
        <w:rPr>
          <w:lang w:val="es-ES_tradnl"/>
        </w:rPr>
        <w:t>.</w:t>
      </w:r>
    </w:p>
    <w:p w14:paraId="0CD925B2" w14:textId="77777777" w:rsidR="00CD5F32" w:rsidRDefault="00CD5F32" w:rsidP="00CD5F32">
      <w:pPr>
        <w:numPr>
          <w:ilvl w:val="12"/>
          <w:numId w:val="0"/>
        </w:numPr>
        <w:rPr>
          <w:lang w:val="es-ES_tradnl"/>
        </w:rPr>
      </w:pPr>
    </w:p>
    <w:p w14:paraId="0187C6E1" w14:textId="65A6C7C7" w:rsidR="00CD5F32" w:rsidRDefault="00CD5F32" w:rsidP="00CD5F32">
      <w:pPr>
        <w:numPr>
          <w:ilvl w:val="12"/>
          <w:numId w:val="0"/>
        </w:numPr>
        <w:rPr>
          <w:lang w:val="es-ES_tradnl"/>
        </w:rPr>
      </w:pPr>
      <w:r w:rsidRPr="00CA1B1E">
        <w:rPr>
          <w:lang w:val="es-ES_tradnl"/>
        </w:rPr>
        <w:t>El cambio de 8</w:t>
      </w:r>
      <w:r w:rsidR="00C53BFF">
        <w:rPr>
          <w:lang w:val="es-ES_tradnl"/>
        </w:rPr>
        <w:t> </w:t>
      </w:r>
      <w:r w:rsidRPr="00CA1B1E">
        <w:rPr>
          <w:lang w:val="es-ES_tradnl"/>
        </w:rPr>
        <w:t>mg/kg vía intravenosa una vez cada 4</w:t>
      </w:r>
      <w:r w:rsidR="00C53BFF">
        <w:rPr>
          <w:lang w:val="es-ES_tradnl"/>
        </w:rPr>
        <w:t> </w:t>
      </w:r>
      <w:r w:rsidRPr="00CA1B1E">
        <w:rPr>
          <w:lang w:val="es-ES_tradnl"/>
        </w:rPr>
        <w:t>semanas a 162</w:t>
      </w:r>
      <w:r w:rsidR="00C53BFF">
        <w:rPr>
          <w:lang w:val="es-ES_tradnl"/>
        </w:rPr>
        <w:t> </w:t>
      </w:r>
      <w:r w:rsidRPr="00CA1B1E">
        <w:rPr>
          <w:lang w:val="es-ES_tradnl"/>
        </w:rPr>
        <w:t xml:space="preserve">mg vía subcutánea una vez por semana alterará la exposición en el paciente. La medida </w:t>
      </w:r>
      <w:r>
        <w:rPr>
          <w:lang w:val="es-ES_tradnl"/>
        </w:rPr>
        <w:t>varí</w:t>
      </w:r>
      <w:r w:rsidRPr="00CA1B1E">
        <w:rPr>
          <w:lang w:val="es-ES_tradnl"/>
        </w:rPr>
        <w:t>a con el peso corporal del paciente (aumentado en los pacientes de bajo peso corporal y disminuyendo en pacientes con alto peso corporal) pero el resultado clínico es consistente con el observado en pacientes tratados con tocilizumab por vía intravenosa.</w:t>
      </w:r>
    </w:p>
    <w:p w14:paraId="50E55578" w14:textId="77777777" w:rsidR="00CD5F32" w:rsidRPr="00CA1B1E" w:rsidRDefault="00CD5F32" w:rsidP="00CD5F32">
      <w:pPr>
        <w:numPr>
          <w:ilvl w:val="12"/>
          <w:numId w:val="0"/>
        </w:numPr>
        <w:rPr>
          <w:u w:val="single"/>
          <w:lang w:val="es-ES_tradnl"/>
        </w:rPr>
      </w:pPr>
    </w:p>
    <w:p w14:paraId="090CAB20" w14:textId="77777777" w:rsidR="00CD5F32" w:rsidRPr="00F30AB8" w:rsidRDefault="00CD5F32" w:rsidP="00CD5F32">
      <w:pPr>
        <w:numPr>
          <w:ilvl w:val="12"/>
          <w:numId w:val="0"/>
        </w:numPr>
        <w:rPr>
          <w:i/>
          <w:iCs/>
          <w:u w:val="single"/>
          <w:lang w:val="es-ES_tradnl"/>
        </w:rPr>
      </w:pPr>
      <w:r w:rsidRPr="00F30AB8">
        <w:rPr>
          <w:i/>
          <w:iCs/>
          <w:u w:val="single"/>
          <w:lang w:val="es-ES_tradnl"/>
        </w:rPr>
        <w:t>Respuesta clínica</w:t>
      </w:r>
    </w:p>
    <w:p w14:paraId="460D90FD" w14:textId="56C07843" w:rsidR="00CD5F32" w:rsidRDefault="00CD5F32" w:rsidP="00CD5F32">
      <w:pPr>
        <w:numPr>
          <w:ilvl w:val="12"/>
          <w:numId w:val="0"/>
        </w:numPr>
        <w:rPr>
          <w:iCs/>
          <w:lang w:val="es-ES_tradnl"/>
        </w:rPr>
      </w:pPr>
      <w:r>
        <w:rPr>
          <w:iCs/>
          <w:lang w:val="es-ES_tradnl"/>
        </w:rPr>
        <w:t xml:space="preserve">El ensayo </w:t>
      </w:r>
      <w:r w:rsidRPr="00286CDE">
        <w:rPr>
          <w:iCs/>
          <w:lang w:val="es-ES_tradnl"/>
        </w:rPr>
        <w:t>SC-I ev</w:t>
      </w:r>
      <w:r>
        <w:rPr>
          <w:iCs/>
          <w:lang w:val="es-ES_tradnl"/>
        </w:rPr>
        <w:t>alúa a pacientes con artritis reumatoide activa de modera a grave que tuvieron una respuesta clínica inadecuada a las terapias reumatológicas existentes, incluyendo uno o más FAMEs donde aproximadamente el 20 % tuvieron una historia de respuesta inadecuada a al menos un inhibidor del TNF. E</w:t>
      </w:r>
      <w:r w:rsidRPr="00286CDE">
        <w:rPr>
          <w:iCs/>
          <w:lang w:val="es-ES_tradnl"/>
        </w:rPr>
        <w:t>n SC-I,</w:t>
      </w:r>
      <w:r>
        <w:rPr>
          <w:iCs/>
          <w:lang w:val="es-ES_tradnl"/>
        </w:rPr>
        <w:t xml:space="preserve"> 1.262 pacientes fueron aleatorizados 1:1 para recibir 162 mg de </w:t>
      </w:r>
      <w:r w:rsidR="00397360" w:rsidRPr="00554BAE">
        <w:rPr>
          <w:szCs w:val="22"/>
          <w:lang w:val="es-ES"/>
        </w:rPr>
        <w:t>tocilizumab</w:t>
      </w:r>
      <w:r w:rsidRPr="006868F5">
        <w:rPr>
          <w:szCs w:val="22"/>
          <w:lang w:val="es-ES"/>
        </w:rPr>
        <w:t xml:space="preserve"> </w:t>
      </w:r>
      <w:r>
        <w:rPr>
          <w:iCs/>
          <w:lang w:val="es-ES_tradnl"/>
        </w:rPr>
        <w:t xml:space="preserve">subcutáneo una vez por semana u 8 mg/kg de </w:t>
      </w:r>
      <w:r w:rsidR="00397360" w:rsidRPr="00554BAE">
        <w:rPr>
          <w:szCs w:val="22"/>
          <w:lang w:val="es-ES"/>
        </w:rPr>
        <w:t>tocilizumab</w:t>
      </w:r>
      <w:r w:rsidRPr="006868F5">
        <w:rPr>
          <w:szCs w:val="22"/>
          <w:lang w:val="es-ES"/>
        </w:rPr>
        <w:t xml:space="preserve"> </w:t>
      </w:r>
      <w:r>
        <w:rPr>
          <w:iCs/>
          <w:lang w:val="es-ES_tradnl"/>
        </w:rPr>
        <w:t xml:space="preserve">intravenoso cada cuatro semanas en combinación con FAMEs no biológicos. La variable principal en el ensayo fue la diferencia en la proporción de pacientes que consiguieron una respuesta ACR20 a la semana 24. Los resultados del ensayo </w:t>
      </w:r>
      <w:r w:rsidRPr="00286CDE">
        <w:rPr>
          <w:iCs/>
          <w:lang w:val="es-ES_tradnl"/>
        </w:rPr>
        <w:t>SC-I se</w:t>
      </w:r>
      <w:r>
        <w:rPr>
          <w:iCs/>
          <w:lang w:val="es-ES_tradnl"/>
        </w:rPr>
        <w:t xml:space="preserve"> muestran en la Tabla</w:t>
      </w:r>
      <w:r w:rsidR="00C53BFF">
        <w:rPr>
          <w:iCs/>
          <w:lang w:val="es-ES_tradnl"/>
        </w:rPr>
        <w:t> </w:t>
      </w:r>
      <w:r>
        <w:rPr>
          <w:iCs/>
          <w:lang w:val="es-ES_tradnl"/>
        </w:rPr>
        <w:t>2.</w:t>
      </w:r>
    </w:p>
    <w:p w14:paraId="118013C1" w14:textId="77777777" w:rsidR="00CD5F32" w:rsidRDefault="00CD5F32" w:rsidP="00FF2AFA">
      <w:pPr>
        <w:numPr>
          <w:ilvl w:val="12"/>
          <w:numId w:val="0"/>
        </w:numPr>
        <w:rPr>
          <w:iCs/>
          <w:lang w:val="es-ES_tradnl"/>
        </w:rPr>
      </w:pPr>
    </w:p>
    <w:p w14:paraId="79827E6B" w14:textId="2A2A0702" w:rsidR="00CD5F32" w:rsidRDefault="00CD5F32" w:rsidP="00FF2AFA">
      <w:pPr>
        <w:numPr>
          <w:ilvl w:val="12"/>
          <w:numId w:val="0"/>
        </w:numPr>
        <w:rPr>
          <w:bCs/>
          <w:i/>
          <w:lang w:val="es-ES"/>
        </w:rPr>
      </w:pPr>
      <w:r>
        <w:rPr>
          <w:bCs/>
          <w:i/>
          <w:lang w:val="es-ES"/>
        </w:rPr>
        <w:t>Tabla 2</w:t>
      </w:r>
      <w:r w:rsidRPr="00286CDE">
        <w:rPr>
          <w:bCs/>
          <w:i/>
          <w:lang w:val="es-ES"/>
        </w:rPr>
        <w:t>. Respuestas ACR en el e</w:t>
      </w:r>
      <w:r>
        <w:rPr>
          <w:bCs/>
          <w:i/>
          <w:lang w:val="es-ES"/>
        </w:rPr>
        <w:t>nsay</w:t>
      </w:r>
      <w:r w:rsidRPr="00286CDE">
        <w:rPr>
          <w:bCs/>
          <w:i/>
          <w:lang w:val="es-ES"/>
        </w:rPr>
        <w:t>o SC-I (% pa</w:t>
      </w:r>
      <w:r>
        <w:rPr>
          <w:bCs/>
          <w:i/>
          <w:lang w:val="es-ES"/>
        </w:rPr>
        <w:t>cientes</w:t>
      </w:r>
      <w:r w:rsidRPr="00286CDE">
        <w:rPr>
          <w:bCs/>
          <w:i/>
          <w:lang w:val="es-ES"/>
        </w:rPr>
        <w:t xml:space="preserve">) </w:t>
      </w:r>
      <w:r>
        <w:rPr>
          <w:bCs/>
          <w:i/>
          <w:lang w:val="es-ES"/>
        </w:rPr>
        <w:t>a la semana</w:t>
      </w:r>
      <w:r w:rsidR="00C53BFF">
        <w:rPr>
          <w:bCs/>
          <w:i/>
          <w:lang w:val="es-ES"/>
        </w:rPr>
        <w:t> </w:t>
      </w:r>
      <w:r w:rsidRPr="00286CDE">
        <w:rPr>
          <w:bCs/>
          <w:i/>
          <w:lang w:val="es-ES"/>
        </w:rPr>
        <w:t>24</w:t>
      </w:r>
    </w:p>
    <w:p w14:paraId="1E38CEA0" w14:textId="77777777" w:rsidR="00CD5F32" w:rsidRPr="00286CDE" w:rsidRDefault="00CD5F32" w:rsidP="00FF2AFA">
      <w:pPr>
        <w:numPr>
          <w:ilvl w:val="12"/>
          <w:numId w:val="0"/>
        </w:numPr>
        <w:rPr>
          <w:i/>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1926"/>
        <w:gridCol w:w="2977"/>
      </w:tblGrid>
      <w:tr w:rsidR="00CD5F32" w:rsidRPr="005A5612" w14:paraId="3A35A7A5" w14:textId="77777777" w:rsidTr="002F33B1">
        <w:tc>
          <w:tcPr>
            <w:tcW w:w="2718" w:type="dxa"/>
          </w:tcPr>
          <w:p w14:paraId="045B9E6E" w14:textId="77777777" w:rsidR="00CD5F32" w:rsidRPr="005A5612" w:rsidRDefault="00CD5F32" w:rsidP="00FF2AFA">
            <w:pPr>
              <w:spacing w:line="280" w:lineRule="atLeast"/>
              <w:rPr>
                <w:sz w:val="20"/>
                <w:lang w:val="es-ES" w:eastAsia="de-DE"/>
              </w:rPr>
            </w:pPr>
          </w:p>
        </w:tc>
        <w:tc>
          <w:tcPr>
            <w:tcW w:w="4903" w:type="dxa"/>
            <w:gridSpan w:val="2"/>
          </w:tcPr>
          <w:p w14:paraId="49D98E51" w14:textId="77777777" w:rsidR="00CD5F32" w:rsidRPr="005A5612" w:rsidRDefault="00CD5F32" w:rsidP="00FF2AFA">
            <w:pPr>
              <w:spacing w:line="280" w:lineRule="atLeast"/>
              <w:jc w:val="center"/>
              <w:rPr>
                <w:sz w:val="20"/>
                <w:lang w:eastAsia="de-DE"/>
              </w:rPr>
            </w:pPr>
            <w:r w:rsidRPr="005A5612">
              <w:rPr>
                <w:sz w:val="20"/>
                <w:lang w:eastAsia="de-DE"/>
              </w:rPr>
              <w:t>SC-I</w:t>
            </w:r>
            <w:r w:rsidRPr="005A5612">
              <w:rPr>
                <w:sz w:val="20"/>
                <w:vertAlign w:val="superscript"/>
                <w:lang w:eastAsia="de-DE"/>
              </w:rPr>
              <w:t>a</w:t>
            </w:r>
          </w:p>
        </w:tc>
      </w:tr>
      <w:tr w:rsidR="00CD5F32" w:rsidRPr="001335A4" w14:paraId="4A57AF45" w14:textId="77777777" w:rsidTr="002F33B1">
        <w:tc>
          <w:tcPr>
            <w:tcW w:w="2718" w:type="dxa"/>
          </w:tcPr>
          <w:p w14:paraId="376D4633" w14:textId="77777777" w:rsidR="00CD5F32" w:rsidRPr="005A5612" w:rsidRDefault="00CD5F32" w:rsidP="00FF2AFA">
            <w:pPr>
              <w:spacing w:line="280" w:lineRule="atLeast"/>
              <w:rPr>
                <w:sz w:val="20"/>
                <w:lang w:eastAsia="de-DE"/>
              </w:rPr>
            </w:pPr>
          </w:p>
        </w:tc>
        <w:tc>
          <w:tcPr>
            <w:tcW w:w="1926" w:type="dxa"/>
          </w:tcPr>
          <w:p w14:paraId="762AE386" w14:textId="77777777" w:rsidR="00CD5F32" w:rsidRPr="005A5612" w:rsidRDefault="00CD5F32" w:rsidP="00FF2AFA">
            <w:pPr>
              <w:spacing w:line="280" w:lineRule="atLeast"/>
              <w:jc w:val="center"/>
              <w:rPr>
                <w:sz w:val="20"/>
                <w:lang w:val="es-ES" w:eastAsia="de-DE"/>
              </w:rPr>
            </w:pPr>
            <w:r w:rsidRPr="005A5612">
              <w:rPr>
                <w:sz w:val="20"/>
                <w:lang w:val="es-ES" w:eastAsia="de-DE"/>
              </w:rPr>
              <w:t xml:space="preserve">TCZ SC 162 mg </w:t>
            </w:r>
          </w:p>
          <w:p w14:paraId="66677314" w14:textId="77777777" w:rsidR="00CD5F32" w:rsidRPr="005A5612" w:rsidRDefault="00CD5F32" w:rsidP="00FF2AFA">
            <w:pPr>
              <w:spacing w:line="280" w:lineRule="atLeast"/>
              <w:jc w:val="center"/>
              <w:rPr>
                <w:sz w:val="20"/>
                <w:lang w:val="es-ES" w:eastAsia="de-DE"/>
              </w:rPr>
            </w:pPr>
            <w:r>
              <w:rPr>
                <w:sz w:val="20"/>
                <w:lang w:val="es-ES" w:eastAsia="de-DE"/>
              </w:rPr>
              <w:t>u</w:t>
            </w:r>
            <w:r w:rsidRPr="005A5612">
              <w:rPr>
                <w:sz w:val="20"/>
                <w:lang w:val="es-ES" w:eastAsia="de-DE"/>
              </w:rPr>
              <w:t>na vez por semana</w:t>
            </w:r>
          </w:p>
          <w:p w14:paraId="29B6B995" w14:textId="77777777" w:rsidR="00CD5F32" w:rsidRPr="00C555F2" w:rsidRDefault="00CD5F32" w:rsidP="00FF2AFA">
            <w:pPr>
              <w:spacing w:line="280" w:lineRule="atLeast"/>
              <w:jc w:val="center"/>
              <w:rPr>
                <w:sz w:val="20"/>
                <w:lang w:val="es-ES" w:eastAsia="de-DE"/>
              </w:rPr>
            </w:pPr>
            <w:r w:rsidRPr="00C555F2">
              <w:rPr>
                <w:sz w:val="20"/>
                <w:lang w:val="es-ES" w:eastAsia="de-DE"/>
              </w:rPr>
              <w:t>+ FAMEs</w:t>
            </w:r>
          </w:p>
          <w:p w14:paraId="61FA5182" w14:textId="77777777" w:rsidR="00CD5F32" w:rsidRPr="00C555F2" w:rsidRDefault="00CD5F32" w:rsidP="00FF2AFA">
            <w:pPr>
              <w:spacing w:line="280" w:lineRule="atLeast"/>
              <w:jc w:val="center"/>
              <w:rPr>
                <w:sz w:val="20"/>
                <w:lang w:val="es-ES" w:eastAsia="de-DE"/>
              </w:rPr>
            </w:pPr>
            <w:r w:rsidRPr="00C555F2">
              <w:rPr>
                <w:sz w:val="20"/>
                <w:lang w:val="es-ES" w:eastAsia="de-DE"/>
              </w:rPr>
              <w:t>N=558</w:t>
            </w:r>
          </w:p>
        </w:tc>
        <w:tc>
          <w:tcPr>
            <w:tcW w:w="2977" w:type="dxa"/>
          </w:tcPr>
          <w:p w14:paraId="5B15D3E6" w14:textId="77777777" w:rsidR="00CD5F32" w:rsidRPr="00C555F2" w:rsidRDefault="00CD5F32" w:rsidP="00FF2AFA">
            <w:pPr>
              <w:spacing w:line="280" w:lineRule="atLeast"/>
              <w:jc w:val="center"/>
              <w:rPr>
                <w:sz w:val="20"/>
                <w:lang w:val="pt-BR" w:eastAsia="de-DE"/>
              </w:rPr>
            </w:pPr>
            <w:r w:rsidRPr="00C555F2">
              <w:rPr>
                <w:sz w:val="20"/>
                <w:lang w:val="pt-BR" w:eastAsia="de-DE"/>
              </w:rPr>
              <w:t>TCZ IV 8 mg/kg</w:t>
            </w:r>
          </w:p>
          <w:p w14:paraId="6F6EF911" w14:textId="77777777" w:rsidR="00CD5F32" w:rsidRPr="00C555F2" w:rsidRDefault="00CD5F32" w:rsidP="00FF2AFA">
            <w:pPr>
              <w:spacing w:line="280" w:lineRule="atLeast"/>
              <w:jc w:val="center"/>
              <w:rPr>
                <w:sz w:val="20"/>
                <w:lang w:val="pt-BR" w:eastAsia="de-DE"/>
              </w:rPr>
            </w:pPr>
            <w:r w:rsidRPr="00C555F2">
              <w:rPr>
                <w:sz w:val="20"/>
                <w:lang w:val="pt-BR" w:eastAsia="de-DE"/>
              </w:rPr>
              <w:t>+ FAMEs</w:t>
            </w:r>
          </w:p>
          <w:p w14:paraId="0F55EB34" w14:textId="77777777" w:rsidR="00CD5F32" w:rsidRPr="00C555F2" w:rsidRDefault="00CD5F32" w:rsidP="00FF2AFA">
            <w:pPr>
              <w:spacing w:line="280" w:lineRule="atLeast"/>
              <w:jc w:val="center"/>
              <w:rPr>
                <w:sz w:val="20"/>
                <w:lang w:val="pt-BR" w:eastAsia="de-DE"/>
              </w:rPr>
            </w:pPr>
          </w:p>
          <w:p w14:paraId="6E2CDE43" w14:textId="77777777" w:rsidR="00CD5F32" w:rsidRPr="00C555F2" w:rsidRDefault="00CD5F32" w:rsidP="00FF2AFA">
            <w:pPr>
              <w:spacing w:line="280" w:lineRule="atLeast"/>
              <w:jc w:val="center"/>
              <w:rPr>
                <w:sz w:val="20"/>
                <w:lang w:val="pt-BR" w:eastAsia="de-DE"/>
              </w:rPr>
            </w:pPr>
            <w:r w:rsidRPr="00C555F2">
              <w:rPr>
                <w:sz w:val="20"/>
                <w:lang w:val="pt-BR" w:eastAsia="de-DE"/>
              </w:rPr>
              <w:t>N=537</w:t>
            </w:r>
          </w:p>
        </w:tc>
      </w:tr>
      <w:tr w:rsidR="00CD5F32" w:rsidRPr="005A5612" w14:paraId="0EBDB050" w14:textId="77777777" w:rsidTr="002F33B1">
        <w:tc>
          <w:tcPr>
            <w:tcW w:w="2718" w:type="dxa"/>
          </w:tcPr>
          <w:p w14:paraId="20EBB885" w14:textId="77777777" w:rsidR="00CD5F32" w:rsidRPr="005A5612" w:rsidRDefault="00CD5F32" w:rsidP="00FF2AFA">
            <w:pPr>
              <w:spacing w:line="280" w:lineRule="atLeast"/>
              <w:jc w:val="right"/>
              <w:rPr>
                <w:sz w:val="20"/>
                <w:lang w:eastAsia="de-DE"/>
              </w:rPr>
            </w:pPr>
            <w:r w:rsidRPr="005A5612">
              <w:rPr>
                <w:sz w:val="20"/>
                <w:lang w:eastAsia="de-DE"/>
              </w:rPr>
              <w:t>ACR20 semana 24</w:t>
            </w:r>
          </w:p>
        </w:tc>
        <w:tc>
          <w:tcPr>
            <w:tcW w:w="1926" w:type="dxa"/>
          </w:tcPr>
          <w:p w14:paraId="0E12809D" w14:textId="77777777" w:rsidR="00CD5F32" w:rsidRPr="005A5612" w:rsidRDefault="00CD5F32" w:rsidP="00FF2AFA">
            <w:pPr>
              <w:spacing w:line="280" w:lineRule="atLeast"/>
              <w:jc w:val="center"/>
              <w:rPr>
                <w:sz w:val="20"/>
                <w:lang w:eastAsia="de-DE"/>
              </w:rPr>
            </w:pPr>
            <w:r w:rsidRPr="005A5612">
              <w:rPr>
                <w:sz w:val="20"/>
                <w:lang w:eastAsia="de-DE"/>
              </w:rPr>
              <w:t>69,4</w:t>
            </w:r>
            <w:r>
              <w:rPr>
                <w:sz w:val="20"/>
                <w:lang w:eastAsia="de-DE"/>
              </w:rPr>
              <w:t xml:space="preserve"> </w:t>
            </w:r>
            <w:r w:rsidRPr="005A5612">
              <w:rPr>
                <w:sz w:val="20"/>
                <w:lang w:eastAsia="de-DE"/>
              </w:rPr>
              <w:t>%</w:t>
            </w:r>
          </w:p>
        </w:tc>
        <w:tc>
          <w:tcPr>
            <w:tcW w:w="2977" w:type="dxa"/>
          </w:tcPr>
          <w:p w14:paraId="76DCC6A5" w14:textId="77777777" w:rsidR="00CD5F32" w:rsidRPr="005A5612" w:rsidRDefault="00CD5F32" w:rsidP="00FF2AFA">
            <w:pPr>
              <w:spacing w:line="280" w:lineRule="atLeast"/>
              <w:jc w:val="center"/>
              <w:rPr>
                <w:sz w:val="20"/>
                <w:lang w:eastAsia="de-DE"/>
              </w:rPr>
            </w:pPr>
            <w:r w:rsidRPr="005A5612">
              <w:rPr>
                <w:sz w:val="20"/>
                <w:lang w:eastAsia="de-DE"/>
              </w:rPr>
              <w:t>73,4</w:t>
            </w:r>
            <w:r>
              <w:rPr>
                <w:sz w:val="20"/>
                <w:lang w:eastAsia="de-DE"/>
              </w:rPr>
              <w:t xml:space="preserve"> </w:t>
            </w:r>
            <w:r w:rsidRPr="005A5612">
              <w:rPr>
                <w:sz w:val="20"/>
                <w:lang w:eastAsia="de-DE"/>
              </w:rPr>
              <w:t>%</w:t>
            </w:r>
          </w:p>
        </w:tc>
      </w:tr>
      <w:tr w:rsidR="00CD5F32" w:rsidRPr="005A5612" w14:paraId="596D2B20" w14:textId="77777777" w:rsidTr="002F33B1">
        <w:tc>
          <w:tcPr>
            <w:tcW w:w="2718" w:type="dxa"/>
          </w:tcPr>
          <w:p w14:paraId="1E21B705" w14:textId="77777777" w:rsidR="00CD5F32" w:rsidRPr="005A5612" w:rsidRDefault="00CD5F32" w:rsidP="00FF2AFA">
            <w:pPr>
              <w:spacing w:line="280" w:lineRule="atLeast"/>
              <w:jc w:val="right"/>
              <w:rPr>
                <w:sz w:val="20"/>
                <w:lang w:eastAsia="de-DE"/>
              </w:rPr>
            </w:pPr>
            <w:r w:rsidRPr="005A5612">
              <w:rPr>
                <w:sz w:val="20"/>
                <w:lang w:eastAsia="de-DE"/>
              </w:rPr>
              <w:t xml:space="preserve">Diferencia ponderada </w:t>
            </w:r>
          </w:p>
          <w:p w14:paraId="0E76F903" w14:textId="77777777" w:rsidR="00CD5F32" w:rsidRPr="005A5612" w:rsidRDefault="00CD5F32" w:rsidP="00FF2AFA">
            <w:pPr>
              <w:spacing w:line="280" w:lineRule="atLeast"/>
              <w:jc w:val="right"/>
              <w:rPr>
                <w:sz w:val="20"/>
                <w:lang w:eastAsia="de-DE"/>
              </w:rPr>
            </w:pPr>
            <w:r w:rsidRPr="005A5612">
              <w:rPr>
                <w:sz w:val="20"/>
                <w:lang w:eastAsia="de-DE"/>
              </w:rPr>
              <w:t>(95% IC)</w:t>
            </w:r>
          </w:p>
        </w:tc>
        <w:tc>
          <w:tcPr>
            <w:tcW w:w="4903" w:type="dxa"/>
            <w:gridSpan w:val="2"/>
          </w:tcPr>
          <w:p w14:paraId="053B926E" w14:textId="77777777" w:rsidR="00CD5F32" w:rsidRPr="005A5612" w:rsidRDefault="00CD5F32" w:rsidP="00FF2AFA">
            <w:pPr>
              <w:spacing w:line="280" w:lineRule="atLeast"/>
              <w:jc w:val="center"/>
              <w:rPr>
                <w:sz w:val="20"/>
                <w:lang w:eastAsia="de-DE"/>
              </w:rPr>
            </w:pPr>
            <w:r w:rsidRPr="005A5612">
              <w:rPr>
                <w:sz w:val="20"/>
                <w:lang w:eastAsia="de-DE"/>
              </w:rPr>
              <w:t>-4,0 (-9,2; 1,2)</w:t>
            </w:r>
          </w:p>
        </w:tc>
      </w:tr>
      <w:tr w:rsidR="00CD5F32" w:rsidRPr="005A5612" w14:paraId="089B93BC" w14:textId="77777777" w:rsidTr="002F33B1">
        <w:tc>
          <w:tcPr>
            <w:tcW w:w="2718" w:type="dxa"/>
          </w:tcPr>
          <w:p w14:paraId="4C1C480F" w14:textId="77777777" w:rsidR="00CD5F32" w:rsidRPr="005A5612" w:rsidRDefault="00CD5F32" w:rsidP="00FF2AFA">
            <w:pPr>
              <w:spacing w:line="280" w:lineRule="atLeast"/>
              <w:jc w:val="right"/>
              <w:rPr>
                <w:sz w:val="20"/>
                <w:lang w:eastAsia="de-DE"/>
              </w:rPr>
            </w:pPr>
            <w:r w:rsidRPr="005A5612">
              <w:rPr>
                <w:sz w:val="20"/>
                <w:lang w:eastAsia="de-DE"/>
              </w:rPr>
              <w:t>ACR50 semana 24</w:t>
            </w:r>
          </w:p>
        </w:tc>
        <w:tc>
          <w:tcPr>
            <w:tcW w:w="1926" w:type="dxa"/>
          </w:tcPr>
          <w:p w14:paraId="740554B1" w14:textId="77777777" w:rsidR="00CD5F32" w:rsidRPr="005A5612" w:rsidRDefault="00CD5F32" w:rsidP="00FF2AFA">
            <w:pPr>
              <w:spacing w:line="280" w:lineRule="atLeast"/>
              <w:jc w:val="center"/>
              <w:rPr>
                <w:sz w:val="20"/>
                <w:lang w:eastAsia="de-DE"/>
              </w:rPr>
            </w:pPr>
            <w:r w:rsidRPr="005A5612">
              <w:rPr>
                <w:sz w:val="20"/>
                <w:lang w:eastAsia="de-DE"/>
              </w:rPr>
              <w:t>47,0</w:t>
            </w:r>
            <w:r>
              <w:rPr>
                <w:sz w:val="20"/>
                <w:lang w:eastAsia="de-DE"/>
              </w:rPr>
              <w:t xml:space="preserve"> </w:t>
            </w:r>
            <w:r w:rsidRPr="005A5612">
              <w:rPr>
                <w:sz w:val="20"/>
                <w:lang w:eastAsia="de-DE"/>
              </w:rPr>
              <w:t>%</w:t>
            </w:r>
          </w:p>
        </w:tc>
        <w:tc>
          <w:tcPr>
            <w:tcW w:w="2977" w:type="dxa"/>
          </w:tcPr>
          <w:p w14:paraId="0B8F0410" w14:textId="77777777" w:rsidR="00CD5F32" w:rsidRPr="005A5612" w:rsidRDefault="00CD5F32" w:rsidP="00FF2AFA">
            <w:pPr>
              <w:spacing w:line="280" w:lineRule="atLeast"/>
              <w:jc w:val="center"/>
              <w:rPr>
                <w:sz w:val="20"/>
                <w:lang w:eastAsia="de-DE"/>
              </w:rPr>
            </w:pPr>
            <w:r w:rsidRPr="005A5612">
              <w:rPr>
                <w:sz w:val="20"/>
                <w:lang w:eastAsia="de-DE"/>
              </w:rPr>
              <w:t>48,6</w:t>
            </w:r>
            <w:r>
              <w:rPr>
                <w:sz w:val="20"/>
                <w:lang w:eastAsia="de-DE"/>
              </w:rPr>
              <w:t xml:space="preserve"> </w:t>
            </w:r>
            <w:r w:rsidRPr="005A5612">
              <w:rPr>
                <w:sz w:val="20"/>
                <w:lang w:eastAsia="de-DE"/>
              </w:rPr>
              <w:t>%</w:t>
            </w:r>
          </w:p>
        </w:tc>
      </w:tr>
      <w:tr w:rsidR="00CD5F32" w:rsidRPr="005A5612" w14:paraId="3573C7D9" w14:textId="77777777" w:rsidTr="002F33B1">
        <w:tc>
          <w:tcPr>
            <w:tcW w:w="2718" w:type="dxa"/>
          </w:tcPr>
          <w:p w14:paraId="537F566F" w14:textId="77777777" w:rsidR="00CD5F32" w:rsidRPr="005A5612" w:rsidRDefault="00CD5F32" w:rsidP="00FF2AFA">
            <w:pPr>
              <w:spacing w:line="280" w:lineRule="atLeast"/>
              <w:jc w:val="right"/>
              <w:rPr>
                <w:sz w:val="20"/>
                <w:lang w:eastAsia="de-DE"/>
              </w:rPr>
            </w:pPr>
            <w:r w:rsidRPr="005A5612">
              <w:rPr>
                <w:sz w:val="20"/>
                <w:lang w:eastAsia="de-DE"/>
              </w:rPr>
              <w:t>Diferencia ponderada</w:t>
            </w:r>
          </w:p>
          <w:p w14:paraId="5723B092" w14:textId="77777777" w:rsidR="00CD5F32" w:rsidRPr="005A5612" w:rsidRDefault="00CD5F32" w:rsidP="00FF2AFA">
            <w:pPr>
              <w:spacing w:line="280" w:lineRule="atLeast"/>
              <w:jc w:val="right"/>
              <w:rPr>
                <w:sz w:val="20"/>
                <w:lang w:eastAsia="de-DE"/>
              </w:rPr>
            </w:pPr>
            <w:r w:rsidRPr="005A5612">
              <w:rPr>
                <w:sz w:val="20"/>
                <w:lang w:eastAsia="de-DE"/>
              </w:rPr>
              <w:t>(95% IC)</w:t>
            </w:r>
          </w:p>
        </w:tc>
        <w:tc>
          <w:tcPr>
            <w:tcW w:w="4903" w:type="dxa"/>
            <w:gridSpan w:val="2"/>
          </w:tcPr>
          <w:p w14:paraId="0F39BF7D" w14:textId="77777777" w:rsidR="00CD5F32" w:rsidRPr="005A5612" w:rsidRDefault="00CD5F32" w:rsidP="00FF2AFA">
            <w:pPr>
              <w:spacing w:line="280" w:lineRule="atLeast"/>
              <w:jc w:val="center"/>
              <w:rPr>
                <w:sz w:val="20"/>
                <w:lang w:eastAsia="de-DE"/>
              </w:rPr>
            </w:pPr>
            <w:r w:rsidRPr="005A5612">
              <w:rPr>
                <w:sz w:val="20"/>
                <w:lang w:eastAsia="de-DE"/>
              </w:rPr>
              <w:t>-1,8 (-7,5; 4,0)</w:t>
            </w:r>
          </w:p>
        </w:tc>
      </w:tr>
      <w:tr w:rsidR="00CD5F32" w:rsidRPr="005A5612" w14:paraId="5B044293" w14:textId="77777777" w:rsidTr="002F33B1">
        <w:tc>
          <w:tcPr>
            <w:tcW w:w="2718" w:type="dxa"/>
          </w:tcPr>
          <w:p w14:paraId="35C69478" w14:textId="77777777" w:rsidR="00CD5F32" w:rsidRPr="005A5612" w:rsidRDefault="00CD5F32" w:rsidP="00FF2AFA">
            <w:pPr>
              <w:spacing w:line="280" w:lineRule="atLeast"/>
              <w:jc w:val="right"/>
              <w:rPr>
                <w:sz w:val="20"/>
                <w:lang w:eastAsia="de-DE"/>
              </w:rPr>
            </w:pPr>
            <w:r w:rsidRPr="005A5612">
              <w:rPr>
                <w:sz w:val="20"/>
                <w:lang w:eastAsia="de-DE"/>
              </w:rPr>
              <w:t>ACR70 semana 24</w:t>
            </w:r>
          </w:p>
        </w:tc>
        <w:tc>
          <w:tcPr>
            <w:tcW w:w="1926" w:type="dxa"/>
          </w:tcPr>
          <w:p w14:paraId="1E3A81C2" w14:textId="77777777" w:rsidR="00CD5F32" w:rsidRPr="005A5612" w:rsidRDefault="00CD5F32" w:rsidP="00FF2AFA">
            <w:pPr>
              <w:spacing w:line="280" w:lineRule="atLeast"/>
              <w:jc w:val="center"/>
              <w:rPr>
                <w:sz w:val="20"/>
                <w:lang w:eastAsia="de-DE"/>
              </w:rPr>
            </w:pPr>
            <w:r w:rsidRPr="005A5612">
              <w:rPr>
                <w:sz w:val="20"/>
                <w:lang w:eastAsia="de-DE"/>
              </w:rPr>
              <w:t>24,0</w:t>
            </w:r>
            <w:r>
              <w:rPr>
                <w:sz w:val="20"/>
                <w:lang w:eastAsia="de-DE"/>
              </w:rPr>
              <w:t xml:space="preserve"> </w:t>
            </w:r>
            <w:r w:rsidRPr="005A5612">
              <w:rPr>
                <w:sz w:val="20"/>
                <w:lang w:eastAsia="de-DE"/>
              </w:rPr>
              <w:t>%</w:t>
            </w:r>
          </w:p>
        </w:tc>
        <w:tc>
          <w:tcPr>
            <w:tcW w:w="2977" w:type="dxa"/>
          </w:tcPr>
          <w:p w14:paraId="4590B1DD" w14:textId="77777777" w:rsidR="00CD5F32" w:rsidRPr="005A5612" w:rsidRDefault="00CD5F32" w:rsidP="00FF2AFA">
            <w:pPr>
              <w:spacing w:line="280" w:lineRule="atLeast"/>
              <w:jc w:val="center"/>
              <w:rPr>
                <w:sz w:val="20"/>
                <w:lang w:eastAsia="de-DE"/>
              </w:rPr>
            </w:pPr>
            <w:r w:rsidRPr="005A5612">
              <w:rPr>
                <w:sz w:val="20"/>
                <w:lang w:eastAsia="de-DE"/>
              </w:rPr>
              <w:t>27,9</w:t>
            </w:r>
            <w:r>
              <w:rPr>
                <w:sz w:val="20"/>
                <w:lang w:eastAsia="de-DE"/>
              </w:rPr>
              <w:t xml:space="preserve"> </w:t>
            </w:r>
            <w:r w:rsidRPr="005A5612">
              <w:rPr>
                <w:sz w:val="20"/>
                <w:lang w:eastAsia="de-DE"/>
              </w:rPr>
              <w:t>%</w:t>
            </w:r>
          </w:p>
        </w:tc>
      </w:tr>
      <w:tr w:rsidR="00CD5F32" w:rsidRPr="005A5612" w14:paraId="79440346" w14:textId="77777777" w:rsidTr="002F33B1">
        <w:tc>
          <w:tcPr>
            <w:tcW w:w="2718" w:type="dxa"/>
          </w:tcPr>
          <w:p w14:paraId="4D7AF2B2" w14:textId="77777777" w:rsidR="00CD5F32" w:rsidRPr="005A5612" w:rsidRDefault="00CD5F32" w:rsidP="00FF2AFA">
            <w:pPr>
              <w:spacing w:line="280" w:lineRule="atLeast"/>
              <w:jc w:val="right"/>
              <w:rPr>
                <w:sz w:val="20"/>
                <w:lang w:eastAsia="de-DE"/>
              </w:rPr>
            </w:pPr>
            <w:r w:rsidRPr="005A5612">
              <w:rPr>
                <w:sz w:val="20"/>
                <w:lang w:eastAsia="de-DE"/>
              </w:rPr>
              <w:t>Diferencia ponderada</w:t>
            </w:r>
          </w:p>
          <w:p w14:paraId="00BD62B8" w14:textId="77777777" w:rsidR="00CD5F32" w:rsidRPr="005A5612" w:rsidRDefault="00CD5F32" w:rsidP="00FF2AFA">
            <w:pPr>
              <w:spacing w:line="280" w:lineRule="atLeast"/>
              <w:jc w:val="right"/>
              <w:rPr>
                <w:sz w:val="20"/>
                <w:lang w:eastAsia="de-DE"/>
              </w:rPr>
            </w:pPr>
            <w:r w:rsidRPr="005A5612">
              <w:rPr>
                <w:sz w:val="20"/>
                <w:lang w:eastAsia="de-DE"/>
              </w:rPr>
              <w:t xml:space="preserve"> (95% IC)</w:t>
            </w:r>
          </w:p>
        </w:tc>
        <w:tc>
          <w:tcPr>
            <w:tcW w:w="4903" w:type="dxa"/>
            <w:gridSpan w:val="2"/>
          </w:tcPr>
          <w:p w14:paraId="7C80EE54" w14:textId="77777777" w:rsidR="00CD5F32" w:rsidRPr="005A5612" w:rsidRDefault="00CD5F32" w:rsidP="00FF2AFA">
            <w:pPr>
              <w:spacing w:line="280" w:lineRule="atLeast"/>
              <w:jc w:val="center"/>
              <w:rPr>
                <w:sz w:val="20"/>
                <w:lang w:eastAsia="de-DE"/>
              </w:rPr>
            </w:pPr>
            <w:r w:rsidRPr="005A5612">
              <w:rPr>
                <w:sz w:val="20"/>
                <w:lang w:eastAsia="de-DE"/>
              </w:rPr>
              <w:t>-3,8 (-9,0; 1,3)</w:t>
            </w:r>
          </w:p>
        </w:tc>
      </w:tr>
    </w:tbl>
    <w:p w14:paraId="041EFCBE" w14:textId="77777777" w:rsidR="00B707BE" w:rsidRDefault="00B707BE" w:rsidP="00F30AB8">
      <w:pPr>
        <w:pStyle w:val="Standard1"/>
        <w:autoSpaceDE/>
        <w:autoSpaceDN/>
        <w:adjustRightInd/>
        <w:rPr>
          <w:ins w:id="1806" w:author="AUTHOR"/>
          <w:rFonts w:ascii="Times New Roman" w:eastAsia="Times New Roman" w:hAnsi="Times New Roman"/>
          <w:sz w:val="18"/>
          <w:szCs w:val="18"/>
          <w:lang w:val="es-ES" w:eastAsia="de-DE"/>
        </w:rPr>
      </w:pPr>
      <w:ins w:id="1807" w:author="AUTHOR">
        <w:r w:rsidRPr="00467FFD">
          <w:rPr>
            <w:rFonts w:ascii="Times New Roman" w:eastAsia="Times New Roman" w:hAnsi="Times New Roman"/>
            <w:sz w:val="18"/>
            <w:szCs w:val="18"/>
            <w:lang w:val="es-ES" w:eastAsia="de-DE"/>
            <w:rPrChange w:id="1808" w:author="AUTHOR">
              <w:rPr>
                <w:rFonts w:ascii="Times New Roman" w:eastAsia="Times New Roman" w:hAnsi="Times New Roman"/>
                <w:sz w:val="18"/>
                <w:szCs w:val="18"/>
                <w:lang w:val="en-GB" w:eastAsia="de-DE"/>
              </w:rPr>
            </w:rPrChange>
          </w:rPr>
          <w:t xml:space="preserve">FAMEs = </w:t>
        </w:r>
        <w:r w:rsidRPr="00B707BE">
          <w:rPr>
            <w:rFonts w:ascii="Times New Roman" w:eastAsia="Times New Roman" w:hAnsi="Times New Roman"/>
            <w:sz w:val="18"/>
            <w:szCs w:val="18"/>
            <w:lang w:val="es-ES" w:eastAsia="de-DE"/>
          </w:rPr>
          <w:t>fármacos antirreumáticos modificadores de la enfermedad</w:t>
        </w:r>
      </w:ins>
    </w:p>
    <w:p w14:paraId="413E9C6D" w14:textId="2B50BAD2" w:rsidR="00CD5F32" w:rsidRPr="00467FFD" w:rsidRDefault="00CD5F32" w:rsidP="00F30AB8">
      <w:pPr>
        <w:pStyle w:val="Standard1"/>
        <w:autoSpaceDE/>
        <w:autoSpaceDN/>
        <w:adjustRightInd/>
        <w:rPr>
          <w:sz w:val="18"/>
          <w:szCs w:val="18"/>
          <w:lang w:val="es-ES" w:eastAsia="de-DE"/>
          <w:rPrChange w:id="1809" w:author="AUTHOR">
            <w:rPr>
              <w:sz w:val="18"/>
              <w:szCs w:val="18"/>
              <w:lang w:val="en-GB" w:eastAsia="de-DE"/>
            </w:rPr>
          </w:rPrChange>
        </w:rPr>
      </w:pPr>
      <w:r w:rsidRPr="00467FFD">
        <w:rPr>
          <w:rFonts w:ascii="Times New Roman" w:eastAsia="Times New Roman" w:hAnsi="Times New Roman"/>
          <w:sz w:val="18"/>
          <w:szCs w:val="18"/>
          <w:lang w:val="es-ES" w:eastAsia="de-DE"/>
          <w:rPrChange w:id="1810" w:author="AUTHOR">
            <w:rPr>
              <w:rFonts w:ascii="Times New Roman" w:eastAsia="Times New Roman" w:hAnsi="Times New Roman"/>
              <w:sz w:val="18"/>
              <w:szCs w:val="18"/>
              <w:lang w:val="en-GB" w:eastAsia="de-DE"/>
            </w:rPr>
          </w:rPrChange>
        </w:rPr>
        <w:t>TCZ = tocilizumab</w:t>
      </w:r>
    </w:p>
    <w:p w14:paraId="1A03CF27" w14:textId="77777777" w:rsidR="00397360" w:rsidRPr="00467FFD" w:rsidRDefault="00397360" w:rsidP="00F30AB8">
      <w:pPr>
        <w:pStyle w:val="Standard1"/>
        <w:autoSpaceDE/>
        <w:autoSpaceDN/>
        <w:adjustRightInd/>
        <w:rPr>
          <w:sz w:val="18"/>
          <w:szCs w:val="18"/>
          <w:lang w:val="es-ES" w:eastAsia="de-DE"/>
          <w:rPrChange w:id="1811" w:author="AUTHOR">
            <w:rPr>
              <w:sz w:val="18"/>
              <w:szCs w:val="18"/>
              <w:lang w:val="en-GB" w:eastAsia="de-DE"/>
            </w:rPr>
          </w:rPrChange>
        </w:rPr>
      </w:pPr>
      <w:r w:rsidRPr="00467FFD">
        <w:rPr>
          <w:rFonts w:ascii="Times New Roman" w:eastAsia="Times New Roman" w:hAnsi="Times New Roman"/>
          <w:sz w:val="18"/>
          <w:szCs w:val="18"/>
          <w:lang w:val="es-ES" w:eastAsia="de-DE"/>
          <w:rPrChange w:id="1812" w:author="AUTHOR">
            <w:rPr>
              <w:rFonts w:ascii="Times New Roman" w:eastAsia="Times New Roman" w:hAnsi="Times New Roman"/>
              <w:sz w:val="18"/>
              <w:szCs w:val="18"/>
              <w:lang w:val="en-GB" w:eastAsia="de-DE"/>
            </w:rPr>
          </w:rPrChange>
        </w:rPr>
        <w:t>IV = intravenoso</w:t>
      </w:r>
    </w:p>
    <w:p w14:paraId="1F2EBE92" w14:textId="77777777" w:rsidR="00397360" w:rsidRPr="00467FFD" w:rsidRDefault="00397360" w:rsidP="00F30AB8">
      <w:pPr>
        <w:pStyle w:val="Standard1"/>
        <w:autoSpaceDE/>
        <w:autoSpaceDN/>
        <w:adjustRightInd/>
        <w:rPr>
          <w:sz w:val="18"/>
          <w:szCs w:val="18"/>
          <w:lang w:val="es-ES" w:eastAsia="de-DE"/>
          <w:rPrChange w:id="1813" w:author="AUTHOR">
            <w:rPr>
              <w:sz w:val="18"/>
              <w:szCs w:val="18"/>
              <w:lang w:val="en-GB" w:eastAsia="de-DE"/>
            </w:rPr>
          </w:rPrChange>
        </w:rPr>
      </w:pPr>
      <w:r w:rsidRPr="00467FFD">
        <w:rPr>
          <w:rFonts w:ascii="Times New Roman" w:eastAsia="Times New Roman" w:hAnsi="Times New Roman"/>
          <w:sz w:val="18"/>
          <w:szCs w:val="18"/>
          <w:lang w:val="es-ES" w:eastAsia="de-DE"/>
          <w:rPrChange w:id="1814" w:author="AUTHOR">
            <w:rPr>
              <w:rFonts w:ascii="Times New Roman" w:eastAsia="Times New Roman" w:hAnsi="Times New Roman"/>
              <w:sz w:val="18"/>
              <w:szCs w:val="18"/>
              <w:lang w:val="en-GB" w:eastAsia="de-DE"/>
            </w:rPr>
          </w:rPrChange>
        </w:rPr>
        <w:t>SC= subcutáneo</w:t>
      </w:r>
    </w:p>
    <w:p w14:paraId="5F51B1BE" w14:textId="77777777" w:rsidR="00CD5F32" w:rsidRPr="00467FFD" w:rsidRDefault="00CD5F32" w:rsidP="00F30AB8">
      <w:pPr>
        <w:pStyle w:val="Standard1"/>
        <w:autoSpaceDE/>
        <w:autoSpaceDN/>
        <w:adjustRightInd/>
        <w:rPr>
          <w:sz w:val="18"/>
          <w:szCs w:val="18"/>
          <w:lang w:val="es-ES" w:eastAsia="de-DE"/>
          <w:rPrChange w:id="1815" w:author="AUTHOR">
            <w:rPr>
              <w:sz w:val="18"/>
              <w:szCs w:val="18"/>
              <w:lang w:val="en-GB" w:eastAsia="de-DE"/>
            </w:rPr>
          </w:rPrChange>
        </w:rPr>
      </w:pPr>
      <w:r w:rsidRPr="00467FFD">
        <w:rPr>
          <w:rFonts w:ascii="Times New Roman" w:eastAsia="Times New Roman" w:hAnsi="Times New Roman"/>
          <w:sz w:val="18"/>
          <w:szCs w:val="18"/>
          <w:lang w:val="es-ES" w:eastAsia="de-DE"/>
          <w:rPrChange w:id="1816" w:author="AUTHOR">
            <w:rPr>
              <w:rFonts w:ascii="Times New Roman" w:eastAsia="Times New Roman" w:hAnsi="Times New Roman"/>
              <w:sz w:val="18"/>
              <w:szCs w:val="18"/>
              <w:lang w:val="en-GB" w:eastAsia="de-DE"/>
            </w:rPr>
          </w:rPrChange>
        </w:rPr>
        <w:t>a = población por protocolo</w:t>
      </w:r>
    </w:p>
    <w:p w14:paraId="5C1CA388" w14:textId="77777777" w:rsidR="00CD5F32" w:rsidRPr="00F30AB8" w:rsidRDefault="00CD5F32" w:rsidP="00FF2AFA">
      <w:pPr>
        <w:spacing w:line="280" w:lineRule="atLeast"/>
        <w:rPr>
          <w:sz w:val="18"/>
          <w:szCs w:val="18"/>
          <w:lang w:val="es-ES" w:eastAsia="de-DE"/>
        </w:rPr>
      </w:pPr>
    </w:p>
    <w:p w14:paraId="51BA8C9F" w14:textId="005494E1" w:rsidR="00CD5F32" w:rsidRPr="00286CDE" w:rsidRDefault="00CD5F32" w:rsidP="003569D6">
      <w:pPr>
        <w:numPr>
          <w:ilvl w:val="12"/>
          <w:numId w:val="0"/>
        </w:numPr>
        <w:rPr>
          <w:iCs/>
          <w:lang w:val="es-ES"/>
        </w:rPr>
      </w:pPr>
      <w:r>
        <w:rPr>
          <w:iCs/>
          <w:lang w:val="es-ES_tradnl"/>
        </w:rPr>
        <w:lastRenderedPageBreak/>
        <w:t>Los pacientes en el ensay</w:t>
      </w:r>
      <w:r w:rsidRPr="00286CDE">
        <w:rPr>
          <w:iCs/>
          <w:lang w:val="es-ES_tradnl"/>
        </w:rPr>
        <w:t>o SC-I</w:t>
      </w:r>
      <w:r>
        <w:rPr>
          <w:iCs/>
          <w:lang w:val="es-ES_tradnl"/>
        </w:rPr>
        <w:t xml:space="preserve"> tenían un </w:t>
      </w:r>
      <w:r w:rsidRPr="008A106B">
        <w:rPr>
          <w:lang w:val="es-ES"/>
        </w:rPr>
        <w:t>nivel medio de actividad de la enfermedad</w:t>
      </w:r>
      <w:r>
        <w:rPr>
          <w:lang w:val="es-ES"/>
        </w:rPr>
        <w:t xml:space="preserve"> (DAS28) al inicio del ensayo de 6,6 y 6,7 en los </w:t>
      </w:r>
      <w:del w:id="1817" w:author="AUTHOR">
        <w:r w:rsidDel="004E273B">
          <w:rPr>
            <w:lang w:val="es-ES"/>
          </w:rPr>
          <w:delText>brazo</w:delText>
        </w:r>
      </w:del>
      <w:ins w:id="1818" w:author="AUTHOR">
        <w:r w:rsidR="004E273B">
          <w:rPr>
            <w:lang w:val="es-ES"/>
          </w:rPr>
          <w:t>grupo</w:t>
        </w:r>
      </w:ins>
      <w:r>
        <w:rPr>
          <w:lang w:val="es-ES"/>
        </w:rPr>
        <w:t xml:space="preserve">s subcutáneo e intravenoso, respectivamente. A la semana 24, se observó una reducción significativa en el DAS28 desde el inicio (mejoría media) de 3,5 en ambos </w:t>
      </w:r>
      <w:del w:id="1819" w:author="AUTHOR">
        <w:r w:rsidDel="004E273B">
          <w:rPr>
            <w:lang w:val="es-ES"/>
          </w:rPr>
          <w:delText>brazo</w:delText>
        </w:r>
      </w:del>
      <w:ins w:id="1820" w:author="AUTHOR">
        <w:r w:rsidR="004E273B">
          <w:rPr>
            <w:lang w:val="es-ES"/>
          </w:rPr>
          <w:t>grupo</w:t>
        </w:r>
      </w:ins>
      <w:r>
        <w:rPr>
          <w:lang w:val="es-ES"/>
        </w:rPr>
        <w:t>s de tratamiento, y una proporción comparable de pacientes consiguieron remisión clínica del DAS28 (DAS28 &lt; 2,</w:t>
      </w:r>
      <w:r w:rsidRPr="00286CDE">
        <w:rPr>
          <w:lang w:val="es-ES"/>
        </w:rPr>
        <w:t xml:space="preserve">6) en el </w:t>
      </w:r>
      <w:del w:id="1821" w:author="AUTHOR">
        <w:r w:rsidRPr="00286CDE" w:rsidDel="004E273B">
          <w:rPr>
            <w:lang w:val="es-ES"/>
          </w:rPr>
          <w:delText>brazo</w:delText>
        </w:r>
      </w:del>
      <w:ins w:id="1822" w:author="AUTHOR">
        <w:r w:rsidR="004E273B">
          <w:rPr>
            <w:lang w:val="es-ES"/>
          </w:rPr>
          <w:t>grupo</w:t>
        </w:r>
      </w:ins>
      <w:r w:rsidRPr="00286CDE">
        <w:rPr>
          <w:lang w:val="es-ES"/>
        </w:rPr>
        <w:t xml:space="preserve"> subcutáneo (38</w:t>
      </w:r>
      <w:r>
        <w:rPr>
          <w:lang w:val="es-ES"/>
        </w:rPr>
        <w:t>,</w:t>
      </w:r>
      <w:r w:rsidRPr="00286CDE">
        <w:rPr>
          <w:lang w:val="es-ES"/>
        </w:rPr>
        <w:t>4</w:t>
      </w:r>
      <w:r>
        <w:rPr>
          <w:lang w:val="es-ES"/>
        </w:rPr>
        <w:t xml:space="preserve"> </w:t>
      </w:r>
      <w:r w:rsidRPr="00286CDE">
        <w:rPr>
          <w:lang w:val="es-ES"/>
        </w:rPr>
        <w:t>%)</w:t>
      </w:r>
      <w:r>
        <w:rPr>
          <w:lang w:val="es-ES"/>
        </w:rPr>
        <w:t xml:space="preserve"> e intravenoso </w:t>
      </w:r>
      <w:r w:rsidRPr="00286CDE">
        <w:rPr>
          <w:lang w:val="es-ES"/>
        </w:rPr>
        <w:t>(36</w:t>
      </w:r>
      <w:r>
        <w:rPr>
          <w:lang w:val="es-ES"/>
        </w:rPr>
        <w:t>,</w:t>
      </w:r>
      <w:r w:rsidRPr="00286CDE">
        <w:rPr>
          <w:lang w:val="es-ES"/>
        </w:rPr>
        <w:t>9</w:t>
      </w:r>
      <w:r>
        <w:rPr>
          <w:lang w:val="es-ES"/>
        </w:rPr>
        <w:t xml:space="preserve"> </w:t>
      </w:r>
      <w:r w:rsidRPr="00286CDE">
        <w:rPr>
          <w:lang w:val="es-ES"/>
        </w:rPr>
        <w:t>%)</w:t>
      </w:r>
      <w:r>
        <w:rPr>
          <w:lang w:val="es-ES"/>
        </w:rPr>
        <w:t>.</w:t>
      </w:r>
    </w:p>
    <w:p w14:paraId="7CB17F08" w14:textId="77777777" w:rsidR="00CD5F32" w:rsidRPr="00286CDE" w:rsidRDefault="00CD5F32" w:rsidP="003569D6">
      <w:pPr>
        <w:numPr>
          <w:ilvl w:val="12"/>
          <w:numId w:val="0"/>
        </w:numPr>
        <w:rPr>
          <w:iCs/>
          <w:lang w:val="es-ES"/>
        </w:rPr>
      </w:pPr>
    </w:p>
    <w:p w14:paraId="40635CDA" w14:textId="77777777" w:rsidR="00CD5F32" w:rsidRPr="00F30AB8" w:rsidRDefault="00CD5F32" w:rsidP="00CD5F32">
      <w:pPr>
        <w:keepNext/>
        <w:keepLines/>
        <w:numPr>
          <w:ilvl w:val="12"/>
          <w:numId w:val="0"/>
        </w:numPr>
        <w:rPr>
          <w:i/>
          <w:iCs/>
          <w:u w:val="single"/>
          <w:lang w:val="es-ES_tradnl"/>
        </w:rPr>
      </w:pPr>
      <w:r w:rsidRPr="00F30AB8">
        <w:rPr>
          <w:i/>
          <w:iCs/>
          <w:u w:val="single"/>
          <w:lang w:val="es-ES_tradnl"/>
        </w:rPr>
        <w:t>Respuesta radiográfica</w:t>
      </w:r>
    </w:p>
    <w:p w14:paraId="3EEDF648" w14:textId="0E7DE8D8" w:rsidR="00CD5F32" w:rsidRDefault="00CD5F32" w:rsidP="00CD5F32">
      <w:pPr>
        <w:numPr>
          <w:ilvl w:val="12"/>
          <w:numId w:val="0"/>
        </w:numPr>
        <w:rPr>
          <w:lang w:val="es-ES_tradnl"/>
        </w:rPr>
      </w:pPr>
      <w:r>
        <w:rPr>
          <w:iCs/>
          <w:lang w:val="es-ES_tradnl"/>
        </w:rPr>
        <w:t xml:space="preserve">La respuesta radiográfica de la administración subcutánea de </w:t>
      </w:r>
      <w:r w:rsidR="00397360" w:rsidRPr="00F30AB8">
        <w:rPr>
          <w:szCs w:val="22"/>
          <w:lang w:val="es-ES"/>
        </w:rPr>
        <w:t>tocilizumab</w:t>
      </w:r>
      <w:r w:rsidRPr="006868F5">
        <w:rPr>
          <w:szCs w:val="22"/>
          <w:lang w:val="es-ES"/>
        </w:rPr>
        <w:t xml:space="preserve"> </w:t>
      </w:r>
      <w:r>
        <w:rPr>
          <w:iCs/>
          <w:lang w:val="es-ES_tradnl"/>
        </w:rPr>
        <w:t>fue evaluada en un ensayo doble ciego, controlado, multicéntrico en pacientes con AR activa (SC-II). El ensayo SC-II evalúa a los pacientes con AR de moderada a grave que tenían una respuesta clínica inadecuada a los tratamientos reumatológicos existentes, incluyendo uno o más FAMEs donde aproximadamente el 20 % tuvieron una respuesta inadecuada a al menos un inhibidor del TNF. L</w:t>
      </w:r>
      <w:r>
        <w:rPr>
          <w:lang w:val="es-ES"/>
        </w:rPr>
        <w:t>os pacientes tenían que ser</w:t>
      </w:r>
      <w:r w:rsidRPr="002D4EC8">
        <w:rPr>
          <w:lang w:val="es-ES"/>
        </w:rPr>
        <w:t xml:space="preserve"> &gt;18</w:t>
      </w:r>
      <w:r>
        <w:rPr>
          <w:lang w:val="es-ES"/>
        </w:rPr>
        <w:t xml:space="preserve"> años de edad </w:t>
      </w:r>
      <w:r w:rsidRPr="008A106B">
        <w:rPr>
          <w:lang w:val="es-ES_tradnl"/>
        </w:rPr>
        <w:t xml:space="preserve">con artritis reumatoide activa diagnosticada según los criterios del American College of Rheumatology (ACR) tenían al menos </w:t>
      </w:r>
      <w:r>
        <w:rPr>
          <w:lang w:val="es-ES_tradnl"/>
        </w:rPr>
        <w:t>8</w:t>
      </w:r>
      <w:r w:rsidRPr="008A106B">
        <w:rPr>
          <w:lang w:val="es-ES_tradnl"/>
        </w:rPr>
        <w:t xml:space="preserve"> articulaciones doloridas y </w:t>
      </w:r>
      <w:r>
        <w:rPr>
          <w:lang w:val="es-ES_tradnl"/>
        </w:rPr>
        <w:t>6</w:t>
      </w:r>
      <w:r w:rsidRPr="008A106B">
        <w:rPr>
          <w:lang w:val="es-ES_tradnl"/>
        </w:rPr>
        <w:t xml:space="preserve"> inflamadas al inicio</w:t>
      </w:r>
      <w:r>
        <w:rPr>
          <w:lang w:val="es-ES_tradnl"/>
        </w:rPr>
        <w:t xml:space="preserve"> del ensayo</w:t>
      </w:r>
      <w:r w:rsidRPr="008A106B">
        <w:rPr>
          <w:lang w:val="es-ES_tradnl"/>
        </w:rPr>
        <w:t>.</w:t>
      </w:r>
      <w:r>
        <w:rPr>
          <w:lang w:val="es-ES_tradnl"/>
        </w:rPr>
        <w:t xml:space="preserve"> En SC-II, 656 pacientes fueron aleatorizados 2:1 a 162 mg de </w:t>
      </w:r>
      <w:r w:rsidR="00397360" w:rsidRPr="00F30AB8">
        <w:rPr>
          <w:szCs w:val="22"/>
          <w:lang w:val="es-ES"/>
        </w:rPr>
        <w:t xml:space="preserve">tocilizumab </w:t>
      </w:r>
      <w:r w:rsidR="00397360">
        <w:rPr>
          <w:szCs w:val="22"/>
          <w:lang w:val="es-ES"/>
        </w:rPr>
        <w:t>subcutáneo</w:t>
      </w:r>
      <w:r>
        <w:rPr>
          <w:lang w:val="es-ES_tradnl"/>
        </w:rPr>
        <w:t xml:space="preserve"> cada dos semanas o placebo, en combinación con FAMEs no biológicos.</w:t>
      </w:r>
    </w:p>
    <w:p w14:paraId="4A0DEEE3" w14:textId="77777777" w:rsidR="00CD5F32" w:rsidRDefault="00CD5F32" w:rsidP="00CD5F32">
      <w:pPr>
        <w:numPr>
          <w:ilvl w:val="12"/>
          <w:numId w:val="0"/>
        </w:numPr>
        <w:rPr>
          <w:lang w:val="es-ES_tradnl"/>
        </w:rPr>
      </w:pPr>
    </w:p>
    <w:p w14:paraId="1392664A" w14:textId="1391BEF6" w:rsidR="00CD5F32" w:rsidRDefault="00CD5F32" w:rsidP="00CD5F32">
      <w:pPr>
        <w:autoSpaceDE w:val="0"/>
        <w:autoSpaceDN w:val="0"/>
        <w:adjustRightInd w:val="0"/>
        <w:rPr>
          <w:lang w:val="es-ES"/>
        </w:rPr>
      </w:pPr>
      <w:r w:rsidRPr="00CA1B1E">
        <w:rPr>
          <w:lang w:val="es-ES_tradnl"/>
        </w:rPr>
        <w:t>En el e</w:t>
      </w:r>
      <w:r>
        <w:rPr>
          <w:lang w:val="es-ES_tradnl"/>
        </w:rPr>
        <w:t>nsay</w:t>
      </w:r>
      <w:r w:rsidRPr="00CA1B1E">
        <w:rPr>
          <w:lang w:val="es-ES_tradnl"/>
        </w:rPr>
        <w:t>o SC-II, se midió la inhibición del daño estructural radiográficamente en las articulaciones y fue expresado</w:t>
      </w:r>
      <w:r w:rsidRPr="00CA1B1E">
        <w:rPr>
          <w:lang w:val="es-ES"/>
        </w:rPr>
        <w:t xml:space="preserve"> como el ca</w:t>
      </w:r>
      <w:r w:rsidRPr="00CA1B1E">
        <w:rPr>
          <w:lang w:val="es-ES_tradnl"/>
        </w:rPr>
        <w:t xml:space="preserve">mbio respecto al estado basal en la escala TSS (escala Sharp total) modificada por van der Heijde. </w:t>
      </w:r>
      <w:r w:rsidRPr="00CA1B1E">
        <w:rPr>
          <w:lang w:val="es-ES"/>
        </w:rPr>
        <w:t xml:space="preserve">En la semana 24, se mostró una inhibición del daño estructural, con una progresión radiográfica significativamente menor en pacientes que recibían </w:t>
      </w:r>
      <w:r w:rsidR="00397360" w:rsidRPr="00F30AB8">
        <w:rPr>
          <w:szCs w:val="22"/>
          <w:lang w:val="es-ES"/>
        </w:rPr>
        <w:t>tocilizumab</w:t>
      </w:r>
      <w:r w:rsidRPr="006868F5">
        <w:rPr>
          <w:szCs w:val="22"/>
          <w:lang w:val="es-ES"/>
        </w:rPr>
        <w:t xml:space="preserve"> </w:t>
      </w:r>
      <w:r w:rsidRPr="00CA1B1E">
        <w:rPr>
          <w:lang w:val="es-ES"/>
        </w:rPr>
        <w:t>subcutáneo comparado con placeb</w:t>
      </w:r>
      <w:r>
        <w:rPr>
          <w:lang w:val="es-ES"/>
        </w:rPr>
        <w:t>o (mTSS medio de 0,62 frente a</w:t>
      </w:r>
      <w:ins w:id="1823" w:author="AUTHOR">
        <w:r w:rsidR="00174473">
          <w:rPr>
            <w:lang w:val="es-ES"/>
          </w:rPr>
          <w:t xml:space="preserve"> </w:t>
        </w:r>
      </w:ins>
      <w:r>
        <w:rPr>
          <w:lang w:val="es-ES"/>
        </w:rPr>
        <w:t>1,</w:t>
      </w:r>
      <w:r w:rsidRPr="00CA1B1E">
        <w:rPr>
          <w:lang w:val="es-ES"/>
        </w:rPr>
        <w:t>23</w:t>
      </w:r>
      <w:r>
        <w:rPr>
          <w:lang w:val="es-ES"/>
        </w:rPr>
        <w:t>;</w:t>
      </w:r>
      <w:r w:rsidRPr="00CA1B1E">
        <w:rPr>
          <w:lang w:val="es-ES"/>
        </w:rPr>
        <w:t xml:space="preserve"> p=0,0149 (van Elteren). </w:t>
      </w:r>
      <w:r>
        <w:rPr>
          <w:lang w:val="es-ES"/>
        </w:rPr>
        <w:t>Estos resultados están en línea</w:t>
      </w:r>
      <w:r w:rsidRPr="00CA1B1E">
        <w:rPr>
          <w:lang w:val="es-ES"/>
        </w:rPr>
        <w:t xml:space="preserve"> con los observados en pacientes tratados con </w:t>
      </w:r>
      <w:r w:rsidR="00397360" w:rsidRPr="00F30AB8">
        <w:rPr>
          <w:szCs w:val="22"/>
          <w:lang w:val="es-ES"/>
        </w:rPr>
        <w:t>tocilizumab</w:t>
      </w:r>
      <w:r w:rsidRPr="00C555F2">
        <w:rPr>
          <w:lang w:val="es-ES"/>
        </w:rPr>
        <w:t xml:space="preserve"> </w:t>
      </w:r>
      <w:r w:rsidRPr="00CA1B1E">
        <w:rPr>
          <w:lang w:val="es-ES"/>
        </w:rPr>
        <w:t>intravenoso.</w:t>
      </w:r>
    </w:p>
    <w:p w14:paraId="726AE6F8" w14:textId="77777777" w:rsidR="00CD5F32" w:rsidRDefault="00CD5F32" w:rsidP="00CD5F32">
      <w:pPr>
        <w:numPr>
          <w:ilvl w:val="12"/>
          <w:numId w:val="0"/>
        </w:numPr>
        <w:rPr>
          <w:lang w:val="es-ES"/>
        </w:rPr>
      </w:pPr>
    </w:p>
    <w:p w14:paraId="0A2B99E1" w14:textId="6CD2AAEB" w:rsidR="00CD5F32" w:rsidRPr="00286CDE" w:rsidRDefault="00CD5F32" w:rsidP="00CD5F32">
      <w:pPr>
        <w:numPr>
          <w:ilvl w:val="12"/>
          <w:numId w:val="0"/>
        </w:numPr>
        <w:rPr>
          <w:lang w:val="es-ES"/>
        </w:rPr>
      </w:pPr>
      <w:r>
        <w:rPr>
          <w:lang w:val="es-ES"/>
        </w:rPr>
        <w:t xml:space="preserve">En el ensayo SC-II en la semana 24 en pacientes tratados con </w:t>
      </w:r>
      <w:del w:id="1824" w:author="AUTHOR">
        <w:r w:rsidRPr="00C555F2" w:rsidDel="00174473">
          <w:rPr>
            <w:lang w:val="es-ES"/>
          </w:rPr>
          <w:delText xml:space="preserve">RoActemra </w:delText>
        </w:r>
      </w:del>
      <w:ins w:id="1825" w:author="AUTHOR">
        <w:r w:rsidR="00174473">
          <w:rPr>
            <w:lang w:val="es-ES"/>
          </w:rPr>
          <w:t>tocilizumab</w:t>
        </w:r>
        <w:r w:rsidR="00174473" w:rsidRPr="00C555F2">
          <w:rPr>
            <w:lang w:val="es-ES"/>
          </w:rPr>
          <w:t xml:space="preserve"> </w:t>
        </w:r>
      </w:ins>
      <w:r>
        <w:rPr>
          <w:lang w:val="es-ES"/>
        </w:rPr>
        <w:t xml:space="preserve">subcutáneo cada dos semanas frente a placebo, se obtuvieron unos resultados de ACR20 60,9 %, ACR50 39,8 %, ACR70 19,7 % en el </w:t>
      </w:r>
      <w:del w:id="1826" w:author="AUTHOR">
        <w:r w:rsidDel="004E273B">
          <w:rPr>
            <w:lang w:val="es-ES"/>
          </w:rPr>
          <w:delText>brazo</w:delText>
        </w:r>
      </w:del>
      <w:ins w:id="1827" w:author="AUTHOR">
        <w:r w:rsidR="004E273B">
          <w:rPr>
            <w:lang w:val="es-ES"/>
          </w:rPr>
          <w:t>grupo</w:t>
        </w:r>
      </w:ins>
      <w:r>
        <w:rPr>
          <w:lang w:val="es-ES"/>
        </w:rPr>
        <w:t xml:space="preserve"> de </w:t>
      </w:r>
      <w:r w:rsidR="00397360" w:rsidRPr="00F30AB8">
        <w:rPr>
          <w:szCs w:val="22"/>
          <w:lang w:val="es-ES"/>
        </w:rPr>
        <w:t>tocilizumab</w:t>
      </w:r>
      <w:r w:rsidRPr="006868F5">
        <w:rPr>
          <w:szCs w:val="22"/>
          <w:lang w:val="es-ES"/>
        </w:rPr>
        <w:t xml:space="preserve"> </w:t>
      </w:r>
      <w:r>
        <w:rPr>
          <w:lang w:val="es-ES"/>
        </w:rPr>
        <w:t xml:space="preserve">y ACR20 </w:t>
      </w:r>
      <w:r w:rsidRPr="00286CDE">
        <w:rPr>
          <w:rFonts w:eastAsia="MS PGothic"/>
          <w:color w:val="000000"/>
          <w:szCs w:val="22"/>
          <w:lang w:val="es-ES"/>
        </w:rPr>
        <w:t>31</w:t>
      </w:r>
      <w:r>
        <w:rPr>
          <w:rFonts w:eastAsia="MS PGothic"/>
          <w:color w:val="000000"/>
          <w:szCs w:val="22"/>
          <w:lang w:val="es-ES"/>
        </w:rPr>
        <w:t>,</w:t>
      </w:r>
      <w:r w:rsidRPr="00286CDE">
        <w:rPr>
          <w:rFonts w:eastAsia="MS PGothic"/>
          <w:color w:val="000000"/>
          <w:szCs w:val="22"/>
          <w:lang w:val="es-ES"/>
        </w:rPr>
        <w:t>5</w:t>
      </w:r>
      <w:r>
        <w:rPr>
          <w:rFonts w:eastAsia="MS PGothic"/>
          <w:color w:val="000000"/>
          <w:szCs w:val="22"/>
          <w:lang w:val="es-ES"/>
        </w:rPr>
        <w:t xml:space="preserve"> </w:t>
      </w:r>
      <w:r w:rsidRPr="00286CDE">
        <w:rPr>
          <w:rFonts w:eastAsia="MS PGothic"/>
          <w:color w:val="000000"/>
          <w:szCs w:val="22"/>
          <w:lang w:val="es-ES"/>
        </w:rPr>
        <w:t>%, ACR50 12</w:t>
      </w:r>
      <w:r>
        <w:rPr>
          <w:rFonts w:eastAsia="MS PGothic"/>
          <w:color w:val="000000"/>
          <w:szCs w:val="22"/>
          <w:lang w:val="es-ES"/>
        </w:rPr>
        <w:t>,</w:t>
      </w:r>
      <w:r w:rsidRPr="00286CDE">
        <w:rPr>
          <w:rFonts w:eastAsia="MS PGothic"/>
          <w:color w:val="000000"/>
          <w:szCs w:val="22"/>
          <w:lang w:val="es-ES"/>
        </w:rPr>
        <w:t>3</w:t>
      </w:r>
      <w:r>
        <w:rPr>
          <w:rFonts w:eastAsia="MS PGothic"/>
          <w:color w:val="000000"/>
          <w:szCs w:val="22"/>
          <w:lang w:val="es-ES"/>
        </w:rPr>
        <w:t xml:space="preserve"> </w:t>
      </w:r>
      <w:r w:rsidRPr="00286CDE">
        <w:rPr>
          <w:rFonts w:eastAsia="MS PGothic"/>
          <w:color w:val="000000"/>
          <w:szCs w:val="22"/>
          <w:lang w:val="es-ES"/>
        </w:rPr>
        <w:t xml:space="preserve">% </w:t>
      </w:r>
      <w:r>
        <w:rPr>
          <w:rFonts w:eastAsia="MS PGothic"/>
          <w:color w:val="000000"/>
          <w:szCs w:val="22"/>
          <w:lang w:val="es-ES"/>
        </w:rPr>
        <w:t>y</w:t>
      </w:r>
      <w:r w:rsidRPr="00286CDE">
        <w:rPr>
          <w:rFonts w:eastAsia="MS PGothic"/>
          <w:color w:val="000000"/>
          <w:szCs w:val="22"/>
          <w:lang w:val="es-ES"/>
        </w:rPr>
        <w:t xml:space="preserve"> ACR70 5</w:t>
      </w:r>
      <w:r>
        <w:rPr>
          <w:rFonts w:eastAsia="MS PGothic"/>
          <w:color w:val="000000"/>
          <w:szCs w:val="22"/>
          <w:lang w:val="es-ES"/>
        </w:rPr>
        <w:t>,</w:t>
      </w:r>
      <w:r w:rsidRPr="00286CDE">
        <w:rPr>
          <w:rFonts w:eastAsia="MS PGothic"/>
          <w:color w:val="000000"/>
          <w:szCs w:val="22"/>
          <w:lang w:val="es-ES"/>
        </w:rPr>
        <w:t>0</w:t>
      </w:r>
      <w:r>
        <w:rPr>
          <w:rFonts w:eastAsia="MS PGothic"/>
          <w:color w:val="000000"/>
          <w:szCs w:val="22"/>
          <w:lang w:val="es-ES"/>
        </w:rPr>
        <w:t xml:space="preserve"> </w:t>
      </w:r>
      <w:r w:rsidRPr="00286CDE">
        <w:rPr>
          <w:rFonts w:eastAsia="MS PGothic"/>
          <w:color w:val="000000"/>
          <w:szCs w:val="22"/>
          <w:lang w:val="es-ES"/>
        </w:rPr>
        <w:t>%</w:t>
      </w:r>
      <w:r>
        <w:rPr>
          <w:rFonts w:eastAsia="MS PGothic"/>
          <w:color w:val="000000"/>
          <w:szCs w:val="22"/>
          <w:lang w:val="es-ES"/>
        </w:rPr>
        <w:t xml:space="preserve"> en el </w:t>
      </w:r>
      <w:del w:id="1828" w:author="AUTHOR">
        <w:r w:rsidDel="004E273B">
          <w:rPr>
            <w:rFonts w:eastAsia="MS PGothic"/>
            <w:color w:val="000000"/>
            <w:szCs w:val="22"/>
            <w:lang w:val="es-ES"/>
          </w:rPr>
          <w:delText>brazo</w:delText>
        </w:r>
      </w:del>
      <w:ins w:id="1829" w:author="AUTHOR">
        <w:r w:rsidR="004E273B">
          <w:rPr>
            <w:rFonts w:eastAsia="MS PGothic"/>
            <w:color w:val="000000"/>
            <w:szCs w:val="22"/>
            <w:lang w:val="es-ES"/>
          </w:rPr>
          <w:t>grupo</w:t>
        </w:r>
      </w:ins>
      <w:r>
        <w:rPr>
          <w:rFonts w:eastAsia="MS PGothic"/>
          <w:color w:val="000000"/>
          <w:szCs w:val="22"/>
          <w:lang w:val="es-ES"/>
        </w:rPr>
        <w:t xml:space="preserve"> de placebo. La media del DAS28 al inicio del ensayo era de 6,7 en tocilizumab subcutáneo y 6,6 en el placebo. En la semana 24 hubo una reducción significativa del DAS28 de 3,1 en tocilizumab subcutáneo y de 1,7 en placebo, se observaron valores de DAS28 menores de 2,6 en el 32 % de los pacientes con tocilizumab en el </w:t>
      </w:r>
      <w:del w:id="1830" w:author="AUTHOR">
        <w:r w:rsidDel="004E273B">
          <w:rPr>
            <w:rFonts w:eastAsia="MS PGothic"/>
            <w:color w:val="000000"/>
            <w:szCs w:val="22"/>
            <w:lang w:val="es-ES"/>
          </w:rPr>
          <w:delText>brazo</w:delText>
        </w:r>
      </w:del>
      <w:ins w:id="1831" w:author="AUTHOR">
        <w:r w:rsidR="004E273B">
          <w:rPr>
            <w:rFonts w:eastAsia="MS PGothic"/>
            <w:color w:val="000000"/>
            <w:szCs w:val="22"/>
            <w:lang w:val="es-ES"/>
          </w:rPr>
          <w:t>grupo</w:t>
        </w:r>
      </w:ins>
      <w:r>
        <w:rPr>
          <w:rFonts w:eastAsia="MS PGothic"/>
          <w:color w:val="000000"/>
          <w:szCs w:val="22"/>
          <w:lang w:val="es-ES"/>
        </w:rPr>
        <w:t xml:space="preserve"> subcutáneo y en el 4 % en el </w:t>
      </w:r>
      <w:del w:id="1832" w:author="AUTHOR">
        <w:r w:rsidDel="004E273B">
          <w:rPr>
            <w:rFonts w:eastAsia="MS PGothic"/>
            <w:color w:val="000000"/>
            <w:szCs w:val="22"/>
            <w:lang w:val="es-ES"/>
          </w:rPr>
          <w:delText>brazo</w:delText>
        </w:r>
      </w:del>
      <w:ins w:id="1833" w:author="AUTHOR">
        <w:r w:rsidR="004E273B">
          <w:rPr>
            <w:rFonts w:eastAsia="MS PGothic"/>
            <w:color w:val="000000"/>
            <w:szCs w:val="22"/>
            <w:lang w:val="es-ES"/>
          </w:rPr>
          <w:t>grupo</w:t>
        </w:r>
      </w:ins>
      <w:r>
        <w:rPr>
          <w:rFonts w:eastAsia="MS PGothic"/>
          <w:color w:val="000000"/>
          <w:szCs w:val="22"/>
          <w:lang w:val="es-ES"/>
        </w:rPr>
        <w:t xml:space="preserve"> placebo.</w:t>
      </w:r>
    </w:p>
    <w:p w14:paraId="45BB01DD" w14:textId="77777777" w:rsidR="00CD5F32" w:rsidRDefault="00CD5F32" w:rsidP="00CD5F32">
      <w:pPr>
        <w:keepNext/>
        <w:keepLines/>
        <w:numPr>
          <w:ilvl w:val="12"/>
          <w:numId w:val="0"/>
        </w:numPr>
        <w:rPr>
          <w:iCs/>
          <w:lang w:val="es-ES_tradnl"/>
        </w:rPr>
      </w:pPr>
    </w:p>
    <w:p w14:paraId="32434CCF" w14:textId="77777777" w:rsidR="00CD5F32" w:rsidRPr="00F30AB8" w:rsidRDefault="00CD5F32" w:rsidP="00CD5F32">
      <w:pPr>
        <w:rPr>
          <w:i/>
          <w:iCs/>
          <w:u w:val="single"/>
          <w:lang w:val="es-ES_tradnl"/>
        </w:rPr>
      </w:pPr>
      <w:r w:rsidRPr="00F30AB8">
        <w:rPr>
          <w:i/>
          <w:iCs/>
          <w:u w:val="single"/>
          <w:lang w:val="es-ES_tradnl"/>
        </w:rPr>
        <w:t>Resultados relacionados con la salud y la calidad de vida</w:t>
      </w:r>
    </w:p>
    <w:p w14:paraId="5AE66CA7" w14:textId="3AB0C627" w:rsidR="00CD5F32" w:rsidRDefault="00CD5F32" w:rsidP="00CD5F32">
      <w:pPr>
        <w:rPr>
          <w:lang w:val="es-ES"/>
        </w:rPr>
      </w:pPr>
      <w:r w:rsidRPr="00606AA6">
        <w:rPr>
          <w:iCs/>
          <w:lang w:val="es-ES_tradnl"/>
        </w:rPr>
        <w:t>En el ensayo SC-I, la</w:t>
      </w:r>
      <w:r>
        <w:rPr>
          <w:iCs/>
          <w:lang w:val="es-ES_tradnl"/>
        </w:rPr>
        <w:t xml:space="preserve"> disminución media en HAQ-DI desde el inicio a la semana</w:t>
      </w:r>
      <w:r w:rsidR="00BF318B">
        <w:rPr>
          <w:iCs/>
          <w:lang w:val="es-ES_tradnl"/>
        </w:rPr>
        <w:t> </w:t>
      </w:r>
      <w:r>
        <w:rPr>
          <w:iCs/>
          <w:lang w:val="es-ES_tradnl"/>
        </w:rPr>
        <w:t xml:space="preserve">24 fue 0,6 tanto en el </w:t>
      </w:r>
      <w:del w:id="1834" w:author="AUTHOR">
        <w:r w:rsidDel="004E273B">
          <w:rPr>
            <w:iCs/>
            <w:lang w:val="es-ES_tradnl"/>
          </w:rPr>
          <w:delText>brazo</w:delText>
        </w:r>
      </w:del>
      <w:ins w:id="1835" w:author="AUTHOR">
        <w:r w:rsidR="004E273B">
          <w:rPr>
            <w:iCs/>
            <w:lang w:val="es-ES_tradnl"/>
          </w:rPr>
          <w:t>grupo</w:t>
        </w:r>
      </w:ins>
      <w:r>
        <w:rPr>
          <w:iCs/>
          <w:lang w:val="es-ES_tradnl"/>
        </w:rPr>
        <w:t xml:space="preserve"> de </w:t>
      </w:r>
      <w:r w:rsidRPr="00FC59A2">
        <w:rPr>
          <w:iCs/>
          <w:lang w:val="es-ES_tradnl"/>
        </w:rPr>
        <w:t xml:space="preserve">tocilizumab subcutáneo como en </w:t>
      </w:r>
      <w:del w:id="1836" w:author="AUTHOR">
        <w:r w:rsidRPr="00FC59A2" w:rsidDel="004E273B">
          <w:rPr>
            <w:iCs/>
            <w:lang w:val="es-ES_tradnl"/>
          </w:rPr>
          <w:delText>brazo</w:delText>
        </w:r>
      </w:del>
      <w:ins w:id="1837" w:author="AUTHOR">
        <w:r w:rsidR="004E273B">
          <w:rPr>
            <w:iCs/>
            <w:lang w:val="es-ES_tradnl"/>
          </w:rPr>
          <w:t>grupo</w:t>
        </w:r>
      </w:ins>
      <w:r w:rsidRPr="00FC59A2">
        <w:rPr>
          <w:iCs/>
          <w:lang w:val="es-ES_tradnl"/>
        </w:rPr>
        <w:t xml:space="preserve"> de tocilizumab intravenoso. La proporción de pacientes que consiguieron una mejoría clínicamente relevante en HAQ-DI a la semana 24 (cambio desde el inicio de </w:t>
      </w:r>
      <w:r w:rsidRPr="00FC59A2">
        <w:rPr>
          <w:lang w:val="es-ES"/>
        </w:rPr>
        <w:t xml:space="preserve">≥ 0,3 unidades) fue también comparable en ambos </w:t>
      </w:r>
      <w:del w:id="1838" w:author="AUTHOR">
        <w:r w:rsidRPr="00FC59A2" w:rsidDel="004E273B">
          <w:rPr>
            <w:lang w:val="es-ES"/>
          </w:rPr>
          <w:delText>brazo</w:delText>
        </w:r>
      </w:del>
      <w:ins w:id="1839" w:author="AUTHOR">
        <w:r w:rsidR="004E273B">
          <w:rPr>
            <w:lang w:val="es-ES"/>
          </w:rPr>
          <w:t>grupo</w:t>
        </w:r>
      </w:ins>
      <w:r w:rsidRPr="00FC59A2">
        <w:rPr>
          <w:lang w:val="es-ES"/>
        </w:rPr>
        <w:t>s, 65,2</w:t>
      </w:r>
      <w:r>
        <w:rPr>
          <w:lang w:val="es-ES"/>
        </w:rPr>
        <w:t xml:space="preserve"> % en el subcutáneo</w:t>
      </w:r>
      <w:r w:rsidRPr="00FC59A2">
        <w:rPr>
          <w:lang w:val="es-ES"/>
        </w:rPr>
        <w:t xml:space="preserve"> frente a 67,4</w:t>
      </w:r>
      <w:r>
        <w:rPr>
          <w:lang w:val="es-ES"/>
        </w:rPr>
        <w:t xml:space="preserve"> </w:t>
      </w:r>
      <w:r w:rsidRPr="00FC59A2">
        <w:rPr>
          <w:lang w:val="es-ES"/>
        </w:rPr>
        <w:t>% en el intravenoso,</w:t>
      </w:r>
      <w:r>
        <w:rPr>
          <w:lang w:val="es-ES"/>
        </w:rPr>
        <w:t xml:space="preserve"> con una diferencia ponderada en proporciones de -2,3 % (95 % IC-8,1; 3,</w:t>
      </w:r>
      <w:r w:rsidRPr="00FF1EDA">
        <w:rPr>
          <w:lang w:val="es-ES"/>
        </w:rPr>
        <w:t>4)</w:t>
      </w:r>
      <w:r>
        <w:rPr>
          <w:lang w:val="es-ES"/>
        </w:rPr>
        <w:t xml:space="preserve">. Para </w:t>
      </w:r>
      <w:r w:rsidRPr="00FF1EDA">
        <w:rPr>
          <w:lang w:val="es-ES"/>
        </w:rPr>
        <w:t>SF</w:t>
      </w:r>
      <w:r>
        <w:rPr>
          <w:lang w:val="es-ES"/>
        </w:rPr>
        <w:t xml:space="preserve"> 36, el cambio medio desde el inicio hasta la semana 24 en el valor del componente mental fue de 6,22 para el </w:t>
      </w:r>
      <w:del w:id="1840" w:author="AUTHOR">
        <w:r w:rsidDel="004E273B">
          <w:rPr>
            <w:lang w:val="es-ES"/>
          </w:rPr>
          <w:delText>brazo</w:delText>
        </w:r>
      </w:del>
      <w:ins w:id="1841" w:author="AUTHOR">
        <w:r w:rsidR="004E273B">
          <w:rPr>
            <w:lang w:val="es-ES"/>
          </w:rPr>
          <w:t>grupo</w:t>
        </w:r>
      </w:ins>
      <w:r>
        <w:rPr>
          <w:lang w:val="es-ES"/>
        </w:rPr>
        <w:t xml:space="preserve"> subcutáneo y de 6,54 para el </w:t>
      </w:r>
      <w:del w:id="1842" w:author="AUTHOR">
        <w:r w:rsidDel="004E273B">
          <w:rPr>
            <w:lang w:val="es-ES"/>
          </w:rPr>
          <w:delText>brazo</w:delText>
        </w:r>
      </w:del>
      <w:ins w:id="1843" w:author="AUTHOR">
        <w:r w:rsidR="004E273B">
          <w:rPr>
            <w:lang w:val="es-ES"/>
          </w:rPr>
          <w:t>grupo</w:t>
        </w:r>
      </w:ins>
      <w:r>
        <w:rPr>
          <w:lang w:val="es-ES"/>
        </w:rPr>
        <w:t xml:space="preserve"> intravenoso, y para el valor del componente físico fue también similar en ambos </w:t>
      </w:r>
      <w:del w:id="1844" w:author="AUTHOR">
        <w:r w:rsidDel="004E273B">
          <w:rPr>
            <w:lang w:val="es-ES"/>
          </w:rPr>
          <w:delText>brazo</w:delText>
        </w:r>
      </w:del>
      <w:ins w:id="1845" w:author="AUTHOR">
        <w:r w:rsidR="004E273B">
          <w:rPr>
            <w:lang w:val="es-ES"/>
          </w:rPr>
          <w:t>grupo</w:t>
        </w:r>
      </w:ins>
      <w:r>
        <w:rPr>
          <w:lang w:val="es-ES"/>
        </w:rPr>
        <w:t xml:space="preserve">s 9,49 para el </w:t>
      </w:r>
      <w:del w:id="1846" w:author="AUTHOR">
        <w:r w:rsidDel="004E273B">
          <w:rPr>
            <w:lang w:val="es-ES"/>
          </w:rPr>
          <w:delText>brazo</w:delText>
        </w:r>
      </w:del>
      <w:ins w:id="1847" w:author="AUTHOR">
        <w:r w:rsidR="004E273B">
          <w:rPr>
            <w:lang w:val="es-ES"/>
          </w:rPr>
          <w:t>grupo</w:t>
        </w:r>
      </w:ins>
      <w:r>
        <w:rPr>
          <w:lang w:val="es-ES"/>
        </w:rPr>
        <w:t xml:space="preserve"> subcutáneo y 9,65 para el </w:t>
      </w:r>
      <w:del w:id="1848" w:author="AUTHOR">
        <w:r w:rsidDel="004E273B">
          <w:rPr>
            <w:lang w:val="es-ES"/>
          </w:rPr>
          <w:delText>brazo</w:delText>
        </w:r>
      </w:del>
      <w:ins w:id="1849" w:author="AUTHOR">
        <w:r w:rsidR="004E273B">
          <w:rPr>
            <w:lang w:val="es-ES"/>
          </w:rPr>
          <w:t>grupo</w:t>
        </w:r>
      </w:ins>
      <w:r>
        <w:rPr>
          <w:lang w:val="es-ES"/>
        </w:rPr>
        <w:t xml:space="preserve"> intravenoso.</w:t>
      </w:r>
    </w:p>
    <w:p w14:paraId="54E31922" w14:textId="77777777" w:rsidR="00CD5F32" w:rsidRDefault="00CD5F32" w:rsidP="00CD5F32">
      <w:pPr>
        <w:rPr>
          <w:lang w:val="es-ES"/>
        </w:rPr>
      </w:pPr>
    </w:p>
    <w:p w14:paraId="27481EB8" w14:textId="4DC344F6" w:rsidR="00CD5F32" w:rsidRDefault="00CD5F32" w:rsidP="00CD5F32">
      <w:pPr>
        <w:rPr>
          <w:rFonts w:eastAsia="MS PGothic"/>
          <w:color w:val="000000"/>
          <w:szCs w:val="22"/>
          <w:lang w:val="es-ES"/>
        </w:rPr>
      </w:pPr>
      <w:r>
        <w:rPr>
          <w:lang w:val="es-ES"/>
        </w:rPr>
        <w:t xml:space="preserve">En el ensayo SC-II, el descenso medio en HAQ-DI desde el inicio hasta la semana 24, fue significativamente mayor en pacientes tratados con </w:t>
      </w:r>
      <w:r w:rsidR="00397360" w:rsidRPr="00F30AB8">
        <w:rPr>
          <w:szCs w:val="22"/>
          <w:lang w:val="es-ES"/>
        </w:rPr>
        <w:t>tocilizumab</w:t>
      </w:r>
      <w:r w:rsidRPr="00C555F2">
        <w:rPr>
          <w:lang w:val="es-ES"/>
        </w:rPr>
        <w:t xml:space="preserve"> </w:t>
      </w:r>
      <w:r>
        <w:rPr>
          <w:lang w:val="es-ES"/>
        </w:rPr>
        <w:t xml:space="preserve">subcutáneo cada dos </w:t>
      </w:r>
      <w:r w:rsidRPr="00286CDE">
        <w:rPr>
          <w:lang w:val="es-ES"/>
        </w:rPr>
        <w:t>semanas (</w:t>
      </w:r>
      <w:r>
        <w:rPr>
          <w:lang w:val="es-ES"/>
        </w:rPr>
        <w:t>0,4) frente a placebo (0,3). La proporción de pacientes que consiguieron mejorías en HAQ-DI clínicamente significativas en la semana 24 (cambios desde el inicio</w:t>
      </w:r>
      <w:r w:rsidRPr="00286CDE">
        <w:rPr>
          <w:rFonts w:eastAsia="MS PGothic"/>
          <w:color w:val="000000"/>
          <w:szCs w:val="22"/>
          <w:lang w:val="es-ES"/>
        </w:rPr>
        <w:t xml:space="preserve"> </w:t>
      </w:r>
      <w:r w:rsidRPr="00D41A2C">
        <w:rPr>
          <w:rFonts w:eastAsia="MS PGothic"/>
          <w:color w:val="000000"/>
          <w:szCs w:val="22"/>
          <w:lang w:val="es-ES"/>
        </w:rPr>
        <w:t xml:space="preserve">≥ </w:t>
      </w:r>
      <w:r w:rsidRPr="00C555F2">
        <w:rPr>
          <w:rFonts w:eastAsia="MS PGothic"/>
          <w:color w:val="000000"/>
          <w:szCs w:val="22"/>
          <w:lang w:val="es-ES"/>
        </w:rPr>
        <w:t>0,</w:t>
      </w:r>
      <w:r w:rsidRPr="00D41A2C">
        <w:rPr>
          <w:rFonts w:eastAsia="MS PGothic"/>
          <w:color w:val="000000"/>
          <w:szCs w:val="22"/>
          <w:lang w:val="es-ES"/>
        </w:rPr>
        <w:t>3 unidades)</w:t>
      </w:r>
      <w:r>
        <w:rPr>
          <w:rFonts w:eastAsia="MS PGothic"/>
          <w:color w:val="000000"/>
          <w:szCs w:val="22"/>
          <w:lang w:val="es-ES"/>
        </w:rPr>
        <w:t xml:space="preserve"> fue mayor en </w:t>
      </w:r>
      <w:del w:id="1850" w:author="AUTHOR">
        <w:r w:rsidDel="00B707BE">
          <w:rPr>
            <w:rFonts w:eastAsia="MS PGothic"/>
            <w:color w:val="000000"/>
            <w:szCs w:val="22"/>
            <w:lang w:val="es-ES"/>
          </w:rPr>
          <w:delText xml:space="preserve">tocilizumab </w:delText>
        </w:r>
      </w:del>
      <w:ins w:id="1851" w:author="AUTHOR">
        <w:r w:rsidR="00B707BE">
          <w:rPr>
            <w:rFonts w:eastAsia="MS PGothic"/>
            <w:color w:val="000000"/>
            <w:szCs w:val="22"/>
            <w:lang w:val="es-ES"/>
          </w:rPr>
          <w:t xml:space="preserve">tratamiento </w:t>
        </w:r>
      </w:ins>
      <w:r>
        <w:rPr>
          <w:rFonts w:eastAsia="MS PGothic"/>
          <w:color w:val="000000"/>
          <w:szCs w:val="22"/>
          <w:lang w:val="es-ES"/>
        </w:rPr>
        <w:t>subcutáneo cada dos semanas (58 %) frente a placebo (46,8 %). SF-36 (cambio medio en los valores del componente mental y físico) fue significativamente mayor en el grupo de tocilizumab subcutáneo (6,5 y 5,3) frente a placebo (3,8 y 2,9).</w:t>
      </w:r>
    </w:p>
    <w:p w14:paraId="14CF4BDE" w14:textId="77777777" w:rsidR="00CD5F32" w:rsidRDefault="00CD5F32" w:rsidP="00CD5F32">
      <w:pPr>
        <w:rPr>
          <w:rFonts w:eastAsia="MS PGothic"/>
          <w:color w:val="000000"/>
          <w:szCs w:val="22"/>
          <w:lang w:val="es-ES"/>
        </w:rPr>
      </w:pPr>
    </w:p>
    <w:p w14:paraId="6F9E4103" w14:textId="77777777" w:rsidR="0042119A" w:rsidRPr="00F30AB8" w:rsidRDefault="0042119A" w:rsidP="0042119A">
      <w:pPr>
        <w:rPr>
          <w:rFonts w:eastAsia="MS PGothic"/>
          <w:color w:val="000000"/>
          <w:szCs w:val="22"/>
          <w:u w:val="single"/>
          <w:lang w:val="es-ES"/>
        </w:rPr>
      </w:pPr>
      <w:r w:rsidRPr="00F30AB8">
        <w:rPr>
          <w:rFonts w:eastAsia="MS PGothic"/>
          <w:color w:val="000000"/>
          <w:szCs w:val="22"/>
          <w:u w:val="single"/>
          <w:lang w:val="es-ES"/>
        </w:rPr>
        <w:t>Uso subcutáneo</w:t>
      </w:r>
    </w:p>
    <w:p w14:paraId="2531073A" w14:textId="77777777" w:rsidR="00397360" w:rsidDel="00D0534D" w:rsidRDefault="00397360" w:rsidP="0042119A">
      <w:pPr>
        <w:rPr>
          <w:del w:id="1852" w:author="AUTHOR"/>
          <w:rFonts w:eastAsia="MS PGothic"/>
          <w:color w:val="000000"/>
          <w:szCs w:val="22"/>
          <w:lang w:val="es-ES"/>
        </w:rPr>
      </w:pPr>
    </w:p>
    <w:p w14:paraId="64EF0EB7" w14:textId="77777777" w:rsidR="0042119A" w:rsidRPr="00467FFD" w:rsidRDefault="00397360" w:rsidP="0042119A">
      <w:pPr>
        <w:rPr>
          <w:rFonts w:eastAsia="MS PGothic"/>
          <w:bCs/>
          <w:i/>
          <w:iCs/>
          <w:color w:val="000000"/>
          <w:szCs w:val="22"/>
          <w:lang w:val="es-ES"/>
          <w:rPrChange w:id="1853" w:author="AUTHOR">
            <w:rPr>
              <w:rFonts w:eastAsia="MS PGothic"/>
              <w:bCs/>
              <w:i/>
              <w:iCs/>
              <w:color w:val="000000"/>
              <w:szCs w:val="22"/>
              <w:u w:val="single"/>
              <w:lang w:val="es-ES"/>
            </w:rPr>
          </w:rPrChange>
        </w:rPr>
      </w:pPr>
      <w:r w:rsidRPr="00467FFD">
        <w:rPr>
          <w:rFonts w:eastAsia="MS PGothic"/>
          <w:bCs/>
          <w:i/>
          <w:iCs/>
          <w:color w:val="000000"/>
          <w:szCs w:val="22"/>
          <w:lang w:val="es-ES"/>
          <w:rPrChange w:id="1854" w:author="AUTHOR">
            <w:rPr>
              <w:rFonts w:eastAsia="MS PGothic"/>
              <w:bCs/>
              <w:i/>
              <w:iCs/>
              <w:color w:val="000000"/>
              <w:szCs w:val="22"/>
              <w:u w:val="single"/>
              <w:lang w:val="es-ES"/>
            </w:rPr>
          </w:rPrChange>
        </w:rPr>
        <w:t xml:space="preserve">Pacientes con </w:t>
      </w:r>
      <w:r w:rsidR="0042119A" w:rsidRPr="00467FFD">
        <w:rPr>
          <w:rFonts w:eastAsia="MS PGothic"/>
          <w:bCs/>
          <w:i/>
          <w:iCs/>
          <w:color w:val="000000"/>
          <w:szCs w:val="22"/>
          <w:lang w:val="es-ES"/>
          <w:rPrChange w:id="1855" w:author="AUTHOR">
            <w:rPr>
              <w:rFonts w:eastAsia="MS PGothic"/>
              <w:bCs/>
              <w:i/>
              <w:iCs/>
              <w:color w:val="000000"/>
              <w:szCs w:val="22"/>
              <w:u w:val="single"/>
              <w:lang w:val="es-ES"/>
            </w:rPr>
          </w:rPrChange>
        </w:rPr>
        <w:t>AIJs</w:t>
      </w:r>
    </w:p>
    <w:p w14:paraId="421469BB" w14:textId="77777777" w:rsidR="0042119A" w:rsidRPr="00F30AB8" w:rsidRDefault="0042119A" w:rsidP="0042119A">
      <w:pPr>
        <w:rPr>
          <w:rFonts w:eastAsia="MS PGothic"/>
          <w:i/>
          <w:iCs/>
          <w:color w:val="000000"/>
          <w:szCs w:val="22"/>
          <w:u w:val="single"/>
          <w:lang w:val="es-ES"/>
        </w:rPr>
      </w:pPr>
      <w:r w:rsidRPr="00F30AB8">
        <w:rPr>
          <w:rFonts w:eastAsia="MS PGothic"/>
          <w:i/>
          <w:iCs/>
          <w:color w:val="000000"/>
          <w:szCs w:val="22"/>
          <w:u w:val="single"/>
          <w:lang w:val="es-ES"/>
        </w:rPr>
        <w:t>Eficacia clínica</w:t>
      </w:r>
    </w:p>
    <w:p w14:paraId="24291050" w14:textId="0DAB2361" w:rsidR="0042119A" w:rsidRPr="00C57BA0" w:rsidRDefault="0042119A" w:rsidP="0042119A">
      <w:pPr>
        <w:rPr>
          <w:rFonts w:eastAsia="MS PGothic"/>
          <w:color w:val="000000"/>
          <w:szCs w:val="22"/>
          <w:lang w:val="es-ES"/>
        </w:rPr>
      </w:pPr>
      <w:r w:rsidRPr="00C57BA0">
        <w:rPr>
          <w:rFonts w:eastAsia="MS PGothic"/>
          <w:color w:val="000000"/>
          <w:szCs w:val="22"/>
          <w:lang w:val="es-ES"/>
        </w:rPr>
        <w:lastRenderedPageBreak/>
        <w:t xml:space="preserve">Se realizó un </w:t>
      </w:r>
      <w:del w:id="1856" w:author="AUTHOR">
        <w:r w:rsidRPr="00C57BA0" w:rsidDel="00D0534D">
          <w:rPr>
            <w:rFonts w:eastAsia="MS PGothic"/>
            <w:color w:val="000000"/>
            <w:szCs w:val="22"/>
            <w:lang w:val="es-ES"/>
          </w:rPr>
          <w:delText xml:space="preserve">estudio </w:delText>
        </w:r>
      </w:del>
      <w:ins w:id="1857" w:author="AUTHOR">
        <w:r w:rsidR="00D0534D">
          <w:rPr>
            <w:rFonts w:eastAsia="MS PGothic"/>
            <w:color w:val="000000"/>
            <w:szCs w:val="22"/>
            <w:lang w:val="es-ES"/>
          </w:rPr>
          <w:t>ensayo</w:t>
        </w:r>
        <w:r w:rsidR="00D0534D" w:rsidRPr="00C57BA0">
          <w:rPr>
            <w:rFonts w:eastAsia="MS PGothic"/>
            <w:color w:val="000000"/>
            <w:szCs w:val="22"/>
            <w:lang w:val="es-ES"/>
          </w:rPr>
          <w:t xml:space="preserve"> </w:t>
        </w:r>
      </w:ins>
      <w:r>
        <w:rPr>
          <w:rFonts w:eastAsia="MS PGothic"/>
          <w:color w:val="000000"/>
          <w:szCs w:val="22"/>
          <w:lang w:val="es-ES"/>
        </w:rPr>
        <w:t xml:space="preserve">(WA28118) </w:t>
      </w:r>
      <w:r w:rsidR="008E2A04" w:rsidRPr="008E2A04">
        <w:rPr>
          <w:rFonts w:eastAsia="MS PGothic"/>
          <w:color w:val="000000"/>
          <w:szCs w:val="22"/>
          <w:lang w:val="es-ES"/>
        </w:rPr>
        <w:t>farmacocinético</w:t>
      </w:r>
      <w:r w:rsidR="008E2A04">
        <w:rPr>
          <w:rFonts w:eastAsia="MS PGothic"/>
          <w:color w:val="000000"/>
          <w:szCs w:val="22"/>
          <w:lang w:val="es-ES"/>
        </w:rPr>
        <w:t>/</w:t>
      </w:r>
      <w:r w:rsidR="008E2A04" w:rsidRPr="008E2A04">
        <w:rPr>
          <w:rFonts w:eastAsia="MS PGothic"/>
          <w:color w:val="000000"/>
          <w:szCs w:val="22"/>
          <w:lang w:val="es-ES"/>
        </w:rPr>
        <w:t xml:space="preserve">farmacodinámico </w:t>
      </w:r>
      <w:r w:rsidRPr="00C57BA0">
        <w:rPr>
          <w:rFonts w:eastAsia="MS PGothic"/>
          <w:color w:val="000000"/>
          <w:szCs w:val="22"/>
          <w:lang w:val="es-ES"/>
        </w:rPr>
        <w:t xml:space="preserve">y de seguridad de 52 semanas, abierto, multicéntrico en pacientes pediátricos con AIJs, de 1 a 17 años de edad, para determinar la dosis subcutánea de </w:t>
      </w:r>
      <w:r w:rsidR="00397360" w:rsidRPr="00F30AB8">
        <w:rPr>
          <w:szCs w:val="22"/>
          <w:lang w:val="es-ES" w:eastAsia="de-DE"/>
        </w:rPr>
        <w:t>tocilizumab</w:t>
      </w:r>
      <w:r w:rsidRPr="00C57BA0">
        <w:rPr>
          <w:rFonts w:eastAsia="MS PGothic"/>
          <w:color w:val="000000"/>
          <w:szCs w:val="22"/>
          <w:lang w:val="es-ES"/>
        </w:rPr>
        <w:t xml:space="preserve"> adecu</w:t>
      </w:r>
      <w:r>
        <w:rPr>
          <w:rFonts w:eastAsia="MS PGothic"/>
          <w:color w:val="000000"/>
          <w:szCs w:val="22"/>
          <w:lang w:val="es-ES"/>
        </w:rPr>
        <w:t xml:space="preserve">ada que lograra unos perfiles </w:t>
      </w:r>
      <w:r w:rsidR="008E2A04" w:rsidRPr="008E2A04">
        <w:rPr>
          <w:rFonts w:eastAsia="MS PGothic"/>
          <w:color w:val="000000"/>
          <w:szCs w:val="22"/>
          <w:lang w:val="es-ES"/>
        </w:rPr>
        <w:t>farmacocinético</w:t>
      </w:r>
      <w:r w:rsidR="008E2A04">
        <w:rPr>
          <w:rFonts w:eastAsia="MS PGothic"/>
          <w:color w:val="000000"/>
          <w:szCs w:val="22"/>
          <w:lang w:val="es-ES"/>
        </w:rPr>
        <w:t>s</w:t>
      </w:r>
      <w:r w:rsidR="008E2A04" w:rsidRPr="008E2A04">
        <w:rPr>
          <w:rFonts w:eastAsia="MS PGothic"/>
          <w:color w:val="000000"/>
          <w:szCs w:val="22"/>
          <w:lang w:val="es-ES"/>
        </w:rPr>
        <w:t>/farmacodinámico</w:t>
      </w:r>
      <w:r w:rsidR="008E2A04">
        <w:rPr>
          <w:rFonts w:eastAsia="MS PGothic"/>
          <w:color w:val="000000"/>
          <w:szCs w:val="22"/>
          <w:lang w:val="es-ES"/>
        </w:rPr>
        <w:t>s</w:t>
      </w:r>
      <w:r w:rsidR="008E2A04" w:rsidRPr="008E2A04">
        <w:rPr>
          <w:rFonts w:eastAsia="MS PGothic"/>
          <w:color w:val="000000"/>
          <w:szCs w:val="22"/>
          <w:lang w:val="es-ES"/>
        </w:rPr>
        <w:t xml:space="preserve"> </w:t>
      </w:r>
      <w:r w:rsidRPr="00C57BA0">
        <w:rPr>
          <w:rFonts w:eastAsia="MS PGothic"/>
          <w:color w:val="000000"/>
          <w:szCs w:val="22"/>
          <w:lang w:val="es-ES"/>
        </w:rPr>
        <w:t xml:space="preserve">y de seguridad comparables a la administración por vía </w:t>
      </w:r>
      <w:r w:rsidR="00397360">
        <w:rPr>
          <w:rFonts w:eastAsia="MS PGothic"/>
          <w:color w:val="000000"/>
          <w:szCs w:val="22"/>
          <w:lang w:val="es-ES"/>
        </w:rPr>
        <w:t>intravenosa</w:t>
      </w:r>
      <w:r w:rsidRPr="00C57BA0">
        <w:rPr>
          <w:rFonts w:eastAsia="MS PGothic"/>
          <w:color w:val="000000"/>
          <w:szCs w:val="22"/>
          <w:lang w:val="es-ES"/>
        </w:rPr>
        <w:t>.</w:t>
      </w:r>
    </w:p>
    <w:p w14:paraId="56639DAF" w14:textId="77777777" w:rsidR="0042119A" w:rsidRPr="00C57BA0" w:rsidRDefault="0042119A" w:rsidP="0042119A">
      <w:pPr>
        <w:rPr>
          <w:rFonts w:eastAsia="MS PGothic"/>
          <w:color w:val="000000"/>
          <w:szCs w:val="22"/>
          <w:lang w:val="es-ES"/>
        </w:rPr>
      </w:pPr>
    </w:p>
    <w:p w14:paraId="46A52D7F" w14:textId="1AAA3665" w:rsidR="0042119A" w:rsidRPr="00C57BA0" w:rsidRDefault="0042119A" w:rsidP="0042119A">
      <w:pPr>
        <w:rPr>
          <w:rFonts w:eastAsia="MS PGothic"/>
          <w:color w:val="000000"/>
          <w:szCs w:val="22"/>
          <w:lang w:val="es-ES"/>
        </w:rPr>
      </w:pPr>
      <w:r w:rsidRPr="00C57BA0">
        <w:rPr>
          <w:rFonts w:eastAsia="MS PGothic" w:hint="eastAsia"/>
          <w:color w:val="000000"/>
          <w:szCs w:val="22"/>
          <w:lang w:val="es-ES"/>
        </w:rPr>
        <w:t xml:space="preserve">Los pacientes elegibles recibieron </w:t>
      </w:r>
      <w:r w:rsidR="00397360" w:rsidRPr="00554BAE">
        <w:rPr>
          <w:szCs w:val="22"/>
          <w:lang w:val="es-ES" w:eastAsia="de-DE"/>
        </w:rPr>
        <w:t>tocilizumab</w:t>
      </w:r>
      <w:r w:rsidRPr="00C57BA0">
        <w:rPr>
          <w:rFonts w:eastAsia="MS PGothic" w:hint="eastAsia"/>
          <w:color w:val="000000"/>
          <w:szCs w:val="22"/>
          <w:lang w:val="es-ES"/>
        </w:rPr>
        <w:t xml:space="preserve"> dosificado según el peso corpora</w:t>
      </w:r>
      <w:r>
        <w:rPr>
          <w:rFonts w:eastAsia="MS PGothic" w:hint="eastAsia"/>
          <w:color w:val="000000"/>
          <w:szCs w:val="22"/>
          <w:lang w:val="es-ES"/>
        </w:rPr>
        <w:t xml:space="preserve">l, en pacientes que pesan </w:t>
      </w:r>
      <w:r w:rsidR="00397360" w:rsidRPr="00F30AB8">
        <w:rPr>
          <w:szCs w:val="22"/>
          <w:lang w:val="es-ES" w:eastAsia="de-DE"/>
        </w:rPr>
        <w:t>≥</w:t>
      </w:r>
      <w:r w:rsidRPr="00C57BA0">
        <w:rPr>
          <w:rFonts w:eastAsia="MS PGothic" w:hint="eastAsia"/>
          <w:color w:val="000000"/>
          <w:szCs w:val="22"/>
          <w:lang w:val="es-ES"/>
        </w:rPr>
        <w:t xml:space="preserve">30 kg (n= 26) se les administró una dosis de 162 mg de </w:t>
      </w:r>
      <w:r w:rsidR="00397360" w:rsidRPr="00554BAE">
        <w:rPr>
          <w:szCs w:val="22"/>
          <w:lang w:val="es-ES" w:eastAsia="de-DE"/>
        </w:rPr>
        <w:t>tocilizumab</w:t>
      </w:r>
      <w:r w:rsidRPr="00C57BA0">
        <w:rPr>
          <w:rFonts w:eastAsia="MS PGothic" w:hint="eastAsia"/>
          <w:color w:val="000000"/>
          <w:szCs w:val="22"/>
          <w:lang w:val="es-ES"/>
        </w:rPr>
        <w:t xml:space="preserve"> cada semana (QW) y en pacientes que pesan menos de 30 kg (n= 25) se les administr</w:t>
      </w:r>
      <w:r w:rsidRPr="00C57BA0">
        <w:rPr>
          <w:rFonts w:eastAsia="MS PGothic"/>
          <w:color w:val="000000"/>
          <w:szCs w:val="22"/>
          <w:lang w:val="es-ES"/>
        </w:rPr>
        <w:t xml:space="preserve">ó una dosis de 162 mg de </w:t>
      </w:r>
      <w:r w:rsidR="00397360" w:rsidRPr="00F30AB8">
        <w:rPr>
          <w:szCs w:val="22"/>
          <w:lang w:val="es-ES" w:eastAsia="de-DE"/>
        </w:rPr>
        <w:t>≥</w:t>
      </w:r>
      <w:r w:rsidRPr="00C57BA0">
        <w:rPr>
          <w:rFonts w:eastAsia="MS PGothic"/>
          <w:color w:val="000000"/>
          <w:szCs w:val="22"/>
          <w:lang w:val="es-ES"/>
        </w:rPr>
        <w:t xml:space="preserve"> cada 10 días (Q10</w:t>
      </w:r>
      <w:proofErr w:type="gramStart"/>
      <w:r w:rsidRPr="00C57BA0">
        <w:rPr>
          <w:rFonts w:eastAsia="MS PGothic"/>
          <w:color w:val="000000"/>
          <w:szCs w:val="22"/>
          <w:lang w:val="es-ES"/>
        </w:rPr>
        <w:t>D;n</w:t>
      </w:r>
      <w:proofErr w:type="gramEnd"/>
      <w:r w:rsidRPr="00C57BA0">
        <w:rPr>
          <w:rFonts w:eastAsia="MS PGothic"/>
          <w:color w:val="000000"/>
          <w:szCs w:val="22"/>
          <w:lang w:val="es-ES"/>
        </w:rPr>
        <w:t xml:space="preserve">=8) o cada 2 semanas (Q2W) durante 52 semanas. De estos 51 pacientes, 26 (51%) no habían recibido tratamiento previo y 25 (49%) habían recibido </w:t>
      </w:r>
      <w:r w:rsidR="00397360" w:rsidRPr="00554BAE">
        <w:rPr>
          <w:szCs w:val="22"/>
          <w:lang w:val="es-ES" w:eastAsia="de-DE"/>
        </w:rPr>
        <w:t>tocilizumab</w:t>
      </w:r>
      <w:r w:rsidRPr="00C57BA0">
        <w:rPr>
          <w:rFonts w:eastAsia="MS PGothic"/>
          <w:color w:val="000000"/>
          <w:szCs w:val="22"/>
          <w:lang w:val="es-ES"/>
        </w:rPr>
        <w:t xml:space="preserve"> </w:t>
      </w:r>
      <w:r w:rsidR="00397360">
        <w:rPr>
          <w:rFonts w:eastAsia="MS PGothic"/>
          <w:color w:val="000000"/>
          <w:szCs w:val="22"/>
          <w:lang w:val="es-ES"/>
        </w:rPr>
        <w:t>intravenoso</w:t>
      </w:r>
      <w:r w:rsidRPr="00C57BA0">
        <w:rPr>
          <w:rFonts w:eastAsia="MS PGothic"/>
          <w:color w:val="000000"/>
          <w:szCs w:val="22"/>
          <w:lang w:val="es-ES"/>
        </w:rPr>
        <w:t xml:space="preserve"> y se cambiaron a </w:t>
      </w:r>
      <w:r w:rsidR="00397360" w:rsidRPr="00554BAE">
        <w:rPr>
          <w:szCs w:val="22"/>
          <w:lang w:val="es-ES" w:eastAsia="de-DE"/>
        </w:rPr>
        <w:t>tocilizumab</w:t>
      </w:r>
      <w:r w:rsidR="00397360">
        <w:rPr>
          <w:szCs w:val="22"/>
          <w:lang w:val="es-ES" w:eastAsia="de-DE"/>
        </w:rPr>
        <w:t xml:space="preserve"> subcutáneo</w:t>
      </w:r>
      <w:r w:rsidRPr="00C57BA0">
        <w:rPr>
          <w:rFonts w:eastAsia="MS PGothic"/>
          <w:color w:val="000000"/>
          <w:szCs w:val="22"/>
          <w:lang w:val="es-ES"/>
        </w:rPr>
        <w:t xml:space="preserve"> al inicio del </w:t>
      </w:r>
      <w:ins w:id="1858" w:author="AUTHOR">
        <w:r w:rsidR="00D0534D">
          <w:rPr>
            <w:rFonts w:eastAsia="MS PGothic"/>
            <w:color w:val="000000"/>
            <w:szCs w:val="22"/>
            <w:lang w:val="es-ES"/>
          </w:rPr>
          <w:t>ensayo</w:t>
        </w:r>
      </w:ins>
      <w:del w:id="1859" w:author="AUTHOR">
        <w:r w:rsidRPr="00C57BA0" w:rsidDel="00D0534D">
          <w:rPr>
            <w:rFonts w:eastAsia="MS PGothic"/>
            <w:color w:val="000000"/>
            <w:szCs w:val="22"/>
            <w:lang w:val="es-ES"/>
          </w:rPr>
          <w:delText>estudio</w:delText>
        </w:r>
      </w:del>
      <w:r w:rsidRPr="00C57BA0">
        <w:rPr>
          <w:rFonts w:eastAsia="MS PGothic"/>
          <w:color w:val="000000"/>
          <w:szCs w:val="22"/>
          <w:lang w:val="es-ES"/>
        </w:rPr>
        <w:t>.</w:t>
      </w:r>
    </w:p>
    <w:p w14:paraId="49CF42B1" w14:textId="77777777" w:rsidR="0042119A" w:rsidRPr="00C57BA0" w:rsidRDefault="0042119A" w:rsidP="0042119A">
      <w:pPr>
        <w:rPr>
          <w:rFonts w:eastAsia="MS PGothic"/>
          <w:color w:val="000000"/>
          <w:szCs w:val="22"/>
          <w:lang w:val="es-ES"/>
        </w:rPr>
      </w:pPr>
    </w:p>
    <w:p w14:paraId="2F3E6D2C" w14:textId="01D125D4" w:rsidR="0042119A" w:rsidRDefault="0042119A" w:rsidP="0042119A">
      <w:pPr>
        <w:rPr>
          <w:rFonts w:eastAsia="MS PGothic"/>
          <w:color w:val="000000"/>
          <w:szCs w:val="22"/>
          <w:lang w:val="es-ES"/>
        </w:rPr>
      </w:pPr>
      <w:r w:rsidRPr="00C57BA0">
        <w:rPr>
          <w:rFonts w:eastAsia="MS PGothic"/>
          <w:color w:val="000000"/>
          <w:szCs w:val="22"/>
          <w:lang w:val="es-ES"/>
        </w:rPr>
        <w:t xml:space="preserve">Los resultados exploratorios de eficacia demostraron que </w:t>
      </w:r>
      <w:r w:rsidR="00397360" w:rsidRPr="00554BAE">
        <w:rPr>
          <w:szCs w:val="22"/>
          <w:lang w:val="es-ES" w:eastAsia="de-DE"/>
        </w:rPr>
        <w:t>tocilizumab</w:t>
      </w:r>
      <w:r w:rsidR="00397360">
        <w:rPr>
          <w:szCs w:val="22"/>
          <w:lang w:val="es-ES" w:eastAsia="de-DE"/>
        </w:rPr>
        <w:t xml:space="preserve"> subcutáneo</w:t>
      </w:r>
      <w:r w:rsidRPr="00C57BA0">
        <w:rPr>
          <w:rFonts w:eastAsia="MS PGothic"/>
          <w:color w:val="000000"/>
          <w:szCs w:val="22"/>
          <w:lang w:val="es-ES"/>
        </w:rPr>
        <w:t xml:space="preserve"> mejoró todos los parámetros exploratorios de eficacia, incluyendo la Puntuación de Actividad de la Enfermedad de Artritis Juvenil (JADAS) -71, para pacientes que no habían recibido tratamiento pre</w:t>
      </w:r>
      <w:r>
        <w:rPr>
          <w:rFonts w:eastAsia="MS PGothic"/>
          <w:color w:val="000000"/>
          <w:szCs w:val="22"/>
          <w:lang w:val="es-ES"/>
        </w:rPr>
        <w:t xml:space="preserve">vio con tocilizumab y </w:t>
      </w:r>
      <w:r w:rsidRPr="00C57BA0">
        <w:rPr>
          <w:rFonts w:eastAsia="MS PGothic"/>
          <w:color w:val="000000"/>
          <w:szCs w:val="22"/>
          <w:lang w:val="es-ES"/>
        </w:rPr>
        <w:t xml:space="preserve">se mantuvo todos los parámetros exploratorios de eficacia a lo largo de todo el estudio para pacientes que cambiaron de </w:t>
      </w:r>
      <w:r w:rsidR="00397360">
        <w:rPr>
          <w:rFonts w:eastAsia="MS PGothic"/>
          <w:color w:val="000000"/>
          <w:szCs w:val="22"/>
          <w:lang w:val="es-ES"/>
        </w:rPr>
        <w:t>intravenoso</w:t>
      </w:r>
      <w:r w:rsidRPr="00C57BA0">
        <w:rPr>
          <w:rFonts w:eastAsia="MS PGothic"/>
          <w:color w:val="000000"/>
          <w:szCs w:val="22"/>
          <w:lang w:val="es-ES"/>
        </w:rPr>
        <w:t xml:space="preserve"> al tratamiento con </w:t>
      </w:r>
      <w:r w:rsidR="00397360">
        <w:rPr>
          <w:rFonts w:eastAsia="MS PGothic"/>
          <w:color w:val="000000"/>
          <w:szCs w:val="22"/>
          <w:lang w:val="es-ES"/>
        </w:rPr>
        <w:t>subcutáneo</w:t>
      </w:r>
      <w:r w:rsidRPr="00C57BA0">
        <w:rPr>
          <w:rFonts w:eastAsia="MS PGothic"/>
          <w:color w:val="000000"/>
          <w:szCs w:val="22"/>
          <w:lang w:val="es-ES"/>
        </w:rPr>
        <w:t xml:space="preserve"> en ambos grupos de peso corporal (por debajo de 30 kg y </w:t>
      </w:r>
      <w:r w:rsidR="00397360" w:rsidRPr="00F30AB8">
        <w:rPr>
          <w:szCs w:val="22"/>
          <w:lang w:val="es-ES" w:eastAsia="de-DE"/>
        </w:rPr>
        <w:t>≥</w:t>
      </w:r>
      <w:r w:rsidRPr="00C57BA0">
        <w:rPr>
          <w:rFonts w:eastAsia="MS PGothic"/>
          <w:color w:val="000000"/>
          <w:szCs w:val="22"/>
          <w:lang w:val="es-ES"/>
        </w:rPr>
        <w:t>30 kg).</w:t>
      </w:r>
    </w:p>
    <w:p w14:paraId="08EF07E8" w14:textId="77777777" w:rsidR="0042119A" w:rsidRDefault="0042119A" w:rsidP="0042119A">
      <w:pPr>
        <w:rPr>
          <w:rFonts w:eastAsia="MS PGothic"/>
          <w:color w:val="000000"/>
          <w:szCs w:val="22"/>
          <w:lang w:val="es-ES"/>
        </w:rPr>
      </w:pPr>
    </w:p>
    <w:p w14:paraId="550EF75E" w14:textId="77777777" w:rsidR="0042119A" w:rsidRDefault="0042119A" w:rsidP="0042119A">
      <w:pPr>
        <w:rPr>
          <w:rFonts w:eastAsia="MS PGothic"/>
          <w:color w:val="000000"/>
          <w:szCs w:val="22"/>
          <w:u w:val="single"/>
          <w:lang w:val="es-ES"/>
        </w:rPr>
      </w:pPr>
      <w:r w:rsidRPr="00F30AB8">
        <w:rPr>
          <w:rFonts w:eastAsia="MS PGothic"/>
          <w:color w:val="000000"/>
          <w:szCs w:val="22"/>
          <w:u w:val="single"/>
          <w:lang w:val="es-ES"/>
        </w:rPr>
        <w:t>Uso subcutáneo</w:t>
      </w:r>
    </w:p>
    <w:p w14:paraId="3A34B1CE" w14:textId="77777777" w:rsidR="00397360" w:rsidRPr="00F30AB8" w:rsidRDefault="00397360" w:rsidP="0042119A">
      <w:pPr>
        <w:rPr>
          <w:rFonts w:eastAsia="MS PGothic"/>
          <w:color w:val="000000"/>
          <w:szCs w:val="22"/>
          <w:u w:val="single"/>
          <w:lang w:val="es-ES"/>
        </w:rPr>
      </w:pPr>
    </w:p>
    <w:p w14:paraId="129611D1" w14:textId="77777777" w:rsidR="0042119A" w:rsidRPr="00F30AB8" w:rsidRDefault="00397360" w:rsidP="0042119A">
      <w:pPr>
        <w:rPr>
          <w:rFonts w:eastAsia="MS PGothic"/>
          <w:bCs/>
          <w:i/>
          <w:iCs/>
          <w:color w:val="000000"/>
          <w:szCs w:val="22"/>
          <w:lang w:val="es-ES"/>
        </w:rPr>
      </w:pPr>
      <w:r w:rsidRPr="00F30AB8">
        <w:rPr>
          <w:rFonts w:eastAsia="MS PGothic"/>
          <w:bCs/>
          <w:i/>
          <w:iCs/>
          <w:color w:val="000000"/>
          <w:szCs w:val="22"/>
          <w:lang w:val="es-ES"/>
        </w:rPr>
        <w:t xml:space="preserve">Pacientes con </w:t>
      </w:r>
      <w:r w:rsidR="0042119A" w:rsidRPr="00F30AB8">
        <w:rPr>
          <w:rFonts w:eastAsia="MS PGothic"/>
          <w:bCs/>
          <w:i/>
          <w:iCs/>
          <w:color w:val="000000"/>
          <w:szCs w:val="22"/>
          <w:lang w:val="es-ES"/>
        </w:rPr>
        <w:t>AIJp</w:t>
      </w:r>
    </w:p>
    <w:p w14:paraId="22363A92" w14:textId="77777777" w:rsidR="0042119A" w:rsidRPr="00F30AB8" w:rsidRDefault="0042119A" w:rsidP="0042119A">
      <w:pPr>
        <w:rPr>
          <w:rFonts w:eastAsia="MS PGothic"/>
          <w:i/>
          <w:iCs/>
          <w:color w:val="000000"/>
          <w:szCs w:val="22"/>
          <w:u w:val="single"/>
          <w:lang w:val="es-ES"/>
        </w:rPr>
      </w:pPr>
      <w:r w:rsidRPr="00F30AB8">
        <w:rPr>
          <w:rFonts w:eastAsia="MS PGothic"/>
          <w:i/>
          <w:iCs/>
          <w:color w:val="000000"/>
          <w:szCs w:val="22"/>
          <w:u w:val="single"/>
          <w:lang w:val="es-ES"/>
        </w:rPr>
        <w:t>Eficacia clínica</w:t>
      </w:r>
    </w:p>
    <w:p w14:paraId="1571BCFF" w14:textId="01852BAB" w:rsidR="0042119A" w:rsidRPr="002606FD" w:rsidRDefault="0042119A" w:rsidP="0042119A">
      <w:pPr>
        <w:rPr>
          <w:rFonts w:eastAsia="MS PGothic"/>
          <w:color w:val="000000"/>
          <w:szCs w:val="22"/>
          <w:lang w:val="es-ES"/>
        </w:rPr>
      </w:pPr>
      <w:r>
        <w:rPr>
          <w:rFonts w:eastAsia="MS PGothic"/>
          <w:color w:val="000000"/>
          <w:szCs w:val="22"/>
          <w:lang w:val="es-ES"/>
        </w:rPr>
        <w:t xml:space="preserve">Se realizó un </w:t>
      </w:r>
      <w:del w:id="1860" w:author="AUTHOR">
        <w:r w:rsidDel="00D0534D">
          <w:rPr>
            <w:rFonts w:eastAsia="MS PGothic"/>
            <w:color w:val="000000"/>
            <w:szCs w:val="22"/>
            <w:lang w:val="es-ES"/>
          </w:rPr>
          <w:delText xml:space="preserve">estudio </w:delText>
        </w:r>
      </w:del>
      <w:ins w:id="1861" w:author="AUTHOR">
        <w:r w:rsidR="00D0534D">
          <w:rPr>
            <w:rFonts w:eastAsia="MS PGothic"/>
            <w:color w:val="000000"/>
            <w:szCs w:val="22"/>
            <w:lang w:val="es-ES"/>
          </w:rPr>
          <w:t xml:space="preserve">ensayo </w:t>
        </w:r>
      </w:ins>
      <w:r w:rsidR="008E2A04">
        <w:rPr>
          <w:rFonts w:eastAsia="MS PGothic"/>
          <w:color w:val="000000"/>
          <w:szCs w:val="22"/>
          <w:lang w:val="es-ES"/>
        </w:rPr>
        <w:t>farmacocinético-</w:t>
      </w:r>
      <w:r w:rsidR="008E2A04" w:rsidRPr="008E2A04">
        <w:rPr>
          <w:rFonts w:eastAsia="MS PGothic"/>
          <w:color w:val="000000"/>
          <w:szCs w:val="22"/>
          <w:lang w:val="es-ES"/>
        </w:rPr>
        <w:t xml:space="preserve">farmacodinámico </w:t>
      </w:r>
      <w:r w:rsidRPr="002606FD">
        <w:rPr>
          <w:rFonts w:eastAsia="MS PGothic"/>
          <w:color w:val="000000"/>
          <w:szCs w:val="22"/>
          <w:lang w:val="es-ES"/>
        </w:rPr>
        <w:t xml:space="preserve">y de seguridad de 52 semanas, abierto, multicéntrico en pacientes pediátricos con AIJp, de 1 a 17 años de edad, para determinar la dosis subcutánea de </w:t>
      </w:r>
      <w:r w:rsidR="00397360">
        <w:rPr>
          <w:rFonts w:eastAsia="MS PGothic"/>
          <w:color w:val="000000"/>
          <w:szCs w:val="22"/>
          <w:lang w:val="es-ES"/>
        </w:rPr>
        <w:t>tocilizumab</w:t>
      </w:r>
      <w:r w:rsidR="00397360" w:rsidRPr="002606FD">
        <w:rPr>
          <w:rFonts w:eastAsia="MS PGothic"/>
          <w:color w:val="000000"/>
          <w:szCs w:val="22"/>
          <w:lang w:val="es-ES"/>
        </w:rPr>
        <w:t xml:space="preserve"> </w:t>
      </w:r>
      <w:r w:rsidRPr="002606FD">
        <w:rPr>
          <w:rFonts w:eastAsia="MS PGothic"/>
          <w:color w:val="000000"/>
          <w:szCs w:val="22"/>
          <w:lang w:val="es-ES"/>
        </w:rPr>
        <w:t>adecu</w:t>
      </w:r>
      <w:r>
        <w:rPr>
          <w:rFonts w:eastAsia="MS PGothic"/>
          <w:color w:val="000000"/>
          <w:szCs w:val="22"/>
          <w:lang w:val="es-ES"/>
        </w:rPr>
        <w:t xml:space="preserve">ada que lograra unos perfiles </w:t>
      </w:r>
      <w:r w:rsidR="008E2A04" w:rsidRPr="008E2A04">
        <w:rPr>
          <w:rFonts w:eastAsia="MS PGothic"/>
          <w:color w:val="000000"/>
          <w:szCs w:val="22"/>
          <w:lang w:val="es-ES"/>
        </w:rPr>
        <w:t>farmacocinético</w:t>
      </w:r>
      <w:r w:rsidR="008E2A04">
        <w:rPr>
          <w:rFonts w:eastAsia="MS PGothic"/>
          <w:color w:val="000000"/>
          <w:szCs w:val="22"/>
          <w:lang w:val="es-ES"/>
        </w:rPr>
        <w:t>s/</w:t>
      </w:r>
      <w:r w:rsidR="008E2A04" w:rsidRPr="008E2A04">
        <w:rPr>
          <w:rFonts w:eastAsia="MS PGothic"/>
          <w:color w:val="000000"/>
          <w:szCs w:val="22"/>
          <w:lang w:val="es-ES"/>
        </w:rPr>
        <w:t>farmacodinámico</w:t>
      </w:r>
      <w:r w:rsidR="008E2A04">
        <w:rPr>
          <w:rFonts w:eastAsia="MS PGothic"/>
          <w:color w:val="000000"/>
          <w:szCs w:val="22"/>
          <w:lang w:val="es-ES"/>
        </w:rPr>
        <w:t>s</w:t>
      </w:r>
      <w:r w:rsidR="008E2A04" w:rsidRPr="008E2A04">
        <w:rPr>
          <w:rFonts w:eastAsia="MS PGothic"/>
          <w:color w:val="000000"/>
          <w:szCs w:val="22"/>
          <w:lang w:val="es-ES"/>
        </w:rPr>
        <w:t xml:space="preserve"> </w:t>
      </w:r>
      <w:r w:rsidRPr="002606FD">
        <w:rPr>
          <w:rFonts w:eastAsia="MS PGothic"/>
          <w:color w:val="000000"/>
          <w:szCs w:val="22"/>
          <w:lang w:val="es-ES"/>
        </w:rPr>
        <w:t xml:space="preserve">y de seguridad comparables a la administración por vía </w:t>
      </w:r>
      <w:r w:rsidR="00397360">
        <w:rPr>
          <w:rFonts w:eastAsia="MS PGothic"/>
          <w:color w:val="000000"/>
          <w:szCs w:val="22"/>
          <w:lang w:val="es-ES"/>
        </w:rPr>
        <w:t>intravenos</w:t>
      </w:r>
      <w:r w:rsidR="0099323B">
        <w:rPr>
          <w:rFonts w:eastAsia="MS PGothic"/>
          <w:color w:val="000000"/>
          <w:szCs w:val="22"/>
          <w:lang w:val="es-ES"/>
        </w:rPr>
        <w:t>a</w:t>
      </w:r>
      <w:r w:rsidRPr="002606FD">
        <w:rPr>
          <w:rFonts w:eastAsia="MS PGothic"/>
          <w:color w:val="000000"/>
          <w:szCs w:val="22"/>
          <w:lang w:val="es-ES"/>
        </w:rPr>
        <w:t>.</w:t>
      </w:r>
    </w:p>
    <w:p w14:paraId="476C40D4" w14:textId="77777777" w:rsidR="0042119A" w:rsidRPr="002606FD" w:rsidRDefault="0042119A" w:rsidP="0042119A">
      <w:pPr>
        <w:rPr>
          <w:rFonts w:eastAsia="MS PGothic"/>
          <w:color w:val="000000"/>
          <w:szCs w:val="22"/>
          <w:lang w:val="es-ES"/>
        </w:rPr>
      </w:pPr>
    </w:p>
    <w:p w14:paraId="1EFFD5B7" w14:textId="37D8A60D" w:rsidR="0042119A" w:rsidRPr="002606FD" w:rsidRDefault="0042119A" w:rsidP="0042119A">
      <w:pPr>
        <w:rPr>
          <w:rFonts w:eastAsia="MS PGothic"/>
          <w:color w:val="000000"/>
          <w:szCs w:val="22"/>
          <w:lang w:val="es-ES"/>
        </w:rPr>
      </w:pPr>
      <w:r w:rsidRPr="002606FD">
        <w:rPr>
          <w:rFonts w:eastAsia="MS PGothic" w:hint="eastAsia"/>
          <w:color w:val="000000"/>
          <w:szCs w:val="22"/>
          <w:lang w:val="es-ES"/>
        </w:rPr>
        <w:t>Los pacientes elegibles recibieron tocilizumab dosificado según el peso corporal</w:t>
      </w:r>
      <w:r>
        <w:rPr>
          <w:rFonts w:eastAsia="MS PGothic" w:hint="eastAsia"/>
          <w:color w:val="000000"/>
          <w:szCs w:val="22"/>
          <w:lang w:val="es-ES"/>
        </w:rPr>
        <w:t xml:space="preserve">, en pacientes que pesaban </w:t>
      </w:r>
      <w:r w:rsidR="0099323B" w:rsidRPr="00F30AB8">
        <w:rPr>
          <w:szCs w:val="22"/>
          <w:lang w:val="es-ES"/>
        </w:rPr>
        <w:t>≥</w:t>
      </w:r>
      <w:r w:rsidRPr="002606FD">
        <w:rPr>
          <w:rFonts w:eastAsia="MS PGothic" w:hint="eastAsia"/>
          <w:color w:val="000000"/>
          <w:szCs w:val="22"/>
          <w:lang w:val="es-ES"/>
        </w:rPr>
        <w:t>30 kg (n</w:t>
      </w:r>
      <w:r w:rsidR="0099323B" w:rsidRPr="00F30AB8">
        <w:rPr>
          <w:szCs w:val="22"/>
          <w:lang w:val="es-ES"/>
        </w:rPr>
        <w:t>=</w:t>
      </w:r>
      <w:r w:rsidRPr="002606FD">
        <w:rPr>
          <w:rFonts w:eastAsia="MS PGothic" w:hint="eastAsia"/>
          <w:color w:val="000000"/>
          <w:szCs w:val="22"/>
          <w:lang w:val="es-ES"/>
        </w:rPr>
        <w:t xml:space="preserve"> 25) se les administró una dosis de 162 mg de </w:t>
      </w:r>
      <w:r w:rsidR="0099323B">
        <w:rPr>
          <w:rFonts w:eastAsia="MS PGothic"/>
          <w:color w:val="000000"/>
          <w:szCs w:val="22"/>
          <w:lang w:val="es-ES"/>
        </w:rPr>
        <w:t>tocilizumab</w:t>
      </w:r>
      <w:r w:rsidR="0099323B" w:rsidRPr="002606FD">
        <w:rPr>
          <w:rFonts w:eastAsia="MS PGothic" w:hint="eastAsia"/>
          <w:color w:val="000000"/>
          <w:szCs w:val="22"/>
          <w:lang w:val="es-ES"/>
        </w:rPr>
        <w:t xml:space="preserve"> </w:t>
      </w:r>
      <w:r w:rsidRPr="002606FD">
        <w:rPr>
          <w:rFonts w:eastAsia="MS PGothic" w:hint="eastAsia"/>
          <w:color w:val="000000"/>
          <w:szCs w:val="22"/>
          <w:lang w:val="es-ES"/>
        </w:rPr>
        <w:t>cada 2 semanas (Q2W) y en pacientes que pesaban menos de 30 kg (n</w:t>
      </w:r>
      <w:r w:rsidR="0099323B" w:rsidRPr="00F30AB8">
        <w:rPr>
          <w:szCs w:val="22"/>
          <w:lang w:val="es-ES"/>
        </w:rPr>
        <w:t>=</w:t>
      </w:r>
      <w:r w:rsidRPr="002606FD">
        <w:rPr>
          <w:rFonts w:eastAsia="MS PGothic" w:hint="eastAsia"/>
          <w:color w:val="000000"/>
          <w:szCs w:val="22"/>
          <w:lang w:val="es-ES"/>
        </w:rPr>
        <w:t xml:space="preserve"> 27) se les</w:t>
      </w:r>
      <w:r w:rsidRPr="002606FD">
        <w:rPr>
          <w:rFonts w:eastAsia="MS PGothic"/>
          <w:color w:val="000000"/>
          <w:szCs w:val="22"/>
          <w:lang w:val="es-ES"/>
        </w:rPr>
        <w:t xml:space="preserve"> administró una dosis de 162 mg de </w:t>
      </w:r>
      <w:r w:rsidR="0099323B">
        <w:rPr>
          <w:rFonts w:eastAsia="MS PGothic"/>
          <w:color w:val="000000"/>
          <w:szCs w:val="22"/>
          <w:lang w:val="es-ES"/>
        </w:rPr>
        <w:t>tocilizumab</w:t>
      </w:r>
      <w:r w:rsidRPr="002606FD">
        <w:rPr>
          <w:rFonts w:eastAsia="MS PGothic"/>
          <w:color w:val="000000"/>
          <w:szCs w:val="22"/>
          <w:lang w:val="es-ES"/>
        </w:rPr>
        <w:t xml:space="preserve"> cada 3 semanas (Q3W) durante 52 semanas. De estos 52 pacientes, 37 (71%) no habían recibido tratamiento previo y 15 (29%) habían recibido </w:t>
      </w:r>
      <w:r w:rsidR="0099323B">
        <w:rPr>
          <w:rFonts w:eastAsia="MS PGothic"/>
          <w:color w:val="000000"/>
          <w:szCs w:val="22"/>
          <w:lang w:val="es-ES"/>
        </w:rPr>
        <w:t>tratamiento intravenoso</w:t>
      </w:r>
      <w:r w:rsidRPr="002606FD">
        <w:rPr>
          <w:rFonts w:eastAsia="MS PGothic"/>
          <w:color w:val="000000"/>
          <w:szCs w:val="22"/>
          <w:lang w:val="es-ES"/>
        </w:rPr>
        <w:t xml:space="preserve"> y se cambiaron a </w:t>
      </w:r>
      <w:r w:rsidR="0099323B">
        <w:rPr>
          <w:rFonts w:eastAsia="MS PGothic"/>
          <w:color w:val="000000"/>
          <w:szCs w:val="22"/>
          <w:lang w:val="es-ES"/>
        </w:rPr>
        <w:t>subcutáneo</w:t>
      </w:r>
      <w:r w:rsidRPr="002606FD">
        <w:rPr>
          <w:rFonts w:eastAsia="MS PGothic"/>
          <w:color w:val="000000"/>
          <w:szCs w:val="22"/>
          <w:lang w:val="es-ES"/>
        </w:rPr>
        <w:t xml:space="preserve"> al inicio del estudio.</w:t>
      </w:r>
    </w:p>
    <w:p w14:paraId="57B69902" w14:textId="77777777" w:rsidR="0042119A" w:rsidRPr="002606FD" w:rsidRDefault="0042119A" w:rsidP="0042119A">
      <w:pPr>
        <w:rPr>
          <w:rFonts w:eastAsia="MS PGothic"/>
          <w:color w:val="000000"/>
          <w:szCs w:val="22"/>
          <w:lang w:val="es-ES"/>
        </w:rPr>
      </w:pPr>
    </w:p>
    <w:p w14:paraId="1318BF2A" w14:textId="5770D519" w:rsidR="0042119A" w:rsidRPr="002606FD" w:rsidRDefault="0042119A" w:rsidP="0042119A">
      <w:pPr>
        <w:rPr>
          <w:rFonts w:eastAsia="MS PGothic"/>
          <w:color w:val="000000"/>
          <w:szCs w:val="22"/>
          <w:lang w:val="es-ES"/>
        </w:rPr>
      </w:pPr>
      <w:r w:rsidRPr="002606FD">
        <w:rPr>
          <w:rFonts w:eastAsia="MS PGothic"/>
          <w:color w:val="000000"/>
          <w:szCs w:val="22"/>
          <w:lang w:val="es-ES"/>
        </w:rPr>
        <w:t xml:space="preserve">Los regímenes de </w:t>
      </w:r>
      <w:r w:rsidR="0099323B">
        <w:rPr>
          <w:rFonts w:eastAsia="MS PGothic"/>
          <w:color w:val="000000"/>
          <w:szCs w:val="22"/>
          <w:lang w:val="es-ES"/>
        </w:rPr>
        <w:t>tocilizumab subcutáneo</w:t>
      </w:r>
      <w:r w:rsidRPr="002606FD">
        <w:rPr>
          <w:rFonts w:eastAsia="MS PGothic"/>
          <w:color w:val="000000"/>
          <w:szCs w:val="22"/>
          <w:lang w:val="es-ES"/>
        </w:rPr>
        <w:t xml:space="preserve"> de 162 mg Q3W para pacientes que pesen menos de 30 kg y 162 mg Q2W para pacientes que pesen ≥ 30 kg, respectivamente</w:t>
      </w:r>
      <w:r>
        <w:rPr>
          <w:rFonts w:eastAsia="MS PGothic"/>
          <w:color w:val="000000"/>
          <w:szCs w:val="22"/>
          <w:lang w:val="es-ES"/>
        </w:rPr>
        <w:t xml:space="preserve">, proporcionan una exposición </w:t>
      </w:r>
      <w:r w:rsidR="008E2A04" w:rsidRPr="008E2A04">
        <w:rPr>
          <w:rFonts w:eastAsia="MS PGothic"/>
          <w:color w:val="000000"/>
          <w:szCs w:val="22"/>
          <w:lang w:val="es-ES"/>
        </w:rPr>
        <w:t>farmacocinétic</w:t>
      </w:r>
      <w:r w:rsidR="008E2A04">
        <w:rPr>
          <w:rFonts w:eastAsia="MS PGothic"/>
          <w:color w:val="000000"/>
          <w:szCs w:val="22"/>
          <w:lang w:val="es-ES"/>
        </w:rPr>
        <w:t>a</w:t>
      </w:r>
      <w:r>
        <w:rPr>
          <w:rFonts w:eastAsia="MS PGothic"/>
          <w:color w:val="000000"/>
          <w:szCs w:val="22"/>
          <w:lang w:val="es-ES"/>
        </w:rPr>
        <w:t xml:space="preserve"> y unas respuestas </w:t>
      </w:r>
      <w:r w:rsidR="008E2A04" w:rsidRPr="008E2A04">
        <w:rPr>
          <w:rFonts w:eastAsia="MS PGothic"/>
          <w:color w:val="000000"/>
          <w:szCs w:val="22"/>
          <w:lang w:val="es-ES"/>
        </w:rPr>
        <w:t>farmacodinámic</w:t>
      </w:r>
      <w:r w:rsidR="008E2A04">
        <w:rPr>
          <w:rFonts w:eastAsia="MS PGothic"/>
          <w:color w:val="000000"/>
          <w:szCs w:val="22"/>
          <w:lang w:val="es-ES"/>
        </w:rPr>
        <w:t>as</w:t>
      </w:r>
      <w:r w:rsidRPr="002606FD">
        <w:rPr>
          <w:rFonts w:eastAsia="MS PGothic"/>
          <w:color w:val="000000"/>
          <w:szCs w:val="22"/>
          <w:lang w:val="es-ES"/>
        </w:rPr>
        <w:t xml:space="preserve"> para respaldar los resultados de eficacia y seguridad similares a los obtenidos con los regímenes aprobados de </w:t>
      </w:r>
      <w:r w:rsidR="0099323B">
        <w:rPr>
          <w:rFonts w:eastAsia="MS PGothic"/>
          <w:color w:val="000000"/>
          <w:szCs w:val="22"/>
          <w:lang w:val="es-ES"/>
        </w:rPr>
        <w:t>tocilizumab</w:t>
      </w:r>
      <w:r w:rsidR="0099323B" w:rsidRPr="002606FD" w:rsidDel="0099323B">
        <w:rPr>
          <w:rFonts w:eastAsia="MS PGothic"/>
          <w:color w:val="000000"/>
          <w:szCs w:val="22"/>
          <w:lang w:val="es-ES"/>
        </w:rPr>
        <w:t xml:space="preserve"> </w:t>
      </w:r>
      <w:r w:rsidR="0099323B">
        <w:rPr>
          <w:rFonts w:eastAsia="MS PGothic"/>
          <w:color w:val="000000"/>
          <w:szCs w:val="22"/>
          <w:lang w:val="es-ES"/>
        </w:rPr>
        <w:t>intravenoso</w:t>
      </w:r>
      <w:r w:rsidRPr="002606FD">
        <w:rPr>
          <w:rFonts w:eastAsia="MS PGothic"/>
          <w:color w:val="000000"/>
          <w:szCs w:val="22"/>
          <w:lang w:val="es-ES"/>
        </w:rPr>
        <w:t xml:space="preserve"> en pacientes con AIJp.</w:t>
      </w:r>
    </w:p>
    <w:p w14:paraId="376A7524" w14:textId="77777777" w:rsidR="0042119A" w:rsidRPr="002606FD" w:rsidRDefault="0042119A" w:rsidP="0042119A">
      <w:pPr>
        <w:rPr>
          <w:rFonts w:eastAsia="MS PGothic"/>
          <w:color w:val="000000"/>
          <w:szCs w:val="22"/>
          <w:lang w:val="es-ES"/>
        </w:rPr>
      </w:pPr>
    </w:p>
    <w:p w14:paraId="0A1CB97A" w14:textId="0AFDB565" w:rsidR="0042119A" w:rsidRDefault="0042119A" w:rsidP="0042119A">
      <w:pPr>
        <w:rPr>
          <w:rFonts w:eastAsia="MS PGothic"/>
          <w:color w:val="000000"/>
          <w:szCs w:val="22"/>
          <w:lang w:val="es-ES"/>
        </w:rPr>
      </w:pPr>
      <w:r w:rsidRPr="002606FD">
        <w:rPr>
          <w:rFonts w:eastAsia="MS PGothic"/>
          <w:color w:val="000000"/>
          <w:szCs w:val="22"/>
          <w:lang w:val="es-ES"/>
        </w:rPr>
        <w:t xml:space="preserve">Los resultados exploratorios de eficacia demostraron que </w:t>
      </w:r>
      <w:r w:rsidR="0099323B">
        <w:rPr>
          <w:rFonts w:eastAsia="MS PGothic"/>
          <w:color w:val="000000"/>
          <w:szCs w:val="22"/>
          <w:lang w:val="es-ES"/>
        </w:rPr>
        <w:t>tocilizumab subcutáneo</w:t>
      </w:r>
      <w:r w:rsidRPr="002606FD">
        <w:rPr>
          <w:rFonts w:eastAsia="MS PGothic"/>
          <w:color w:val="000000"/>
          <w:szCs w:val="22"/>
          <w:lang w:val="es-ES"/>
        </w:rPr>
        <w:t xml:space="preserve"> mejoró la mediana de la Puntuación de Actividad de la Enfermedad de Artritis Juvenil (JADAS) -71 para los pacientes que no habían recibido tratamiento previo y la mediana JADAS-71 se mantuvo a lo largo de todo el </w:t>
      </w:r>
      <w:del w:id="1862" w:author="AUTHOR">
        <w:r w:rsidRPr="002606FD" w:rsidDel="00D0534D">
          <w:rPr>
            <w:rFonts w:eastAsia="MS PGothic"/>
            <w:color w:val="000000"/>
            <w:szCs w:val="22"/>
            <w:lang w:val="es-ES"/>
          </w:rPr>
          <w:delText xml:space="preserve">estudio </w:delText>
        </w:r>
      </w:del>
      <w:ins w:id="1863" w:author="AUTHOR">
        <w:r w:rsidR="00D0534D">
          <w:rPr>
            <w:rFonts w:eastAsia="MS PGothic"/>
            <w:color w:val="000000"/>
            <w:szCs w:val="22"/>
            <w:lang w:val="es-ES"/>
          </w:rPr>
          <w:t>ensayo</w:t>
        </w:r>
        <w:r w:rsidR="00D0534D" w:rsidRPr="002606FD">
          <w:rPr>
            <w:rFonts w:eastAsia="MS PGothic"/>
            <w:color w:val="000000"/>
            <w:szCs w:val="22"/>
            <w:lang w:val="es-ES"/>
          </w:rPr>
          <w:t xml:space="preserve"> </w:t>
        </w:r>
      </w:ins>
      <w:r w:rsidRPr="002606FD">
        <w:rPr>
          <w:rFonts w:eastAsia="MS PGothic"/>
          <w:color w:val="000000"/>
          <w:szCs w:val="22"/>
          <w:lang w:val="es-ES"/>
        </w:rPr>
        <w:t xml:space="preserve">en los pacientes que pasaron del tratamiento IV al tratamiento con </w:t>
      </w:r>
      <w:r w:rsidR="0099323B">
        <w:rPr>
          <w:rFonts w:eastAsia="MS PGothic"/>
          <w:color w:val="000000"/>
          <w:szCs w:val="22"/>
          <w:lang w:val="es-ES"/>
        </w:rPr>
        <w:t>subcutáneo</w:t>
      </w:r>
      <w:r w:rsidRPr="002606FD">
        <w:rPr>
          <w:rFonts w:eastAsia="MS PGothic"/>
          <w:color w:val="000000"/>
          <w:szCs w:val="22"/>
          <w:lang w:val="es-ES"/>
        </w:rPr>
        <w:t xml:space="preserve"> en ambos grupos de peso corporal (por debajo de 30 kg y </w:t>
      </w:r>
      <w:r w:rsidR="0099323B" w:rsidRPr="00F30AB8">
        <w:rPr>
          <w:szCs w:val="22"/>
          <w:lang w:val="es-ES"/>
        </w:rPr>
        <w:t>≥</w:t>
      </w:r>
      <w:r w:rsidRPr="002606FD">
        <w:rPr>
          <w:rFonts w:eastAsia="MS PGothic"/>
          <w:color w:val="000000"/>
          <w:szCs w:val="22"/>
          <w:lang w:val="es-ES"/>
        </w:rPr>
        <w:t>30 kg).</w:t>
      </w:r>
    </w:p>
    <w:p w14:paraId="0B04372B" w14:textId="77777777" w:rsidR="0042119A" w:rsidRDefault="0042119A" w:rsidP="0042119A">
      <w:pPr>
        <w:rPr>
          <w:rFonts w:eastAsia="MS PGothic"/>
          <w:color w:val="000000"/>
          <w:szCs w:val="22"/>
          <w:lang w:val="es-ES"/>
        </w:rPr>
      </w:pPr>
    </w:p>
    <w:p w14:paraId="3BC528CA" w14:textId="77777777" w:rsidR="0042119A" w:rsidRDefault="0042119A" w:rsidP="0042119A">
      <w:pPr>
        <w:rPr>
          <w:rFonts w:eastAsia="MS PGothic"/>
          <w:color w:val="000000"/>
          <w:szCs w:val="22"/>
          <w:u w:val="single"/>
          <w:lang w:val="es-ES"/>
        </w:rPr>
      </w:pPr>
      <w:r>
        <w:rPr>
          <w:rFonts w:eastAsia="MS PGothic"/>
          <w:color w:val="000000"/>
          <w:szCs w:val="22"/>
          <w:u w:val="single"/>
          <w:lang w:val="es-ES"/>
        </w:rPr>
        <w:t>Uso subcutáneo</w:t>
      </w:r>
    </w:p>
    <w:p w14:paraId="15BAA1C1" w14:textId="27BEB44D" w:rsidR="0099323B" w:rsidRPr="00FF2AFA" w:rsidDel="00D0534D" w:rsidRDefault="0099323B" w:rsidP="0042119A">
      <w:pPr>
        <w:rPr>
          <w:del w:id="1864" w:author="AUTHOR"/>
          <w:rFonts w:eastAsia="MS PGothic"/>
          <w:color w:val="000000"/>
          <w:szCs w:val="22"/>
          <w:u w:val="single"/>
          <w:lang w:val="es-ES"/>
        </w:rPr>
      </w:pPr>
    </w:p>
    <w:p w14:paraId="33DC30D2" w14:textId="77777777" w:rsidR="0099323B" w:rsidRPr="00F30AB8" w:rsidRDefault="0099323B" w:rsidP="00CD5F32">
      <w:pPr>
        <w:rPr>
          <w:rFonts w:eastAsia="MS PGothic"/>
          <w:bCs/>
          <w:i/>
          <w:iCs/>
          <w:color w:val="000000"/>
          <w:szCs w:val="22"/>
          <w:lang w:val="es-ES"/>
        </w:rPr>
      </w:pPr>
      <w:r w:rsidRPr="00F30AB8">
        <w:rPr>
          <w:rFonts w:eastAsia="MS PGothic"/>
          <w:bCs/>
          <w:i/>
          <w:iCs/>
          <w:color w:val="000000"/>
          <w:szCs w:val="22"/>
          <w:lang w:val="es-ES"/>
        </w:rPr>
        <w:t xml:space="preserve">Pacientes con </w:t>
      </w:r>
      <w:r w:rsidR="00CD5F32" w:rsidRPr="00F30AB8">
        <w:rPr>
          <w:rFonts w:eastAsia="MS PGothic"/>
          <w:bCs/>
          <w:i/>
          <w:iCs/>
          <w:color w:val="000000"/>
          <w:szCs w:val="22"/>
          <w:lang w:val="es-ES"/>
        </w:rPr>
        <w:t xml:space="preserve">ACG </w:t>
      </w:r>
    </w:p>
    <w:p w14:paraId="2149BB9D" w14:textId="77777777" w:rsidR="00CD5F32" w:rsidRPr="00F30AB8" w:rsidRDefault="00CD5F32" w:rsidP="00CD5F32">
      <w:pPr>
        <w:rPr>
          <w:rFonts w:eastAsia="MS PGothic"/>
          <w:i/>
          <w:iCs/>
          <w:color w:val="000000"/>
          <w:szCs w:val="22"/>
          <w:u w:val="single"/>
          <w:lang w:val="es-ES"/>
        </w:rPr>
      </w:pPr>
      <w:r w:rsidRPr="00F30AB8">
        <w:rPr>
          <w:rFonts w:eastAsia="MS PGothic"/>
          <w:i/>
          <w:iCs/>
          <w:color w:val="000000"/>
          <w:szCs w:val="22"/>
          <w:u w:val="single"/>
          <w:lang w:val="es-ES"/>
        </w:rPr>
        <w:t>Eficacia clínica</w:t>
      </w:r>
    </w:p>
    <w:p w14:paraId="24AF28EA" w14:textId="66F03011" w:rsidR="00CD5F32" w:rsidRPr="0093490F" w:rsidRDefault="00CD5F32" w:rsidP="00CD5F32">
      <w:pPr>
        <w:rPr>
          <w:lang w:val="es-ES"/>
        </w:rPr>
      </w:pPr>
      <w:r w:rsidRPr="00C22F3F">
        <w:rPr>
          <w:lang w:val="es-ES"/>
        </w:rPr>
        <w:t>El e</w:t>
      </w:r>
      <w:r>
        <w:rPr>
          <w:lang w:val="es-ES"/>
        </w:rPr>
        <w:t>nsay</w:t>
      </w:r>
      <w:r w:rsidRPr="00C22F3F">
        <w:rPr>
          <w:lang w:val="es-ES"/>
        </w:rPr>
        <w:t>o de superioridad WA28119, fase III</w:t>
      </w:r>
      <w:r w:rsidRPr="006868F5">
        <w:rPr>
          <w:lang w:val="es-ES"/>
        </w:rPr>
        <w:t>,</w:t>
      </w:r>
      <w:r w:rsidRPr="007255F9">
        <w:rPr>
          <w:lang w:val="es-ES"/>
        </w:rPr>
        <w:t xml:space="preserve"> fue un e</w:t>
      </w:r>
      <w:r>
        <w:rPr>
          <w:lang w:val="es-ES"/>
        </w:rPr>
        <w:t>nsay</w:t>
      </w:r>
      <w:r w:rsidRPr="007255F9">
        <w:rPr>
          <w:lang w:val="es-ES"/>
        </w:rPr>
        <w:t xml:space="preserve">o aleatorizado, multicéntrico, doble ciego controlado con placebo para evaluar la eficacia y seguridad de </w:t>
      </w:r>
      <w:r w:rsidR="0099323B" w:rsidRPr="00F30AB8">
        <w:rPr>
          <w:szCs w:val="22"/>
          <w:lang w:val="es-ES" w:eastAsia="de-DE"/>
        </w:rPr>
        <w:t>tocilizumab</w:t>
      </w:r>
      <w:r w:rsidRPr="007255F9">
        <w:rPr>
          <w:lang w:val="es-ES"/>
        </w:rPr>
        <w:t xml:space="preserve"> en pacientes con ACG</w:t>
      </w:r>
      <w:r w:rsidRPr="0093490F">
        <w:rPr>
          <w:lang w:val="es-ES"/>
        </w:rPr>
        <w:t>.</w:t>
      </w:r>
    </w:p>
    <w:p w14:paraId="6EC1594B" w14:textId="77777777" w:rsidR="00CD5F32" w:rsidRPr="006C05BA" w:rsidRDefault="00CD5F32" w:rsidP="00CD5F32">
      <w:pPr>
        <w:rPr>
          <w:lang w:val="es-ES"/>
        </w:rPr>
      </w:pPr>
    </w:p>
    <w:p w14:paraId="0A8B8C9C" w14:textId="338D77C8" w:rsidR="00CD5F32" w:rsidRPr="007255F9" w:rsidRDefault="00CD5F32" w:rsidP="00CD5F32">
      <w:pPr>
        <w:rPr>
          <w:lang w:val="es-ES" w:eastAsia="de-DE"/>
        </w:rPr>
      </w:pPr>
      <w:r>
        <w:rPr>
          <w:lang w:val="es-ES"/>
        </w:rPr>
        <w:t xml:space="preserve">Se incluyeron en el </w:t>
      </w:r>
      <w:r w:rsidRPr="00091C58">
        <w:rPr>
          <w:lang w:val="es-ES"/>
        </w:rPr>
        <w:t>ensayo</w:t>
      </w:r>
      <w:r>
        <w:rPr>
          <w:lang w:val="es-ES"/>
        </w:rPr>
        <w:t xml:space="preserve"> d</w:t>
      </w:r>
      <w:r w:rsidRPr="00C22F3F">
        <w:rPr>
          <w:lang w:val="es-ES"/>
        </w:rPr>
        <w:t>oscientos cincuenta y uno (251)</w:t>
      </w:r>
      <w:r w:rsidR="00BF318B">
        <w:rPr>
          <w:lang w:val="es-ES"/>
        </w:rPr>
        <w:t> </w:t>
      </w:r>
      <w:r w:rsidRPr="00C22F3F">
        <w:rPr>
          <w:lang w:val="es-ES"/>
        </w:rPr>
        <w:t xml:space="preserve">pacientes con ACG de nueva aparición o recurrente y fueron asignados a uno de los cuatro </w:t>
      </w:r>
      <w:del w:id="1865" w:author="AUTHOR">
        <w:r w:rsidRPr="00C22F3F" w:rsidDel="004E273B">
          <w:rPr>
            <w:lang w:val="es-ES"/>
          </w:rPr>
          <w:delText>brazo</w:delText>
        </w:r>
      </w:del>
      <w:ins w:id="1866" w:author="AUTHOR">
        <w:r w:rsidR="004E273B">
          <w:rPr>
            <w:lang w:val="es-ES"/>
          </w:rPr>
          <w:t>grupo</w:t>
        </w:r>
      </w:ins>
      <w:r w:rsidRPr="00C22F3F">
        <w:rPr>
          <w:lang w:val="es-ES"/>
        </w:rPr>
        <w:t>s de tratamiento. El e</w:t>
      </w:r>
      <w:r>
        <w:rPr>
          <w:lang w:val="es-ES"/>
        </w:rPr>
        <w:t>nsay</w:t>
      </w:r>
      <w:r w:rsidRPr="00C22F3F">
        <w:rPr>
          <w:lang w:val="es-ES"/>
        </w:rPr>
        <w:t xml:space="preserve">o constó de un </w:t>
      </w:r>
      <w:r w:rsidRPr="00C22F3F">
        <w:rPr>
          <w:lang w:val="es-ES"/>
        </w:rPr>
        <w:lastRenderedPageBreak/>
        <w:t xml:space="preserve">periodo </w:t>
      </w:r>
      <w:r>
        <w:rPr>
          <w:lang w:val="es-ES"/>
        </w:rPr>
        <w:t>de enmascaramiento</w:t>
      </w:r>
      <w:r w:rsidRPr="00C22F3F">
        <w:rPr>
          <w:lang w:val="es-ES"/>
        </w:rPr>
        <w:t xml:space="preserve"> de 52 semanas (Parte 1), seguido de una extensión abierta de 104 semanas (Parte 2). </w:t>
      </w:r>
      <w:r w:rsidRPr="00C22F3F">
        <w:rPr>
          <w:iCs/>
          <w:lang w:val="es-ES"/>
        </w:rPr>
        <w:t xml:space="preserve">El objetivo de la Parte 2 fue describir la seguridad a largo plazo y el mantenimiento de la eficacia después de 52 semanas de tratamiento con </w:t>
      </w:r>
      <w:r w:rsidR="0099323B" w:rsidRPr="00F30AB8">
        <w:rPr>
          <w:szCs w:val="22"/>
          <w:lang w:val="es-ES" w:eastAsia="de-DE"/>
        </w:rPr>
        <w:t>tocilizumab</w:t>
      </w:r>
      <w:r w:rsidRPr="007255F9">
        <w:rPr>
          <w:lang w:val="es-ES" w:eastAsia="de-DE"/>
        </w:rPr>
        <w:t>, e</w:t>
      </w:r>
      <w:r w:rsidRPr="0093490F">
        <w:rPr>
          <w:lang w:val="es-ES" w:eastAsia="de-DE"/>
        </w:rPr>
        <w:t xml:space="preserve">studiar la </w:t>
      </w:r>
      <w:r w:rsidRPr="0041284B">
        <w:rPr>
          <w:lang w:val="es-ES" w:eastAsia="de-DE"/>
        </w:rPr>
        <w:t>tasa de recaída y l</w:t>
      </w:r>
      <w:r>
        <w:rPr>
          <w:lang w:val="es-ES" w:eastAsia="de-DE"/>
        </w:rPr>
        <w:t>os</w:t>
      </w:r>
      <w:r w:rsidRPr="0041284B">
        <w:rPr>
          <w:lang w:val="es-ES" w:eastAsia="de-DE"/>
        </w:rPr>
        <w:t xml:space="preserve"> requisito</w:t>
      </w:r>
      <w:r>
        <w:rPr>
          <w:lang w:val="es-ES" w:eastAsia="de-DE"/>
        </w:rPr>
        <w:t>s</w:t>
      </w:r>
      <w:r w:rsidRPr="0041284B">
        <w:rPr>
          <w:lang w:val="es-ES" w:eastAsia="de-DE"/>
        </w:rPr>
        <w:t xml:space="preserve"> para e</w:t>
      </w:r>
      <w:r w:rsidRPr="006C05BA">
        <w:rPr>
          <w:lang w:val="es-ES" w:eastAsia="de-DE"/>
        </w:rPr>
        <w:t xml:space="preserve">l tratamiento con </w:t>
      </w:r>
      <w:r w:rsidR="0099323B" w:rsidRPr="00F30AB8">
        <w:rPr>
          <w:szCs w:val="22"/>
          <w:lang w:val="es-ES" w:eastAsia="de-DE"/>
        </w:rPr>
        <w:t>tocilizumab</w:t>
      </w:r>
      <w:r w:rsidRPr="006C05BA">
        <w:rPr>
          <w:lang w:val="es-ES" w:eastAsia="de-DE"/>
        </w:rPr>
        <w:t xml:space="preserve"> más allá de </w:t>
      </w:r>
      <w:r w:rsidRPr="00C22F3F">
        <w:rPr>
          <w:lang w:val="es-ES" w:eastAsia="de-DE"/>
        </w:rPr>
        <w:t xml:space="preserve">las 52 semanas, así como conocer el posible efecto a largo plazo de la reducción gradual de </w:t>
      </w:r>
      <w:r w:rsidRPr="006868F5">
        <w:rPr>
          <w:lang w:val="es-ES" w:eastAsia="de-DE"/>
        </w:rPr>
        <w:t xml:space="preserve">esteroides </w:t>
      </w:r>
      <w:r w:rsidRPr="007255F9">
        <w:rPr>
          <w:lang w:val="es-ES" w:eastAsia="de-DE"/>
        </w:rPr>
        <w:t>e</w:t>
      </w:r>
      <w:r w:rsidRPr="006868F5">
        <w:rPr>
          <w:lang w:val="es-ES" w:eastAsia="de-DE"/>
        </w:rPr>
        <w:t>n</w:t>
      </w:r>
      <w:r w:rsidRPr="007255F9">
        <w:rPr>
          <w:lang w:val="es-ES" w:eastAsia="de-DE"/>
        </w:rPr>
        <w:t xml:space="preserve"> </w:t>
      </w:r>
      <w:r>
        <w:rPr>
          <w:lang w:val="es-ES" w:eastAsia="de-DE"/>
        </w:rPr>
        <w:t xml:space="preserve">el tratamiento con </w:t>
      </w:r>
      <w:r w:rsidR="0099323B">
        <w:rPr>
          <w:lang w:val="es-ES" w:eastAsia="de-DE"/>
        </w:rPr>
        <w:t>este medicamento</w:t>
      </w:r>
      <w:r w:rsidRPr="007255F9">
        <w:rPr>
          <w:lang w:val="es-ES" w:eastAsia="de-DE"/>
        </w:rPr>
        <w:t>.</w:t>
      </w:r>
    </w:p>
    <w:p w14:paraId="269DE19D" w14:textId="77777777" w:rsidR="00CD5F32" w:rsidRPr="006868F5" w:rsidRDefault="00CD5F32" w:rsidP="00CD5F32">
      <w:pPr>
        <w:rPr>
          <w:highlight w:val="yellow"/>
          <w:lang w:val="es-ES" w:eastAsia="de-DE"/>
        </w:rPr>
      </w:pPr>
    </w:p>
    <w:p w14:paraId="11E50C92" w14:textId="7318AFF8" w:rsidR="00CD5F32" w:rsidRPr="00C22F3F" w:rsidRDefault="00CD5F32" w:rsidP="00CD5F32">
      <w:pPr>
        <w:rPr>
          <w:iCs/>
          <w:lang w:val="es-ES"/>
        </w:rPr>
      </w:pPr>
      <w:r w:rsidRPr="007255F9">
        <w:rPr>
          <w:iCs/>
          <w:lang w:val="es-ES"/>
        </w:rPr>
        <w:t>Se compararon dos dosis subcut</w:t>
      </w:r>
      <w:r w:rsidRPr="0093490F">
        <w:rPr>
          <w:iCs/>
          <w:lang w:val="es-ES"/>
        </w:rPr>
        <w:t xml:space="preserve">áneas de </w:t>
      </w:r>
      <w:r w:rsidR="0099323B" w:rsidRPr="00F30AB8">
        <w:rPr>
          <w:szCs w:val="22"/>
          <w:lang w:val="es-ES" w:eastAsia="de-DE"/>
        </w:rPr>
        <w:t>tocilizumab</w:t>
      </w:r>
      <w:r w:rsidRPr="0093490F">
        <w:rPr>
          <w:iCs/>
          <w:lang w:val="es-ES"/>
        </w:rPr>
        <w:t xml:space="preserve"> (dosis de </w:t>
      </w:r>
      <w:r w:rsidRPr="0041284B">
        <w:rPr>
          <w:iCs/>
          <w:lang w:val="es-ES"/>
        </w:rPr>
        <w:t>162</w:t>
      </w:r>
      <w:r w:rsidR="00BF318B">
        <w:rPr>
          <w:iCs/>
          <w:lang w:val="es-ES"/>
        </w:rPr>
        <w:t> </w:t>
      </w:r>
      <w:r w:rsidRPr="0041284B">
        <w:rPr>
          <w:iCs/>
          <w:lang w:val="es-ES"/>
        </w:rPr>
        <w:t xml:space="preserve">mg semanal y dosis de 162 mg cada dos semanas) con dos grupos </w:t>
      </w:r>
      <w:r w:rsidRPr="006C05BA">
        <w:rPr>
          <w:iCs/>
          <w:lang w:val="es-ES"/>
        </w:rPr>
        <w:t>aleatorizados control</w:t>
      </w:r>
      <w:r w:rsidRPr="00C22F3F">
        <w:rPr>
          <w:iCs/>
          <w:lang w:val="es-ES"/>
        </w:rPr>
        <w:t>ados con placebo 2: 1: 1: 1.</w:t>
      </w:r>
    </w:p>
    <w:p w14:paraId="1B1FE9EC" w14:textId="77777777" w:rsidR="00CD5F32" w:rsidRPr="00C22F3F" w:rsidRDefault="00CD5F32" w:rsidP="00CD5F32">
      <w:pPr>
        <w:rPr>
          <w:iCs/>
          <w:lang w:val="es-ES"/>
        </w:rPr>
      </w:pPr>
    </w:p>
    <w:p w14:paraId="325DD502" w14:textId="1523B236" w:rsidR="00CD5F32" w:rsidRPr="00C22F3F" w:rsidRDefault="00CD5F32" w:rsidP="00CD5F32">
      <w:pPr>
        <w:rPr>
          <w:lang w:val="es-ES" w:eastAsia="de-DE"/>
        </w:rPr>
      </w:pPr>
      <w:r w:rsidRPr="00C22F3F">
        <w:rPr>
          <w:iCs/>
          <w:lang w:val="es-ES"/>
        </w:rPr>
        <w:t xml:space="preserve">Todos los pacientes recibieron un tratamiento de base con glucocorticoides (prednisona). Cada uno de los grupos tratados con </w:t>
      </w:r>
      <w:r w:rsidR="0099323B" w:rsidRPr="00F30AB8">
        <w:rPr>
          <w:szCs w:val="22"/>
          <w:lang w:val="es-ES" w:eastAsia="de-DE"/>
        </w:rPr>
        <w:t>tocilizumab</w:t>
      </w:r>
      <w:r w:rsidRPr="006868F5">
        <w:rPr>
          <w:lang w:val="es-ES" w:eastAsia="de-DE"/>
        </w:rPr>
        <w:t xml:space="preserve"> y uno de los grupos tratados con placebo sigui</w:t>
      </w:r>
      <w:r>
        <w:rPr>
          <w:lang w:val="es-ES" w:eastAsia="de-DE"/>
        </w:rPr>
        <w:t>eron</w:t>
      </w:r>
      <w:r w:rsidRPr="007255F9">
        <w:rPr>
          <w:lang w:val="es-ES" w:eastAsia="de-DE"/>
        </w:rPr>
        <w:t xml:space="preserve"> un</w:t>
      </w:r>
      <w:r>
        <w:rPr>
          <w:lang w:val="es-ES" w:eastAsia="de-DE"/>
        </w:rPr>
        <w:t>a pauta posológica</w:t>
      </w:r>
      <w:r w:rsidRPr="0041284B">
        <w:rPr>
          <w:lang w:val="es-ES" w:eastAsia="de-DE"/>
        </w:rPr>
        <w:t xml:space="preserve"> </w:t>
      </w:r>
      <w:r w:rsidRPr="006C05BA">
        <w:rPr>
          <w:lang w:val="es-ES" w:eastAsia="de-DE"/>
        </w:rPr>
        <w:t>preespecificad</w:t>
      </w:r>
      <w:r>
        <w:rPr>
          <w:lang w:val="es-ES" w:eastAsia="de-DE"/>
        </w:rPr>
        <w:t>a</w:t>
      </w:r>
      <w:r w:rsidRPr="006C05BA">
        <w:rPr>
          <w:lang w:val="es-ES" w:eastAsia="de-DE"/>
        </w:rPr>
        <w:t xml:space="preserve"> de </w:t>
      </w:r>
      <w:r w:rsidRPr="00C22F3F">
        <w:rPr>
          <w:lang w:val="es-ES" w:eastAsia="de-DE"/>
        </w:rPr>
        <w:t>reducción gradual de prednisona durante 26 semanas, mientras que el segundo grupo de pacientes tratados con placebo siguió un</w:t>
      </w:r>
      <w:r>
        <w:rPr>
          <w:lang w:val="es-ES" w:eastAsia="de-DE"/>
        </w:rPr>
        <w:t>a pauta posológica</w:t>
      </w:r>
      <w:r w:rsidRPr="00C22F3F">
        <w:rPr>
          <w:lang w:val="es-ES" w:eastAsia="de-DE"/>
        </w:rPr>
        <w:t xml:space="preserve"> </w:t>
      </w:r>
      <w:r>
        <w:rPr>
          <w:lang w:val="es-ES" w:eastAsia="de-DE"/>
        </w:rPr>
        <w:t xml:space="preserve">preespecificada </w:t>
      </w:r>
      <w:r w:rsidRPr="00C22F3F">
        <w:rPr>
          <w:lang w:val="es-ES" w:eastAsia="de-DE"/>
        </w:rPr>
        <w:t>de reducción gradual de prednisona durante 52 semanas, diseñado para estar más de acuerdo con la práctica estándar.</w:t>
      </w:r>
    </w:p>
    <w:p w14:paraId="54C17223" w14:textId="77777777" w:rsidR="00CD5F32" w:rsidRPr="00C22F3F" w:rsidRDefault="00CD5F32" w:rsidP="00CD5F32">
      <w:pPr>
        <w:rPr>
          <w:iCs/>
          <w:lang w:val="es-ES"/>
        </w:rPr>
      </w:pPr>
    </w:p>
    <w:p w14:paraId="1C447C56" w14:textId="15787180" w:rsidR="00CD5F32" w:rsidRPr="00C22F3F" w:rsidRDefault="00CD5F32" w:rsidP="00CD5F32">
      <w:pPr>
        <w:rPr>
          <w:iCs/>
          <w:lang w:val="es-ES"/>
        </w:rPr>
      </w:pPr>
      <w:r w:rsidRPr="00C22F3F">
        <w:rPr>
          <w:iCs/>
          <w:lang w:val="es-ES"/>
        </w:rPr>
        <w:t xml:space="preserve">La duración del tratamiento con glucocorticoides durante </w:t>
      </w:r>
      <w:r>
        <w:rPr>
          <w:iCs/>
          <w:lang w:val="es-ES"/>
        </w:rPr>
        <w:t>el cribado</w:t>
      </w:r>
      <w:r w:rsidRPr="00C22F3F">
        <w:rPr>
          <w:iCs/>
          <w:lang w:val="es-ES"/>
        </w:rPr>
        <w:t xml:space="preserve"> y antes del inicio de la administración del tratamiento con </w:t>
      </w:r>
      <w:r w:rsidR="0099323B" w:rsidRPr="00F30AB8">
        <w:rPr>
          <w:szCs w:val="22"/>
          <w:lang w:val="es-ES" w:eastAsia="de-DE"/>
        </w:rPr>
        <w:t>tocilizumab</w:t>
      </w:r>
      <w:r w:rsidRPr="00C22F3F">
        <w:rPr>
          <w:iCs/>
          <w:lang w:val="es-ES"/>
        </w:rPr>
        <w:t xml:space="preserve"> (o placebo), fue similar en los 4 gr</w:t>
      </w:r>
      <w:r>
        <w:rPr>
          <w:iCs/>
          <w:lang w:val="es-ES"/>
        </w:rPr>
        <w:t>upos de tratamiento (ver Tabla 3</w:t>
      </w:r>
      <w:r w:rsidRPr="00C22F3F">
        <w:rPr>
          <w:iCs/>
          <w:lang w:val="es-ES"/>
        </w:rPr>
        <w:t>).</w:t>
      </w:r>
    </w:p>
    <w:p w14:paraId="0A62BDFF" w14:textId="77777777" w:rsidR="00CD5F32" w:rsidRPr="00C22F3F" w:rsidRDefault="00CD5F32" w:rsidP="00CD5F32">
      <w:pPr>
        <w:rPr>
          <w:iCs/>
          <w:lang w:val="es-ES"/>
        </w:rPr>
      </w:pPr>
    </w:p>
    <w:p w14:paraId="091F8F72" w14:textId="77777777" w:rsidR="00CD5F32" w:rsidRDefault="00CD5F32" w:rsidP="00CD5F32">
      <w:pPr>
        <w:keepNext/>
        <w:keepLines/>
        <w:rPr>
          <w:rFonts w:eastAsia="SimSun"/>
          <w:bCs/>
          <w:i/>
          <w:szCs w:val="22"/>
          <w:lang w:val="es-ES" w:eastAsia="zh-CN"/>
        </w:rPr>
      </w:pPr>
      <w:r>
        <w:rPr>
          <w:i/>
          <w:iCs/>
          <w:lang w:val="es-ES"/>
        </w:rPr>
        <w:t>Tabla 3</w:t>
      </w:r>
      <w:r w:rsidRPr="006868F5">
        <w:rPr>
          <w:i/>
          <w:iCs/>
          <w:lang w:val="es-ES"/>
        </w:rPr>
        <w:t xml:space="preserve">. Duración del tratamiento </w:t>
      </w:r>
      <w:r w:rsidRPr="007255F9">
        <w:rPr>
          <w:i/>
          <w:iCs/>
          <w:lang w:val="es-ES"/>
        </w:rPr>
        <w:t>con corticosteroides durante la</w:t>
      </w:r>
      <w:r w:rsidRPr="006868F5">
        <w:rPr>
          <w:i/>
          <w:iCs/>
          <w:lang w:val="es-ES"/>
        </w:rPr>
        <w:t xml:space="preserve"> </w:t>
      </w:r>
      <w:r w:rsidRPr="007255F9">
        <w:rPr>
          <w:i/>
          <w:iCs/>
          <w:lang w:val="es-ES"/>
        </w:rPr>
        <w:t>visita de selección</w:t>
      </w:r>
      <w:r w:rsidRPr="006868F5">
        <w:rPr>
          <w:i/>
          <w:iCs/>
          <w:lang w:val="es-ES"/>
        </w:rPr>
        <w:t xml:space="preserve"> en el e</w:t>
      </w:r>
      <w:r>
        <w:rPr>
          <w:i/>
          <w:iCs/>
          <w:lang w:val="es-ES"/>
        </w:rPr>
        <w:t>nsayo</w:t>
      </w:r>
      <w:r w:rsidRPr="006868F5">
        <w:rPr>
          <w:i/>
          <w:iCs/>
          <w:lang w:val="es-ES"/>
        </w:rPr>
        <w:t xml:space="preserve"> </w:t>
      </w:r>
      <w:r w:rsidRPr="006868F5">
        <w:rPr>
          <w:rFonts w:eastAsia="SimSun"/>
          <w:bCs/>
          <w:i/>
          <w:szCs w:val="22"/>
          <w:lang w:val="es-ES" w:eastAsia="zh-CN"/>
        </w:rPr>
        <w:t>WA28119</w:t>
      </w:r>
    </w:p>
    <w:p w14:paraId="1ACEB78C" w14:textId="77777777" w:rsidR="00CD5F32" w:rsidRDefault="00CD5F32" w:rsidP="00CD5F32">
      <w:pPr>
        <w:keepNext/>
        <w:keepLines/>
        <w:rPr>
          <w:rFonts w:eastAsia="SimSun"/>
          <w:bCs/>
          <w:i/>
          <w:szCs w:val="22"/>
          <w:lang w:val="es-ES" w:eastAsia="zh-CN"/>
        </w:rPr>
      </w:pPr>
    </w:p>
    <w:tbl>
      <w:tblPr>
        <w:tblW w:w="9804" w:type="dxa"/>
        <w:tblInd w:w="-85" w:type="dxa"/>
        <w:tblLayout w:type="fixed"/>
        <w:tblCellMar>
          <w:left w:w="0" w:type="dxa"/>
          <w:right w:w="0" w:type="dxa"/>
        </w:tblCellMar>
        <w:tblLook w:val="04A0" w:firstRow="1" w:lastRow="0" w:firstColumn="1" w:lastColumn="0" w:noHBand="0" w:noVBand="1"/>
      </w:tblPr>
      <w:tblGrid>
        <w:gridCol w:w="3143"/>
        <w:gridCol w:w="19"/>
        <w:gridCol w:w="1540"/>
        <w:gridCol w:w="1418"/>
        <w:gridCol w:w="1842"/>
        <w:gridCol w:w="1842"/>
      </w:tblGrid>
      <w:tr w:rsidR="00CD5F32" w:rsidRPr="008E61B1" w14:paraId="42D1EAF6" w14:textId="77777777" w:rsidTr="00F30AB8">
        <w:trPr>
          <w:cantSplit/>
        </w:trPr>
        <w:tc>
          <w:tcPr>
            <w:tcW w:w="3143"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7643301" w14:textId="77777777" w:rsidR="00CD5F32" w:rsidRPr="006868F5" w:rsidRDefault="00CD5F32" w:rsidP="002F33B1">
            <w:pPr>
              <w:keepNext/>
              <w:keepLines/>
              <w:spacing w:before="50" w:after="50" w:line="240" w:lineRule="exact"/>
              <w:rPr>
                <w:rFonts w:ascii="Arial" w:eastAsia="SimSun" w:hAnsi="Arial"/>
                <w:strike/>
                <w:sz w:val="18"/>
                <w:szCs w:val="18"/>
                <w:lang w:val="es-ES" w:eastAsia="zh-CN"/>
              </w:rPr>
            </w:pPr>
          </w:p>
        </w:tc>
        <w:tc>
          <w:tcPr>
            <w:tcW w:w="1559" w:type="dxa"/>
            <w:gridSpan w:val="2"/>
            <w:tcBorders>
              <w:top w:val="single" w:sz="8" w:space="0" w:color="auto"/>
              <w:left w:val="nil"/>
              <w:bottom w:val="single" w:sz="8" w:space="0" w:color="auto"/>
              <w:right w:val="nil"/>
            </w:tcBorders>
            <w:tcMar>
              <w:top w:w="0" w:type="dxa"/>
              <w:left w:w="57" w:type="dxa"/>
              <w:bottom w:w="0" w:type="dxa"/>
              <w:right w:w="57" w:type="dxa"/>
            </w:tcMar>
          </w:tcPr>
          <w:p w14:paraId="2A05693C" w14:textId="48A6F199" w:rsidR="00CD5F32" w:rsidRPr="0041284B" w:rsidRDefault="00CD5F32" w:rsidP="002F33B1">
            <w:pPr>
              <w:keepNext/>
              <w:keepLines/>
              <w:spacing w:before="50" w:after="50" w:line="240" w:lineRule="exact"/>
              <w:jc w:val="center"/>
              <w:rPr>
                <w:rFonts w:eastAsia="SimSun"/>
                <w:b/>
                <w:sz w:val="18"/>
                <w:szCs w:val="18"/>
                <w:lang w:val="es-ES" w:eastAsia="zh-CN"/>
              </w:rPr>
            </w:pPr>
            <w:r w:rsidRPr="0041284B">
              <w:rPr>
                <w:rFonts w:eastAsia="SimSun"/>
                <w:b/>
                <w:sz w:val="18"/>
                <w:szCs w:val="18"/>
                <w:lang w:val="es-ES" w:eastAsia="zh-CN"/>
              </w:rPr>
              <w:t>Placebo + 26</w:t>
            </w:r>
            <w:r w:rsidR="00DA10D7" w:rsidRPr="00F30AB8">
              <w:rPr>
                <w:rFonts w:eastAsia="SimSun"/>
                <w:b/>
                <w:sz w:val="18"/>
                <w:szCs w:val="18"/>
                <w:lang w:val="es-ES" w:eastAsia="zh-CN"/>
              </w:rPr>
              <w:t> </w:t>
            </w:r>
            <w:r w:rsidRPr="0041284B">
              <w:rPr>
                <w:rFonts w:eastAsia="SimSun"/>
                <w:b/>
                <w:sz w:val="18"/>
                <w:szCs w:val="18"/>
                <w:lang w:val="es-ES" w:eastAsia="zh-CN"/>
              </w:rPr>
              <w:t>semanas de reducción gradual de prednisona</w:t>
            </w:r>
          </w:p>
          <w:p w14:paraId="2CA2DB4B" w14:textId="77777777" w:rsidR="00CD5F32" w:rsidRDefault="00CD5F32" w:rsidP="002F33B1">
            <w:pPr>
              <w:keepNext/>
              <w:keepLines/>
              <w:spacing w:before="50" w:after="50" w:line="240" w:lineRule="exact"/>
              <w:jc w:val="center"/>
              <w:rPr>
                <w:rFonts w:eastAsia="SimSun"/>
                <w:b/>
                <w:sz w:val="18"/>
                <w:szCs w:val="18"/>
                <w:lang w:val="es-ES" w:eastAsia="zh-CN"/>
              </w:rPr>
            </w:pPr>
          </w:p>
          <w:p w14:paraId="7EC3A46F" w14:textId="77777777" w:rsidR="00CD5F32" w:rsidRPr="008E61B1" w:rsidRDefault="00CD5F32" w:rsidP="002F33B1">
            <w:pPr>
              <w:keepNext/>
              <w:keepLines/>
              <w:spacing w:before="50" w:after="50" w:line="240" w:lineRule="exact"/>
              <w:jc w:val="center"/>
              <w:rPr>
                <w:rFonts w:ascii="Arial" w:eastAsia="SimSun" w:hAnsi="Arial"/>
                <w:b/>
                <w:sz w:val="18"/>
                <w:szCs w:val="18"/>
                <w:lang w:val="en-GB" w:eastAsia="zh-CN"/>
              </w:rPr>
            </w:pPr>
            <w:r w:rsidRPr="006868F5">
              <w:rPr>
                <w:rFonts w:eastAsia="SimSun"/>
                <w:b/>
                <w:sz w:val="18"/>
                <w:szCs w:val="18"/>
                <w:lang w:val="es-ES" w:eastAsia="zh-CN"/>
              </w:rPr>
              <w:t>N=50</w:t>
            </w:r>
          </w:p>
        </w:tc>
        <w:tc>
          <w:tcPr>
            <w:tcW w:w="1418" w:type="dxa"/>
            <w:tcBorders>
              <w:top w:val="single" w:sz="8" w:space="0" w:color="auto"/>
              <w:left w:val="nil"/>
              <w:bottom w:val="single" w:sz="8" w:space="0" w:color="auto"/>
              <w:right w:val="nil"/>
            </w:tcBorders>
            <w:tcMar>
              <w:top w:w="0" w:type="dxa"/>
              <w:left w:w="57" w:type="dxa"/>
              <w:bottom w:w="0" w:type="dxa"/>
              <w:right w:w="57" w:type="dxa"/>
            </w:tcMar>
          </w:tcPr>
          <w:p w14:paraId="32882E83" w14:textId="478F59F7" w:rsidR="00CD5F32" w:rsidRPr="0041284B" w:rsidRDefault="00CD5F32" w:rsidP="002F33B1">
            <w:pPr>
              <w:keepNext/>
              <w:keepLines/>
              <w:spacing w:before="50" w:after="50" w:line="240" w:lineRule="exact"/>
              <w:jc w:val="center"/>
              <w:rPr>
                <w:rFonts w:eastAsia="SimSun"/>
                <w:b/>
                <w:sz w:val="18"/>
                <w:szCs w:val="18"/>
                <w:lang w:val="es-ES" w:eastAsia="zh-CN"/>
              </w:rPr>
            </w:pPr>
            <w:r w:rsidRPr="0041284B">
              <w:rPr>
                <w:rFonts w:eastAsia="SimSun"/>
                <w:b/>
                <w:sz w:val="18"/>
                <w:szCs w:val="18"/>
                <w:lang w:val="es-ES" w:eastAsia="zh-CN"/>
              </w:rPr>
              <w:t>Placebo + 52</w:t>
            </w:r>
            <w:r w:rsidR="00DA10D7" w:rsidRPr="00F30AB8">
              <w:rPr>
                <w:rFonts w:eastAsia="SimSun"/>
                <w:b/>
                <w:sz w:val="18"/>
                <w:szCs w:val="18"/>
                <w:lang w:val="es-ES" w:eastAsia="zh-CN"/>
              </w:rPr>
              <w:t> </w:t>
            </w:r>
          </w:p>
          <w:p w14:paraId="2D6D188E" w14:textId="77777777" w:rsidR="00CD5F32" w:rsidRPr="006C05BA" w:rsidRDefault="00CD5F32" w:rsidP="002F33B1">
            <w:pPr>
              <w:keepNext/>
              <w:keepLines/>
              <w:spacing w:before="50" w:after="50" w:line="240" w:lineRule="exact"/>
              <w:jc w:val="center"/>
              <w:rPr>
                <w:rFonts w:eastAsia="SimSun"/>
                <w:b/>
                <w:sz w:val="18"/>
                <w:szCs w:val="18"/>
                <w:lang w:val="es-ES" w:eastAsia="zh-CN"/>
              </w:rPr>
            </w:pPr>
            <w:r w:rsidRPr="006C05BA">
              <w:rPr>
                <w:rFonts w:eastAsia="SimSun"/>
                <w:b/>
                <w:sz w:val="18"/>
                <w:szCs w:val="18"/>
                <w:lang w:val="es-ES" w:eastAsia="zh-CN"/>
              </w:rPr>
              <w:t>semanas de reducción gradual de prednisona</w:t>
            </w:r>
          </w:p>
          <w:p w14:paraId="4D53C592" w14:textId="77777777" w:rsidR="00CD5F32" w:rsidRPr="008E61B1" w:rsidRDefault="00CD5F32" w:rsidP="002F33B1">
            <w:pPr>
              <w:keepNext/>
              <w:keepLines/>
              <w:spacing w:before="50" w:after="50" w:line="240" w:lineRule="exact"/>
              <w:jc w:val="center"/>
              <w:rPr>
                <w:rFonts w:ascii="Arial" w:eastAsia="SimSun" w:hAnsi="Arial"/>
                <w:b/>
                <w:sz w:val="18"/>
                <w:szCs w:val="18"/>
                <w:lang w:val="en-GB" w:eastAsia="zh-CN"/>
              </w:rPr>
            </w:pPr>
            <w:r w:rsidRPr="006868F5">
              <w:rPr>
                <w:rFonts w:eastAsia="SimSun"/>
                <w:b/>
                <w:sz w:val="18"/>
                <w:szCs w:val="18"/>
                <w:lang w:val="es-ES" w:eastAsia="zh-CN"/>
              </w:rPr>
              <w:t>N=51</w:t>
            </w:r>
          </w:p>
        </w:tc>
        <w:tc>
          <w:tcPr>
            <w:tcW w:w="1842" w:type="dxa"/>
            <w:tcBorders>
              <w:top w:val="single" w:sz="8" w:space="0" w:color="auto"/>
              <w:left w:val="nil"/>
              <w:bottom w:val="single" w:sz="8" w:space="0" w:color="auto"/>
              <w:right w:val="nil"/>
            </w:tcBorders>
          </w:tcPr>
          <w:p w14:paraId="21CF3E8B" w14:textId="4FA02D94" w:rsidR="00CD5F32" w:rsidRPr="0041284B" w:rsidRDefault="0099323B" w:rsidP="002F33B1">
            <w:pPr>
              <w:keepNext/>
              <w:keepLines/>
              <w:spacing w:before="50" w:after="50" w:line="240" w:lineRule="exact"/>
              <w:jc w:val="center"/>
              <w:rPr>
                <w:rFonts w:eastAsia="SimSun"/>
                <w:b/>
                <w:sz w:val="18"/>
                <w:szCs w:val="18"/>
                <w:lang w:val="es-ES" w:eastAsia="zh-CN"/>
              </w:rPr>
            </w:pPr>
            <w:r>
              <w:rPr>
                <w:rFonts w:eastAsia="SimSun"/>
                <w:b/>
                <w:sz w:val="18"/>
                <w:szCs w:val="18"/>
                <w:lang w:val="es-ES" w:eastAsia="zh-CN"/>
              </w:rPr>
              <w:t>T</w:t>
            </w:r>
            <w:r w:rsidRPr="0099323B">
              <w:rPr>
                <w:rFonts w:eastAsia="SimSun"/>
                <w:b/>
                <w:sz w:val="18"/>
                <w:szCs w:val="18"/>
                <w:lang w:val="es-ES" w:eastAsia="zh-CN"/>
              </w:rPr>
              <w:t>ocilizumab</w:t>
            </w:r>
            <w:r w:rsidR="00CD5F32" w:rsidRPr="0041284B">
              <w:rPr>
                <w:rFonts w:eastAsia="SimSun"/>
                <w:b/>
                <w:sz w:val="18"/>
                <w:szCs w:val="18"/>
                <w:lang w:val="es-ES" w:eastAsia="zh-CN"/>
              </w:rPr>
              <w:t xml:space="preserve"> 162</w:t>
            </w:r>
            <w:r w:rsidR="00DA10D7" w:rsidRPr="00F30AB8">
              <w:rPr>
                <w:rFonts w:eastAsia="SimSun"/>
                <w:b/>
                <w:sz w:val="18"/>
                <w:szCs w:val="18"/>
                <w:lang w:val="es-ES" w:eastAsia="zh-CN"/>
              </w:rPr>
              <w:t> </w:t>
            </w:r>
            <w:r w:rsidR="00CD5F32" w:rsidRPr="0041284B">
              <w:rPr>
                <w:rFonts w:eastAsia="SimSun"/>
                <w:b/>
                <w:sz w:val="18"/>
                <w:szCs w:val="18"/>
                <w:lang w:val="es-ES" w:eastAsia="zh-CN"/>
              </w:rPr>
              <w:t>mg SC semanal + 26</w:t>
            </w:r>
            <w:r w:rsidR="00DA10D7" w:rsidRPr="00F30AB8">
              <w:rPr>
                <w:rFonts w:eastAsia="SimSun"/>
                <w:b/>
                <w:sz w:val="18"/>
                <w:szCs w:val="18"/>
                <w:lang w:val="es-ES" w:eastAsia="zh-CN"/>
              </w:rPr>
              <w:t> </w:t>
            </w:r>
            <w:r w:rsidR="00CD5F32" w:rsidRPr="0041284B">
              <w:rPr>
                <w:rFonts w:eastAsia="SimSun"/>
                <w:b/>
                <w:sz w:val="18"/>
                <w:szCs w:val="18"/>
                <w:lang w:val="es-ES" w:eastAsia="zh-CN"/>
              </w:rPr>
              <w:t>semanas de reducción gradual de prednisona</w:t>
            </w:r>
          </w:p>
          <w:p w14:paraId="269F1F6F" w14:textId="77777777" w:rsidR="00CD5F32" w:rsidRDefault="00CD5F32" w:rsidP="002F33B1">
            <w:pPr>
              <w:keepNext/>
              <w:keepLines/>
              <w:spacing w:before="50" w:after="50" w:line="240" w:lineRule="exact"/>
              <w:jc w:val="center"/>
              <w:rPr>
                <w:rFonts w:eastAsia="SimSun"/>
                <w:b/>
                <w:sz w:val="18"/>
                <w:szCs w:val="18"/>
                <w:lang w:val="es-ES" w:eastAsia="zh-CN"/>
              </w:rPr>
            </w:pPr>
          </w:p>
          <w:p w14:paraId="41859CFF" w14:textId="77777777" w:rsidR="00CD5F32" w:rsidRPr="008E61B1" w:rsidRDefault="00CD5F32" w:rsidP="002F33B1">
            <w:pPr>
              <w:keepNext/>
              <w:keepLines/>
              <w:spacing w:before="50" w:after="50" w:line="240" w:lineRule="exact"/>
              <w:jc w:val="center"/>
              <w:rPr>
                <w:rFonts w:ascii="Arial" w:eastAsia="SimSun" w:hAnsi="Arial"/>
                <w:b/>
                <w:sz w:val="18"/>
                <w:szCs w:val="18"/>
                <w:lang w:val="en-GB" w:eastAsia="zh-CN"/>
              </w:rPr>
            </w:pPr>
            <w:r w:rsidRPr="006868F5">
              <w:rPr>
                <w:rFonts w:eastAsia="SimSun"/>
                <w:b/>
                <w:sz w:val="18"/>
                <w:szCs w:val="18"/>
                <w:lang w:val="es-ES" w:eastAsia="zh-CN"/>
              </w:rPr>
              <w:t>N=100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3DE4BAE7" w14:textId="03436302" w:rsidR="00CD5F32" w:rsidRPr="0041284B" w:rsidRDefault="0099323B" w:rsidP="002F33B1">
            <w:pPr>
              <w:keepNext/>
              <w:keepLines/>
              <w:spacing w:before="50" w:after="50" w:line="240" w:lineRule="exact"/>
              <w:jc w:val="center"/>
              <w:rPr>
                <w:rFonts w:eastAsia="SimSun"/>
                <w:b/>
                <w:sz w:val="18"/>
                <w:szCs w:val="18"/>
                <w:lang w:val="es-ES" w:eastAsia="zh-CN"/>
              </w:rPr>
            </w:pPr>
            <w:r>
              <w:rPr>
                <w:rFonts w:eastAsia="SimSun"/>
                <w:b/>
                <w:sz w:val="18"/>
                <w:szCs w:val="18"/>
                <w:lang w:val="es-ES" w:eastAsia="zh-CN"/>
              </w:rPr>
              <w:t>T</w:t>
            </w:r>
            <w:r w:rsidRPr="0099323B">
              <w:rPr>
                <w:rFonts w:eastAsia="SimSun"/>
                <w:b/>
                <w:sz w:val="18"/>
                <w:szCs w:val="18"/>
                <w:lang w:val="es-ES" w:eastAsia="zh-CN"/>
              </w:rPr>
              <w:t>ocilizumab</w:t>
            </w:r>
            <w:r w:rsidR="00CD5F32" w:rsidRPr="0041284B">
              <w:rPr>
                <w:rFonts w:eastAsia="SimSun"/>
                <w:b/>
                <w:sz w:val="18"/>
                <w:szCs w:val="18"/>
                <w:lang w:val="es-ES" w:eastAsia="zh-CN"/>
              </w:rPr>
              <w:t xml:space="preserve"> 162</w:t>
            </w:r>
            <w:r w:rsidR="00DA10D7" w:rsidRPr="00F30AB8">
              <w:rPr>
                <w:rFonts w:eastAsia="SimSun"/>
                <w:b/>
                <w:sz w:val="18"/>
                <w:szCs w:val="18"/>
                <w:lang w:val="es-ES" w:eastAsia="zh-CN"/>
              </w:rPr>
              <w:t> </w:t>
            </w:r>
            <w:r w:rsidR="00CD5F32" w:rsidRPr="0041284B">
              <w:rPr>
                <w:rFonts w:eastAsia="SimSun"/>
                <w:b/>
                <w:sz w:val="18"/>
                <w:szCs w:val="18"/>
                <w:lang w:val="es-ES" w:eastAsia="zh-CN"/>
              </w:rPr>
              <w:t xml:space="preserve">mg SC </w:t>
            </w:r>
            <w:del w:id="1867" w:author="AUTHOR">
              <w:r w:rsidR="00CD5F32" w:rsidRPr="0041284B" w:rsidDel="009F26E0">
                <w:rPr>
                  <w:rFonts w:eastAsia="SimSun"/>
                  <w:b/>
                  <w:sz w:val="18"/>
                  <w:szCs w:val="18"/>
                  <w:lang w:val="es-ES" w:eastAsia="zh-CN"/>
                </w:rPr>
                <w:delText>bisemanal</w:delText>
              </w:r>
            </w:del>
            <w:ins w:id="1868" w:author="AUTHOR">
              <w:r w:rsidR="009F26E0">
                <w:rPr>
                  <w:rFonts w:eastAsia="SimSun"/>
                  <w:b/>
                  <w:sz w:val="18"/>
                  <w:szCs w:val="18"/>
                  <w:lang w:val="es-ES" w:eastAsia="zh-CN"/>
                </w:rPr>
                <w:t>cada dos semanas</w:t>
              </w:r>
            </w:ins>
            <w:r w:rsidR="00CD5F32" w:rsidRPr="0041284B">
              <w:rPr>
                <w:rFonts w:eastAsia="SimSun"/>
                <w:b/>
                <w:sz w:val="18"/>
                <w:szCs w:val="18"/>
                <w:lang w:val="es-ES" w:eastAsia="zh-CN"/>
              </w:rPr>
              <w:t xml:space="preserve"> + 26</w:t>
            </w:r>
            <w:r w:rsidR="00DA10D7" w:rsidRPr="00F30AB8">
              <w:rPr>
                <w:rFonts w:eastAsia="SimSun"/>
                <w:b/>
                <w:sz w:val="18"/>
                <w:szCs w:val="18"/>
                <w:lang w:val="es-ES" w:eastAsia="zh-CN"/>
              </w:rPr>
              <w:t> </w:t>
            </w:r>
            <w:r w:rsidR="00CD5F32" w:rsidRPr="0041284B">
              <w:rPr>
                <w:rFonts w:eastAsia="SimSun"/>
                <w:b/>
                <w:sz w:val="18"/>
                <w:szCs w:val="18"/>
                <w:lang w:val="es-ES" w:eastAsia="zh-CN"/>
              </w:rPr>
              <w:t xml:space="preserve">semanas de reducción gradual de prednisona </w:t>
            </w:r>
          </w:p>
          <w:p w14:paraId="0AE308B6" w14:textId="77777777" w:rsidR="00CD5F32" w:rsidRPr="008E61B1" w:rsidRDefault="00CD5F32" w:rsidP="002F33B1">
            <w:pPr>
              <w:keepNext/>
              <w:keepLines/>
              <w:spacing w:before="50" w:after="50" w:line="240" w:lineRule="exact"/>
              <w:jc w:val="center"/>
              <w:rPr>
                <w:rFonts w:ascii="Arial" w:eastAsia="SimSun" w:hAnsi="Arial"/>
                <w:b/>
                <w:sz w:val="18"/>
                <w:szCs w:val="18"/>
                <w:lang w:val="en-GB" w:eastAsia="zh-CN"/>
              </w:rPr>
            </w:pPr>
            <w:r w:rsidRPr="006C05BA">
              <w:rPr>
                <w:rFonts w:eastAsia="SimSun"/>
                <w:b/>
                <w:sz w:val="18"/>
                <w:szCs w:val="18"/>
                <w:lang w:val="es-ES" w:eastAsia="zh-CN"/>
              </w:rPr>
              <w:t>N=49</w:t>
            </w:r>
          </w:p>
        </w:tc>
      </w:tr>
      <w:tr w:rsidR="00CD5F32" w:rsidRPr="008E61B1" w14:paraId="1AFACCEB" w14:textId="77777777" w:rsidTr="00F30AB8">
        <w:trPr>
          <w:cantSplit/>
        </w:trPr>
        <w:tc>
          <w:tcPr>
            <w:tcW w:w="6120" w:type="dxa"/>
            <w:gridSpan w:val="4"/>
            <w:tcBorders>
              <w:top w:val="single" w:sz="4" w:space="0" w:color="auto"/>
              <w:left w:val="single" w:sz="4" w:space="0" w:color="auto"/>
            </w:tcBorders>
            <w:tcMar>
              <w:top w:w="0" w:type="dxa"/>
              <w:left w:w="57" w:type="dxa"/>
              <w:bottom w:w="0" w:type="dxa"/>
              <w:right w:w="57" w:type="dxa"/>
            </w:tcMar>
          </w:tcPr>
          <w:p w14:paraId="0A2FA5BA" w14:textId="77777777" w:rsidR="00CD5F32" w:rsidRPr="00F30AB8" w:rsidRDefault="00CD5F32" w:rsidP="002F33B1">
            <w:pPr>
              <w:keepNext/>
              <w:keepLines/>
              <w:spacing w:before="50" w:after="50" w:line="240" w:lineRule="exact"/>
              <w:rPr>
                <w:rFonts w:eastAsia="SimSun"/>
                <w:b/>
                <w:bCs/>
                <w:sz w:val="18"/>
                <w:szCs w:val="18"/>
                <w:lang w:val="en-GB" w:eastAsia="zh-CN"/>
              </w:rPr>
            </w:pPr>
            <w:r w:rsidRPr="00F30AB8">
              <w:rPr>
                <w:rFonts w:eastAsia="SimSun"/>
                <w:b/>
                <w:bCs/>
                <w:sz w:val="18"/>
                <w:szCs w:val="18"/>
                <w:lang w:val="en-GB" w:eastAsia="zh-CN"/>
              </w:rPr>
              <w:t xml:space="preserve">Duración (días)                       </w:t>
            </w:r>
          </w:p>
        </w:tc>
        <w:tc>
          <w:tcPr>
            <w:tcW w:w="1842" w:type="dxa"/>
            <w:tcBorders>
              <w:top w:val="single" w:sz="4" w:space="0" w:color="auto"/>
              <w:left w:val="nil"/>
              <w:right w:val="nil"/>
            </w:tcBorders>
          </w:tcPr>
          <w:p w14:paraId="60F5998C" w14:textId="77777777" w:rsidR="00CD5F32" w:rsidRPr="006868F5" w:rsidRDefault="00CD5F32" w:rsidP="002F33B1">
            <w:pPr>
              <w:keepNext/>
              <w:keepLines/>
              <w:spacing w:before="50" w:after="50" w:line="240" w:lineRule="exact"/>
              <w:jc w:val="center"/>
              <w:rPr>
                <w:rFonts w:eastAsia="SimSun"/>
                <w:sz w:val="18"/>
                <w:szCs w:val="18"/>
                <w:lang w:val="en-GB"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49108CEA" w14:textId="77777777" w:rsidR="00CD5F32" w:rsidRPr="006868F5" w:rsidRDefault="00CD5F32" w:rsidP="002F33B1">
            <w:pPr>
              <w:keepNext/>
              <w:keepLines/>
              <w:spacing w:before="50" w:after="50" w:line="240" w:lineRule="exact"/>
              <w:jc w:val="center"/>
              <w:rPr>
                <w:rFonts w:eastAsia="SimSun"/>
                <w:sz w:val="18"/>
                <w:szCs w:val="18"/>
                <w:lang w:val="en-GB" w:eastAsia="zh-CN"/>
              </w:rPr>
            </w:pPr>
          </w:p>
        </w:tc>
      </w:tr>
      <w:tr w:rsidR="00CD5F32" w:rsidRPr="008E61B1" w14:paraId="3C2E8FF3" w14:textId="77777777" w:rsidTr="00F30AB8">
        <w:trPr>
          <w:cantSplit/>
        </w:trPr>
        <w:tc>
          <w:tcPr>
            <w:tcW w:w="3162" w:type="dxa"/>
            <w:gridSpan w:val="2"/>
            <w:tcBorders>
              <w:left w:val="single" w:sz="4" w:space="0" w:color="auto"/>
            </w:tcBorders>
            <w:tcMar>
              <w:top w:w="0" w:type="dxa"/>
              <w:left w:w="57" w:type="dxa"/>
              <w:bottom w:w="0" w:type="dxa"/>
              <w:right w:w="57" w:type="dxa"/>
            </w:tcMar>
          </w:tcPr>
          <w:p w14:paraId="22941A08" w14:textId="77777777" w:rsidR="00CD5F32" w:rsidRPr="006868F5" w:rsidRDefault="00CD5F32" w:rsidP="002F33B1">
            <w:pPr>
              <w:keepNext/>
              <w:keepLines/>
              <w:spacing w:before="50" w:after="50" w:line="240" w:lineRule="exact"/>
              <w:ind w:left="720"/>
              <w:rPr>
                <w:rFonts w:eastAsia="SimSun"/>
                <w:sz w:val="18"/>
                <w:szCs w:val="18"/>
                <w:lang w:val="en-GB" w:eastAsia="zh-CN"/>
              </w:rPr>
            </w:pPr>
            <w:r w:rsidRPr="006868F5">
              <w:rPr>
                <w:rFonts w:eastAsia="SimSun"/>
                <w:sz w:val="18"/>
                <w:szCs w:val="18"/>
                <w:lang w:val="en-GB" w:eastAsia="zh-CN"/>
              </w:rPr>
              <w:t>Media (DE)</w:t>
            </w:r>
          </w:p>
        </w:tc>
        <w:tc>
          <w:tcPr>
            <w:tcW w:w="1540" w:type="dxa"/>
            <w:tcMar>
              <w:top w:w="0" w:type="dxa"/>
              <w:left w:w="57" w:type="dxa"/>
              <w:bottom w:w="0" w:type="dxa"/>
              <w:right w:w="57" w:type="dxa"/>
            </w:tcMar>
          </w:tcPr>
          <w:p w14:paraId="26B76366" w14:textId="77777777" w:rsidR="00CD5F32" w:rsidRPr="00F30AB8" w:rsidRDefault="00CD5F32" w:rsidP="002F33B1">
            <w:pPr>
              <w:keepNext/>
              <w:keepLines/>
              <w:spacing w:before="50" w:after="50" w:line="240" w:lineRule="exact"/>
              <w:jc w:val="center"/>
              <w:rPr>
                <w:rFonts w:eastAsia="SimSun"/>
                <w:sz w:val="18"/>
                <w:szCs w:val="18"/>
                <w:lang w:val="en-GB" w:eastAsia="zh-CN"/>
              </w:rPr>
            </w:pPr>
            <w:r w:rsidRPr="00F30AB8">
              <w:rPr>
                <w:rFonts w:eastAsia="SimSun"/>
                <w:sz w:val="18"/>
                <w:szCs w:val="18"/>
                <w:lang w:val="en-GB" w:eastAsia="zh-CN"/>
              </w:rPr>
              <w:t>35,7 (11,5)</w:t>
            </w:r>
          </w:p>
        </w:tc>
        <w:tc>
          <w:tcPr>
            <w:tcW w:w="1418" w:type="dxa"/>
            <w:tcMar>
              <w:top w:w="0" w:type="dxa"/>
              <w:left w:w="57" w:type="dxa"/>
              <w:bottom w:w="0" w:type="dxa"/>
              <w:right w:w="57" w:type="dxa"/>
            </w:tcMar>
          </w:tcPr>
          <w:p w14:paraId="646D0643"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36,3 (12,5)</w:t>
            </w:r>
          </w:p>
        </w:tc>
        <w:tc>
          <w:tcPr>
            <w:tcW w:w="1842" w:type="dxa"/>
            <w:tcBorders>
              <w:right w:val="nil"/>
            </w:tcBorders>
          </w:tcPr>
          <w:p w14:paraId="459619BF"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35,6 (13,2)</w:t>
            </w:r>
          </w:p>
        </w:tc>
        <w:tc>
          <w:tcPr>
            <w:tcW w:w="1842" w:type="dxa"/>
            <w:tcBorders>
              <w:left w:val="nil"/>
              <w:right w:val="single" w:sz="8" w:space="0" w:color="auto"/>
            </w:tcBorders>
            <w:tcMar>
              <w:top w:w="0" w:type="dxa"/>
              <w:left w:w="57" w:type="dxa"/>
              <w:bottom w:w="0" w:type="dxa"/>
              <w:right w:w="57" w:type="dxa"/>
            </w:tcMar>
          </w:tcPr>
          <w:p w14:paraId="2A669353"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37,4 (14,4)</w:t>
            </w:r>
          </w:p>
        </w:tc>
      </w:tr>
      <w:tr w:rsidR="00CD5F32" w:rsidRPr="008E61B1" w14:paraId="5167ACEF" w14:textId="77777777" w:rsidTr="00F30AB8">
        <w:trPr>
          <w:cantSplit/>
        </w:trPr>
        <w:tc>
          <w:tcPr>
            <w:tcW w:w="3162" w:type="dxa"/>
            <w:gridSpan w:val="2"/>
            <w:tcBorders>
              <w:left w:val="single" w:sz="4" w:space="0" w:color="auto"/>
            </w:tcBorders>
            <w:tcMar>
              <w:top w:w="0" w:type="dxa"/>
              <w:left w:w="57" w:type="dxa"/>
              <w:bottom w:w="0" w:type="dxa"/>
              <w:right w:w="57" w:type="dxa"/>
            </w:tcMar>
          </w:tcPr>
          <w:p w14:paraId="61552AFA" w14:textId="77777777" w:rsidR="00CD5F32" w:rsidRPr="006868F5" w:rsidRDefault="00CD5F32" w:rsidP="002F33B1">
            <w:pPr>
              <w:keepNext/>
              <w:keepLines/>
              <w:spacing w:before="50" w:after="50" w:line="240" w:lineRule="exact"/>
              <w:ind w:left="720"/>
              <w:rPr>
                <w:rFonts w:eastAsia="SimSun"/>
                <w:sz w:val="18"/>
                <w:szCs w:val="18"/>
                <w:lang w:val="en-GB" w:eastAsia="zh-CN"/>
              </w:rPr>
            </w:pPr>
            <w:r w:rsidRPr="006868F5">
              <w:rPr>
                <w:rFonts w:eastAsia="SimSun"/>
                <w:sz w:val="18"/>
                <w:szCs w:val="18"/>
                <w:lang w:val="en-GB" w:eastAsia="zh-CN"/>
              </w:rPr>
              <w:t>Mediana</w:t>
            </w:r>
          </w:p>
        </w:tc>
        <w:tc>
          <w:tcPr>
            <w:tcW w:w="1540" w:type="dxa"/>
            <w:tcMar>
              <w:top w:w="0" w:type="dxa"/>
              <w:left w:w="57" w:type="dxa"/>
              <w:bottom w:w="0" w:type="dxa"/>
              <w:right w:w="57" w:type="dxa"/>
            </w:tcMar>
          </w:tcPr>
          <w:p w14:paraId="1B5EA086" w14:textId="77777777" w:rsidR="00CD5F32" w:rsidRPr="00F30AB8" w:rsidRDefault="00CD5F32" w:rsidP="002F33B1">
            <w:pPr>
              <w:keepNext/>
              <w:keepLines/>
              <w:spacing w:before="50" w:after="50" w:line="240" w:lineRule="exact"/>
              <w:jc w:val="center"/>
              <w:rPr>
                <w:rFonts w:eastAsia="SimSun"/>
                <w:sz w:val="18"/>
                <w:szCs w:val="18"/>
                <w:lang w:val="en-GB" w:eastAsia="zh-CN"/>
              </w:rPr>
            </w:pPr>
            <w:r w:rsidRPr="00F30AB8">
              <w:rPr>
                <w:rFonts w:eastAsia="SimSun"/>
                <w:sz w:val="18"/>
                <w:szCs w:val="18"/>
                <w:lang w:val="en-GB" w:eastAsia="zh-CN"/>
              </w:rPr>
              <w:t>42,0</w:t>
            </w:r>
          </w:p>
        </w:tc>
        <w:tc>
          <w:tcPr>
            <w:tcW w:w="1418" w:type="dxa"/>
            <w:tcMar>
              <w:top w:w="0" w:type="dxa"/>
              <w:left w:w="57" w:type="dxa"/>
              <w:bottom w:w="0" w:type="dxa"/>
              <w:right w:w="57" w:type="dxa"/>
            </w:tcMar>
          </w:tcPr>
          <w:p w14:paraId="1840F725"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41,0</w:t>
            </w:r>
          </w:p>
        </w:tc>
        <w:tc>
          <w:tcPr>
            <w:tcW w:w="1842" w:type="dxa"/>
            <w:tcBorders>
              <w:right w:val="nil"/>
            </w:tcBorders>
          </w:tcPr>
          <w:p w14:paraId="0F55FE57"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41,0</w:t>
            </w:r>
          </w:p>
        </w:tc>
        <w:tc>
          <w:tcPr>
            <w:tcW w:w="1842" w:type="dxa"/>
            <w:tcBorders>
              <w:left w:val="nil"/>
              <w:right w:val="single" w:sz="8" w:space="0" w:color="auto"/>
            </w:tcBorders>
            <w:tcMar>
              <w:top w:w="0" w:type="dxa"/>
              <w:left w:w="57" w:type="dxa"/>
              <w:bottom w:w="0" w:type="dxa"/>
              <w:right w:w="57" w:type="dxa"/>
            </w:tcMar>
          </w:tcPr>
          <w:p w14:paraId="710B1669"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42,0</w:t>
            </w:r>
          </w:p>
        </w:tc>
      </w:tr>
      <w:tr w:rsidR="00CD5F32" w:rsidRPr="008E61B1" w14:paraId="01607921" w14:textId="77777777" w:rsidTr="00F30AB8">
        <w:trPr>
          <w:cantSplit/>
        </w:trPr>
        <w:tc>
          <w:tcPr>
            <w:tcW w:w="3162" w:type="dxa"/>
            <w:gridSpan w:val="2"/>
            <w:tcBorders>
              <w:left w:val="single" w:sz="4" w:space="0" w:color="auto"/>
              <w:bottom w:val="single" w:sz="4" w:space="0" w:color="auto"/>
            </w:tcBorders>
            <w:tcMar>
              <w:top w:w="0" w:type="dxa"/>
              <w:left w:w="57" w:type="dxa"/>
              <w:bottom w:w="0" w:type="dxa"/>
              <w:right w:w="57" w:type="dxa"/>
            </w:tcMar>
          </w:tcPr>
          <w:p w14:paraId="11623128" w14:textId="77777777" w:rsidR="00CD5F32" w:rsidRPr="006868F5" w:rsidRDefault="00CD5F32" w:rsidP="002F33B1">
            <w:pPr>
              <w:keepNext/>
              <w:keepLines/>
              <w:spacing w:before="50" w:after="50" w:line="240" w:lineRule="exact"/>
              <w:ind w:left="720"/>
              <w:rPr>
                <w:rFonts w:eastAsia="SimSun"/>
                <w:sz w:val="18"/>
                <w:szCs w:val="18"/>
                <w:lang w:val="en-GB" w:eastAsia="zh-CN"/>
              </w:rPr>
            </w:pPr>
            <w:r w:rsidRPr="006868F5">
              <w:rPr>
                <w:rFonts w:eastAsia="SimSun"/>
                <w:sz w:val="18"/>
                <w:szCs w:val="18"/>
                <w:lang w:val="en-GB" w:eastAsia="zh-CN"/>
              </w:rPr>
              <w:t>Mín - Max</w:t>
            </w:r>
          </w:p>
        </w:tc>
        <w:tc>
          <w:tcPr>
            <w:tcW w:w="1540" w:type="dxa"/>
            <w:tcBorders>
              <w:bottom w:val="single" w:sz="4" w:space="0" w:color="auto"/>
            </w:tcBorders>
            <w:tcMar>
              <w:top w:w="0" w:type="dxa"/>
              <w:left w:w="57" w:type="dxa"/>
              <w:bottom w:w="0" w:type="dxa"/>
              <w:right w:w="57" w:type="dxa"/>
            </w:tcMar>
          </w:tcPr>
          <w:p w14:paraId="7F048752" w14:textId="77777777" w:rsidR="00CD5F32" w:rsidRPr="00F30AB8" w:rsidRDefault="00CD5F32" w:rsidP="002F33B1">
            <w:pPr>
              <w:keepNext/>
              <w:keepLines/>
              <w:spacing w:before="50" w:after="50" w:line="240" w:lineRule="exact"/>
              <w:jc w:val="center"/>
              <w:rPr>
                <w:rFonts w:eastAsia="SimSun"/>
                <w:sz w:val="18"/>
                <w:szCs w:val="18"/>
                <w:lang w:val="en-GB" w:eastAsia="zh-CN"/>
              </w:rPr>
            </w:pPr>
            <w:r w:rsidRPr="00F30AB8">
              <w:rPr>
                <w:rFonts w:eastAsia="SimSun"/>
                <w:sz w:val="18"/>
                <w:szCs w:val="18"/>
                <w:lang w:val="en-GB" w:eastAsia="zh-CN"/>
              </w:rPr>
              <w:t>6 - 63</w:t>
            </w:r>
          </w:p>
        </w:tc>
        <w:tc>
          <w:tcPr>
            <w:tcW w:w="1418" w:type="dxa"/>
            <w:tcBorders>
              <w:bottom w:val="single" w:sz="4" w:space="0" w:color="auto"/>
            </w:tcBorders>
            <w:tcMar>
              <w:top w:w="0" w:type="dxa"/>
              <w:left w:w="57" w:type="dxa"/>
              <w:bottom w:w="0" w:type="dxa"/>
              <w:right w:w="57" w:type="dxa"/>
            </w:tcMar>
          </w:tcPr>
          <w:p w14:paraId="6BC8530A"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12 – 82</w:t>
            </w:r>
          </w:p>
        </w:tc>
        <w:tc>
          <w:tcPr>
            <w:tcW w:w="1842" w:type="dxa"/>
            <w:tcBorders>
              <w:bottom w:val="single" w:sz="4" w:space="0" w:color="auto"/>
              <w:right w:val="nil"/>
            </w:tcBorders>
          </w:tcPr>
          <w:p w14:paraId="7F26A961"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1 - 87</w:t>
            </w:r>
          </w:p>
        </w:tc>
        <w:tc>
          <w:tcPr>
            <w:tcW w:w="1842" w:type="dxa"/>
            <w:tcBorders>
              <w:left w:val="nil"/>
              <w:bottom w:val="single" w:sz="4" w:space="0" w:color="auto"/>
              <w:right w:val="single" w:sz="8" w:space="0" w:color="auto"/>
            </w:tcBorders>
            <w:tcMar>
              <w:top w:w="0" w:type="dxa"/>
              <w:left w:w="57" w:type="dxa"/>
              <w:bottom w:w="0" w:type="dxa"/>
              <w:right w:w="57" w:type="dxa"/>
            </w:tcMar>
          </w:tcPr>
          <w:p w14:paraId="093CED18" w14:textId="77777777" w:rsidR="00CD5F32" w:rsidRPr="0099323B" w:rsidRDefault="00CD5F32" w:rsidP="002F33B1">
            <w:pPr>
              <w:keepNext/>
              <w:keepLines/>
              <w:spacing w:before="50" w:after="50" w:line="240" w:lineRule="exact"/>
              <w:jc w:val="center"/>
              <w:rPr>
                <w:rFonts w:eastAsia="SimSun"/>
                <w:sz w:val="18"/>
                <w:szCs w:val="18"/>
                <w:lang w:val="en-GB" w:eastAsia="zh-CN"/>
              </w:rPr>
            </w:pPr>
            <w:r w:rsidRPr="0099323B">
              <w:rPr>
                <w:rFonts w:eastAsia="SimSun"/>
                <w:sz w:val="18"/>
                <w:szCs w:val="18"/>
                <w:lang w:val="en-GB" w:eastAsia="zh-CN"/>
              </w:rPr>
              <w:t>9 - 87</w:t>
            </w:r>
          </w:p>
        </w:tc>
      </w:tr>
    </w:tbl>
    <w:p w14:paraId="6D139E6F" w14:textId="77777777" w:rsidR="0099323B" w:rsidRPr="00F30AB8" w:rsidRDefault="0099323B" w:rsidP="0099323B">
      <w:pPr>
        <w:pStyle w:val="Standard1"/>
        <w:spacing w:line="280" w:lineRule="atLeast"/>
        <w:rPr>
          <w:rFonts w:ascii="Times New Roman" w:eastAsia="Times New Roman" w:hAnsi="Times New Roman"/>
          <w:sz w:val="18"/>
          <w:szCs w:val="18"/>
          <w:lang w:val="en-GB" w:eastAsia="de-DE"/>
        </w:rPr>
      </w:pPr>
      <w:r w:rsidRPr="00F30AB8">
        <w:rPr>
          <w:rFonts w:ascii="Times New Roman" w:eastAsia="Times New Roman" w:hAnsi="Times New Roman"/>
          <w:sz w:val="18"/>
          <w:szCs w:val="18"/>
          <w:lang w:val="en-GB" w:eastAsia="de-DE"/>
        </w:rPr>
        <w:t>SC = subcut</w:t>
      </w:r>
      <w:r>
        <w:rPr>
          <w:rFonts w:ascii="Times New Roman" w:eastAsia="Times New Roman" w:hAnsi="Times New Roman"/>
          <w:sz w:val="18"/>
          <w:szCs w:val="18"/>
          <w:lang w:val="en-GB" w:eastAsia="de-DE"/>
        </w:rPr>
        <w:t>á</w:t>
      </w:r>
      <w:r w:rsidRPr="00F30AB8">
        <w:rPr>
          <w:rFonts w:ascii="Times New Roman" w:eastAsia="Times New Roman" w:hAnsi="Times New Roman"/>
          <w:sz w:val="18"/>
          <w:szCs w:val="18"/>
          <w:lang w:val="en-GB" w:eastAsia="de-DE"/>
        </w:rPr>
        <w:t>neo</w:t>
      </w:r>
    </w:p>
    <w:p w14:paraId="599FA720" w14:textId="6C872996" w:rsidR="00CD5F32" w:rsidRPr="00C22F3F" w:rsidRDefault="00CD5F32" w:rsidP="00CD5F32">
      <w:pPr>
        <w:rPr>
          <w:iCs/>
          <w:lang w:val="es-ES"/>
        </w:rPr>
      </w:pPr>
      <w:r w:rsidRPr="0093490F">
        <w:rPr>
          <w:iCs/>
          <w:lang w:val="es-ES"/>
        </w:rPr>
        <w:t>Se alcanzó el objetivo de eficacia primario</w:t>
      </w:r>
      <w:r w:rsidRPr="0041284B">
        <w:rPr>
          <w:iCs/>
          <w:lang w:val="es-ES"/>
        </w:rPr>
        <w:t xml:space="preserve"> del e</w:t>
      </w:r>
      <w:r>
        <w:rPr>
          <w:iCs/>
          <w:lang w:val="es-ES"/>
        </w:rPr>
        <w:t>nsay</w:t>
      </w:r>
      <w:r w:rsidRPr="0041284B">
        <w:rPr>
          <w:iCs/>
          <w:lang w:val="es-ES"/>
        </w:rPr>
        <w:t>o</w:t>
      </w:r>
      <w:r>
        <w:rPr>
          <w:iCs/>
          <w:lang w:val="es-ES"/>
        </w:rPr>
        <w:t>,</w:t>
      </w:r>
      <w:r w:rsidRPr="0093490F">
        <w:rPr>
          <w:iCs/>
          <w:lang w:val="es-ES"/>
        </w:rPr>
        <w:t xml:space="preserve"> evaluado</w:t>
      </w:r>
      <w:r w:rsidRPr="0041284B">
        <w:rPr>
          <w:iCs/>
          <w:lang w:val="es-ES"/>
        </w:rPr>
        <w:t xml:space="preserve"> por </w:t>
      </w:r>
      <w:r w:rsidRPr="006C05BA">
        <w:rPr>
          <w:iCs/>
          <w:lang w:val="es-ES"/>
        </w:rPr>
        <w:t xml:space="preserve">la proporción de pacientes </w:t>
      </w:r>
      <w:r w:rsidRPr="00C22F3F">
        <w:rPr>
          <w:iCs/>
          <w:lang w:val="es-ES"/>
        </w:rPr>
        <w:t>que lograron la remisión sostenida libre de esteroides en la semana</w:t>
      </w:r>
      <w:r w:rsidR="00BF318B">
        <w:rPr>
          <w:iCs/>
          <w:lang w:val="es-ES"/>
        </w:rPr>
        <w:t> </w:t>
      </w:r>
      <w:r w:rsidRPr="00C22F3F">
        <w:rPr>
          <w:iCs/>
          <w:lang w:val="es-ES"/>
        </w:rPr>
        <w:t xml:space="preserve">52, comparando el grupo de pacientes </w:t>
      </w:r>
      <w:r w:rsidRPr="006868F5">
        <w:rPr>
          <w:iCs/>
          <w:lang w:val="es-ES"/>
        </w:rPr>
        <w:t xml:space="preserve">tratados con </w:t>
      </w:r>
      <w:r w:rsidR="00915C39">
        <w:rPr>
          <w:iCs/>
          <w:lang w:val="es-ES"/>
        </w:rPr>
        <w:t>tocilizumab</w:t>
      </w:r>
      <w:r w:rsidR="00915C39" w:rsidRPr="006868F5">
        <w:rPr>
          <w:iCs/>
          <w:lang w:val="es-ES"/>
        </w:rPr>
        <w:t xml:space="preserve"> </w:t>
      </w:r>
      <w:r w:rsidRPr="0093490F">
        <w:rPr>
          <w:iCs/>
          <w:lang w:val="es-ES"/>
        </w:rPr>
        <w:t>más 26</w:t>
      </w:r>
      <w:r w:rsidR="00DA10D7" w:rsidRPr="00F30AB8">
        <w:rPr>
          <w:rFonts w:eastAsia="SimSun"/>
          <w:b/>
          <w:szCs w:val="22"/>
          <w:lang w:val="es-ES" w:eastAsia="zh-CN"/>
        </w:rPr>
        <w:t> </w:t>
      </w:r>
      <w:r w:rsidRPr="0093490F">
        <w:rPr>
          <w:iCs/>
          <w:lang w:val="es-ES"/>
        </w:rPr>
        <w:t xml:space="preserve">semanas de reducción </w:t>
      </w:r>
      <w:r w:rsidRPr="006868F5">
        <w:rPr>
          <w:iCs/>
          <w:lang w:val="es-ES"/>
        </w:rPr>
        <w:t xml:space="preserve">gradual </w:t>
      </w:r>
      <w:r w:rsidRPr="0093490F">
        <w:rPr>
          <w:iCs/>
          <w:lang w:val="es-ES"/>
        </w:rPr>
        <w:t>de prednisona con el grupo de</w:t>
      </w:r>
      <w:r w:rsidRPr="006868F5">
        <w:rPr>
          <w:iCs/>
          <w:lang w:val="es-ES"/>
        </w:rPr>
        <w:t xml:space="preserve"> pacientes </w:t>
      </w:r>
      <w:r w:rsidRPr="0093490F">
        <w:rPr>
          <w:iCs/>
          <w:lang w:val="es-ES"/>
        </w:rPr>
        <w:t>tratados con</w:t>
      </w:r>
      <w:r w:rsidRPr="006868F5">
        <w:rPr>
          <w:iCs/>
          <w:lang w:val="es-ES"/>
        </w:rPr>
        <w:t xml:space="preserve"> </w:t>
      </w:r>
      <w:r w:rsidRPr="0093490F">
        <w:rPr>
          <w:iCs/>
          <w:lang w:val="es-ES"/>
        </w:rPr>
        <w:t>placebo más 26</w:t>
      </w:r>
      <w:r w:rsidR="00DA10D7" w:rsidRPr="00F30AB8">
        <w:rPr>
          <w:rFonts w:eastAsia="SimSun"/>
          <w:b/>
          <w:szCs w:val="22"/>
          <w:lang w:val="es-ES" w:eastAsia="zh-CN"/>
        </w:rPr>
        <w:t> </w:t>
      </w:r>
      <w:r w:rsidRPr="0093490F">
        <w:rPr>
          <w:iCs/>
          <w:lang w:val="es-ES"/>
        </w:rPr>
        <w:t xml:space="preserve">semanas </w:t>
      </w:r>
      <w:r w:rsidRPr="0041284B">
        <w:rPr>
          <w:iCs/>
          <w:lang w:val="es-ES"/>
        </w:rPr>
        <w:t xml:space="preserve">de reducción </w:t>
      </w:r>
      <w:r w:rsidRPr="006C05BA">
        <w:rPr>
          <w:iCs/>
          <w:lang w:val="es-ES"/>
        </w:rPr>
        <w:t xml:space="preserve">gradual de </w:t>
      </w:r>
      <w:r w:rsidRPr="006868F5">
        <w:rPr>
          <w:iCs/>
          <w:lang w:val="es-ES"/>
        </w:rPr>
        <w:t xml:space="preserve">prednisona </w:t>
      </w:r>
      <w:r w:rsidRPr="0093490F">
        <w:rPr>
          <w:iCs/>
          <w:lang w:val="es-ES"/>
        </w:rPr>
        <w:t>(ver</w:t>
      </w:r>
      <w:r w:rsidRPr="0041284B">
        <w:rPr>
          <w:iCs/>
          <w:lang w:val="es-ES"/>
        </w:rPr>
        <w:t xml:space="preserve"> Tabla</w:t>
      </w:r>
      <w:r w:rsidR="00BF318B">
        <w:rPr>
          <w:iCs/>
          <w:lang w:val="es-ES"/>
        </w:rPr>
        <w:t> </w:t>
      </w:r>
      <w:r>
        <w:rPr>
          <w:iCs/>
          <w:lang w:val="es-ES"/>
        </w:rPr>
        <w:t>4</w:t>
      </w:r>
      <w:r w:rsidRPr="006C05BA">
        <w:rPr>
          <w:iCs/>
          <w:lang w:val="es-ES"/>
        </w:rPr>
        <w:t>).</w:t>
      </w:r>
    </w:p>
    <w:p w14:paraId="5CDB5EA0" w14:textId="77777777" w:rsidR="00CD5F32" w:rsidRPr="00C22F3F" w:rsidRDefault="00CD5F32" w:rsidP="00CD5F32">
      <w:pPr>
        <w:rPr>
          <w:iCs/>
          <w:lang w:val="es-ES"/>
        </w:rPr>
      </w:pPr>
    </w:p>
    <w:p w14:paraId="66C9FE75" w14:textId="4E475D26" w:rsidR="00CD5F32" w:rsidRPr="00C22F3F" w:rsidRDefault="00CD5F32" w:rsidP="00CD5F32">
      <w:pPr>
        <w:rPr>
          <w:iCs/>
          <w:lang w:val="es-ES"/>
        </w:rPr>
      </w:pPr>
      <w:r w:rsidRPr="00C22F3F">
        <w:rPr>
          <w:iCs/>
          <w:lang w:val="es-ES"/>
        </w:rPr>
        <w:t>Se alcanzó el objetivo de eficacia secundario del e</w:t>
      </w:r>
      <w:r>
        <w:rPr>
          <w:iCs/>
          <w:lang w:val="es-ES"/>
        </w:rPr>
        <w:t>nsayo,</w:t>
      </w:r>
      <w:r w:rsidRPr="0093490F">
        <w:rPr>
          <w:iCs/>
          <w:lang w:val="es-ES"/>
        </w:rPr>
        <w:t xml:space="preserve"> </w:t>
      </w:r>
      <w:r w:rsidRPr="0041284B">
        <w:rPr>
          <w:iCs/>
          <w:lang w:val="es-ES"/>
        </w:rPr>
        <w:t xml:space="preserve">también </w:t>
      </w:r>
      <w:r w:rsidRPr="006C05BA">
        <w:rPr>
          <w:iCs/>
          <w:lang w:val="es-ES"/>
        </w:rPr>
        <w:t xml:space="preserve">basado en la proporción de pacientes que lograron la remisión sostenida </w:t>
      </w:r>
      <w:del w:id="1869" w:author="AUTHOR">
        <w:r w:rsidRPr="00C22F3F" w:rsidDel="00174473">
          <w:rPr>
            <w:iCs/>
            <w:lang w:val="es-ES"/>
          </w:rPr>
          <w:delText>libre de esteroides</w:delText>
        </w:r>
      </w:del>
      <w:r w:rsidRPr="00C22F3F">
        <w:rPr>
          <w:iCs/>
          <w:lang w:val="es-ES"/>
        </w:rPr>
        <w:t xml:space="preserve"> en la semana</w:t>
      </w:r>
      <w:r w:rsidR="00BF318B">
        <w:rPr>
          <w:iCs/>
          <w:lang w:val="es-ES"/>
        </w:rPr>
        <w:t> </w:t>
      </w:r>
      <w:r w:rsidRPr="00C22F3F">
        <w:rPr>
          <w:iCs/>
          <w:lang w:val="es-ES"/>
        </w:rPr>
        <w:t>52, comparando tocilizumab más 26</w:t>
      </w:r>
      <w:r w:rsidR="00DA10D7" w:rsidRPr="00F30AB8">
        <w:rPr>
          <w:rFonts w:eastAsia="SimSun"/>
          <w:b/>
          <w:szCs w:val="22"/>
          <w:lang w:val="es-ES" w:eastAsia="zh-CN"/>
        </w:rPr>
        <w:t> </w:t>
      </w:r>
      <w:r w:rsidRPr="00C22F3F">
        <w:rPr>
          <w:iCs/>
          <w:lang w:val="es-ES"/>
        </w:rPr>
        <w:t>semanas de reducción gradual de prednisona con placebo más 52</w:t>
      </w:r>
      <w:r w:rsidR="00BF318B">
        <w:rPr>
          <w:iCs/>
          <w:lang w:val="es-ES"/>
        </w:rPr>
        <w:t> </w:t>
      </w:r>
      <w:r w:rsidRPr="00C22F3F">
        <w:rPr>
          <w:iCs/>
          <w:lang w:val="es-ES"/>
        </w:rPr>
        <w:t>semanas de reducción gra</w:t>
      </w:r>
      <w:r>
        <w:rPr>
          <w:iCs/>
          <w:lang w:val="es-ES"/>
        </w:rPr>
        <w:t>dual de prednisona, (ver Tabla</w:t>
      </w:r>
      <w:r w:rsidR="00BF318B">
        <w:rPr>
          <w:iCs/>
          <w:lang w:val="es-ES"/>
        </w:rPr>
        <w:t> </w:t>
      </w:r>
      <w:r>
        <w:rPr>
          <w:iCs/>
          <w:lang w:val="es-ES"/>
        </w:rPr>
        <w:t>4</w:t>
      </w:r>
      <w:r w:rsidRPr="00C22F3F">
        <w:rPr>
          <w:iCs/>
          <w:lang w:val="es-ES"/>
        </w:rPr>
        <w:t>).</w:t>
      </w:r>
    </w:p>
    <w:p w14:paraId="6E33C2A4" w14:textId="77777777" w:rsidR="00CD5F32" w:rsidRPr="00C22F3F" w:rsidRDefault="00CD5F32" w:rsidP="00CD5F32">
      <w:pPr>
        <w:rPr>
          <w:iCs/>
          <w:lang w:val="es-ES"/>
        </w:rPr>
      </w:pPr>
    </w:p>
    <w:p w14:paraId="52BEFC3F" w14:textId="44DD4401" w:rsidR="00CD5F32" w:rsidRPr="00C22F3F" w:rsidRDefault="00CD5F32" w:rsidP="00CD5F32">
      <w:pPr>
        <w:rPr>
          <w:iCs/>
          <w:lang w:val="es-ES"/>
        </w:rPr>
      </w:pPr>
      <w:r w:rsidRPr="00C22F3F">
        <w:rPr>
          <w:iCs/>
          <w:lang w:val="es-ES"/>
        </w:rPr>
        <w:t xml:space="preserve">Se observó un efecto estadísticamente significativo superior a favor de </w:t>
      </w:r>
      <w:r w:rsidR="00915C39">
        <w:rPr>
          <w:iCs/>
          <w:lang w:val="es-ES"/>
        </w:rPr>
        <w:t>tocilizumab</w:t>
      </w:r>
      <w:r w:rsidRPr="00C22F3F">
        <w:rPr>
          <w:iCs/>
          <w:lang w:val="es-ES"/>
        </w:rPr>
        <w:t xml:space="preserve"> sobre placebo en el logro de la remisión sostenida libre de esteroides en la semana</w:t>
      </w:r>
      <w:r w:rsidR="00DA10D7" w:rsidRPr="00F30AB8">
        <w:rPr>
          <w:rFonts w:eastAsia="SimSun"/>
          <w:b/>
          <w:szCs w:val="22"/>
          <w:lang w:val="es-ES" w:eastAsia="zh-CN"/>
        </w:rPr>
        <w:t> </w:t>
      </w:r>
      <w:r w:rsidRPr="00C22F3F">
        <w:rPr>
          <w:iCs/>
          <w:lang w:val="es-ES"/>
        </w:rPr>
        <w:t xml:space="preserve">52 en el grupo de </w:t>
      </w:r>
      <w:r w:rsidR="00915C39">
        <w:rPr>
          <w:iCs/>
          <w:lang w:val="es-ES"/>
        </w:rPr>
        <w:t>tocilizumab</w:t>
      </w:r>
      <w:r w:rsidRPr="00C22F3F">
        <w:rPr>
          <w:iCs/>
          <w:lang w:val="es-ES"/>
        </w:rPr>
        <w:t xml:space="preserve"> más 26</w:t>
      </w:r>
      <w:r w:rsidR="00DA10D7" w:rsidRPr="00F30AB8">
        <w:rPr>
          <w:rFonts w:eastAsia="SimSun"/>
          <w:b/>
          <w:szCs w:val="22"/>
          <w:lang w:val="es-ES" w:eastAsia="zh-CN"/>
        </w:rPr>
        <w:t> </w:t>
      </w:r>
      <w:r w:rsidRPr="00C22F3F">
        <w:rPr>
          <w:iCs/>
          <w:lang w:val="es-ES"/>
        </w:rPr>
        <w:t>semanas de reducción gradual de prednisona comparado con los grupos de placebo más 26</w:t>
      </w:r>
      <w:r w:rsidR="00DA10D7" w:rsidRPr="00F30AB8">
        <w:rPr>
          <w:rFonts w:eastAsia="SimSun"/>
          <w:b/>
          <w:szCs w:val="22"/>
          <w:lang w:val="es-ES" w:eastAsia="zh-CN"/>
        </w:rPr>
        <w:t> </w:t>
      </w:r>
      <w:r w:rsidRPr="00C22F3F">
        <w:rPr>
          <w:iCs/>
          <w:lang w:val="es-ES"/>
        </w:rPr>
        <w:t>semanas de reducción gradual de prednisona</w:t>
      </w:r>
      <w:r>
        <w:rPr>
          <w:iCs/>
          <w:lang w:val="es-ES"/>
        </w:rPr>
        <w:t>,</w:t>
      </w:r>
      <w:r w:rsidRPr="00C22F3F">
        <w:rPr>
          <w:iCs/>
          <w:lang w:val="es-ES"/>
        </w:rPr>
        <w:t xml:space="preserve"> y con placebo más 52</w:t>
      </w:r>
      <w:r w:rsidR="00DA10D7" w:rsidRPr="00F30AB8">
        <w:rPr>
          <w:rFonts w:eastAsia="SimSun"/>
          <w:b/>
          <w:szCs w:val="22"/>
          <w:lang w:val="es-ES" w:eastAsia="zh-CN"/>
        </w:rPr>
        <w:t> </w:t>
      </w:r>
      <w:r w:rsidRPr="00C22F3F">
        <w:rPr>
          <w:iCs/>
          <w:lang w:val="es-ES"/>
        </w:rPr>
        <w:t>semanas de reducción gradual de prednisona.</w:t>
      </w:r>
    </w:p>
    <w:p w14:paraId="03DFE1AB" w14:textId="77777777" w:rsidR="00CD5F32" w:rsidRPr="00C22F3F" w:rsidRDefault="00CD5F32" w:rsidP="00CD5F32">
      <w:pPr>
        <w:rPr>
          <w:iCs/>
          <w:lang w:val="es-ES"/>
        </w:rPr>
      </w:pPr>
    </w:p>
    <w:p w14:paraId="3EE11C5C" w14:textId="07628D8E" w:rsidR="00CD5F32" w:rsidRPr="00C22F3F" w:rsidRDefault="00CD5F32" w:rsidP="00CD5F32">
      <w:pPr>
        <w:rPr>
          <w:iCs/>
          <w:lang w:val="es-ES"/>
        </w:rPr>
      </w:pPr>
      <w:r w:rsidRPr="00C22F3F">
        <w:rPr>
          <w:iCs/>
          <w:lang w:val="es-ES"/>
        </w:rPr>
        <w:t>El porcentaje de pacientes que alcanzan la remisión sostenida en la sema</w:t>
      </w:r>
      <w:r>
        <w:rPr>
          <w:iCs/>
          <w:lang w:val="es-ES"/>
        </w:rPr>
        <w:t>na</w:t>
      </w:r>
      <w:r w:rsidR="00DA10D7" w:rsidRPr="00F30AB8">
        <w:rPr>
          <w:rFonts w:eastAsia="SimSun"/>
          <w:b/>
          <w:szCs w:val="22"/>
          <w:lang w:val="es-ES" w:eastAsia="zh-CN"/>
        </w:rPr>
        <w:t> </w:t>
      </w:r>
      <w:r>
        <w:rPr>
          <w:iCs/>
          <w:lang w:val="es-ES"/>
        </w:rPr>
        <w:t>52, se muestran en la Tabla</w:t>
      </w:r>
      <w:r w:rsidR="00DA10D7" w:rsidRPr="00F30AB8">
        <w:rPr>
          <w:rFonts w:eastAsia="SimSun"/>
          <w:b/>
          <w:szCs w:val="22"/>
          <w:lang w:val="es-ES" w:eastAsia="zh-CN"/>
        </w:rPr>
        <w:t> </w:t>
      </w:r>
      <w:r>
        <w:rPr>
          <w:iCs/>
          <w:lang w:val="es-ES"/>
        </w:rPr>
        <w:t>4</w:t>
      </w:r>
      <w:r w:rsidRPr="00C22F3F">
        <w:rPr>
          <w:iCs/>
          <w:lang w:val="es-ES"/>
        </w:rPr>
        <w:t>.</w:t>
      </w:r>
    </w:p>
    <w:p w14:paraId="5D09DAF3" w14:textId="77777777" w:rsidR="00CD5F32" w:rsidRPr="00C22F3F" w:rsidRDefault="00CD5F32" w:rsidP="00CD5F32">
      <w:pPr>
        <w:rPr>
          <w:iCs/>
          <w:lang w:val="es-ES"/>
        </w:rPr>
      </w:pPr>
    </w:p>
    <w:p w14:paraId="5E217AD6" w14:textId="77777777" w:rsidR="00CD5F32" w:rsidRPr="00F30AB8" w:rsidRDefault="00CD5F32" w:rsidP="00CD5F32">
      <w:pPr>
        <w:rPr>
          <w:i/>
          <w:szCs w:val="24"/>
          <w:u w:val="single"/>
          <w:lang w:val="es-ES" w:eastAsia="de-DE"/>
        </w:rPr>
      </w:pPr>
      <w:r w:rsidRPr="00F30AB8">
        <w:rPr>
          <w:i/>
          <w:szCs w:val="24"/>
          <w:u w:val="single"/>
          <w:lang w:val="es-ES" w:eastAsia="de-DE"/>
        </w:rPr>
        <w:t>Variables secundarias</w:t>
      </w:r>
    </w:p>
    <w:p w14:paraId="4572466C" w14:textId="2E18C9CA" w:rsidR="00CD5F32" w:rsidRPr="00C22F3F" w:rsidRDefault="00CD5F32" w:rsidP="00CD5F32">
      <w:pPr>
        <w:rPr>
          <w:iCs/>
          <w:lang w:val="es-ES"/>
        </w:rPr>
      </w:pPr>
      <w:r w:rsidRPr="0093490F">
        <w:rPr>
          <w:iCs/>
          <w:lang w:val="es-ES"/>
        </w:rPr>
        <w:lastRenderedPageBreak/>
        <w:t>La evaluación del tiempo hasta el primer brote de A</w:t>
      </w:r>
      <w:r w:rsidRPr="0041284B">
        <w:rPr>
          <w:iCs/>
          <w:lang w:val="es-ES"/>
        </w:rPr>
        <w:t>CG mostró un riesgo signi</w:t>
      </w:r>
      <w:r w:rsidRPr="006C05BA">
        <w:rPr>
          <w:iCs/>
          <w:lang w:val="es-ES"/>
        </w:rPr>
        <w:t xml:space="preserve">ficativamente menor de </w:t>
      </w:r>
      <w:r w:rsidRPr="00C22F3F">
        <w:rPr>
          <w:iCs/>
          <w:lang w:val="es-ES"/>
        </w:rPr>
        <w:t xml:space="preserve">brote para el grupo semanal de </w:t>
      </w:r>
      <w:r w:rsidR="00915C39">
        <w:rPr>
          <w:iCs/>
          <w:lang w:val="es-ES"/>
        </w:rPr>
        <w:t>tocilizumab</w:t>
      </w:r>
      <w:r w:rsidRPr="00C22F3F">
        <w:rPr>
          <w:iCs/>
          <w:lang w:val="es-ES"/>
        </w:rPr>
        <w:t xml:space="preserve"> subcutáneo en comparación con los grupos de placebo más 26 semanas y placebo más 52 semanas de reducción gradual de prednisona</w:t>
      </w:r>
      <w:r>
        <w:rPr>
          <w:iCs/>
          <w:lang w:val="es-ES"/>
        </w:rPr>
        <w:t>;</w:t>
      </w:r>
      <w:r w:rsidRPr="00C22F3F">
        <w:rPr>
          <w:iCs/>
          <w:lang w:val="es-ES"/>
        </w:rPr>
        <w:t xml:space="preserve"> y para el grupo de </w:t>
      </w:r>
      <w:r w:rsidR="00915C39">
        <w:rPr>
          <w:iCs/>
          <w:lang w:val="es-ES"/>
        </w:rPr>
        <w:t>tocilizumab</w:t>
      </w:r>
      <w:r w:rsidRPr="00C22F3F">
        <w:rPr>
          <w:iCs/>
          <w:lang w:val="es-ES"/>
        </w:rPr>
        <w:t xml:space="preserve"> subcutáneo </w:t>
      </w:r>
      <w:del w:id="1870" w:author="AUTHOR">
        <w:r w:rsidRPr="00C22F3F" w:rsidDel="009F26E0">
          <w:rPr>
            <w:iCs/>
            <w:lang w:val="es-ES"/>
          </w:rPr>
          <w:delText>bisemanal</w:delText>
        </w:r>
      </w:del>
      <w:ins w:id="1871" w:author="AUTHOR">
        <w:r w:rsidR="009F26E0">
          <w:rPr>
            <w:iCs/>
            <w:lang w:val="es-ES"/>
          </w:rPr>
          <w:t>cada dos semanas</w:t>
        </w:r>
      </w:ins>
      <w:r w:rsidRPr="00C22F3F">
        <w:rPr>
          <w:iCs/>
          <w:lang w:val="es-ES"/>
        </w:rPr>
        <w:t xml:space="preserve"> comparado con placebo más 26 semanas de reducción gradual de prednisona (cuando se comparó con un nivel de significación de 0,01). La dosis semanal subcutánea de </w:t>
      </w:r>
      <w:r w:rsidR="00915C39">
        <w:rPr>
          <w:iCs/>
          <w:lang w:val="es-ES"/>
        </w:rPr>
        <w:t>tocilizumab</w:t>
      </w:r>
      <w:r w:rsidRPr="00C22F3F">
        <w:rPr>
          <w:iCs/>
          <w:lang w:val="es-ES"/>
        </w:rPr>
        <w:t xml:space="preserve"> también mostró una disminución clínicamente significativa en el riesgo de brote comparado con placebo más 26 semanas de reducción gradual de prednisona en pacientes que entraron en el ensayo con ACG recurrente, así como aquellos con enfermedad</w:t>
      </w:r>
      <w:r>
        <w:rPr>
          <w:iCs/>
          <w:lang w:val="es-ES"/>
        </w:rPr>
        <w:t xml:space="preserve"> de inicio reciente (ver Tabla</w:t>
      </w:r>
      <w:r w:rsidR="00BF318B">
        <w:rPr>
          <w:iCs/>
          <w:lang w:val="es-ES"/>
        </w:rPr>
        <w:t> </w:t>
      </w:r>
      <w:r>
        <w:rPr>
          <w:iCs/>
          <w:lang w:val="es-ES"/>
        </w:rPr>
        <w:t>4</w:t>
      </w:r>
      <w:r w:rsidRPr="00C22F3F">
        <w:rPr>
          <w:iCs/>
          <w:lang w:val="es-ES"/>
        </w:rPr>
        <w:t xml:space="preserve">). </w:t>
      </w:r>
    </w:p>
    <w:p w14:paraId="4C047F8A" w14:textId="77777777" w:rsidR="00CD5F32" w:rsidRPr="00C22F3F" w:rsidRDefault="00CD5F32" w:rsidP="00CD5F32">
      <w:pPr>
        <w:rPr>
          <w:iCs/>
          <w:lang w:val="es-ES"/>
        </w:rPr>
      </w:pPr>
    </w:p>
    <w:p w14:paraId="639DB6F5" w14:textId="77777777" w:rsidR="00CD5F32" w:rsidRPr="00F30AB8" w:rsidRDefault="00CD5F32" w:rsidP="00CD5F32">
      <w:pPr>
        <w:rPr>
          <w:i/>
          <w:szCs w:val="24"/>
          <w:u w:val="single"/>
          <w:lang w:val="es-ES" w:eastAsia="de-DE"/>
        </w:rPr>
      </w:pPr>
      <w:r w:rsidRPr="00F30AB8">
        <w:rPr>
          <w:i/>
          <w:szCs w:val="24"/>
          <w:u w:val="single"/>
          <w:lang w:val="es-ES" w:eastAsia="de-DE"/>
        </w:rPr>
        <w:t>Dosis acumulada de glucocorticoides</w:t>
      </w:r>
    </w:p>
    <w:p w14:paraId="3480CF70" w14:textId="230EF02F" w:rsidR="00CD5F32" w:rsidRDefault="00CD5F32" w:rsidP="00CD5F32">
      <w:pPr>
        <w:rPr>
          <w:iCs/>
          <w:lang w:val="es-ES"/>
        </w:rPr>
      </w:pPr>
      <w:r w:rsidRPr="006C05BA">
        <w:rPr>
          <w:iCs/>
          <w:lang w:val="es-ES"/>
        </w:rPr>
        <w:t xml:space="preserve">La dosis acumulada de prednisona </w:t>
      </w:r>
      <w:r w:rsidRPr="00C22F3F">
        <w:rPr>
          <w:iCs/>
          <w:lang w:val="es-ES"/>
        </w:rPr>
        <w:t>en la semana</w:t>
      </w:r>
      <w:r w:rsidR="00DA10D7" w:rsidRPr="00F30AB8">
        <w:rPr>
          <w:rFonts w:eastAsia="SimSun"/>
          <w:b/>
          <w:szCs w:val="22"/>
          <w:lang w:val="es-ES" w:eastAsia="zh-CN"/>
        </w:rPr>
        <w:t> </w:t>
      </w:r>
      <w:r w:rsidRPr="00C22F3F">
        <w:rPr>
          <w:iCs/>
          <w:lang w:val="es-ES"/>
        </w:rPr>
        <w:t xml:space="preserve">52 fue significativamente menor en los dos grupos de dosis de </w:t>
      </w:r>
      <w:r w:rsidR="00915C39">
        <w:rPr>
          <w:iCs/>
          <w:lang w:val="es-ES"/>
        </w:rPr>
        <w:t>tocilizumab</w:t>
      </w:r>
      <w:r w:rsidRPr="00C22F3F">
        <w:rPr>
          <w:iCs/>
          <w:lang w:val="es-ES"/>
        </w:rPr>
        <w:t xml:space="preserve"> en comparación con los dos grupos de pl</w:t>
      </w:r>
      <w:r>
        <w:rPr>
          <w:iCs/>
          <w:lang w:val="es-ES"/>
        </w:rPr>
        <w:t>acebo (ver Tabla</w:t>
      </w:r>
      <w:r w:rsidR="00BF318B">
        <w:rPr>
          <w:iCs/>
          <w:lang w:val="es-ES"/>
        </w:rPr>
        <w:t> </w:t>
      </w:r>
      <w:r w:rsidR="00E610D8">
        <w:rPr>
          <w:iCs/>
          <w:lang w:val="es-ES"/>
        </w:rPr>
        <w:t>4</w:t>
      </w:r>
      <w:r w:rsidRPr="00C22F3F">
        <w:rPr>
          <w:iCs/>
          <w:lang w:val="es-ES"/>
        </w:rPr>
        <w:t>). En un análisis separado de los pacientes que recibieron tratamiento de rescate con prednisona para tratar el brote de ACG durante las primeras 52</w:t>
      </w:r>
      <w:r w:rsidR="00DA10D7" w:rsidRPr="00F30AB8">
        <w:rPr>
          <w:rFonts w:eastAsia="SimSun"/>
          <w:b/>
          <w:szCs w:val="22"/>
          <w:lang w:val="es-ES" w:eastAsia="zh-CN"/>
        </w:rPr>
        <w:t> </w:t>
      </w:r>
      <w:r w:rsidRPr="00C22F3F">
        <w:rPr>
          <w:iCs/>
          <w:lang w:val="es-ES"/>
        </w:rPr>
        <w:t>semanas, la dosis acumulativa de prednisona varió mucho. La</w:t>
      </w:r>
      <w:r>
        <w:rPr>
          <w:iCs/>
          <w:lang w:val="es-ES"/>
        </w:rPr>
        <w:t>s</w:t>
      </w:r>
      <w:r w:rsidRPr="00C22F3F">
        <w:rPr>
          <w:iCs/>
          <w:lang w:val="es-ES"/>
        </w:rPr>
        <w:t xml:space="preserve"> dosis media</w:t>
      </w:r>
      <w:r>
        <w:rPr>
          <w:iCs/>
          <w:lang w:val="es-ES"/>
        </w:rPr>
        <w:t>s</w:t>
      </w:r>
      <w:r w:rsidRPr="00C22F3F">
        <w:rPr>
          <w:iCs/>
          <w:lang w:val="es-ES"/>
        </w:rPr>
        <w:t xml:space="preserve"> de rescate para los pacientes de los grupos de administración de </w:t>
      </w:r>
      <w:r w:rsidR="00915C39">
        <w:rPr>
          <w:iCs/>
          <w:lang w:val="es-ES"/>
        </w:rPr>
        <w:t>tocilizumab</w:t>
      </w:r>
      <w:r w:rsidRPr="00C22F3F">
        <w:rPr>
          <w:iCs/>
          <w:lang w:val="es-ES"/>
        </w:rPr>
        <w:t xml:space="preserve"> semanal y </w:t>
      </w:r>
      <w:del w:id="1872" w:author="AUTHOR">
        <w:r w:rsidRPr="00C22F3F" w:rsidDel="009F26E0">
          <w:rPr>
            <w:iCs/>
            <w:lang w:val="es-ES"/>
          </w:rPr>
          <w:delText>bisemanal</w:delText>
        </w:r>
      </w:del>
      <w:ins w:id="1873" w:author="AUTHOR">
        <w:r w:rsidR="009F26E0">
          <w:rPr>
            <w:iCs/>
            <w:lang w:val="es-ES"/>
          </w:rPr>
          <w:t>cada dos semanas</w:t>
        </w:r>
      </w:ins>
      <w:r w:rsidRPr="00C22F3F">
        <w:rPr>
          <w:iCs/>
          <w:lang w:val="es-ES"/>
        </w:rPr>
        <w:t xml:space="preserve"> fueron 3.129,75</w:t>
      </w:r>
      <w:r w:rsidR="00DA10D7" w:rsidRPr="00F30AB8">
        <w:rPr>
          <w:rFonts w:eastAsia="SimSun"/>
          <w:b/>
          <w:szCs w:val="22"/>
          <w:lang w:val="es-ES" w:eastAsia="zh-CN"/>
        </w:rPr>
        <w:t> </w:t>
      </w:r>
      <w:r w:rsidRPr="00C22F3F">
        <w:rPr>
          <w:iCs/>
          <w:lang w:val="es-ES"/>
        </w:rPr>
        <w:t>mg y 3.847</w:t>
      </w:r>
      <w:r w:rsidR="00DA10D7" w:rsidRPr="00F30AB8">
        <w:rPr>
          <w:rFonts w:eastAsia="SimSun"/>
          <w:b/>
          <w:szCs w:val="22"/>
          <w:lang w:val="es-ES" w:eastAsia="zh-CN"/>
        </w:rPr>
        <w:t> </w:t>
      </w:r>
      <w:r w:rsidRPr="00C22F3F">
        <w:rPr>
          <w:iCs/>
          <w:lang w:val="es-ES"/>
        </w:rPr>
        <w:t>mg, respectivamente. Amb</w:t>
      </w:r>
      <w:r>
        <w:rPr>
          <w:iCs/>
          <w:lang w:val="es-ES"/>
        </w:rPr>
        <w:t>a</w:t>
      </w:r>
      <w:r w:rsidRPr="00C22F3F">
        <w:rPr>
          <w:iCs/>
          <w:lang w:val="es-ES"/>
        </w:rPr>
        <w:t>s considerablemente más baj</w:t>
      </w:r>
      <w:r>
        <w:rPr>
          <w:iCs/>
          <w:lang w:val="es-ES"/>
        </w:rPr>
        <w:t>a</w:t>
      </w:r>
      <w:r w:rsidRPr="00C22F3F">
        <w:rPr>
          <w:iCs/>
          <w:lang w:val="es-ES"/>
        </w:rPr>
        <w:t>s que en el grupo de placebo más 26</w:t>
      </w:r>
      <w:r w:rsidR="00DA10D7" w:rsidRPr="00F30AB8">
        <w:rPr>
          <w:rFonts w:eastAsia="SimSun"/>
          <w:b/>
          <w:szCs w:val="22"/>
          <w:lang w:val="es-ES" w:eastAsia="zh-CN"/>
        </w:rPr>
        <w:t> </w:t>
      </w:r>
      <w:r w:rsidRPr="00C22F3F">
        <w:rPr>
          <w:iCs/>
          <w:lang w:val="es-ES"/>
        </w:rPr>
        <w:t>semanas de reducción gradual de prednisona y el grupo de placebo más 52</w:t>
      </w:r>
      <w:r w:rsidR="00DA10D7" w:rsidRPr="00F30AB8">
        <w:rPr>
          <w:rFonts w:eastAsia="SimSun"/>
          <w:b/>
          <w:szCs w:val="22"/>
          <w:lang w:val="es-ES" w:eastAsia="zh-CN"/>
        </w:rPr>
        <w:t> </w:t>
      </w:r>
      <w:r w:rsidRPr="00C22F3F">
        <w:rPr>
          <w:iCs/>
          <w:lang w:val="es-ES"/>
        </w:rPr>
        <w:t>semanas de reducción gradual de prednisona, 4.023,5</w:t>
      </w:r>
      <w:r w:rsidR="00DA10D7" w:rsidRPr="00F30AB8">
        <w:rPr>
          <w:rFonts w:eastAsia="SimSun"/>
          <w:b/>
          <w:szCs w:val="22"/>
          <w:lang w:val="es-ES" w:eastAsia="zh-CN"/>
        </w:rPr>
        <w:t> </w:t>
      </w:r>
      <w:r w:rsidRPr="00C22F3F">
        <w:rPr>
          <w:iCs/>
          <w:lang w:val="es-ES"/>
        </w:rPr>
        <w:t>mg y 5.389,5</w:t>
      </w:r>
      <w:r w:rsidR="00DA10D7" w:rsidRPr="00F30AB8">
        <w:rPr>
          <w:rFonts w:eastAsia="SimSun"/>
          <w:b/>
          <w:szCs w:val="22"/>
          <w:lang w:val="es-ES" w:eastAsia="zh-CN"/>
        </w:rPr>
        <w:t> </w:t>
      </w:r>
      <w:r w:rsidRPr="00C22F3F">
        <w:rPr>
          <w:iCs/>
          <w:lang w:val="es-ES"/>
        </w:rPr>
        <w:t>mg, respectivamente.</w:t>
      </w:r>
    </w:p>
    <w:p w14:paraId="4CA2CDE2" w14:textId="77777777" w:rsidR="00CD5F32" w:rsidRDefault="00CD5F32" w:rsidP="00CD5F32">
      <w:pPr>
        <w:rPr>
          <w:iCs/>
          <w:lang w:val="es-ES"/>
        </w:rPr>
      </w:pPr>
    </w:p>
    <w:p w14:paraId="1CC13AE9" w14:textId="77777777" w:rsidR="00CD5F32" w:rsidRDefault="00CD5F32" w:rsidP="00FF2AFA">
      <w:pPr>
        <w:widowControl w:val="0"/>
        <w:numPr>
          <w:ilvl w:val="12"/>
          <w:numId w:val="0"/>
        </w:numPr>
        <w:ind w:right="-2"/>
        <w:rPr>
          <w:bCs/>
          <w:i/>
          <w:szCs w:val="22"/>
          <w:lang w:val="es-ES"/>
        </w:rPr>
      </w:pPr>
      <w:r w:rsidRPr="00464CAF">
        <w:rPr>
          <w:i/>
          <w:iCs/>
          <w:lang w:val="es-ES"/>
        </w:rPr>
        <w:t xml:space="preserve">Tabla </w:t>
      </w:r>
      <w:r>
        <w:rPr>
          <w:i/>
          <w:iCs/>
          <w:lang w:val="es-ES"/>
        </w:rPr>
        <w:t>4</w:t>
      </w:r>
      <w:r w:rsidRPr="006868F5">
        <w:rPr>
          <w:i/>
          <w:iCs/>
          <w:lang w:val="es-ES"/>
        </w:rPr>
        <w:t>. Resultados de eficacia del e</w:t>
      </w:r>
      <w:r>
        <w:rPr>
          <w:i/>
          <w:iCs/>
          <w:lang w:val="es-ES"/>
        </w:rPr>
        <w:t>nsay</w:t>
      </w:r>
      <w:r w:rsidRPr="006868F5">
        <w:rPr>
          <w:i/>
          <w:iCs/>
          <w:lang w:val="es-ES"/>
        </w:rPr>
        <w:t>o</w:t>
      </w:r>
      <w:r>
        <w:rPr>
          <w:iCs/>
          <w:lang w:val="es-ES"/>
        </w:rPr>
        <w:t xml:space="preserve"> </w:t>
      </w:r>
      <w:r w:rsidRPr="006868F5">
        <w:rPr>
          <w:bCs/>
          <w:i/>
          <w:szCs w:val="22"/>
          <w:lang w:val="es-ES"/>
        </w:rPr>
        <w:t xml:space="preserve">WA28119 </w:t>
      </w:r>
    </w:p>
    <w:p w14:paraId="3BFDAE06" w14:textId="77777777" w:rsidR="00CD5F32" w:rsidRDefault="00CD5F32" w:rsidP="00FF2AFA">
      <w:pPr>
        <w:widowControl w:val="0"/>
        <w:numPr>
          <w:ilvl w:val="12"/>
          <w:numId w:val="0"/>
        </w:numPr>
        <w:ind w:right="-2"/>
        <w:rPr>
          <w:bCs/>
          <w:i/>
          <w:szCs w:val="22"/>
          <w:lang w:val="es-ES"/>
        </w:rPr>
      </w:pPr>
    </w:p>
    <w:tbl>
      <w:tblPr>
        <w:tblW w:w="10346" w:type="dxa"/>
        <w:tblInd w:w="-577" w:type="dxa"/>
        <w:tblLayout w:type="fixed"/>
        <w:tblCellMar>
          <w:left w:w="0" w:type="dxa"/>
          <w:right w:w="0" w:type="dxa"/>
        </w:tblCellMar>
        <w:tblLook w:val="04A0" w:firstRow="1" w:lastRow="0" w:firstColumn="1" w:lastColumn="0" w:noHBand="0" w:noVBand="1"/>
      </w:tblPr>
      <w:tblGrid>
        <w:gridCol w:w="3685"/>
        <w:gridCol w:w="142"/>
        <w:gridCol w:w="425"/>
        <w:gridCol w:w="283"/>
        <w:gridCol w:w="709"/>
        <w:gridCol w:w="210"/>
        <w:gridCol w:w="1208"/>
        <w:gridCol w:w="1842"/>
        <w:gridCol w:w="1842"/>
      </w:tblGrid>
      <w:tr w:rsidR="00CD5F32" w:rsidRPr="006868F5" w14:paraId="33BDA931" w14:textId="77777777" w:rsidTr="00FF2AFA">
        <w:trPr>
          <w:cantSplit/>
          <w:tblHeader/>
        </w:trPr>
        <w:tc>
          <w:tcPr>
            <w:tcW w:w="3685"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0E09EA8F" w14:textId="77777777" w:rsidR="00CD5F32" w:rsidRPr="006868F5" w:rsidRDefault="00CD5F32" w:rsidP="003569D6">
            <w:pPr>
              <w:widowControl w:val="0"/>
              <w:spacing w:before="50" w:after="50" w:line="240" w:lineRule="exact"/>
              <w:rPr>
                <w:rFonts w:eastAsia="SimSun"/>
                <w:strike/>
                <w:sz w:val="18"/>
                <w:szCs w:val="18"/>
                <w:lang w:val="es-ES" w:eastAsia="zh-CN"/>
              </w:rPr>
            </w:pPr>
          </w:p>
        </w:tc>
        <w:tc>
          <w:tcPr>
            <w:tcW w:w="1559" w:type="dxa"/>
            <w:gridSpan w:val="4"/>
            <w:tcBorders>
              <w:top w:val="single" w:sz="8" w:space="0" w:color="auto"/>
              <w:left w:val="nil"/>
              <w:bottom w:val="single" w:sz="8" w:space="0" w:color="auto"/>
              <w:right w:val="nil"/>
            </w:tcBorders>
            <w:tcMar>
              <w:top w:w="0" w:type="dxa"/>
              <w:left w:w="57" w:type="dxa"/>
              <w:bottom w:w="0" w:type="dxa"/>
              <w:right w:w="57" w:type="dxa"/>
            </w:tcMar>
          </w:tcPr>
          <w:p w14:paraId="2D782347" w14:textId="77777777" w:rsidR="00CD5F32" w:rsidRPr="006868F5" w:rsidRDefault="00CD5F32" w:rsidP="003569D6">
            <w:pPr>
              <w:widowControl w:val="0"/>
              <w:spacing w:before="50" w:after="50" w:line="240" w:lineRule="exact"/>
              <w:jc w:val="center"/>
              <w:rPr>
                <w:rFonts w:eastAsia="SimSun"/>
                <w:b/>
                <w:sz w:val="18"/>
                <w:szCs w:val="18"/>
                <w:lang w:val="es-ES" w:eastAsia="zh-CN"/>
              </w:rPr>
            </w:pPr>
            <w:r w:rsidRPr="006868F5">
              <w:rPr>
                <w:rFonts w:eastAsia="SimSun"/>
                <w:b/>
                <w:sz w:val="18"/>
                <w:szCs w:val="18"/>
                <w:lang w:val="es-ES" w:eastAsia="zh-CN"/>
              </w:rPr>
              <w:t xml:space="preserve">Placebo + 26 semanas de reducción </w:t>
            </w:r>
            <w:r>
              <w:rPr>
                <w:rFonts w:eastAsia="SimSun"/>
                <w:b/>
                <w:sz w:val="18"/>
                <w:szCs w:val="18"/>
                <w:lang w:val="es-ES" w:eastAsia="zh-CN"/>
              </w:rPr>
              <w:t xml:space="preserve">gradual </w:t>
            </w:r>
            <w:r w:rsidRPr="006868F5">
              <w:rPr>
                <w:rFonts w:eastAsia="SimSun"/>
                <w:b/>
                <w:sz w:val="18"/>
                <w:szCs w:val="18"/>
                <w:lang w:val="es-ES" w:eastAsia="zh-CN"/>
              </w:rPr>
              <w:t xml:space="preserve">de </w:t>
            </w:r>
            <w:r w:rsidRPr="005A4606">
              <w:rPr>
                <w:rFonts w:eastAsia="SimSun"/>
                <w:b/>
                <w:sz w:val="18"/>
                <w:szCs w:val="18"/>
                <w:lang w:val="es-ES" w:eastAsia="zh-CN"/>
              </w:rPr>
              <w:t>prednison</w:t>
            </w:r>
            <w:r>
              <w:rPr>
                <w:rFonts w:eastAsia="SimSun"/>
                <w:b/>
                <w:sz w:val="18"/>
                <w:szCs w:val="18"/>
                <w:lang w:val="es-ES" w:eastAsia="zh-CN"/>
              </w:rPr>
              <w:t>a</w:t>
            </w:r>
          </w:p>
          <w:p w14:paraId="74EE1E86" w14:textId="77777777" w:rsidR="00CD5F32" w:rsidRPr="008E23C3" w:rsidRDefault="00CD5F32" w:rsidP="003569D6">
            <w:pPr>
              <w:widowControl w:val="0"/>
              <w:spacing w:before="50" w:after="50" w:line="240" w:lineRule="exact"/>
              <w:jc w:val="center"/>
              <w:rPr>
                <w:rFonts w:eastAsia="SimSun"/>
                <w:b/>
                <w:sz w:val="18"/>
                <w:szCs w:val="18"/>
                <w:lang w:val="es-ES" w:eastAsia="zh-CN"/>
              </w:rPr>
            </w:pPr>
          </w:p>
          <w:p w14:paraId="6E1602AC" w14:textId="77777777" w:rsidR="00CD5F32" w:rsidRPr="009030C1" w:rsidRDefault="00CD5F32" w:rsidP="003569D6">
            <w:pPr>
              <w:widowControl w:val="0"/>
              <w:spacing w:before="50" w:after="50" w:line="240" w:lineRule="exact"/>
              <w:jc w:val="center"/>
              <w:rPr>
                <w:rFonts w:eastAsia="SimSun"/>
                <w:b/>
                <w:sz w:val="18"/>
                <w:szCs w:val="18"/>
                <w:lang w:val="en-GB" w:eastAsia="zh-CN"/>
              </w:rPr>
            </w:pPr>
            <w:r w:rsidRPr="009030C1">
              <w:rPr>
                <w:rFonts w:eastAsia="SimSun"/>
                <w:b/>
                <w:sz w:val="18"/>
                <w:szCs w:val="18"/>
                <w:lang w:val="en-GB" w:eastAsia="zh-CN"/>
              </w:rPr>
              <w:t>N=50</w:t>
            </w:r>
          </w:p>
        </w:tc>
        <w:tc>
          <w:tcPr>
            <w:tcW w:w="1418" w:type="dxa"/>
            <w:gridSpan w:val="2"/>
            <w:tcBorders>
              <w:top w:val="single" w:sz="8" w:space="0" w:color="auto"/>
              <w:left w:val="nil"/>
              <w:bottom w:val="single" w:sz="8" w:space="0" w:color="auto"/>
              <w:right w:val="nil"/>
            </w:tcBorders>
            <w:tcMar>
              <w:top w:w="0" w:type="dxa"/>
              <w:left w:w="57" w:type="dxa"/>
              <w:bottom w:w="0" w:type="dxa"/>
              <w:right w:w="57" w:type="dxa"/>
            </w:tcMar>
          </w:tcPr>
          <w:p w14:paraId="5D717466" w14:textId="77777777" w:rsidR="00CD5F32" w:rsidRPr="006868F5" w:rsidRDefault="00CD5F32" w:rsidP="003569D6">
            <w:pPr>
              <w:widowControl w:val="0"/>
              <w:spacing w:before="50" w:after="50" w:line="240" w:lineRule="exact"/>
              <w:jc w:val="center"/>
              <w:rPr>
                <w:rFonts w:eastAsia="SimSun"/>
                <w:b/>
                <w:sz w:val="18"/>
                <w:szCs w:val="18"/>
                <w:lang w:val="es-ES" w:eastAsia="zh-CN"/>
              </w:rPr>
            </w:pPr>
            <w:r w:rsidRPr="006868F5">
              <w:rPr>
                <w:rFonts w:eastAsia="SimSun"/>
                <w:b/>
                <w:sz w:val="18"/>
                <w:szCs w:val="18"/>
                <w:lang w:val="es-ES" w:eastAsia="zh-CN"/>
              </w:rPr>
              <w:t xml:space="preserve">Placebo + 52 </w:t>
            </w:r>
          </w:p>
          <w:p w14:paraId="648B46E4" w14:textId="77777777" w:rsidR="00CD5F32" w:rsidRPr="006868F5" w:rsidRDefault="00CD5F32" w:rsidP="003569D6">
            <w:pPr>
              <w:widowControl w:val="0"/>
              <w:spacing w:before="50" w:after="50" w:line="240" w:lineRule="exact"/>
              <w:jc w:val="center"/>
              <w:rPr>
                <w:rFonts w:eastAsia="SimSun"/>
                <w:b/>
                <w:sz w:val="18"/>
                <w:szCs w:val="18"/>
                <w:lang w:val="es-ES" w:eastAsia="zh-CN"/>
              </w:rPr>
            </w:pPr>
            <w:r>
              <w:rPr>
                <w:rFonts w:eastAsia="SimSun"/>
                <w:b/>
                <w:sz w:val="18"/>
                <w:szCs w:val="18"/>
                <w:lang w:val="es-ES" w:eastAsia="zh-CN"/>
              </w:rPr>
              <w:t>s</w:t>
            </w:r>
            <w:r w:rsidRPr="006868F5">
              <w:rPr>
                <w:rFonts w:eastAsia="SimSun"/>
                <w:b/>
                <w:sz w:val="18"/>
                <w:szCs w:val="18"/>
                <w:lang w:val="es-ES" w:eastAsia="zh-CN"/>
              </w:rPr>
              <w:t>emanas de reducción gradual de prednisona</w:t>
            </w:r>
          </w:p>
          <w:p w14:paraId="4E2B90DD" w14:textId="77777777" w:rsidR="00CD5F32" w:rsidRPr="009030C1" w:rsidRDefault="00CD5F32" w:rsidP="003569D6">
            <w:pPr>
              <w:widowControl w:val="0"/>
              <w:spacing w:before="50" w:after="50" w:line="240" w:lineRule="exact"/>
              <w:jc w:val="center"/>
              <w:rPr>
                <w:rFonts w:eastAsia="SimSun"/>
                <w:b/>
                <w:sz w:val="18"/>
                <w:szCs w:val="18"/>
                <w:lang w:val="en-GB" w:eastAsia="zh-CN"/>
              </w:rPr>
            </w:pPr>
            <w:r w:rsidRPr="009030C1">
              <w:rPr>
                <w:rFonts w:eastAsia="SimSun"/>
                <w:b/>
                <w:sz w:val="18"/>
                <w:szCs w:val="18"/>
                <w:lang w:val="en-GB" w:eastAsia="zh-CN"/>
              </w:rPr>
              <w:t>N=51</w:t>
            </w:r>
          </w:p>
        </w:tc>
        <w:tc>
          <w:tcPr>
            <w:tcW w:w="1842" w:type="dxa"/>
            <w:tcBorders>
              <w:top w:val="single" w:sz="8" w:space="0" w:color="auto"/>
              <w:left w:val="nil"/>
              <w:bottom w:val="single" w:sz="8" w:space="0" w:color="auto"/>
              <w:right w:val="nil"/>
            </w:tcBorders>
          </w:tcPr>
          <w:p w14:paraId="786147AC" w14:textId="48AD114D" w:rsidR="00CD5F32" w:rsidRPr="006868F5" w:rsidRDefault="00915C39" w:rsidP="003569D6">
            <w:pPr>
              <w:widowControl w:val="0"/>
              <w:spacing w:before="50" w:after="50" w:line="240" w:lineRule="exact"/>
              <w:jc w:val="center"/>
              <w:rPr>
                <w:rFonts w:eastAsia="SimSun"/>
                <w:b/>
                <w:sz w:val="18"/>
                <w:szCs w:val="18"/>
                <w:lang w:val="es-ES" w:eastAsia="zh-CN"/>
              </w:rPr>
            </w:pPr>
            <w:r>
              <w:rPr>
                <w:rFonts w:eastAsia="SimSun"/>
                <w:b/>
                <w:sz w:val="18"/>
                <w:szCs w:val="18"/>
                <w:lang w:val="es-ES" w:eastAsia="zh-CN"/>
              </w:rPr>
              <w:t>t</w:t>
            </w:r>
            <w:r w:rsidRPr="00915C39">
              <w:rPr>
                <w:rFonts w:eastAsia="SimSun"/>
                <w:b/>
                <w:sz w:val="18"/>
                <w:szCs w:val="18"/>
                <w:lang w:val="es-ES" w:eastAsia="zh-CN"/>
              </w:rPr>
              <w:t>ocilizumab</w:t>
            </w:r>
            <w:r w:rsidR="00CD5F32" w:rsidRPr="006868F5">
              <w:rPr>
                <w:rFonts w:eastAsia="SimSun"/>
                <w:b/>
                <w:sz w:val="18"/>
                <w:szCs w:val="18"/>
                <w:lang w:val="es-ES" w:eastAsia="zh-CN"/>
              </w:rPr>
              <w:t xml:space="preserve"> 162mg SC semanal + 26 semanas de reducci</w:t>
            </w:r>
            <w:r w:rsidR="00CD5F32">
              <w:rPr>
                <w:rFonts w:eastAsia="SimSun"/>
                <w:b/>
                <w:sz w:val="18"/>
                <w:szCs w:val="18"/>
                <w:lang w:val="es-ES" w:eastAsia="zh-CN"/>
              </w:rPr>
              <w:t>ón gradual de</w:t>
            </w:r>
            <w:r w:rsidR="00CD5F32" w:rsidRPr="005A4606">
              <w:rPr>
                <w:rFonts w:eastAsia="SimSun"/>
                <w:b/>
                <w:sz w:val="18"/>
                <w:szCs w:val="18"/>
                <w:lang w:val="es-ES" w:eastAsia="zh-CN"/>
              </w:rPr>
              <w:t xml:space="preserve"> prednison</w:t>
            </w:r>
            <w:r w:rsidR="00CD5F32">
              <w:rPr>
                <w:rFonts w:eastAsia="SimSun"/>
                <w:b/>
                <w:sz w:val="18"/>
                <w:szCs w:val="18"/>
                <w:lang w:val="es-ES" w:eastAsia="zh-CN"/>
              </w:rPr>
              <w:t>a</w:t>
            </w:r>
          </w:p>
          <w:p w14:paraId="47078613" w14:textId="77777777" w:rsidR="00CD5F32" w:rsidRPr="008E23C3" w:rsidRDefault="00CD5F32" w:rsidP="003569D6">
            <w:pPr>
              <w:widowControl w:val="0"/>
              <w:spacing w:before="50" w:after="50" w:line="240" w:lineRule="exact"/>
              <w:jc w:val="center"/>
              <w:rPr>
                <w:rFonts w:eastAsia="SimSun"/>
                <w:b/>
                <w:sz w:val="18"/>
                <w:szCs w:val="18"/>
                <w:lang w:val="es-ES" w:eastAsia="zh-CN"/>
              </w:rPr>
            </w:pPr>
          </w:p>
          <w:p w14:paraId="06AF52A9" w14:textId="77777777" w:rsidR="00CD5F32" w:rsidRPr="009030C1" w:rsidRDefault="00CD5F32" w:rsidP="003569D6">
            <w:pPr>
              <w:widowControl w:val="0"/>
              <w:spacing w:before="50" w:after="50" w:line="240" w:lineRule="exact"/>
              <w:jc w:val="center"/>
              <w:rPr>
                <w:rFonts w:eastAsia="SimSun"/>
                <w:b/>
                <w:sz w:val="18"/>
                <w:szCs w:val="18"/>
                <w:lang w:val="en-GB" w:eastAsia="zh-CN"/>
              </w:rPr>
            </w:pPr>
            <w:r w:rsidRPr="009030C1">
              <w:rPr>
                <w:rFonts w:eastAsia="SimSun"/>
                <w:b/>
                <w:sz w:val="18"/>
                <w:szCs w:val="18"/>
                <w:lang w:val="en-GB" w:eastAsia="zh-CN"/>
              </w:rPr>
              <w:t>N=100</w:t>
            </w:r>
          </w:p>
        </w:tc>
        <w:tc>
          <w:tcPr>
            <w:tcW w:w="1842" w:type="dxa"/>
            <w:tcBorders>
              <w:top w:val="single" w:sz="8" w:space="0" w:color="auto"/>
              <w:left w:val="nil"/>
              <w:bottom w:val="single" w:sz="8" w:space="0" w:color="auto"/>
              <w:right w:val="single" w:sz="8" w:space="0" w:color="auto"/>
            </w:tcBorders>
            <w:tcMar>
              <w:top w:w="0" w:type="dxa"/>
              <w:left w:w="57" w:type="dxa"/>
              <w:bottom w:w="0" w:type="dxa"/>
              <w:right w:w="57" w:type="dxa"/>
            </w:tcMar>
          </w:tcPr>
          <w:p w14:paraId="0F02C303" w14:textId="387C1D89" w:rsidR="00CD5F32" w:rsidRPr="006868F5" w:rsidRDefault="00915C39" w:rsidP="003569D6">
            <w:pPr>
              <w:widowControl w:val="0"/>
              <w:spacing w:before="50" w:after="50" w:line="240" w:lineRule="exact"/>
              <w:jc w:val="center"/>
              <w:rPr>
                <w:rFonts w:eastAsia="SimSun"/>
                <w:b/>
                <w:sz w:val="18"/>
                <w:szCs w:val="18"/>
                <w:lang w:val="es-ES" w:eastAsia="zh-CN"/>
              </w:rPr>
            </w:pPr>
            <w:r>
              <w:rPr>
                <w:rFonts w:eastAsia="SimSun"/>
                <w:b/>
                <w:sz w:val="18"/>
                <w:szCs w:val="18"/>
                <w:lang w:val="es-ES" w:eastAsia="zh-CN"/>
              </w:rPr>
              <w:t>T</w:t>
            </w:r>
            <w:r w:rsidRPr="00915C39">
              <w:rPr>
                <w:rFonts w:eastAsia="SimSun"/>
                <w:b/>
                <w:sz w:val="18"/>
                <w:szCs w:val="18"/>
                <w:lang w:val="es-ES" w:eastAsia="zh-CN"/>
              </w:rPr>
              <w:t>ocilizumab</w:t>
            </w:r>
            <w:r w:rsidR="00CD5F32" w:rsidRPr="006868F5">
              <w:rPr>
                <w:rFonts w:eastAsia="SimSun"/>
                <w:b/>
                <w:sz w:val="18"/>
                <w:szCs w:val="18"/>
                <w:lang w:val="es-ES" w:eastAsia="zh-CN"/>
              </w:rPr>
              <w:t xml:space="preserve"> 162 mg SC </w:t>
            </w:r>
            <w:del w:id="1874" w:author="AUTHOR">
              <w:r w:rsidR="00CD5F32" w:rsidDel="009F26E0">
                <w:rPr>
                  <w:rFonts w:eastAsia="SimSun"/>
                  <w:b/>
                  <w:sz w:val="18"/>
                  <w:szCs w:val="18"/>
                  <w:lang w:val="es-ES" w:eastAsia="zh-CN"/>
                </w:rPr>
                <w:delText>bi</w:delText>
              </w:r>
              <w:r w:rsidR="00CD5F32" w:rsidRPr="00BE3FC1" w:rsidDel="009F26E0">
                <w:rPr>
                  <w:rFonts w:eastAsia="SimSun"/>
                  <w:b/>
                  <w:sz w:val="18"/>
                  <w:szCs w:val="18"/>
                  <w:lang w:val="es-ES" w:eastAsia="zh-CN"/>
                </w:rPr>
                <w:delText>semana</w:delText>
              </w:r>
              <w:r w:rsidR="00CD5F32" w:rsidDel="009F26E0">
                <w:rPr>
                  <w:rFonts w:eastAsia="SimSun"/>
                  <w:b/>
                  <w:sz w:val="18"/>
                  <w:szCs w:val="18"/>
                  <w:lang w:val="es-ES" w:eastAsia="zh-CN"/>
                </w:rPr>
                <w:delText>l</w:delText>
              </w:r>
            </w:del>
            <w:ins w:id="1875" w:author="AUTHOR">
              <w:r w:rsidR="009F26E0">
                <w:rPr>
                  <w:rFonts w:eastAsia="SimSun"/>
                  <w:b/>
                  <w:sz w:val="18"/>
                  <w:szCs w:val="18"/>
                  <w:lang w:val="es-ES" w:eastAsia="zh-CN"/>
                </w:rPr>
                <w:t>cada dos semanas</w:t>
              </w:r>
            </w:ins>
            <w:r w:rsidR="00CD5F32" w:rsidRPr="006868F5">
              <w:rPr>
                <w:rFonts w:eastAsia="SimSun"/>
                <w:b/>
                <w:sz w:val="18"/>
                <w:szCs w:val="18"/>
                <w:lang w:val="es-ES" w:eastAsia="zh-CN"/>
              </w:rPr>
              <w:t xml:space="preserve"> + 26 semanas de reducci</w:t>
            </w:r>
            <w:r w:rsidR="00CD5F32">
              <w:rPr>
                <w:rFonts w:eastAsia="SimSun"/>
                <w:b/>
                <w:sz w:val="18"/>
                <w:szCs w:val="18"/>
                <w:lang w:val="es-ES" w:eastAsia="zh-CN"/>
              </w:rPr>
              <w:t xml:space="preserve">ón gradual de </w:t>
            </w:r>
            <w:r w:rsidR="00CD5F32" w:rsidRPr="005A4606">
              <w:rPr>
                <w:rFonts w:eastAsia="SimSun"/>
                <w:b/>
                <w:sz w:val="18"/>
                <w:szCs w:val="18"/>
                <w:lang w:val="es-ES" w:eastAsia="zh-CN"/>
              </w:rPr>
              <w:t>prednison</w:t>
            </w:r>
            <w:r w:rsidR="00CD5F32">
              <w:rPr>
                <w:rFonts w:eastAsia="SimSun"/>
                <w:b/>
                <w:sz w:val="18"/>
                <w:szCs w:val="18"/>
                <w:lang w:val="es-ES" w:eastAsia="zh-CN"/>
              </w:rPr>
              <w:t>a</w:t>
            </w:r>
            <w:r w:rsidR="00CD5F32" w:rsidRPr="006868F5">
              <w:rPr>
                <w:rFonts w:eastAsia="SimSun"/>
                <w:b/>
                <w:sz w:val="18"/>
                <w:szCs w:val="18"/>
                <w:lang w:val="es-ES" w:eastAsia="zh-CN"/>
              </w:rPr>
              <w:t xml:space="preserve"> </w:t>
            </w:r>
          </w:p>
          <w:p w14:paraId="7800049B" w14:textId="77777777" w:rsidR="00CD5F32" w:rsidRPr="006868F5" w:rsidRDefault="00CD5F32" w:rsidP="003569D6">
            <w:pPr>
              <w:widowControl w:val="0"/>
              <w:spacing w:before="50" w:after="50" w:line="240" w:lineRule="exact"/>
              <w:jc w:val="center"/>
              <w:rPr>
                <w:rFonts w:eastAsia="SimSun"/>
                <w:b/>
                <w:sz w:val="18"/>
                <w:szCs w:val="18"/>
                <w:lang w:val="es-ES" w:eastAsia="zh-CN"/>
              </w:rPr>
            </w:pPr>
            <w:r w:rsidRPr="006868F5">
              <w:rPr>
                <w:rFonts w:eastAsia="SimSun"/>
                <w:b/>
                <w:sz w:val="18"/>
                <w:szCs w:val="18"/>
                <w:lang w:val="es-ES" w:eastAsia="zh-CN"/>
              </w:rPr>
              <w:t>N=49</w:t>
            </w:r>
          </w:p>
        </w:tc>
      </w:tr>
      <w:tr w:rsidR="00CD5F32" w:rsidRPr="009030C1" w14:paraId="2CCEEA7E" w14:textId="77777777" w:rsidTr="00FF2AFA">
        <w:trPr>
          <w:cantSplit/>
        </w:trPr>
        <w:tc>
          <w:tcPr>
            <w:tcW w:w="10346" w:type="dxa"/>
            <w:gridSpan w:val="9"/>
            <w:tcBorders>
              <w:left w:val="single" w:sz="4" w:space="0" w:color="auto"/>
              <w:right w:val="single" w:sz="8" w:space="0" w:color="auto"/>
            </w:tcBorders>
          </w:tcPr>
          <w:p w14:paraId="0E109272" w14:textId="716DDF6E" w:rsidR="00CD5F32" w:rsidRPr="009030C1" w:rsidRDefault="00CD5F32" w:rsidP="003569D6">
            <w:pPr>
              <w:widowControl w:val="0"/>
              <w:spacing w:before="50" w:after="50" w:line="240" w:lineRule="exact"/>
              <w:rPr>
                <w:rFonts w:eastAsia="SimSun"/>
                <w:b/>
                <w:sz w:val="18"/>
                <w:szCs w:val="18"/>
                <w:lang w:val="en-GB" w:eastAsia="zh-CN"/>
              </w:rPr>
            </w:pPr>
            <w:del w:id="1876" w:author="AUTHOR">
              <w:r w:rsidRPr="006868F5" w:rsidDel="00E11790">
                <w:rPr>
                  <w:rFonts w:eastAsia="SimSun"/>
                  <w:b/>
                  <w:sz w:val="18"/>
                  <w:szCs w:val="18"/>
                  <w:lang w:val="es-ES" w:eastAsia="zh-CN"/>
                </w:rPr>
                <w:delText xml:space="preserve"> </w:delText>
              </w:r>
              <w:r w:rsidDel="00E11790">
                <w:rPr>
                  <w:rFonts w:eastAsia="SimSun"/>
                  <w:b/>
                  <w:sz w:val="18"/>
                  <w:szCs w:val="18"/>
                  <w:lang w:val="es-ES" w:eastAsia="zh-CN"/>
                </w:rPr>
                <w:delText>Objetivo</w:delText>
              </w:r>
            </w:del>
            <w:ins w:id="1877" w:author="AUTHOR">
              <w:r w:rsidR="00E11790">
                <w:rPr>
                  <w:rFonts w:eastAsia="SimSun"/>
                  <w:b/>
                  <w:sz w:val="18"/>
                  <w:szCs w:val="18"/>
                  <w:lang w:val="es-ES" w:eastAsia="zh-CN"/>
                </w:rPr>
                <w:t>Variable  principal</w:t>
              </w:r>
            </w:ins>
            <w:del w:id="1878" w:author="AUTHOR">
              <w:r w:rsidDel="00E11790">
                <w:rPr>
                  <w:rFonts w:eastAsia="SimSun"/>
                  <w:b/>
                  <w:sz w:val="18"/>
                  <w:szCs w:val="18"/>
                  <w:lang w:val="es-ES" w:eastAsia="zh-CN"/>
                </w:rPr>
                <w:delText xml:space="preserve"> primario</w:delText>
              </w:r>
            </w:del>
          </w:p>
        </w:tc>
      </w:tr>
      <w:tr w:rsidR="00CD5F32" w:rsidRPr="00541248" w14:paraId="42713812" w14:textId="77777777" w:rsidTr="00FF2AFA">
        <w:trPr>
          <w:cantSplit/>
        </w:trPr>
        <w:tc>
          <w:tcPr>
            <w:tcW w:w="6662" w:type="dxa"/>
            <w:gridSpan w:val="7"/>
            <w:tcBorders>
              <w:top w:val="single" w:sz="4" w:space="0" w:color="auto"/>
              <w:left w:val="single" w:sz="4" w:space="0" w:color="auto"/>
            </w:tcBorders>
            <w:tcMar>
              <w:top w:w="0" w:type="dxa"/>
              <w:left w:w="57" w:type="dxa"/>
              <w:bottom w:w="0" w:type="dxa"/>
              <w:right w:w="57" w:type="dxa"/>
            </w:tcMar>
          </w:tcPr>
          <w:p w14:paraId="1906BDC4" w14:textId="77777777" w:rsidR="00CD5F32" w:rsidRPr="006868F5" w:rsidRDefault="00CD5F32" w:rsidP="003569D6">
            <w:pPr>
              <w:widowControl w:val="0"/>
              <w:spacing w:before="50" w:after="50" w:line="240" w:lineRule="exact"/>
              <w:rPr>
                <w:rFonts w:eastAsia="SimSun"/>
                <w:sz w:val="18"/>
                <w:szCs w:val="18"/>
                <w:lang w:val="es-ES" w:eastAsia="zh-CN"/>
              </w:rPr>
            </w:pPr>
            <w:r>
              <w:rPr>
                <w:rFonts w:eastAsia="SimSun"/>
                <w:sz w:val="18"/>
                <w:szCs w:val="18"/>
                <w:lang w:val="es-ES" w:eastAsia="zh-CN"/>
              </w:rPr>
              <w:t>****</w:t>
            </w:r>
            <w:r w:rsidRPr="006868F5">
              <w:rPr>
                <w:rFonts w:eastAsia="SimSun"/>
                <w:sz w:val="18"/>
                <w:szCs w:val="18"/>
                <w:lang w:val="es-ES" w:eastAsia="zh-CN"/>
              </w:rPr>
              <w:t xml:space="preserve">Remisión </w:t>
            </w:r>
            <w:r>
              <w:rPr>
                <w:rFonts w:eastAsia="SimSun"/>
                <w:sz w:val="18"/>
                <w:szCs w:val="18"/>
                <w:lang w:val="es-ES" w:eastAsia="zh-CN"/>
              </w:rPr>
              <w:t xml:space="preserve">mantenida </w:t>
            </w:r>
            <w:r w:rsidRPr="006868F5">
              <w:rPr>
                <w:rFonts w:eastAsia="SimSun"/>
                <w:sz w:val="18"/>
                <w:szCs w:val="18"/>
                <w:lang w:val="es-ES" w:eastAsia="zh-CN"/>
              </w:rPr>
              <w:t>(</w:t>
            </w:r>
            <w:r>
              <w:rPr>
                <w:rFonts w:eastAsia="SimSun"/>
                <w:sz w:val="18"/>
                <w:szCs w:val="18"/>
                <w:lang w:val="es-ES" w:eastAsia="zh-CN"/>
              </w:rPr>
              <w:t xml:space="preserve">grupos </w:t>
            </w:r>
            <w:r w:rsidRPr="006868F5">
              <w:rPr>
                <w:rFonts w:eastAsia="SimSun"/>
                <w:sz w:val="18"/>
                <w:szCs w:val="18"/>
                <w:lang w:val="es-ES" w:eastAsia="zh-CN"/>
              </w:rPr>
              <w:t xml:space="preserve">Tocilizumab vs Placebo+26)                       </w:t>
            </w:r>
          </w:p>
        </w:tc>
        <w:tc>
          <w:tcPr>
            <w:tcW w:w="1842" w:type="dxa"/>
            <w:tcBorders>
              <w:top w:val="single" w:sz="4" w:space="0" w:color="auto"/>
              <w:left w:val="nil"/>
              <w:right w:val="nil"/>
            </w:tcBorders>
          </w:tcPr>
          <w:p w14:paraId="32AAC173" w14:textId="77777777" w:rsidR="00CD5F32" w:rsidRPr="006868F5" w:rsidRDefault="00CD5F32" w:rsidP="003569D6">
            <w:pPr>
              <w:widowControl w:val="0"/>
              <w:spacing w:before="50" w:after="50" w:line="240" w:lineRule="exact"/>
              <w:jc w:val="center"/>
              <w:rPr>
                <w:rFonts w:eastAsia="SimSun"/>
                <w:strike/>
                <w:sz w:val="18"/>
                <w:szCs w:val="18"/>
                <w:lang w:val="es-E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5BCC29EC" w14:textId="77777777" w:rsidR="00CD5F32" w:rsidRPr="006868F5" w:rsidRDefault="00CD5F32" w:rsidP="003569D6">
            <w:pPr>
              <w:widowControl w:val="0"/>
              <w:spacing w:before="50" w:after="50" w:line="240" w:lineRule="exact"/>
              <w:jc w:val="center"/>
              <w:rPr>
                <w:rFonts w:eastAsia="SimSun"/>
                <w:strike/>
                <w:sz w:val="18"/>
                <w:szCs w:val="18"/>
                <w:lang w:val="es-ES" w:eastAsia="zh-CN"/>
              </w:rPr>
            </w:pPr>
          </w:p>
        </w:tc>
      </w:tr>
      <w:tr w:rsidR="00CD5F32" w:rsidRPr="009030C1" w14:paraId="7F34BB49" w14:textId="77777777" w:rsidTr="00FF2AFA">
        <w:trPr>
          <w:cantSplit/>
        </w:trPr>
        <w:tc>
          <w:tcPr>
            <w:tcW w:w="4252" w:type="dxa"/>
            <w:gridSpan w:val="3"/>
            <w:tcBorders>
              <w:left w:val="single" w:sz="4" w:space="0" w:color="auto"/>
            </w:tcBorders>
            <w:tcMar>
              <w:top w:w="0" w:type="dxa"/>
              <w:left w:w="57" w:type="dxa"/>
              <w:bottom w:w="0" w:type="dxa"/>
              <w:right w:w="57" w:type="dxa"/>
            </w:tcMar>
          </w:tcPr>
          <w:p w14:paraId="0C80F59D" w14:textId="177C7DFA" w:rsidR="00CD5F32" w:rsidRPr="006868F5" w:rsidRDefault="00CD5F32" w:rsidP="003569D6">
            <w:pPr>
              <w:widowControl w:val="0"/>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Respondedores en la </w:t>
            </w:r>
            <w:r w:rsidR="00BF318B">
              <w:rPr>
                <w:rFonts w:eastAsia="SimSun"/>
                <w:sz w:val="18"/>
                <w:szCs w:val="18"/>
                <w:lang w:val="es-ES" w:eastAsia="zh-CN"/>
              </w:rPr>
              <w:t>S</w:t>
            </w:r>
            <w:r w:rsidRPr="006868F5">
              <w:rPr>
                <w:rFonts w:eastAsia="SimSun"/>
                <w:sz w:val="18"/>
                <w:szCs w:val="18"/>
                <w:lang w:val="es-ES" w:eastAsia="zh-CN"/>
              </w:rPr>
              <w:t>emana 52, n (%)</w:t>
            </w:r>
          </w:p>
        </w:tc>
        <w:tc>
          <w:tcPr>
            <w:tcW w:w="992" w:type="dxa"/>
            <w:gridSpan w:val="2"/>
            <w:tcMar>
              <w:top w:w="0" w:type="dxa"/>
              <w:left w:w="57" w:type="dxa"/>
              <w:bottom w:w="0" w:type="dxa"/>
              <w:right w:w="57" w:type="dxa"/>
            </w:tcMar>
          </w:tcPr>
          <w:p w14:paraId="4A5B512A"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7 (14</w:t>
            </w:r>
            <w:r>
              <w:rPr>
                <w:rFonts w:eastAsia="SimSun"/>
                <w:sz w:val="18"/>
                <w:szCs w:val="18"/>
                <w:lang w:val="en-GB" w:eastAsia="zh-CN"/>
              </w:rPr>
              <w:t xml:space="preserve"> </w:t>
            </w:r>
            <w:r w:rsidRPr="009030C1">
              <w:rPr>
                <w:rFonts w:eastAsia="SimSun"/>
                <w:sz w:val="18"/>
                <w:szCs w:val="18"/>
                <w:lang w:val="en-GB" w:eastAsia="zh-CN"/>
              </w:rPr>
              <w:t>%)</w:t>
            </w:r>
          </w:p>
        </w:tc>
        <w:tc>
          <w:tcPr>
            <w:tcW w:w="1418" w:type="dxa"/>
            <w:gridSpan w:val="2"/>
            <w:tcMar>
              <w:top w:w="0" w:type="dxa"/>
              <w:left w:w="57" w:type="dxa"/>
              <w:bottom w:w="0" w:type="dxa"/>
              <w:right w:w="57" w:type="dxa"/>
            </w:tcMar>
          </w:tcPr>
          <w:p w14:paraId="2C459CE3"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9 (17</w:t>
            </w:r>
            <w:proofErr w:type="gramStart"/>
            <w:r>
              <w:rPr>
                <w:rFonts w:eastAsia="SimSun"/>
                <w:sz w:val="18"/>
                <w:szCs w:val="18"/>
                <w:lang w:val="en-GB" w:eastAsia="zh-CN"/>
              </w:rPr>
              <w:t>,</w:t>
            </w:r>
            <w:r w:rsidRPr="009030C1">
              <w:rPr>
                <w:rFonts w:eastAsia="SimSun"/>
                <w:sz w:val="18"/>
                <w:szCs w:val="18"/>
                <w:lang w:val="en-GB" w:eastAsia="zh-CN"/>
              </w:rPr>
              <w:t>6</w:t>
            </w:r>
            <w:proofErr w:type="gramEnd"/>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right w:val="nil"/>
            </w:tcBorders>
          </w:tcPr>
          <w:p w14:paraId="05A08823"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56 (56</w:t>
            </w:r>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left w:val="nil"/>
              <w:right w:val="single" w:sz="8" w:space="0" w:color="auto"/>
            </w:tcBorders>
            <w:tcMar>
              <w:top w:w="0" w:type="dxa"/>
              <w:left w:w="57" w:type="dxa"/>
              <w:bottom w:w="0" w:type="dxa"/>
              <w:right w:w="57" w:type="dxa"/>
            </w:tcMar>
          </w:tcPr>
          <w:p w14:paraId="7A9347C1"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26 (53</w:t>
            </w:r>
            <w:proofErr w:type="gramStart"/>
            <w:r>
              <w:rPr>
                <w:rFonts w:eastAsia="SimSun"/>
                <w:sz w:val="18"/>
                <w:szCs w:val="18"/>
                <w:lang w:val="en-GB" w:eastAsia="zh-CN"/>
              </w:rPr>
              <w:t>,</w:t>
            </w:r>
            <w:r w:rsidRPr="009030C1">
              <w:rPr>
                <w:rFonts w:eastAsia="SimSun"/>
                <w:sz w:val="18"/>
                <w:szCs w:val="18"/>
                <w:lang w:val="en-GB" w:eastAsia="zh-CN"/>
              </w:rPr>
              <w:t>1</w:t>
            </w:r>
            <w:proofErr w:type="gramEnd"/>
            <w:r>
              <w:rPr>
                <w:rFonts w:eastAsia="SimSun"/>
                <w:sz w:val="18"/>
                <w:szCs w:val="18"/>
                <w:lang w:val="en-GB" w:eastAsia="zh-CN"/>
              </w:rPr>
              <w:t xml:space="preserve"> </w:t>
            </w:r>
            <w:r w:rsidRPr="009030C1">
              <w:rPr>
                <w:rFonts w:eastAsia="SimSun"/>
                <w:sz w:val="18"/>
                <w:szCs w:val="18"/>
                <w:lang w:val="en-GB" w:eastAsia="zh-CN"/>
              </w:rPr>
              <w:t>%)</w:t>
            </w:r>
          </w:p>
        </w:tc>
      </w:tr>
      <w:tr w:rsidR="00CD5F32" w:rsidRPr="009030C1" w14:paraId="7957D0CE" w14:textId="77777777" w:rsidTr="00FF2AFA">
        <w:trPr>
          <w:cantSplit/>
        </w:trPr>
        <w:tc>
          <w:tcPr>
            <w:tcW w:w="4252" w:type="dxa"/>
            <w:gridSpan w:val="3"/>
            <w:tcBorders>
              <w:left w:val="single" w:sz="4" w:space="0" w:color="auto"/>
              <w:bottom w:val="single" w:sz="4" w:space="0" w:color="auto"/>
            </w:tcBorders>
            <w:tcMar>
              <w:top w:w="0" w:type="dxa"/>
              <w:left w:w="57" w:type="dxa"/>
              <w:bottom w:w="0" w:type="dxa"/>
              <w:right w:w="57" w:type="dxa"/>
            </w:tcMar>
          </w:tcPr>
          <w:p w14:paraId="2501C93F" w14:textId="77777777" w:rsidR="00CD5F32" w:rsidRPr="006868F5" w:rsidRDefault="00CD5F32" w:rsidP="003569D6">
            <w:pPr>
              <w:widowControl w:val="0"/>
              <w:spacing w:before="50" w:after="50" w:line="240" w:lineRule="exact"/>
              <w:ind w:left="720"/>
              <w:rPr>
                <w:rFonts w:eastAsia="SimSun"/>
                <w:sz w:val="18"/>
                <w:szCs w:val="18"/>
                <w:lang w:val="es-ES" w:eastAsia="zh-CN"/>
              </w:rPr>
            </w:pPr>
            <w:r w:rsidRPr="006868F5">
              <w:rPr>
                <w:rFonts w:eastAsia="SimSun"/>
                <w:sz w:val="18"/>
                <w:szCs w:val="18"/>
                <w:lang w:val="es-ES" w:eastAsia="zh-CN"/>
              </w:rPr>
              <w:t>Diferencia de proporciones no ajustada</w:t>
            </w:r>
            <w:r w:rsidRPr="00042DFC">
              <w:rPr>
                <w:rFonts w:eastAsia="SimSun"/>
                <w:sz w:val="18"/>
                <w:szCs w:val="18"/>
                <w:lang w:val="es-ES" w:eastAsia="zh-CN"/>
              </w:rPr>
              <w:t>s</w:t>
            </w:r>
            <w:r w:rsidRPr="006868F5">
              <w:rPr>
                <w:rFonts w:eastAsia="SimSun"/>
                <w:sz w:val="18"/>
                <w:szCs w:val="18"/>
                <w:lang w:val="es-ES" w:eastAsia="zh-CN"/>
              </w:rPr>
              <w:t xml:space="preserve">        (IC 99,5</w:t>
            </w:r>
            <w:r>
              <w:rPr>
                <w:rFonts w:eastAsia="SimSun"/>
                <w:sz w:val="18"/>
                <w:szCs w:val="18"/>
                <w:lang w:val="es-ES" w:eastAsia="zh-CN"/>
              </w:rPr>
              <w:t xml:space="preserve"> </w:t>
            </w:r>
            <w:r w:rsidRPr="006868F5">
              <w:rPr>
                <w:rFonts w:eastAsia="SimSun"/>
                <w:sz w:val="18"/>
                <w:szCs w:val="18"/>
                <w:lang w:val="es-ES" w:eastAsia="zh-CN"/>
              </w:rPr>
              <w:t>%)</w:t>
            </w:r>
          </w:p>
        </w:tc>
        <w:tc>
          <w:tcPr>
            <w:tcW w:w="992" w:type="dxa"/>
            <w:gridSpan w:val="2"/>
            <w:tcBorders>
              <w:bottom w:val="single" w:sz="4" w:space="0" w:color="auto"/>
            </w:tcBorders>
            <w:tcMar>
              <w:top w:w="0" w:type="dxa"/>
              <w:left w:w="57" w:type="dxa"/>
              <w:bottom w:w="0" w:type="dxa"/>
              <w:right w:w="57" w:type="dxa"/>
            </w:tcMar>
          </w:tcPr>
          <w:p w14:paraId="509234C0"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418" w:type="dxa"/>
            <w:gridSpan w:val="2"/>
            <w:tcBorders>
              <w:bottom w:val="single" w:sz="4" w:space="0" w:color="auto"/>
            </w:tcBorders>
            <w:tcMar>
              <w:top w:w="0" w:type="dxa"/>
              <w:left w:w="57" w:type="dxa"/>
              <w:bottom w:w="0" w:type="dxa"/>
              <w:right w:w="57" w:type="dxa"/>
            </w:tcMar>
          </w:tcPr>
          <w:p w14:paraId="13FE92CD"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842" w:type="dxa"/>
            <w:tcBorders>
              <w:bottom w:val="single" w:sz="4" w:space="0" w:color="auto"/>
              <w:right w:val="nil"/>
            </w:tcBorders>
          </w:tcPr>
          <w:p w14:paraId="28528F47"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42</w:t>
            </w:r>
            <w:r>
              <w:rPr>
                <w:rFonts w:eastAsia="SimSun"/>
                <w:sz w:val="18"/>
                <w:szCs w:val="18"/>
                <w:lang w:val="en-GB" w:eastAsia="zh-CN"/>
              </w:rPr>
              <w:t xml:space="preserve"> </w:t>
            </w:r>
            <w:r w:rsidRPr="009030C1">
              <w:rPr>
                <w:rFonts w:eastAsia="SimSun"/>
                <w:sz w:val="18"/>
                <w:szCs w:val="18"/>
                <w:lang w:val="en-GB" w:eastAsia="zh-CN"/>
              </w:rPr>
              <w:t>%*</w:t>
            </w:r>
          </w:p>
          <w:p w14:paraId="024F513E"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(18,00; 66,</w:t>
            </w:r>
            <w:r w:rsidRPr="009030C1">
              <w:rPr>
                <w:rFonts w:eastAsia="SimSun"/>
                <w:sz w:val="18"/>
                <w:szCs w:val="18"/>
                <w:lang w:val="en-GB" w:eastAsia="zh-CN"/>
              </w:rPr>
              <w:t>00)</w:t>
            </w:r>
          </w:p>
        </w:tc>
        <w:tc>
          <w:tcPr>
            <w:tcW w:w="1842" w:type="dxa"/>
            <w:tcBorders>
              <w:left w:val="nil"/>
              <w:bottom w:val="single" w:sz="4" w:space="0" w:color="auto"/>
              <w:right w:val="single" w:sz="8" w:space="0" w:color="auto"/>
            </w:tcBorders>
            <w:tcMar>
              <w:top w:w="0" w:type="dxa"/>
              <w:left w:w="57" w:type="dxa"/>
              <w:bottom w:w="0" w:type="dxa"/>
              <w:right w:w="57" w:type="dxa"/>
            </w:tcMar>
          </w:tcPr>
          <w:p w14:paraId="37EC5EB6"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39,</w:t>
            </w:r>
            <w:r w:rsidRPr="009030C1">
              <w:rPr>
                <w:rFonts w:eastAsia="SimSun"/>
                <w:sz w:val="18"/>
                <w:szCs w:val="18"/>
                <w:lang w:val="en-GB" w:eastAsia="zh-CN"/>
              </w:rPr>
              <w:t>06</w:t>
            </w:r>
            <w:r>
              <w:rPr>
                <w:rFonts w:eastAsia="SimSun"/>
                <w:sz w:val="18"/>
                <w:szCs w:val="18"/>
                <w:lang w:val="en-GB" w:eastAsia="zh-CN"/>
              </w:rPr>
              <w:t xml:space="preserve"> </w:t>
            </w:r>
            <w:r w:rsidRPr="009030C1">
              <w:rPr>
                <w:rFonts w:eastAsia="SimSun"/>
                <w:sz w:val="18"/>
                <w:szCs w:val="18"/>
                <w:lang w:val="en-GB" w:eastAsia="zh-CN"/>
              </w:rPr>
              <w:t>%*</w:t>
            </w:r>
          </w:p>
          <w:p w14:paraId="01FA45E3"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(12,46; 65,</w:t>
            </w:r>
            <w:r w:rsidRPr="009030C1">
              <w:rPr>
                <w:rFonts w:eastAsia="SimSun"/>
                <w:sz w:val="18"/>
                <w:szCs w:val="18"/>
                <w:lang w:val="en-GB" w:eastAsia="zh-CN"/>
              </w:rPr>
              <w:t>66)</w:t>
            </w:r>
          </w:p>
        </w:tc>
      </w:tr>
      <w:tr w:rsidR="00CD5F32" w:rsidRPr="009030C1" w14:paraId="46CBC49E" w14:textId="77777777" w:rsidTr="00FF2AFA">
        <w:trPr>
          <w:cantSplit/>
        </w:trPr>
        <w:tc>
          <w:tcPr>
            <w:tcW w:w="10346" w:type="dxa"/>
            <w:gridSpan w:val="9"/>
            <w:tcBorders>
              <w:top w:val="single" w:sz="4" w:space="0" w:color="auto"/>
              <w:left w:val="single" w:sz="4" w:space="0" w:color="auto"/>
              <w:bottom w:val="single" w:sz="4" w:space="0" w:color="auto"/>
              <w:right w:val="single" w:sz="8" w:space="0" w:color="auto"/>
            </w:tcBorders>
          </w:tcPr>
          <w:p w14:paraId="38F269A6" w14:textId="02F4754E" w:rsidR="00CD5F32" w:rsidRPr="009030C1" w:rsidRDefault="00CD5F32" w:rsidP="003569D6">
            <w:pPr>
              <w:widowControl w:val="0"/>
              <w:spacing w:before="50" w:after="50" w:line="240" w:lineRule="exact"/>
              <w:rPr>
                <w:rFonts w:eastAsia="SimSun"/>
                <w:b/>
                <w:sz w:val="18"/>
                <w:szCs w:val="18"/>
                <w:lang w:val="en-GB" w:eastAsia="zh-CN"/>
              </w:rPr>
            </w:pPr>
            <w:del w:id="1879" w:author="AUTHOR">
              <w:r w:rsidDel="00E11790">
                <w:rPr>
                  <w:rFonts w:eastAsia="SimSun"/>
                  <w:b/>
                  <w:sz w:val="18"/>
                  <w:szCs w:val="18"/>
                  <w:lang w:val="en-GB" w:eastAsia="zh-CN"/>
                </w:rPr>
                <w:delText xml:space="preserve"> Objetivo </w:delText>
              </w:r>
            </w:del>
            <w:ins w:id="1880" w:author="AUTHOR">
              <w:r w:rsidR="00E11790">
                <w:rPr>
                  <w:rFonts w:eastAsia="SimSun"/>
                  <w:b/>
                  <w:sz w:val="18"/>
                  <w:szCs w:val="18"/>
                  <w:lang w:val="en-GB" w:eastAsia="zh-CN"/>
                </w:rPr>
                <w:t xml:space="preserve">Variable </w:t>
              </w:r>
            </w:ins>
            <w:r>
              <w:rPr>
                <w:rFonts w:eastAsia="SimSun"/>
                <w:b/>
                <w:sz w:val="18"/>
                <w:szCs w:val="18"/>
                <w:lang w:val="en-GB" w:eastAsia="zh-CN"/>
              </w:rPr>
              <w:t>secundari</w:t>
            </w:r>
            <w:ins w:id="1881" w:author="AUTHOR">
              <w:r w:rsidR="00E11790">
                <w:rPr>
                  <w:rFonts w:eastAsia="SimSun"/>
                  <w:b/>
                  <w:sz w:val="18"/>
                  <w:szCs w:val="18"/>
                  <w:lang w:val="en-GB" w:eastAsia="zh-CN"/>
                </w:rPr>
                <w:t>a</w:t>
              </w:r>
            </w:ins>
            <w:del w:id="1882" w:author="AUTHOR">
              <w:r w:rsidDel="00E11790">
                <w:rPr>
                  <w:rFonts w:eastAsia="SimSun"/>
                  <w:b/>
                  <w:sz w:val="18"/>
                  <w:szCs w:val="18"/>
                  <w:lang w:val="en-GB" w:eastAsia="zh-CN"/>
                </w:rPr>
                <w:delText>o</w:delText>
              </w:r>
            </w:del>
            <w:r>
              <w:rPr>
                <w:rFonts w:eastAsia="SimSun"/>
                <w:b/>
                <w:sz w:val="18"/>
                <w:szCs w:val="18"/>
                <w:lang w:val="en-GB" w:eastAsia="zh-CN"/>
              </w:rPr>
              <w:t xml:space="preserve"> principal</w:t>
            </w:r>
            <w:r w:rsidRPr="009030C1">
              <w:rPr>
                <w:rFonts w:eastAsia="SimSun"/>
                <w:sz w:val="18"/>
                <w:szCs w:val="18"/>
                <w:lang w:val="en-GB" w:eastAsia="zh-CN"/>
              </w:rPr>
              <w:t xml:space="preserve"> </w:t>
            </w:r>
          </w:p>
        </w:tc>
      </w:tr>
      <w:tr w:rsidR="00CD5F32" w:rsidRPr="00541248" w14:paraId="38438E48" w14:textId="77777777" w:rsidTr="00FF2AFA">
        <w:trPr>
          <w:cantSplit/>
        </w:trPr>
        <w:tc>
          <w:tcPr>
            <w:tcW w:w="6662" w:type="dxa"/>
            <w:gridSpan w:val="7"/>
            <w:tcBorders>
              <w:top w:val="single" w:sz="4" w:space="0" w:color="auto"/>
              <w:left w:val="single" w:sz="4" w:space="0" w:color="auto"/>
            </w:tcBorders>
            <w:tcMar>
              <w:top w:w="0" w:type="dxa"/>
              <w:left w:w="57" w:type="dxa"/>
              <w:bottom w:w="0" w:type="dxa"/>
              <w:right w:w="57" w:type="dxa"/>
            </w:tcMar>
          </w:tcPr>
          <w:p w14:paraId="1242CDE6" w14:textId="77777777" w:rsidR="00CD5F32" w:rsidRPr="006868F5" w:rsidRDefault="00CD5F32" w:rsidP="003569D6">
            <w:pPr>
              <w:widowControl w:val="0"/>
              <w:spacing w:before="50" w:after="50" w:line="240" w:lineRule="exact"/>
              <w:rPr>
                <w:rFonts w:eastAsia="SimSun"/>
                <w:sz w:val="18"/>
                <w:szCs w:val="18"/>
                <w:lang w:val="es-ES" w:eastAsia="zh-CN"/>
              </w:rPr>
            </w:pPr>
            <w:r w:rsidRPr="0002355A">
              <w:rPr>
                <w:rFonts w:eastAsia="SimSun"/>
                <w:sz w:val="18"/>
                <w:szCs w:val="18"/>
                <w:lang w:val="es-ES" w:eastAsia="zh-CN"/>
              </w:rPr>
              <w:t xml:space="preserve">Remisión </w:t>
            </w:r>
            <w:r>
              <w:rPr>
                <w:rFonts w:eastAsia="SimSun"/>
                <w:sz w:val="18"/>
                <w:szCs w:val="18"/>
                <w:lang w:val="es-ES" w:eastAsia="zh-CN"/>
              </w:rPr>
              <w:t>mantenida</w:t>
            </w:r>
            <w:r w:rsidRPr="006868F5">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 xml:space="preserve">Tocilizumab vs Placebo+52)                       </w:t>
            </w:r>
          </w:p>
        </w:tc>
        <w:tc>
          <w:tcPr>
            <w:tcW w:w="1842" w:type="dxa"/>
            <w:tcBorders>
              <w:top w:val="single" w:sz="4" w:space="0" w:color="auto"/>
              <w:left w:val="nil"/>
              <w:right w:val="nil"/>
            </w:tcBorders>
          </w:tcPr>
          <w:p w14:paraId="27E1A4A2" w14:textId="77777777" w:rsidR="00CD5F32" w:rsidRPr="006868F5" w:rsidRDefault="00CD5F32" w:rsidP="003569D6">
            <w:pPr>
              <w:widowControl w:val="0"/>
              <w:spacing w:before="50" w:after="50" w:line="240" w:lineRule="exact"/>
              <w:jc w:val="center"/>
              <w:rPr>
                <w:rFonts w:eastAsia="SimSun"/>
                <w:sz w:val="18"/>
                <w:szCs w:val="18"/>
                <w:lang w:val="es-ES" w:eastAsia="zh-CN"/>
              </w:rPr>
            </w:pPr>
          </w:p>
        </w:tc>
        <w:tc>
          <w:tcPr>
            <w:tcW w:w="1842" w:type="dxa"/>
            <w:tcBorders>
              <w:top w:val="single" w:sz="4" w:space="0" w:color="auto"/>
              <w:left w:val="nil"/>
              <w:right w:val="single" w:sz="8" w:space="0" w:color="auto"/>
            </w:tcBorders>
            <w:tcMar>
              <w:top w:w="0" w:type="dxa"/>
              <w:left w:w="57" w:type="dxa"/>
              <w:bottom w:w="0" w:type="dxa"/>
              <w:right w:w="57" w:type="dxa"/>
            </w:tcMar>
          </w:tcPr>
          <w:p w14:paraId="1675978C" w14:textId="77777777" w:rsidR="00CD5F32" w:rsidRPr="006868F5" w:rsidRDefault="00CD5F32" w:rsidP="003569D6">
            <w:pPr>
              <w:widowControl w:val="0"/>
              <w:spacing w:before="50" w:after="50" w:line="240" w:lineRule="exact"/>
              <w:jc w:val="center"/>
              <w:rPr>
                <w:rFonts w:eastAsia="SimSun"/>
                <w:sz w:val="18"/>
                <w:szCs w:val="18"/>
                <w:lang w:val="es-ES" w:eastAsia="zh-CN"/>
              </w:rPr>
            </w:pPr>
          </w:p>
        </w:tc>
      </w:tr>
      <w:tr w:rsidR="00CD5F32" w:rsidRPr="009030C1" w14:paraId="0395AFA0" w14:textId="77777777" w:rsidTr="00FF2AFA">
        <w:trPr>
          <w:cantSplit/>
        </w:trPr>
        <w:tc>
          <w:tcPr>
            <w:tcW w:w="4535" w:type="dxa"/>
            <w:gridSpan w:val="4"/>
            <w:tcBorders>
              <w:left w:val="single" w:sz="4" w:space="0" w:color="auto"/>
            </w:tcBorders>
            <w:tcMar>
              <w:top w:w="0" w:type="dxa"/>
              <w:left w:w="57" w:type="dxa"/>
              <w:bottom w:w="0" w:type="dxa"/>
              <w:right w:w="57" w:type="dxa"/>
            </w:tcMar>
          </w:tcPr>
          <w:p w14:paraId="12B63162" w14:textId="1DF99F49" w:rsidR="00CD5F32" w:rsidRPr="006868F5" w:rsidRDefault="00CD5F32" w:rsidP="003569D6">
            <w:pPr>
              <w:widowControl w:val="0"/>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Respondedores en la </w:t>
            </w:r>
            <w:r w:rsidR="00BF318B">
              <w:rPr>
                <w:rFonts w:eastAsia="SimSun"/>
                <w:sz w:val="18"/>
                <w:szCs w:val="18"/>
                <w:lang w:val="es-ES" w:eastAsia="zh-CN"/>
              </w:rPr>
              <w:t>s</w:t>
            </w:r>
            <w:r w:rsidRPr="006868F5">
              <w:rPr>
                <w:rFonts w:eastAsia="SimSun"/>
                <w:sz w:val="18"/>
                <w:szCs w:val="18"/>
                <w:lang w:val="es-ES" w:eastAsia="zh-CN"/>
              </w:rPr>
              <w:t>emana 52, n (%)</w:t>
            </w:r>
          </w:p>
        </w:tc>
        <w:tc>
          <w:tcPr>
            <w:tcW w:w="919" w:type="dxa"/>
            <w:gridSpan w:val="2"/>
            <w:tcMar>
              <w:top w:w="0" w:type="dxa"/>
              <w:left w:w="57" w:type="dxa"/>
              <w:bottom w:w="0" w:type="dxa"/>
              <w:right w:w="57" w:type="dxa"/>
            </w:tcMar>
          </w:tcPr>
          <w:p w14:paraId="72912C2E"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7 (14</w:t>
            </w:r>
            <w:r>
              <w:rPr>
                <w:rFonts w:eastAsia="SimSun"/>
                <w:sz w:val="18"/>
                <w:szCs w:val="18"/>
                <w:lang w:val="en-GB" w:eastAsia="zh-CN"/>
              </w:rPr>
              <w:t xml:space="preserve"> </w:t>
            </w:r>
            <w:r w:rsidRPr="009030C1">
              <w:rPr>
                <w:rFonts w:eastAsia="SimSun"/>
                <w:sz w:val="18"/>
                <w:szCs w:val="18"/>
                <w:lang w:val="en-GB" w:eastAsia="zh-CN"/>
              </w:rPr>
              <w:t>%)</w:t>
            </w:r>
          </w:p>
        </w:tc>
        <w:tc>
          <w:tcPr>
            <w:tcW w:w="1208" w:type="dxa"/>
            <w:tcMar>
              <w:top w:w="0" w:type="dxa"/>
              <w:left w:w="57" w:type="dxa"/>
              <w:bottom w:w="0" w:type="dxa"/>
              <w:right w:w="57" w:type="dxa"/>
            </w:tcMar>
          </w:tcPr>
          <w:p w14:paraId="4658C7AA"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9 (17</w:t>
            </w:r>
            <w:proofErr w:type="gramStart"/>
            <w:r>
              <w:rPr>
                <w:rFonts w:eastAsia="SimSun"/>
                <w:sz w:val="18"/>
                <w:szCs w:val="18"/>
                <w:lang w:val="en-GB" w:eastAsia="zh-CN"/>
              </w:rPr>
              <w:t>,</w:t>
            </w:r>
            <w:r w:rsidRPr="009030C1">
              <w:rPr>
                <w:rFonts w:eastAsia="SimSun"/>
                <w:sz w:val="18"/>
                <w:szCs w:val="18"/>
                <w:lang w:val="en-GB" w:eastAsia="zh-CN"/>
              </w:rPr>
              <w:t>6</w:t>
            </w:r>
            <w:proofErr w:type="gramEnd"/>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right w:val="nil"/>
            </w:tcBorders>
          </w:tcPr>
          <w:p w14:paraId="56F08E69"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56 (56</w:t>
            </w:r>
            <w:r>
              <w:rPr>
                <w:rFonts w:eastAsia="SimSun"/>
                <w:sz w:val="18"/>
                <w:szCs w:val="18"/>
                <w:lang w:val="en-GB" w:eastAsia="zh-CN"/>
              </w:rPr>
              <w:t xml:space="preserve"> </w:t>
            </w:r>
            <w:r w:rsidRPr="009030C1">
              <w:rPr>
                <w:rFonts w:eastAsia="SimSun"/>
                <w:sz w:val="18"/>
                <w:szCs w:val="18"/>
                <w:lang w:val="en-GB" w:eastAsia="zh-CN"/>
              </w:rPr>
              <w:t>%)</w:t>
            </w:r>
          </w:p>
        </w:tc>
        <w:tc>
          <w:tcPr>
            <w:tcW w:w="1842" w:type="dxa"/>
            <w:tcBorders>
              <w:left w:val="nil"/>
              <w:right w:val="single" w:sz="4" w:space="0" w:color="auto"/>
            </w:tcBorders>
            <w:tcMar>
              <w:top w:w="0" w:type="dxa"/>
              <w:left w:w="57" w:type="dxa"/>
              <w:bottom w:w="0" w:type="dxa"/>
              <w:right w:w="57" w:type="dxa"/>
            </w:tcMar>
          </w:tcPr>
          <w:p w14:paraId="65944130"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26 (53</w:t>
            </w:r>
            <w:proofErr w:type="gramStart"/>
            <w:r>
              <w:rPr>
                <w:rFonts w:eastAsia="SimSun"/>
                <w:sz w:val="18"/>
                <w:szCs w:val="18"/>
                <w:lang w:val="en-GB" w:eastAsia="zh-CN"/>
              </w:rPr>
              <w:t>,</w:t>
            </w:r>
            <w:r w:rsidRPr="009030C1">
              <w:rPr>
                <w:rFonts w:eastAsia="SimSun"/>
                <w:sz w:val="18"/>
                <w:szCs w:val="18"/>
                <w:lang w:val="en-GB" w:eastAsia="zh-CN"/>
              </w:rPr>
              <w:t>1</w:t>
            </w:r>
            <w:proofErr w:type="gramEnd"/>
            <w:r>
              <w:rPr>
                <w:rFonts w:eastAsia="SimSun"/>
                <w:sz w:val="18"/>
                <w:szCs w:val="18"/>
                <w:lang w:val="en-GB" w:eastAsia="zh-CN"/>
              </w:rPr>
              <w:t xml:space="preserve"> </w:t>
            </w:r>
            <w:r w:rsidRPr="009030C1">
              <w:rPr>
                <w:rFonts w:eastAsia="SimSun"/>
                <w:sz w:val="18"/>
                <w:szCs w:val="18"/>
                <w:lang w:val="en-GB" w:eastAsia="zh-CN"/>
              </w:rPr>
              <w:t>%)</w:t>
            </w:r>
          </w:p>
        </w:tc>
      </w:tr>
      <w:tr w:rsidR="00CD5F32" w:rsidRPr="009030C1" w14:paraId="62647943" w14:textId="77777777" w:rsidTr="00FF2AFA">
        <w:trPr>
          <w:cantSplit/>
        </w:trPr>
        <w:tc>
          <w:tcPr>
            <w:tcW w:w="4535" w:type="dxa"/>
            <w:gridSpan w:val="4"/>
            <w:tcBorders>
              <w:left w:val="single" w:sz="4" w:space="0" w:color="auto"/>
              <w:bottom w:val="single" w:sz="4" w:space="0" w:color="auto"/>
            </w:tcBorders>
            <w:tcMar>
              <w:top w:w="0" w:type="dxa"/>
              <w:left w:w="57" w:type="dxa"/>
              <w:bottom w:w="0" w:type="dxa"/>
              <w:right w:w="57" w:type="dxa"/>
            </w:tcMar>
          </w:tcPr>
          <w:p w14:paraId="207F30CB" w14:textId="77777777" w:rsidR="00CD5F32" w:rsidRPr="006868F5" w:rsidRDefault="00CD5F32" w:rsidP="003569D6">
            <w:pPr>
              <w:widowControl w:val="0"/>
              <w:spacing w:before="50" w:after="50" w:line="240" w:lineRule="exact"/>
              <w:ind w:left="720"/>
              <w:rPr>
                <w:rFonts w:eastAsia="SimSun"/>
                <w:sz w:val="18"/>
                <w:szCs w:val="18"/>
                <w:lang w:val="es-ES" w:eastAsia="zh-CN"/>
              </w:rPr>
            </w:pPr>
            <w:r w:rsidRPr="00042DFC">
              <w:rPr>
                <w:rFonts w:eastAsia="SimSun"/>
                <w:sz w:val="18"/>
                <w:szCs w:val="18"/>
                <w:lang w:val="es-ES" w:eastAsia="zh-CN"/>
              </w:rPr>
              <w:t>Diferencia de proporciones no ajustada</w:t>
            </w:r>
            <w:r>
              <w:rPr>
                <w:rFonts w:eastAsia="SimSun"/>
                <w:sz w:val="18"/>
                <w:szCs w:val="18"/>
                <w:lang w:val="es-ES" w:eastAsia="zh-CN"/>
              </w:rPr>
              <w:t>s</w:t>
            </w:r>
            <w:r w:rsidRPr="0053650C">
              <w:rPr>
                <w:rFonts w:eastAsia="SimSun"/>
                <w:sz w:val="18"/>
                <w:szCs w:val="18"/>
                <w:lang w:val="es-ES" w:eastAsia="zh-CN"/>
              </w:rPr>
              <w:t xml:space="preserve">       </w:t>
            </w:r>
            <w:r>
              <w:rPr>
                <w:rFonts w:eastAsia="SimSun"/>
                <w:sz w:val="18"/>
                <w:szCs w:val="18"/>
                <w:lang w:val="es-ES" w:eastAsia="zh-CN"/>
              </w:rPr>
              <w:t xml:space="preserve">       </w:t>
            </w:r>
            <w:r w:rsidRPr="0053650C">
              <w:rPr>
                <w:rFonts w:eastAsia="SimSun"/>
                <w:sz w:val="18"/>
                <w:szCs w:val="18"/>
                <w:lang w:val="es-ES" w:eastAsia="zh-CN"/>
              </w:rPr>
              <w:t xml:space="preserve"> (IC 99,5</w:t>
            </w:r>
            <w:r>
              <w:rPr>
                <w:rFonts w:eastAsia="SimSun"/>
                <w:sz w:val="18"/>
                <w:szCs w:val="18"/>
                <w:lang w:val="es-ES" w:eastAsia="zh-CN"/>
              </w:rPr>
              <w:t xml:space="preserve"> </w:t>
            </w:r>
            <w:r w:rsidRPr="0053650C">
              <w:rPr>
                <w:rFonts w:eastAsia="SimSun"/>
                <w:sz w:val="18"/>
                <w:szCs w:val="18"/>
                <w:lang w:val="es-ES" w:eastAsia="zh-CN"/>
              </w:rPr>
              <w:t>%)</w:t>
            </w:r>
          </w:p>
        </w:tc>
        <w:tc>
          <w:tcPr>
            <w:tcW w:w="919" w:type="dxa"/>
            <w:gridSpan w:val="2"/>
            <w:tcBorders>
              <w:bottom w:val="single" w:sz="4" w:space="0" w:color="auto"/>
            </w:tcBorders>
            <w:tcMar>
              <w:top w:w="0" w:type="dxa"/>
              <w:left w:w="57" w:type="dxa"/>
              <w:bottom w:w="0" w:type="dxa"/>
              <w:right w:w="57" w:type="dxa"/>
            </w:tcMar>
          </w:tcPr>
          <w:p w14:paraId="4A7FA0E8"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208" w:type="dxa"/>
            <w:tcBorders>
              <w:bottom w:val="single" w:sz="4" w:space="0" w:color="auto"/>
            </w:tcBorders>
            <w:tcMar>
              <w:top w:w="0" w:type="dxa"/>
              <w:left w:w="57" w:type="dxa"/>
              <w:bottom w:w="0" w:type="dxa"/>
              <w:right w:w="57" w:type="dxa"/>
            </w:tcMar>
          </w:tcPr>
          <w:p w14:paraId="1D4CB0DC" w14:textId="77777777" w:rsidR="00CD5F32" w:rsidRPr="009030C1" w:rsidDel="00CA004A"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842" w:type="dxa"/>
            <w:tcBorders>
              <w:bottom w:val="single" w:sz="4" w:space="0" w:color="auto"/>
              <w:right w:val="nil"/>
            </w:tcBorders>
          </w:tcPr>
          <w:p w14:paraId="2229B3D4"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38,</w:t>
            </w:r>
            <w:r w:rsidRPr="009030C1">
              <w:rPr>
                <w:rFonts w:eastAsia="SimSun"/>
                <w:sz w:val="18"/>
                <w:szCs w:val="18"/>
                <w:lang w:val="en-GB" w:eastAsia="zh-CN"/>
              </w:rPr>
              <w:t>35</w:t>
            </w:r>
            <w:r>
              <w:rPr>
                <w:rFonts w:eastAsia="SimSun"/>
                <w:sz w:val="18"/>
                <w:szCs w:val="18"/>
                <w:lang w:val="en-GB" w:eastAsia="zh-CN"/>
              </w:rPr>
              <w:t xml:space="preserve"> </w:t>
            </w:r>
            <w:r w:rsidRPr="009030C1">
              <w:rPr>
                <w:rFonts w:eastAsia="SimSun"/>
                <w:sz w:val="18"/>
                <w:szCs w:val="18"/>
                <w:lang w:val="en-GB" w:eastAsia="zh-CN"/>
              </w:rPr>
              <w:t>%*</w:t>
            </w:r>
          </w:p>
          <w:p w14:paraId="34E47F91" w14:textId="77777777" w:rsidR="00CD5F32" w:rsidRPr="009030C1" w:rsidDel="00CA004A"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 xml:space="preserve">(17,89; </w:t>
            </w:r>
            <w:r w:rsidRPr="009030C1">
              <w:rPr>
                <w:rFonts w:eastAsia="SimSun"/>
                <w:sz w:val="18"/>
                <w:szCs w:val="18"/>
                <w:lang w:val="en-GB" w:eastAsia="zh-CN"/>
              </w:rPr>
              <w:t>58</w:t>
            </w:r>
            <w:r>
              <w:rPr>
                <w:rFonts w:eastAsia="SimSun"/>
                <w:sz w:val="18"/>
                <w:szCs w:val="18"/>
                <w:lang w:val="en-GB" w:eastAsia="zh-CN"/>
              </w:rPr>
              <w:t>,</w:t>
            </w:r>
            <w:r w:rsidRPr="009030C1">
              <w:rPr>
                <w:rFonts w:eastAsia="SimSun"/>
                <w:sz w:val="18"/>
                <w:szCs w:val="18"/>
                <w:lang w:val="en-GB" w:eastAsia="zh-CN"/>
              </w:rPr>
              <w:t>81)</w:t>
            </w:r>
          </w:p>
        </w:tc>
        <w:tc>
          <w:tcPr>
            <w:tcW w:w="1842" w:type="dxa"/>
            <w:tcBorders>
              <w:left w:val="nil"/>
              <w:bottom w:val="single" w:sz="4" w:space="0" w:color="auto"/>
              <w:right w:val="single" w:sz="4" w:space="0" w:color="auto"/>
            </w:tcBorders>
            <w:tcMar>
              <w:top w:w="0" w:type="dxa"/>
              <w:left w:w="57" w:type="dxa"/>
              <w:bottom w:w="0" w:type="dxa"/>
              <w:right w:w="57" w:type="dxa"/>
            </w:tcMar>
          </w:tcPr>
          <w:p w14:paraId="3CFEB651"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35,</w:t>
            </w:r>
            <w:r w:rsidRPr="009030C1">
              <w:rPr>
                <w:rFonts w:eastAsia="SimSun"/>
                <w:sz w:val="18"/>
                <w:szCs w:val="18"/>
                <w:lang w:val="en-GB" w:eastAsia="zh-CN"/>
              </w:rPr>
              <w:t>41</w:t>
            </w:r>
            <w:r>
              <w:rPr>
                <w:rFonts w:eastAsia="SimSun"/>
                <w:sz w:val="18"/>
                <w:szCs w:val="18"/>
                <w:lang w:val="en-GB" w:eastAsia="zh-CN"/>
              </w:rPr>
              <w:t xml:space="preserve"> </w:t>
            </w:r>
            <w:r w:rsidRPr="009030C1">
              <w:rPr>
                <w:rFonts w:eastAsia="SimSun"/>
                <w:sz w:val="18"/>
                <w:szCs w:val="18"/>
                <w:lang w:val="en-GB" w:eastAsia="zh-CN"/>
              </w:rPr>
              <w:t>%**</w:t>
            </w:r>
          </w:p>
          <w:p w14:paraId="12A516B3"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(10,41; 60,</w:t>
            </w:r>
            <w:r w:rsidRPr="009030C1">
              <w:rPr>
                <w:rFonts w:eastAsia="SimSun"/>
                <w:sz w:val="18"/>
                <w:szCs w:val="18"/>
                <w:lang w:val="en-GB" w:eastAsia="zh-CN"/>
              </w:rPr>
              <w:t>41)</w:t>
            </w:r>
          </w:p>
        </w:tc>
      </w:tr>
      <w:tr w:rsidR="00CD5F32" w:rsidRPr="006868F5" w14:paraId="782931AC" w14:textId="77777777" w:rsidTr="00484513">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438CEDEF" w14:textId="2CDB0121" w:rsidR="00CD5F32" w:rsidRPr="006868F5" w:rsidRDefault="00CD5F32">
            <w:pPr>
              <w:keepNext/>
              <w:keepLines/>
              <w:widowControl w:val="0"/>
              <w:spacing w:before="50" w:after="50" w:line="240" w:lineRule="exact"/>
              <w:rPr>
                <w:rFonts w:eastAsia="SimSun"/>
                <w:sz w:val="18"/>
                <w:szCs w:val="18"/>
                <w:lang w:val="es-ES" w:eastAsia="zh-CN"/>
              </w:rPr>
              <w:pPrChange w:id="1883" w:author="tcs" w:date="2026-02-26T10:53:00Z">
                <w:pPr>
                  <w:widowControl w:val="0"/>
                  <w:spacing w:before="50" w:after="50" w:line="240" w:lineRule="exact"/>
                </w:pPr>
              </w:pPrChange>
            </w:pPr>
            <w:r w:rsidRPr="006868F5">
              <w:rPr>
                <w:rFonts w:eastAsia="SimSun"/>
                <w:b/>
                <w:sz w:val="18"/>
                <w:szCs w:val="18"/>
                <w:lang w:val="es-ES" w:eastAsia="zh-CN"/>
              </w:rPr>
              <w:lastRenderedPageBreak/>
              <w:t>O</w:t>
            </w:r>
            <w:r w:rsidRPr="0002355A">
              <w:rPr>
                <w:rFonts w:eastAsia="SimSun"/>
                <w:b/>
                <w:sz w:val="18"/>
                <w:szCs w:val="18"/>
                <w:lang w:val="es-ES" w:eastAsia="zh-CN"/>
              </w:rPr>
              <w:t>tr</w:t>
            </w:r>
            <w:del w:id="1884" w:author="AUTHOR">
              <w:r w:rsidDel="00E11790">
                <w:rPr>
                  <w:rFonts w:eastAsia="SimSun"/>
                  <w:b/>
                  <w:sz w:val="18"/>
                  <w:szCs w:val="18"/>
                  <w:lang w:val="es-ES" w:eastAsia="zh-CN"/>
                </w:rPr>
                <w:delText>o</w:delText>
              </w:r>
            </w:del>
            <w:ins w:id="1885" w:author="AUTHOR">
              <w:r w:rsidR="00E11790">
                <w:rPr>
                  <w:rFonts w:eastAsia="SimSun"/>
                  <w:b/>
                  <w:sz w:val="18"/>
                  <w:szCs w:val="18"/>
                  <w:lang w:val="es-ES" w:eastAsia="zh-CN"/>
                </w:rPr>
                <w:t>a</w:t>
              </w:r>
            </w:ins>
            <w:r w:rsidRPr="006868F5">
              <w:rPr>
                <w:rFonts w:eastAsia="SimSun"/>
                <w:b/>
                <w:sz w:val="18"/>
                <w:szCs w:val="18"/>
                <w:lang w:val="es-ES" w:eastAsia="zh-CN"/>
              </w:rPr>
              <w:t xml:space="preserve">s </w:t>
            </w:r>
            <w:del w:id="1886" w:author="AUTHOR">
              <w:r w:rsidDel="00E11790">
                <w:rPr>
                  <w:rFonts w:eastAsia="SimSun"/>
                  <w:b/>
                  <w:sz w:val="18"/>
                  <w:szCs w:val="18"/>
                  <w:lang w:val="es-ES" w:eastAsia="zh-CN"/>
                </w:rPr>
                <w:delText xml:space="preserve">objetivos </w:delText>
              </w:r>
            </w:del>
            <w:ins w:id="1887" w:author="AUTHOR">
              <w:r w:rsidR="00E11790">
                <w:rPr>
                  <w:rFonts w:eastAsia="SimSun"/>
                  <w:b/>
                  <w:sz w:val="18"/>
                  <w:szCs w:val="18"/>
                  <w:lang w:val="es-ES" w:eastAsia="zh-CN"/>
                </w:rPr>
                <w:t xml:space="preserve">variables </w:t>
              </w:r>
            </w:ins>
            <w:r>
              <w:rPr>
                <w:rFonts w:eastAsia="SimSun"/>
                <w:b/>
                <w:sz w:val="18"/>
                <w:szCs w:val="18"/>
                <w:lang w:val="es-ES" w:eastAsia="zh-CN"/>
              </w:rPr>
              <w:t>s</w:t>
            </w:r>
            <w:r w:rsidRPr="0002355A">
              <w:rPr>
                <w:rFonts w:eastAsia="SimSun"/>
                <w:b/>
                <w:sz w:val="18"/>
                <w:szCs w:val="18"/>
                <w:lang w:val="es-ES" w:eastAsia="zh-CN"/>
              </w:rPr>
              <w:t>ecundari</w:t>
            </w:r>
            <w:ins w:id="1888" w:author="AUTHOR">
              <w:r w:rsidR="00E11790">
                <w:rPr>
                  <w:rFonts w:eastAsia="SimSun"/>
                  <w:b/>
                  <w:sz w:val="18"/>
                  <w:szCs w:val="18"/>
                  <w:lang w:val="es-ES" w:eastAsia="zh-CN"/>
                </w:rPr>
                <w:t>a</w:t>
              </w:r>
            </w:ins>
            <w:del w:id="1889" w:author="AUTHOR">
              <w:r w:rsidDel="00E11790">
                <w:rPr>
                  <w:rFonts w:eastAsia="SimSun"/>
                  <w:b/>
                  <w:sz w:val="18"/>
                  <w:szCs w:val="18"/>
                  <w:lang w:val="es-ES" w:eastAsia="zh-CN"/>
                </w:rPr>
                <w:delText>o</w:delText>
              </w:r>
            </w:del>
            <w:r w:rsidRPr="006868F5">
              <w:rPr>
                <w:rFonts w:eastAsia="SimSun"/>
                <w:b/>
                <w:sz w:val="18"/>
                <w:szCs w:val="18"/>
                <w:lang w:val="es-ES" w:eastAsia="zh-CN"/>
              </w:rPr>
              <w:t>s</w:t>
            </w:r>
          </w:p>
        </w:tc>
        <w:tc>
          <w:tcPr>
            <w:tcW w:w="919" w:type="dxa"/>
            <w:gridSpan w:val="2"/>
            <w:tcBorders>
              <w:top w:val="single" w:sz="4" w:space="0" w:color="auto"/>
              <w:bottom w:val="single" w:sz="4" w:space="0" w:color="auto"/>
            </w:tcBorders>
            <w:tcMar>
              <w:top w:w="0" w:type="dxa"/>
              <w:left w:w="57" w:type="dxa"/>
              <w:bottom w:w="0" w:type="dxa"/>
              <w:right w:w="57" w:type="dxa"/>
            </w:tcMar>
          </w:tcPr>
          <w:p w14:paraId="1090C790" w14:textId="77777777" w:rsidR="00CD5F32" w:rsidRPr="006868F5" w:rsidRDefault="00CD5F32" w:rsidP="003569D6">
            <w:pPr>
              <w:widowControl w:val="0"/>
              <w:spacing w:before="50" w:after="50" w:line="240" w:lineRule="exact"/>
              <w:jc w:val="center"/>
              <w:rPr>
                <w:rFonts w:eastAsia="SimSun"/>
                <w:sz w:val="18"/>
                <w:szCs w:val="18"/>
                <w:lang w:val="es-ES" w:eastAsia="zh-CN"/>
              </w:rPr>
            </w:pPr>
          </w:p>
        </w:tc>
        <w:tc>
          <w:tcPr>
            <w:tcW w:w="1208" w:type="dxa"/>
            <w:tcBorders>
              <w:top w:val="single" w:sz="4" w:space="0" w:color="auto"/>
              <w:bottom w:val="single" w:sz="4" w:space="0" w:color="auto"/>
            </w:tcBorders>
            <w:tcMar>
              <w:top w:w="0" w:type="dxa"/>
              <w:left w:w="57" w:type="dxa"/>
              <w:bottom w:w="0" w:type="dxa"/>
              <w:right w:w="57" w:type="dxa"/>
            </w:tcMar>
          </w:tcPr>
          <w:p w14:paraId="1D449BB5" w14:textId="77777777" w:rsidR="00CD5F32" w:rsidRPr="006868F5" w:rsidRDefault="00CD5F32" w:rsidP="003569D6">
            <w:pPr>
              <w:widowControl w:val="0"/>
              <w:spacing w:before="50" w:after="50" w:line="240" w:lineRule="exact"/>
              <w:jc w:val="center"/>
              <w:rPr>
                <w:rFonts w:eastAsia="SimSun"/>
                <w:sz w:val="18"/>
                <w:szCs w:val="18"/>
                <w:lang w:val="es-ES" w:eastAsia="zh-CN"/>
              </w:rPr>
            </w:pPr>
          </w:p>
        </w:tc>
        <w:tc>
          <w:tcPr>
            <w:tcW w:w="1842" w:type="dxa"/>
            <w:tcBorders>
              <w:top w:val="single" w:sz="4" w:space="0" w:color="auto"/>
              <w:bottom w:val="single" w:sz="4" w:space="0" w:color="auto"/>
              <w:right w:val="nil"/>
            </w:tcBorders>
          </w:tcPr>
          <w:p w14:paraId="6C1631AA" w14:textId="77777777" w:rsidR="00CD5F32" w:rsidRPr="006868F5" w:rsidRDefault="00CD5F32" w:rsidP="003569D6">
            <w:pPr>
              <w:widowControl w:val="0"/>
              <w:spacing w:before="50" w:after="50" w:line="240" w:lineRule="exact"/>
              <w:jc w:val="center"/>
              <w:rPr>
                <w:rFonts w:eastAsia="SimSun"/>
                <w:sz w:val="18"/>
                <w:szCs w:val="18"/>
                <w:lang w:val="es-ES"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2A7C2877" w14:textId="77777777" w:rsidR="00CD5F32" w:rsidRPr="006868F5" w:rsidRDefault="00CD5F32" w:rsidP="003569D6">
            <w:pPr>
              <w:widowControl w:val="0"/>
              <w:spacing w:before="50" w:after="50" w:line="240" w:lineRule="exact"/>
              <w:jc w:val="center"/>
              <w:rPr>
                <w:rFonts w:eastAsia="SimSun"/>
                <w:sz w:val="18"/>
                <w:szCs w:val="18"/>
                <w:lang w:val="es-ES" w:eastAsia="zh-CN"/>
              </w:rPr>
            </w:pPr>
          </w:p>
        </w:tc>
      </w:tr>
      <w:tr w:rsidR="00CD5F32" w:rsidRPr="009030C1" w14:paraId="2080E744" w14:textId="77777777" w:rsidTr="00484513">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5F638885" w14:textId="77777777" w:rsidR="00CD5F32" w:rsidRPr="006868F5" w:rsidRDefault="00CD5F32">
            <w:pPr>
              <w:keepNext/>
              <w:keepLines/>
              <w:widowControl w:val="0"/>
              <w:spacing w:before="50" w:after="50" w:line="240" w:lineRule="exact"/>
              <w:rPr>
                <w:rFonts w:eastAsia="SimSun"/>
                <w:sz w:val="18"/>
                <w:szCs w:val="18"/>
                <w:lang w:val="es-ES" w:eastAsia="zh-CN"/>
              </w:rPr>
              <w:pPrChange w:id="1890" w:author="tcs" w:date="2026-02-26T10:53:00Z">
                <w:pPr>
                  <w:widowControl w:val="0"/>
                  <w:spacing w:before="50" w:after="50" w:line="240" w:lineRule="exact"/>
                </w:pPr>
              </w:pPrChange>
            </w:pPr>
            <w:r w:rsidRPr="006868F5">
              <w:rPr>
                <w:rFonts w:eastAsia="SimSun"/>
                <w:sz w:val="18"/>
                <w:szCs w:val="18"/>
                <w:lang w:val="es-ES" w:eastAsia="zh-CN"/>
              </w:rPr>
              <w:t>Ti</w:t>
            </w:r>
            <w:r w:rsidRPr="00B30448">
              <w:rPr>
                <w:rFonts w:eastAsia="SimSun"/>
                <w:sz w:val="18"/>
                <w:szCs w:val="18"/>
                <w:lang w:val="es-ES" w:eastAsia="zh-CN"/>
              </w:rPr>
              <w:t xml:space="preserve">empo hasta </w:t>
            </w:r>
            <w:r>
              <w:rPr>
                <w:rFonts w:eastAsia="SimSun"/>
                <w:sz w:val="18"/>
                <w:szCs w:val="18"/>
                <w:lang w:val="es-ES" w:eastAsia="zh-CN"/>
              </w:rPr>
              <w:t>e</w:t>
            </w:r>
            <w:r w:rsidRPr="00B30448">
              <w:rPr>
                <w:rFonts w:eastAsia="SimSun"/>
                <w:sz w:val="18"/>
                <w:szCs w:val="18"/>
                <w:lang w:val="es-ES" w:eastAsia="zh-CN"/>
              </w:rPr>
              <w:t>l primer</w:t>
            </w:r>
            <w:r>
              <w:rPr>
                <w:rFonts w:eastAsia="SimSun"/>
                <w:sz w:val="18"/>
                <w:szCs w:val="18"/>
                <w:lang w:val="es-ES" w:eastAsia="zh-CN"/>
              </w:rPr>
              <w:t xml:space="preserve"> brote</w:t>
            </w:r>
            <w:r w:rsidRPr="0053650C">
              <w:rPr>
                <w:rFonts w:eastAsia="SimSun"/>
                <w:sz w:val="18"/>
                <w:szCs w:val="18"/>
                <w:lang w:val="es-ES" w:eastAsia="zh-CN"/>
              </w:rPr>
              <w:t>¹</w:t>
            </w:r>
            <w:r w:rsidRPr="006868F5">
              <w:rPr>
                <w:rFonts w:eastAsia="SimSun"/>
                <w:sz w:val="18"/>
                <w:szCs w:val="18"/>
                <w:lang w:val="es-ES" w:eastAsia="zh-CN"/>
              </w:rPr>
              <w:t xml:space="preserve"> de</w:t>
            </w:r>
            <w:r>
              <w:rPr>
                <w:rFonts w:eastAsia="SimSun"/>
                <w:sz w:val="18"/>
                <w:szCs w:val="18"/>
                <w:lang w:val="es-ES" w:eastAsia="zh-CN"/>
              </w:rPr>
              <w:t xml:space="preserve"> </w:t>
            </w:r>
            <w:r w:rsidRPr="006868F5">
              <w:rPr>
                <w:rFonts w:eastAsia="SimSun"/>
                <w:sz w:val="18"/>
                <w:szCs w:val="18"/>
                <w:lang w:val="es-ES" w:eastAsia="zh-CN"/>
              </w:rPr>
              <w:t>ACG (grupos Tocilizumab vs Placebo+26)</w:t>
            </w:r>
          </w:p>
          <w:p w14:paraId="08794C08" w14:textId="77777777" w:rsidR="00CD5F32" w:rsidRPr="006868F5" w:rsidRDefault="00CD5F32">
            <w:pPr>
              <w:keepNext/>
              <w:keepLines/>
              <w:widowControl w:val="0"/>
              <w:spacing w:before="50" w:after="50" w:line="240" w:lineRule="exact"/>
              <w:ind w:left="1440"/>
              <w:rPr>
                <w:rFonts w:eastAsia="SimSun"/>
                <w:sz w:val="18"/>
                <w:szCs w:val="18"/>
                <w:lang w:val="es-ES" w:eastAsia="zh-CN"/>
              </w:rPr>
              <w:pPrChange w:id="1891" w:author="tcs" w:date="2026-02-26T10:53:00Z">
                <w:pPr>
                  <w:widowControl w:val="0"/>
                  <w:spacing w:before="50" w:after="50" w:line="240" w:lineRule="exact"/>
                  <w:ind w:left="1440"/>
                </w:pPr>
              </w:pPrChange>
            </w:pPr>
            <w:r w:rsidRPr="006868F5">
              <w:rPr>
                <w:rFonts w:eastAsia="SimSun"/>
                <w:sz w:val="18"/>
                <w:szCs w:val="18"/>
                <w:lang w:val="es-ES" w:eastAsia="zh-CN"/>
              </w:rPr>
              <w:t>HR (IC 99</w:t>
            </w:r>
            <w:r>
              <w:rPr>
                <w:rFonts w:eastAsia="SimSun"/>
                <w:sz w:val="18"/>
                <w:szCs w:val="18"/>
                <w:lang w:val="es-ES" w:eastAsia="zh-CN"/>
              </w:rPr>
              <w:t xml:space="preserve"> </w:t>
            </w:r>
            <w:r w:rsidRPr="006868F5">
              <w:rPr>
                <w:rFonts w:eastAsia="SimSun"/>
                <w:sz w:val="18"/>
                <w:szCs w:val="18"/>
                <w:lang w:val="es-ES" w:eastAsia="zh-CN"/>
              </w:rPr>
              <w:t>%)</w:t>
            </w:r>
          </w:p>
          <w:p w14:paraId="30669018" w14:textId="77777777" w:rsidR="00CD5F32" w:rsidRPr="006868F5" w:rsidRDefault="00CD5F32">
            <w:pPr>
              <w:keepNext/>
              <w:keepLines/>
              <w:widowControl w:val="0"/>
              <w:spacing w:before="50" w:after="50" w:line="240" w:lineRule="exact"/>
              <w:ind w:left="-58"/>
              <w:rPr>
                <w:rFonts w:eastAsia="SimSun"/>
                <w:sz w:val="18"/>
                <w:szCs w:val="18"/>
                <w:lang w:val="es-ES" w:eastAsia="zh-CN"/>
              </w:rPr>
              <w:pPrChange w:id="1892" w:author="tcs" w:date="2026-02-26T10:53:00Z">
                <w:pPr>
                  <w:widowControl w:val="0"/>
                  <w:spacing w:before="50" w:after="50" w:line="240" w:lineRule="exact"/>
                  <w:ind w:left="-58"/>
                </w:pPr>
              </w:pPrChange>
            </w:pPr>
            <w:r w:rsidRPr="006868F5">
              <w:rPr>
                <w:rFonts w:eastAsia="SimSun"/>
                <w:sz w:val="18"/>
                <w:szCs w:val="18"/>
                <w:lang w:val="es-ES" w:eastAsia="zh-CN"/>
              </w:rPr>
              <w:t xml:space="preserve"> Tiempo hasta el primer </w:t>
            </w:r>
            <w:r>
              <w:rPr>
                <w:rFonts w:eastAsia="SimSun"/>
                <w:sz w:val="18"/>
                <w:szCs w:val="18"/>
                <w:lang w:val="es-ES" w:eastAsia="zh-CN"/>
              </w:rPr>
              <w:t>brote</w:t>
            </w:r>
            <w:r w:rsidRPr="0053650C">
              <w:rPr>
                <w:rFonts w:eastAsia="SimSun"/>
                <w:sz w:val="18"/>
                <w:szCs w:val="18"/>
                <w:lang w:val="es-ES" w:eastAsia="zh-CN"/>
              </w:rPr>
              <w:t>¹</w:t>
            </w:r>
            <w:r>
              <w:rPr>
                <w:rFonts w:eastAsia="SimSun"/>
                <w:sz w:val="18"/>
                <w:szCs w:val="18"/>
                <w:lang w:val="es-ES" w:eastAsia="zh-CN"/>
              </w:rPr>
              <w:t xml:space="preserve"> </w:t>
            </w:r>
            <w:r w:rsidRPr="006868F5">
              <w:rPr>
                <w:rFonts w:eastAsia="SimSun"/>
                <w:sz w:val="18"/>
                <w:szCs w:val="18"/>
                <w:lang w:val="es-ES" w:eastAsia="zh-CN"/>
              </w:rPr>
              <w:t>de</w:t>
            </w:r>
            <w:r>
              <w:rPr>
                <w:rFonts w:eastAsia="SimSun"/>
                <w:sz w:val="18"/>
                <w:szCs w:val="18"/>
                <w:lang w:val="es-ES" w:eastAsia="zh-CN"/>
              </w:rPr>
              <w:t xml:space="preserve"> </w:t>
            </w:r>
            <w:r w:rsidRPr="006868F5">
              <w:rPr>
                <w:rFonts w:eastAsia="SimSun"/>
                <w:sz w:val="18"/>
                <w:szCs w:val="18"/>
                <w:lang w:val="es-ES" w:eastAsia="zh-CN"/>
              </w:rPr>
              <w:t>A</w:t>
            </w:r>
            <w:r>
              <w:rPr>
                <w:rFonts w:eastAsia="SimSun"/>
                <w:sz w:val="18"/>
                <w:szCs w:val="18"/>
                <w:lang w:val="es-ES" w:eastAsia="zh-CN"/>
              </w:rPr>
              <w:t xml:space="preserve">CG </w:t>
            </w:r>
            <w:r w:rsidRPr="006868F5">
              <w:rPr>
                <w:rFonts w:eastAsia="SimSun"/>
                <w:sz w:val="18"/>
                <w:szCs w:val="18"/>
                <w:lang w:val="es-ES" w:eastAsia="zh-CN"/>
              </w:rPr>
              <w:t>(grupos Tocilizumab vs Placebo+52)</w:t>
            </w:r>
          </w:p>
          <w:p w14:paraId="69B2C39B" w14:textId="77777777" w:rsidR="00CD5F32" w:rsidRPr="006868F5" w:rsidRDefault="00CD5F32">
            <w:pPr>
              <w:keepNext/>
              <w:keepLines/>
              <w:widowControl w:val="0"/>
              <w:spacing w:before="50" w:after="50" w:line="240" w:lineRule="exact"/>
              <w:rPr>
                <w:rFonts w:eastAsia="SimSun"/>
                <w:sz w:val="18"/>
                <w:szCs w:val="18"/>
                <w:lang w:val="es-ES" w:eastAsia="zh-CN"/>
              </w:rPr>
              <w:pPrChange w:id="1893" w:author="tcs" w:date="2026-02-26T10:53:00Z">
                <w:pPr>
                  <w:widowControl w:val="0"/>
                  <w:spacing w:before="50" w:after="50" w:line="240" w:lineRule="exact"/>
                </w:pPr>
              </w:pPrChange>
            </w:pPr>
            <w:r w:rsidRPr="006868F5">
              <w:rPr>
                <w:rFonts w:eastAsia="SimSun"/>
                <w:sz w:val="18"/>
                <w:szCs w:val="18"/>
                <w:lang w:val="es-ES" w:eastAsia="zh-CN"/>
              </w:rPr>
              <w:t xml:space="preserve">                                HR (IC 99</w:t>
            </w:r>
            <w:r>
              <w:rPr>
                <w:rFonts w:eastAsia="SimSun"/>
                <w:sz w:val="18"/>
                <w:szCs w:val="18"/>
                <w:lang w:val="es-ES" w:eastAsia="zh-CN"/>
              </w:rPr>
              <w:t xml:space="preserve"> </w:t>
            </w:r>
            <w:r w:rsidRPr="006868F5">
              <w:rPr>
                <w:rFonts w:eastAsia="SimSun"/>
                <w:sz w:val="18"/>
                <w:szCs w:val="18"/>
                <w:lang w:val="es-ES" w:eastAsia="zh-CN"/>
              </w:rPr>
              <w:t>%)</w:t>
            </w:r>
          </w:p>
          <w:p w14:paraId="0A06F7D0" w14:textId="77777777" w:rsidR="00CD5F32" w:rsidRPr="006868F5" w:rsidRDefault="00CD5F32">
            <w:pPr>
              <w:keepNext/>
              <w:keepLines/>
              <w:widowControl w:val="0"/>
              <w:spacing w:before="50" w:after="50" w:line="240" w:lineRule="exact"/>
              <w:rPr>
                <w:rFonts w:eastAsia="SimSun"/>
                <w:sz w:val="18"/>
                <w:szCs w:val="18"/>
                <w:lang w:val="es-ES" w:eastAsia="zh-CN"/>
              </w:rPr>
              <w:pPrChange w:id="1894" w:author="tcs" w:date="2026-02-26T10:53:00Z">
                <w:pPr>
                  <w:widowControl w:val="0"/>
                  <w:spacing w:before="50" w:after="50" w:line="240" w:lineRule="exact"/>
                </w:pPr>
              </w:pPrChange>
            </w:pPr>
            <w:r w:rsidRPr="006868F5">
              <w:rPr>
                <w:rFonts w:eastAsia="SimSun"/>
                <w:sz w:val="18"/>
                <w:szCs w:val="18"/>
                <w:lang w:val="es-ES" w:eastAsia="zh-CN"/>
              </w:rPr>
              <w:t xml:space="preserve">Tiempo hasta el primer </w:t>
            </w:r>
            <w:r>
              <w:rPr>
                <w:rFonts w:eastAsia="SimSun"/>
                <w:sz w:val="18"/>
                <w:szCs w:val="18"/>
                <w:lang w:val="es-ES" w:eastAsia="zh-CN"/>
              </w:rPr>
              <w:t>brote</w:t>
            </w:r>
            <w:r w:rsidRPr="0053650C">
              <w:rPr>
                <w:rFonts w:eastAsia="SimSun"/>
                <w:sz w:val="18"/>
                <w:szCs w:val="18"/>
                <w:lang w:val="es-ES" w:eastAsia="zh-CN"/>
              </w:rPr>
              <w:t>¹</w:t>
            </w:r>
            <w:r w:rsidRPr="006868F5">
              <w:rPr>
                <w:rFonts w:eastAsia="SimSun"/>
                <w:sz w:val="18"/>
                <w:szCs w:val="18"/>
                <w:lang w:val="es-ES" w:eastAsia="zh-CN"/>
              </w:rPr>
              <w:t xml:space="preserve"> de AC</w:t>
            </w:r>
            <w:r>
              <w:rPr>
                <w:rFonts w:eastAsia="SimSun"/>
                <w:sz w:val="18"/>
                <w:szCs w:val="18"/>
                <w:lang w:val="es-ES" w:eastAsia="zh-CN"/>
              </w:rPr>
              <w:t xml:space="preserve">G </w:t>
            </w:r>
            <w:r w:rsidRPr="006868F5">
              <w:rPr>
                <w:rFonts w:eastAsia="SimSun"/>
                <w:sz w:val="18"/>
                <w:szCs w:val="18"/>
                <w:lang w:val="es-ES" w:eastAsia="zh-CN"/>
              </w:rPr>
              <w:t>(</w:t>
            </w:r>
            <w:r>
              <w:rPr>
                <w:rFonts w:eastAsia="SimSun"/>
                <w:sz w:val="18"/>
                <w:szCs w:val="18"/>
                <w:lang w:val="es-ES" w:eastAsia="zh-CN"/>
              </w:rPr>
              <w:t>Pacientes recurrentes</w:t>
            </w:r>
            <w:r w:rsidRPr="006868F5">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Tocilizumab vs Placebo +26) HR (</w:t>
            </w:r>
            <w:r>
              <w:rPr>
                <w:rFonts w:eastAsia="SimSun"/>
                <w:sz w:val="18"/>
                <w:szCs w:val="18"/>
                <w:lang w:val="es-ES" w:eastAsia="zh-CN"/>
              </w:rPr>
              <w:t xml:space="preserve">IC </w:t>
            </w:r>
            <w:r w:rsidRPr="00C07015">
              <w:rPr>
                <w:rFonts w:eastAsia="SimSun"/>
                <w:sz w:val="18"/>
                <w:szCs w:val="18"/>
                <w:lang w:val="es-ES" w:eastAsia="zh-CN"/>
              </w:rPr>
              <w:t>99%</w:t>
            </w:r>
            <w:r w:rsidRPr="006868F5">
              <w:rPr>
                <w:rFonts w:eastAsia="SimSun"/>
                <w:sz w:val="18"/>
                <w:szCs w:val="18"/>
                <w:lang w:val="es-ES" w:eastAsia="zh-CN"/>
              </w:rPr>
              <w:t>)</w:t>
            </w:r>
          </w:p>
          <w:p w14:paraId="485DAC9F" w14:textId="77777777" w:rsidR="00CD5F32" w:rsidRPr="006868F5" w:rsidRDefault="00CD5F32">
            <w:pPr>
              <w:keepNext/>
              <w:keepLines/>
              <w:widowControl w:val="0"/>
              <w:spacing w:before="50" w:after="50" w:line="240" w:lineRule="exact"/>
              <w:rPr>
                <w:rFonts w:eastAsia="SimSun"/>
                <w:sz w:val="18"/>
                <w:szCs w:val="18"/>
                <w:lang w:val="es-ES" w:eastAsia="zh-CN"/>
              </w:rPr>
              <w:pPrChange w:id="1895" w:author="tcs" w:date="2026-02-26T10:53:00Z">
                <w:pPr>
                  <w:widowControl w:val="0"/>
                  <w:spacing w:before="50" w:after="50" w:line="240" w:lineRule="exact"/>
                </w:pPr>
              </w:pPrChange>
            </w:pPr>
            <w:r w:rsidRPr="006868F5">
              <w:rPr>
                <w:rFonts w:eastAsia="SimSun"/>
                <w:sz w:val="18"/>
                <w:szCs w:val="18"/>
                <w:lang w:val="es-ES" w:eastAsia="zh-CN"/>
              </w:rPr>
              <w:t>Tiempo hasta el</w:t>
            </w:r>
            <w:r w:rsidRPr="0029618B">
              <w:rPr>
                <w:rFonts w:eastAsia="SimSun"/>
                <w:sz w:val="18"/>
                <w:szCs w:val="18"/>
                <w:lang w:val="es-ES" w:eastAsia="zh-CN"/>
              </w:rPr>
              <w:t xml:space="preserve"> primer </w:t>
            </w:r>
            <w:r>
              <w:rPr>
                <w:rFonts w:eastAsia="SimSun"/>
                <w:sz w:val="18"/>
                <w:szCs w:val="18"/>
                <w:lang w:val="es-ES" w:eastAsia="zh-CN"/>
              </w:rPr>
              <w:t>brote</w:t>
            </w:r>
            <w:proofErr w:type="gramStart"/>
            <w:r w:rsidRPr="006868F5">
              <w:rPr>
                <w:rFonts w:eastAsia="SimSun"/>
                <w:sz w:val="18"/>
                <w:szCs w:val="18"/>
                <w:lang w:val="es-ES" w:eastAsia="zh-CN"/>
              </w:rPr>
              <w:t>¹  de</w:t>
            </w:r>
            <w:proofErr w:type="gramEnd"/>
            <w:r w:rsidRPr="006868F5">
              <w:rPr>
                <w:rFonts w:eastAsia="SimSun"/>
                <w:sz w:val="18"/>
                <w:szCs w:val="18"/>
                <w:lang w:val="es-ES" w:eastAsia="zh-CN"/>
              </w:rPr>
              <w:t xml:space="preserve"> ACG (</w:t>
            </w:r>
            <w:r w:rsidRPr="0029618B">
              <w:rPr>
                <w:rFonts w:eastAsia="SimSun"/>
                <w:sz w:val="18"/>
                <w:szCs w:val="18"/>
                <w:lang w:val="es-ES" w:eastAsia="zh-CN"/>
              </w:rPr>
              <w:t>Pacientes rec</w:t>
            </w:r>
            <w:r>
              <w:rPr>
                <w:rFonts w:eastAsia="SimSun"/>
                <w:sz w:val="18"/>
                <w:szCs w:val="18"/>
                <w:lang w:val="es-ES" w:eastAsia="zh-CN"/>
              </w:rPr>
              <w:t>urre</w:t>
            </w:r>
            <w:r w:rsidRPr="006868F5">
              <w:rPr>
                <w:rFonts w:eastAsia="SimSun"/>
                <w:sz w:val="18"/>
                <w:szCs w:val="18"/>
                <w:lang w:val="es-ES" w:eastAsia="zh-CN"/>
              </w:rPr>
              <w:t xml:space="preserve">ntes; </w:t>
            </w:r>
            <w:r>
              <w:rPr>
                <w:rFonts w:eastAsia="SimSun"/>
                <w:sz w:val="18"/>
                <w:szCs w:val="18"/>
                <w:lang w:val="es-ES" w:eastAsia="zh-CN"/>
              </w:rPr>
              <w:t xml:space="preserve">grupos </w:t>
            </w:r>
            <w:r w:rsidRPr="006868F5">
              <w:rPr>
                <w:rFonts w:eastAsia="SimSun"/>
                <w:sz w:val="18"/>
                <w:szCs w:val="18"/>
                <w:lang w:val="es-ES" w:eastAsia="zh-CN"/>
              </w:rPr>
              <w:t>Tocilizumab vs Placebo + 52) HR (</w:t>
            </w:r>
            <w:r>
              <w:rPr>
                <w:rFonts w:eastAsia="SimSun"/>
                <w:sz w:val="18"/>
                <w:szCs w:val="18"/>
                <w:lang w:val="es-ES" w:eastAsia="zh-CN"/>
              </w:rPr>
              <w:t xml:space="preserve">IC </w:t>
            </w:r>
            <w:r w:rsidRPr="00C07015">
              <w:rPr>
                <w:rFonts w:eastAsia="SimSun"/>
                <w:sz w:val="18"/>
                <w:szCs w:val="18"/>
                <w:lang w:val="es-ES" w:eastAsia="zh-CN"/>
              </w:rPr>
              <w:t>99%</w:t>
            </w:r>
            <w:r w:rsidRPr="006868F5">
              <w:rPr>
                <w:rFonts w:eastAsia="SimSun"/>
                <w:sz w:val="18"/>
                <w:szCs w:val="18"/>
                <w:lang w:val="es-ES" w:eastAsia="zh-CN"/>
              </w:rPr>
              <w:t>)</w:t>
            </w:r>
          </w:p>
          <w:p w14:paraId="4CB4233B" w14:textId="77777777" w:rsidR="00CD5F32" w:rsidRPr="006868F5" w:rsidRDefault="00CD5F32">
            <w:pPr>
              <w:keepNext/>
              <w:keepLines/>
              <w:widowControl w:val="0"/>
              <w:spacing w:before="50" w:after="50" w:line="240" w:lineRule="exact"/>
              <w:rPr>
                <w:rFonts w:eastAsia="SimSun"/>
                <w:sz w:val="18"/>
                <w:szCs w:val="18"/>
                <w:lang w:val="es-ES" w:eastAsia="zh-CN"/>
              </w:rPr>
              <w:pPrChange w:id="1896" w:author="tcs" w:date="2026-02-26T10:53:00Z">
                <w:pPr>
                  <w:widowControl w:val="0"/>
                  <w:spacing w:before="50" w:after="50" w:line="240" w:lineRule="exact"/>
                </w:pPr>
              </w:pPrChange>
            </w:pPr>
            <w:r w:rsidRPr="006868F5">
              <w:rPr>
                <w:rFonts w:eastAsia="SimSun"/>
                <w:sz w:val="18"/>
                <w:szCs w:val="18"/>
                <w:lang w:val="es-ES" w:eastAsia="zh-CN"/>
              </w:rPr>
              <w:t xml:space="preserve">Tiempo hasta el primer </w:t>
            </w:r>
            <w:r>
              <w:rPr>
                <w:rFonts w:eastAsia="SimSun"/>
                <w:sz w:val="18"/>
                <w:szCs w:val="18"/>
                <w:lang w:val="es-ES" w:eastAsia="zh-CN"/>
              </w:rPr>
              <w:t>brote</w:t>
            </w:r>
            <w:proofErr w:type="gramStart"/>
            <w:r w:rsidRPr="0053650C">
              <w:rPr>
                <w:rFonts w:eastAsia="SimSun"/>
                <w:sz w:val="18"/>
                <w:szCs w:val="18"/>
                <w:lang w:val="es-ES" w:eastAsia="zh-CN"/>
              </w:rPr>
              <w:t xml:space="preserve">¹ </w:t>
            </w:r>
            <w:r w:rsidRPr="006868F5">
              <w:rPr>
                <w:rFonts w:eastAsia="SimSun"/>
                <w:sz w:val="18"/>
                <w:szCs w:val="18"/>
                <w:lang w:val="es-ES" w:eastAsia="zh-CN"/>
              </w:rPr>
              <w:t xml:space="preserve"> de</w:t>
            </w:r>
            <w:proofErr w:type="gramEnd"/>
            <w:r w:rsidRPr="006868F5">
              <w:rPr>
                <w:rFonts w:eastAsia="SimSun"/>
                <w:sz w:val="18"/>
                <w:szCs w:val="18"/>
                <w:lang w:val="es-ES" w:eastAsia="zh-CN"/>
              </w:rPr>
              <w:t xml:space="preserve"> ACG (</w:t>
            </w:r>
            <w:r>
              <w:rPr>
                <w:rFonts w:eastAsia="SimSun"/>
                <w:sz w:val="18"/>
                <w:szCs w:val="18"/>
                <w:lang w:val="es-ES" w:eastAsia="zh-CN"/>
              </w:rPr>
              <w:t>Casos de nueva aparición</w:t>
            </w:r>
            <w:r w:rsidRPr="0029618B">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Tocilizumab vs Placebo +26) HR (</w:t>
            </w:r>
            <w:r>
              <w:rPr>
                <w:rFonts w:eastAsia="SimSun"/>
                <w:sz w:val="18"/>
                <w:szCs w:val="18"/>
                <w:lang w:val="es-ES" w:eastAsia="zh-CN"/>
              </w:rPr>
              <w:t xml:space="preserve">IC </w:t>
            </w:r>
            <w:r w:rsidRPr="006868F5">
              <w:rPr>
                <w:rFonts w:eastAsia="SimSun"/>
                <w:sz w:val="18"/>
                <w:szCs w:val="18"/>
                <w:lang w:val="es-ES" w:eastAsia="zh-CN"/>
              </w:rPr>
              <w:t>99</w:t>
            </w:r>
            <w:r w:rsidRPr="00C07015">
              <w:rPr>
                <w:rFonts w:eastAsia="SimSun"/>
                <w:sz w:val="18"/>
                <w:szCs w:val="18"/>
                <w:lang w:val="es-ES" w:eastAsia="zh-CN"/>
              </w:rPr>
              <w:t>%</w:t>
            </w:r>
            <w:r w:rsidRPr="006868F5">
              <w:rPr>
                <w:rFonts w:eastAsia="SimSun"/>
                <w:sz w:val="18"/>
                <w:szCs w:val="18"/>
                <w:lang w:val="es-ES" w:eastAsia="zh-CN"/>
              </w:rPr>
              <w:t>)</w:t>
            </w:r>
          </w:p>
          <w:p w14:paraId="35B8759C" w14:textId="77777777" w:rsidR="00CD5F32" w:rsidRPr="006868F5" w:rsidRDefault="00CD5F32">
            <w:pPr>
              <w:keepNext/>
              <w:keepLines/>
              <w:widowControl w:val="0"/>
              <w:spacing w:before="50" w:after="50" w:line="240" w:lineRule="exact"/>
              <w:rPr>
                <w:rFonts w:eastAsia="SimSun"/>
                <w:sz w:val="18"/>
                <w:szCs w:val="18"/>
                <w:lang w:val="es-ES" w:eastAsia="zh-CN"/>
              </w:rPr>
              <w:pPrChange w:id="1897" w:author="tcs" w:date="2026-02-26T10:53:00Z">
                <w:pPr>
                  <w:widowControl w:val="0"/>
                  <w:spacing w:before="50" w:after="50" w:line="240" w:lineRule="exact"/>
                </w:pPr>
              </w:pPrChange>
            </w:pPr>
            <w:r w:rsidRPr="006868F5">
              <w:rPr>
                <w:rFonts w:eastAsia="SimSun"/>
                <w:sz w:val="18"/>
                <w:szCs w:val="18"/>
                <w:lang w:val="es-ES" w:eastAsia="zh-CN"/>
              </w:rPr>
              <w:t>Ti</w:t>
            </w:r>
            <w:r w:rsidRPr="0029618B">
              <w:rPr>
                <w:rFonts w:eastAsia="SimSun"/>
                <w:sz w:val="18"/>
                <w:szCs w:val="18"/>
                <w:lang w:val="es-ES" w:eastAsia="zh-CN"/>
              </w:rPr>
              <w:t xml:space="preserve">empo hasta el primer </w:t>
            </w:r>
            <w:r>
              <w:rPr>
                <w:rFonts w:eastAsia="SimSun"/>
                <w:sz w:val="18"/>
                <w:szCs w:val="18"/>
                <w:lang w:val="es-ES" w:eastAsia="zh-CN"/>
              </w:rPr>
              <w:t>brote</w:t>
            </w:r>
            <w:r w:rsidRPr="006868F5">
              <w:rPr>
                <w:rFonts w:eastAsia="SimSun"/>
                <w:sz w:val="18"/>
                <w:szCs w:val="18"/>
                <w:lang w:val="es-ES" w:eastAsia="zh-CN"/>
              </w:rPr>
              <w:t>¹ de ACG</w:t>
            </w:r>
            <w:r w:rsidRPr="007703ED">
              <w:rPr>
                <w:rFonts w:eastAsia="SimSun"/>
                <w:sz w:val="18"/>
                <w:szCs w:val="18"/>
                <w:lang w:val="es-ES" w:eastAsia="zh-CN"/>
              </w:rPr>
              <w:t xml:space="preserve"> (</w:t>
            </w:r>
            <w:r>
              <w:rPr>
                <w:rFonts w:eastAsia="SimSun"/>
                <w:sz w:val="18"/>
                <w:szCs w:val="18"/>
                <w:lang w:val="es-ES" w:eastAsia="zh-CN"/>
              </w:rPr>
              <w:t>Casos de nueva aparición</w:t>
            </w:r>
            <w:r w:rsidRPr="006868F5">
              <w:rPr>
                <w:rFonts w:eastAsia="SimSun"/>
                <w:sz w:val="18"/>
                <w:szCs w:val="18"/>
                <w:lang w:val="es-ES" w:eastAsia="zh-CN"/>
              </w:rPr>
              <w:t xml:space="preserve">; </w:t>
            </w:r>
            <w:r>
              <w:rPr>
                <w:rFonts w:eastAsia="SimSun"/>
                <w:sz w:val="18"/>
                <w:szCs w:val="18"/>
                <w:lang w:val="es-ES" w:eastAsia="zh-CN"/>
              </w:rPr>
              <w:t xml:space="preserve">grupos </w:t>
            </w:r>
            <w:r w:rsidRPr="006868F5">
              <w:rPr>
                <w:rFonts w:eastAsia="SimSun"/>
                <w:sz w:val="18"/>
                <w:szCs w:val="18"/>
                <w:lang w:val="es-ES" w:eastAsia="zh-CN"/>
              </w:rPr>
              <w:t>Tocilizumab vs Placebo + 52) HR (</w:t>
            </w:r>
            <w:r>
              <w:rPr>
                <w:rFonts w:eastAsia="SimSun"/>
                <w:sz w:val="18"/>
                <w:szCs w:val="18"/>
                <w:lang w:val="es-ES" w:eastAsia="zh-CN"/>
              </w:rPr>
              <w:t xml:space="preserve">IC </w:t>
            </w:r>
            <w:r w:rsidRPr="007703ED">
              <w:rPr>
                <w:rFonts w:eastAsia="SimSun"/>
                <w:sz w:val="18"/>
                <w:szCs w:val="18"/>
                <w:lang w:val="es-ES" w:eastAsia="zh-CN"/>
              </w:rPr>
              <w:t xml:space="preserve">99% </w:t>
            </w:r>
            <w:r w:rsidRPr="006868F5">
              <w:rPr>
                <w:rFonts w:eastAsia="SimSun"/>
                <w:sz w:val="18"/>
                <w:szCs w:val="18"/>
                <w:lang w:val="es-ES" w:eastAsia="zh-CN"/>
              </w:rPr>
              <w:t>)</w:t>
            </w:r>
          </w:p>
        </w:tc>
        <w:tc>
          <w:tcPr>
            <w:tcW w:w="919" w:type="dxa"/>
            <w:gridSpan w:val="2"/>
            <w:tcBorders>
              <w:top w:val="single" w:sz="4" w:space="0" w:color="auto"/>
              <w:bottom w:val="single" w:sz="4" w:space="0" w:color="auto"/>
            </w:tcBorders>
            <w:tcMar>
              <w:top w:w="0" w:type="dxa"/>
              <w:left w:w="57" w:type="dxa"/>
              <w:bottom w:w="0" w:type="dxa"/>
              <w:right w:w="57" w:type="dxa"/>
            </w:tcMar>
          </w:tcPr>
          <w:p w14:paraId="0084C016"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7FC9BA5F"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78FFB90F"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056B6512"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04111752"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1EB8459C"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1E533A94"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79FB0F7C" w14:textId="77777777" w:rsidR="00CD5F32" w:rsidRPr="00C555F2" w:rsidRDefault="00CD5F32" w:rsidP="003569D6">
            <w:pPr>
              <w:widowControl w:val="0"/>
              <w:spacing w:before="50" w:after="50" w:line="240" w:lineRule="exact"/>
              <w:rPr>
                <w:rFonts w:eastAsia="SimSun"/>
                <w:sz w:val="18"/>
                <w:szCs w:val="18"/>
                <w:lang w:val="pt-BR" w:eastAsia="zh-CN"/>
              </w:rPr>
            </w:pPr>
          </w:p>
          <w:p w14:paraId="2F8E1271"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78663F68"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059B6821"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35F66A78"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495F4513" w14:textId="77777777" w:rsidR="00CD5F32" w:rsidRPr="00C555F2" w:rsidRDefault="00CD5F32" w:rsidP="003569D6">
            <w:pPr>
              <w:widowControl w:val="0"/>
              <w:spacing w:before="50" w:after="50" w:line="240" w:lineRule="exact"/>
              <w:rPr>
                <w:rFonts w:eastAsia="SimSun"/>
                <w:sz w:val="18"/>
                <w:szCs w:val="18"/>
                <w:lang w:val="pt-BR" w:eastAsia="zh-CN"/>
              </w:rPr>
            </w:pPr>
          </w:p>
          <w:p w14:paraId="66E9CEAE"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32AACED1"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tc>
        <w:tc>
          <w:tcPr>
            <w:tcW w:w="1208" w:type="dxa"/>
            <w:tcBorders>
              <w:top w:val="single" w:sz="4" w:space="0" w:color="auto"/>
              <w:bottom w:val="single" w:sz="4" w:space="0" w:color="auto"/>
            </w:tcBorders>
            <w:tcMar>
              <w:top w:w="0" w:type="dxa"/>
              <w:left w:w="57" w:type="dxa"/>
              <w:bottom w:w="0" w:type="dxa"/>
              <w:right w:w="57" w:type="dxa"/>
            </w:tcMar>
          </w:tcPr>
          <w:p w14:paraId="5DCCE717"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18CA3BEB"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216962B1"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62FBDC3E"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733D1C59"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0A757CC5"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58403D8C"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3386159A" w14:textId="77777777" w:rsidR="00CD5F32" w:rsidRPr="00C555F2" w:rsidRDefault="00CD5F32" w:rsidP="003569D6">
            <w:pPr>
              <w:widowControl w:val="0"/>
              <w:spacing w:before="50" w:after="50" w:line="240" w:lineRule="exact"/>
              <w:rPr>
                <w:rFonts w:eastAsia="SimSun"/>
                <w:sz w:val="18"/>
                <w:szCs w:val="18"/>
                <w:lang w:val="pt-BR" w:eastAsia="zh-CN"/>
              </w:rPr>
            </w:pPr>
          </w:p>
          <w:p w14:paraId="39F78472"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67A0D889"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209FF8C8"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3417D18C"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p w14:paraId="10CEA6E1" w14:textId="77777777" w:rsidR="00CD5F32" w:rsidRPr="00C555F2" w:rsidRDefault="00CD5F32" w:rsidP="003569D6">
            <w:pPr>
              <w:widowControl w:val="0"/>
              <w:spacing w:before="50" w:after="50" w:line="240" w:lineRule="exact"/>
              <w:rPr>
                <w:rFonts w:eastAsia="SimSun"/>
                <w:sz w:val="18"/>
                <w:szCs w:val="18"/>
                <w:lang w:val="pt-BR" w:eastAsia="zh-CN"/>
              </w:rPr>
            </w:pPr>
          </w:p>
          <w:p w14:paraId="62E4AFFF" w14:textId="77777777" w:rsidR="00CD5F32" w:rsidRPr="00C555F2" w:rsidRDefault="00CD5F32" w:rsidP="003569D6">
            <w:pPr>
              <w:widowControl w:val="0"/>
              <w:spacing w:before="50" w:after="50" w:line="240" w:lineRule="exact"/>
              <w:jc w:val="center"/>
              <w:rPr>
                <w:rFonts w:eastAsia="SimSun"/>
                <w:sz w:val="18"/>
                <w:szCs w:val="18"/>
                <w:lang w:val="pt-BR" w:eastAsia="zh-CN"/>
              </w:rPr>
            </w:pPr>
          </w:p>
          <w:p w14:paraId="7A40B48E" w14:textId="77777777" w:rsidR="00CD5F32" w:rsidRPr="00C555F2" w:rsidRDefault="00CD5F32" w:rsidP="003569D6">
            <w:pPr>
              <w:widowControl w:val="0"/>
              <w:spacing w:before="50" w:after="50" w:line="240" w:lineRule="exact"/>
              <w:jc w:val="center"/>
              <w:rPr>
                <w:rFonts w:eastAsia="SimSun"/>
                <w:sz w:val="18"/>
                <w:szCs w:val="18"/>
                <w:lang w:val="pt-BR" w:eastAsia="zh-CN"/>
              </w:rPr>
            </w:pPr>
            <w:r w:rsidRPr="00C555F2">
              <w:rPr>
                <w:rFonts w:eastAsia="SimSun"/>
                <w:sz w:val="18"/>
                <w:szCs w:val="18"/>
                <w:lang w:val="pt-BR" w:eastAsia="zh-CN"/>
              </w:rPr>
              <w:t>N/A</w:t>
            </w:r>
          </w:p>
        </w:tc>
        <w:tc>
          <w:tcPr>
            <w:tcW w:w="1842" w:type="dxa"/>
            <w:tcBorders>
              <w:top w:val="single" w:sz="4" w:space="0" w:color="auto"/>
              <w:bottom w:val="single" w:sz="4" w:space="0" w:color="auto"/>
              <w:right w:val="nil"/>
            </w:tcBorders>
          </w:tcPr>
          <w:p w14:paraId="1F5BB382"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23*</w:t>
            </w:r>
          </w:p>
          <w:p w14:paraId="1C0248E3"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(0,11; 0,</w:t>
            </w:r>
            <w:r w:rsidRPr="009030C1">
              <w:rPr>
                <w:rFonts w:eastAsia="SimSun"/>
                <w:sz w:val="18"/>
                <w:szCs w:val="18"/>
                <w:lang w:val="en-GB" w:eastAsia="zh-CN"/>
              </w:rPr>
              <w:t>46)</w:t>
            </w:r>
          </w:p>
          <w:p w14:paraId="1EB2EAF5"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39**</w:t>
            </w:r>
          </w:p>
          <w:p w14:paraId="50EC7F36"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(0,18; 0,82</w:t>
            </w:r>
            <w:r w:rsidRPr="009030C1">
              <w:rPr>
                <w:rFonts w:eastAsia="SimSun"/>
                <w:sz w:val="18"/>
                <w:szCs w:val="18"/>
                <w:lang w:val="en-GB" w:eastAsia="zh-CN"/>
              </w:rPr>
              <w:t>)</w:t>
            </w:r>
            <w:r w:rsidRPr="009030C1" w:rsidDel="00CA2630">
              <w:rPr>
                <w:rFonts w:eastAsia="SimSun"/>
                <w:sz w:val="18"/>
                <w:szCs w:val="18"/>
                <w:lang w:val="en-GB" w:eastAsia="zh-CN"/>
              </w:rPr>
              <w:t xml:space="preserve"> </w:t>
            </w:r>
          </w:p>
          <w:p w14:paraId="1BD91C07" w14:textId="77777777" w:rsidR="00CD5F32" w:rsidRPr="009030C1" w:rsidRDefault="00CD5F32" w:rsidP="003569D6">
            <w:pPr>
              <w:widowControl w:val="0"/>
              <w:spacing w:before="50" w:after="50" w:line="240" w:lineRule="exact"/>
              <w:jc w:val="center"/>
              <w:rPr>
                <w:rFonts w:eastAsia="SimSun"/>
                <w:sz w:val="18"/>
                <w:szCs w:val="18"/>
                <w:lang w:val="en-GB" w:eastAsia="zh-CN"/>
              </w:rPr>
            </w:pPr>
          </w:p>
          <w:p w14:paraId="7314F11C"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23***</w:t>
            </w:r>
          </w:p>
          <w:p w14:paraId="0572C4B3"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(0,09; 0,</w:t>
            </w:r>
            <w:r w:rsidRPr="009030C1">
              <w:rPr>
                <w:rFonts w:eastAsia="SimSun"/>
                <w:sz w:val="18"/>
                <w:szCs w:val="18"/>
                <w:lang w:val="en-GB" w:eastAsia="zh-CN"/>
              </w:rPr>
              <w:t>61)</w:t>
            </w:r>
          </w:p>
          <w:p w14:paraId="1EF0AE84"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36</w:t>
            </w:r>
          </w:p>
          <w:p w14:paraId="1263CD3B" w14:textId="77777777" w:rsidR="00CD5F32" w:rsidRDefault="00CD5F32" w:rsidP="003569D6">
            <w:pPr>
              <w:widowControl w:val="0"/>
              <w:spacing w:line="240" w:lineRule="exact"/>
              <w:jc w:val="center"/>
              <w:rPr>
                <w:rFonts w:eastAsia="SimSun"/>
                <w:sz w:val="18"/>
                <w:szCs w:val="18"/>
                <w:lang w:val="en-GB" w:eastAsia="zh-CN"/>
              </w:rPr>
            </w:pPr>
          </w:p>
          <w:p w14:paraId="19C50AA8"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(0,13; 1,</w:t>
            </w:r>
            <w:r w:rsidRPr="009030C1">
              <w:rPr>
                <w:rFonts w:eastAsia="SimSun"/>
                <w:sz w:val="18"/>
                <w:szCs w:val="18"/>
                <w:lang w:val="en-GB" w:eastAsia="zh-CN"/>
              </w:rPr>
              <w:t>00)</w:t>
            </w:r>
          </w:p>
          <w:p w14:paraId="373687AE"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25***</w:t>
            </w:r>
          </w:p>
          <w:p w14:paraId="41FFDDFA" w14:textId="77777777" w:rsidR="00CD5F32" w:rsidRDefault="00CD5F32" w:rsidP="003569D6">
            <w:pPr>
              <w:widowControl w:val="0"/>
              <w:spacing w:line="240" w:lineRule="exact"/>
              <w:jc w:val="center"/>
              <w:rPr>
                <w:rFonts w:eastAsia="SimSun"/>
                <w:sz w:val="18"/>
                <w:szCs w:val="18"/>
                <w:lang w:val="en-GB" w:eastAsia="zh-CN"/>
              </w:rPr>
            </w:pPr>
          </w:p>
          <w:p w14:paraId="0FF38967"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(0,09; 0,</w:t>
            </w:r>
            <w:r w:rsidRPr="009030C1">
              <w:rPr>
                <w:rFonts w:eastAsia="SimSun"/>
                <w:sz w:val="18"/>
                <w:szCs w:val="18"/>
                <w:lang w:val="en-GB" w:eastAsia="zh-CN"/>
              </w:rPr>
              <w:t>70)</w:t>
            </w:r>
          </w:p>
          <w:p w14:paraId="0CEAF622"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44</w:t>
            </w:r>
          </w:p>
          <w:p w14:paraId="2CF1354B" w14:textId="77777777" w:rsidR="00CD5F32" w:rsidRDefault="00CD5F32" w:rsidP="003569D6">
            <w:pPr>
              <w:widowControl w:val="0"/>
              <w:spacing w:line="240" w:lineRule="exact"/>
              <w:jc w:val="center"/>
              <w:rPr>
                <w:rFonts w:eastAsia="SimSun"/>
                <w:sz w:val="18"/>
                <w:szCs w:val="18"/>
                <w:lang w:val="en-GB" w:eastAsia="zh-CN"/>
              </w:rPr>
            </w:pPr>
          </w:p>
          <w:p w14:paraId="3C9647E7" w14:textId="77777777" w:rsidR="00CD5F32" w:rsidRDefault="00CD5F32" w:rsidP="003569D6">
            <w:pPr>
              <w:widowControl w:val="0"/>
              <w:spacing w:line="240" w:lineRule="exact"/>
              <w:jc w:val="center"/>
              <w:rPr>
                <w:rFonts w:eastAsia="SimSun"/>
                <w:sz w:val="18"/>
                <w:szCs w:val="18"/>
                <w:lang w:val="en-GB" w:eastAsia="zh-CN"/>
              </w:rPr>
            </w:pPr>
          </w:p>
          <w:p w14:paraId="6C513199"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(0,14; 1,</w:t>
            </w:r>
            <w:r w:rsidRPr="009030C1">
              <w:rPr>
                <w:rFonts w:eastAsia="SimSun"/>
                <w:sz w:val="18"/>
                <w:szCs w:val="18"/>
                <w:lang w:val="en-GB" w:eastAsia="zh-CN"/>
              </w:rPr>
              <w:t>32)</w:t>
            </w:r>
          </w:p>
          <w:p w14:paraId="01E89BC5" w14:textId="77777777" w:rsidR="00CD5F32" w:rsidRPr="009030C1" w:rsidRDefault="00CD5F32" w:rsidP="003569D6">
            <w:pPr>
              <w:widowControl w:val="0"/>
              <w:spacing w:before="50" w:after="50" w:line="240" w:lineRule="exact"/>
              <w:jc w:val="center"/>
              <w:rPr>
                <w:rFonts w:eastAsia="SimSun"/>
                <w:sz w:val="18"/>
                <w:szCs w:val="18"/>
                <w:lang w:val="en-GB" w:eastAsia="zh-CN"/>
              </w:rPr>
            </w:pP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53AC784E"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28**</w:t>
            </w:r>
          </w:p>
          <w:p w14:paraId="1A903AD5"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(0,12; 0,</w:t>
            </w:r>
            <w:r w:rsidRPr="009030C1">
              <w:rPr>
                <w:rFonts w:eastAsia="SimSun"/>
                <w:sz w:val="18"/>
                <w:szCs w:val="18"/>
                <w:lang w:val="en-GB" w:eastAsia="zh-CN"/>
              </w:rPr>
              <w:t>66)</w:t>
            </w:r>
          </w:p>
          <w:p w14:paraId="2A2DB67A"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48</w:t>
            </w:r>
          </w:p>
          <w:p w14:paraId="36BE2988"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(0,20; 1,</w:t>
            </w:r>
            <w:r w:rsidRPr="009030C1">
              <w:rPr>
                <w:rFonts w:eastAsia="SimSun"/>
                <w:sz w:val="18"/>
                <w:szCs w:val="18"/>
                <w:lang w:val="en-GB" w:eastAsia="zh-CN"/>
              </w:rPr>
              <w:t>16)</w:t>
            </w:r>
            <w:r w:rsidRPr="009030C1" w:rsidDel="00CA2630">
              <w:rPr>
                <w:rFonts w:eastAsia="SimSun"/>
                <w:sz w:val="18"/>
                <w:szCs w:val="18"/>
                <w:lang w:val="en-GB" w:eastAsia="zh-CN"/>
              </w:rPr>
              <w:t xml:space="preserve"> </w:t>
            </w:r>
          </w:p>
          <w:p w14:paraId="384C1DA0" w14:textId="77777777" w:rsidR="00CD5F32" w:rsidRPr="009030C1" w:rsidRDefault="00CD5F32" w:rsidP="003569D6">
            <w:pPr>
              <w:widowControl w:val="0"/>
              <w:spacing w:before="50" w:after="50" w:line="240" w:lineRule="exact"/>
              <w:jc w:val="center"/>
              <w:rPr>
                <w:rFonts w:eastAsia="SimSun"/>
                <w:sz w:val="18"/>
                <w:szCs w:val="18"/>
                <w:lang w:val="en-GB" w:eastAsia="zh-CN"/>
              </w:rPr>
            </w:pPr>
          </w:p>
          <w:p w14:paraId="5B194715"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42</w:t>
            </w:r>
          </w:p>
          <w:p w14:paraId="73C8E72A"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(0,14; 1,</w:t>
            </w:r>
            <w:r w:rsidRPr="009030C1">
              <w:rPr>
                <w:rFonts w:eastAsia="SimSun"/>
                <w:sz w:val="18"/>
                <w:szCs w:val="18"/>
                <w:lang w:val="en-GB" w:eastAsia="zh-CN"/>
              </w:rPr>
              <w:t>28)</w:t>
            </w:r>
          </w:p>
          <w:p w14:paraId="7D591DBB"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67</w:t>
            </w:r>
          </w:p>
          <w:p w14:paraId="5ED6894A" w14:textId="77777777" w:rsidR="00CD5F32" w:rsidRDefault="00CD5F32" w:rsidP="003569D6">
            <w:pPr>
              <w:widowControl w:val="0"/>
              <w:spacing w:line="240" w:lineRule="exact"/>
              <w:jc w:val="center"/>
              <w:rPr>
                <w:rFonts w:eastAsia="SimSun"/>
                <w:sz w:val="18"/>
                <w:szCs w:val="18"/>
                <w:lang w:val="en-GB" w:eastAsia="zh-CN"/>
              </w:rPr>
            </w:pPr>
          </w:p>
          <w:p w14:paraId="675DCD8C" w14:textId="77777777" w:rsidR="00CD5F32" w:rsidRPr="009030C1" w:rsidRDefault="00CD5F32" w:rsidP="003569D6">
            <w:pPr>
              <w:widowControl w:val="0"/>
              <w:spacing w:line="240" w:lineRule="exact"/>
              <w:jc w:val="center"/>
              <w:rPr>
                <w:rFonts w:eastAsia="SimSun"/>
                <w:sz w:val="18"/>
                <w:szCs w:val="18"/>
                <w:lang w:val="en-GB" w:eastAsia="zh-CN"/>
              </w:rPr>
            </w:pPr>
            <w:r w:rsidRPr="009030C1">
              <w:rPr>
                <w:rFonts w:eastAsia="SimSun"/>
                <w:sz w:val="18"/>
                <w:szCs w:val="18"/>
                <w:lang w:val="en-GB" w:eastAsia="zh-CN"/>
              </w:rPr>
              <w:t>(0</w:t>
            </w:r>
            <w:r>
              <w:rPr>
                <w:rFonts w:eastAsia="SimSun"/>
                <w:sz w:val="18"/>
                <w:szCs w:val="18"/>
                <w:lang w:val="en-GB" w:eastAsia="zh-CN"/>
              </w:rPr>
              <w:t>,21; 2,</w:t>
            </w:r>
            <w:r w:rsidRPr="009030C1">
              <w:rPr>
                <w:rFonts w:eastAsia="SimSun"/>
                <w:sz w:val="18"/>
                <w:szCs w:val="18"/>
                <w:lang w:val="en-GB" w:eastAsia="zh-CN"/>
              </w:rPr>
              <w:t>10)</w:t>
            </w:r>
          </w:p>
          <w:p w14:paraId="14A362C2"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20***</w:t>
            </w:r>
          </w:p>
          <w:p w14:paraId="5B10595B" w14:textId="77777777" w:rsidR="00CD5F32" w:rsidRDefault="00CD5F32" w:rsidP="003569D6">
            <w:pPr>
              <w:widowControl w:val="0"/>
              <w:spacing w:line="240" w:lineRule="exact"/>
              <w:jc w:val="center"/>
              <w:rPr>
                <w:rFonts w:eastAsia="SimSun"/>
                <w:sz w:val="18"/>
                <w:szCs w:val="18"/>
                <w:lang w:val="en-GB" w:eastAsia="zh-CN"/>
              </w:rPr>
            </w:pPr>
          </w:p>
          <w:p w14:paraId="1D40F0B2"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(0,05; 0,</w:t>
            </w:r>
            <w:r w:rsidRPr="009030C1">
              <w:rPr>
                <w:rFonts w:eastAsia="SimSun"/>
                <w:sz w:val="18"/>
                <w:szCs w:val="18"/>
                <w:lang w:val="en-GB" w:eastAsia="zh-CN"/>
              </w:rPr>
              <w:t>76)</w:t>
            </w:r>
          </w:p>
          <w:p w14:paraId="5F5EA112" w14:textId="77777777" w:rsidR="00CD5F32"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35</w:t>
            </w:r>
          </w:p>
          <w:p w14:paraId="4C562986" w14:textId="77777777" w:rsidR="00CD5F32" w:rsidRPr="009030C1" w:rsidRDefault="00CD5F32" w:rsidP="003569D6">
            <w:pPr>
              <w:widowControl w:val="0"/>
              <w:spacing w:line="240" w:lineRule="exact"/>
              <w:jc w:val="center"/>
              <w:rPr>
                <w:rFonts w:eastAsia="SimSun"/>
                <w:sz w:val="18"/>
                <w:szCs w:val="18"/>
                <w:lang w:val="en-GB" w:eastAsia="zh-CN"/>
              </w:rPr>
            </w:pPr>
          </w:p>
          <w:p w14:paraId="2083C86E" w14:textId="77777777" w:rsidR="00CD5F32" w:rsidRDefault="00CD5F32" w:rsidP="003569D6">
            <w:pPr>
              <w:widowControl w:val="0"/>
              <w:spacing w:line="240" w:lineRule="exact"/>
              <w:jc w:val="center"/>
              <w:rPr>
                <w:rFonts w:eastAsia="SimSun"/>
                <w:sz w:val="18"/>
                <w:szCs w:val="18"/>
                <w:lang w:val="en-GB" w:eastAsia="zh-CN"/>
              </w:rPr>
            </w:pPr>
          </w:p>
          <w:p w14:paraId="7AACFA20" w14:textId="77777777" w:rsidR="00CD5F32" w:rsidRPr="009030C1" w:rsidRDefault="00CD5F32" w:rsidP="003569D6">
            <w:pPr>
              <w:widowControl w:val="0"/>
              <w:spacing w:line="240" w:lineRule="exact"/>
              <w:jc w:val="center"/>
              <w:rPr>
                <w:rFonts w:eastAsia="SimSun"/>
                <w:sz w:val="18"/>
                <w:szCs w:val="18"/>
                <w:lang w:val="en-GB" w:eastAsia="zh-CN"/>
              </w:rPr>
            </w:pPr>
            <w:r>
              <w:rPr>
                <w:rFonts w:eastAsia="SimSun"/>
                <w:sz w:val="18"/>
                <w:szCs w:val="18"/>
                <w:lang w:val="en-GB" w:eastAsia="zh-CN"/>
              </w:rPr>
              <w:t>(0,09; 1,</w:t>
            </w:r>
            <w:r w:rsidRPr="009030C1">
              <w:rPr>
                <w:rFonts w:eastAsia="SimSun"/>
                <w:sz w:val="18"/>
                <w:szCs w:val="18"/>
                <w:lang w:val="en-GB" w:eastAsia="zh-CN"/>
              </w:rPr>
              <w:t>42)</w:t>
            </w:r>
          </w:p>
          <w:p w14:paraId="5904997B" w14:textId="77777777" w:rsidR="00CD5F32" w:rsidRPr="009030C1" w:rsidRDefault="00CD5F32" w:rsidP="003569D6">
            <w:pPr>
              <w:widowControl w:val="0"/>
              <w:spacing w:before="50" w:after="50" w:line="240" w:lineRule="exact"/>
              <w:jc w:val="center"/>
              <w:rPr>
                <w:rFonts w:eastAsia="SimSun"/>
                <w:sz w:val="18"/>
                <w:szCs w:val="18"/>
                <w:lang w:val="en-GB" w:eastAsia="zh-CN"/>
              </w:rPr>
            </w:pPr>
          </w:p>
        </w:tc>
      </w:tr>
      <w:tr w:rsidR="00CD5F32" w:rsidRPr="009030C1" w14:paraId="420E132F" w14:textId="77777777" w:rsidTr="00484513">
        <w:trPr>
          <w:cantSplit/>
        </w:trPr>
        <w:tc>
          <w:tcPr>
            <w:tcW w:w="4535" w:type="dxa"/>
            <w:gridSpan w:val="4"/>
            <w:tcBorders>
              <w:top w:val="single" w:sz="4" w:space="0" w:color="auto"/>
              <w:left w:val="single" w:sz="4" w:space="0" w:color="auto"/>
              <w:bottom w:val="single" w:sz="4" w:space="0" w:color="auto"/>
            </w:tcBorders>
            <w:tcMar>
              <w:top w:w="0" w:type="dxa"/>
              <w:left w:w="57" w:type="dxa"/>
              <w:bottom w:w="0" w:type="dxa"/>
              <w:right w:w="57" w:type="dxa"/>
            </w:tcMar>
          </w:tcPr>
          <w:p w14:paraId="0C34DE8B" w14:textId="77777777" w:rsidR="00CD5F32" w:rsidRPr="006868F5" w:rsidRDefault="00CD5F32" w:rsidP="003569D6">
            <w:pPr>
              <w:widowControl w:val="0"/>
              <w:spacing w:before="50" w:after="50" w:line="240" w:lineRule="exact"/>
              <w:rPr>
                <w:rFonts w:eastAsia="SimSun"/>
                <w:sz w:val="18"/>
                <w:szCs w:val="18"/>
                <w:lang w:val="es-ES" w:eastAsia="zh-CN"/>
              </w:rPr>
            </w:pPr>
            <w:r w:rsidRPr="006868F5">
              <w:rPr>
                <w:rFonts w:eastAsia="SimSun"/>
                <w:sz w:val="18"/>
                <w:szCs w:val="18"/>
                <w:lang w:val="es-ES" w:eastAsia="zh-CN"/>
              </w:rPr>
              <w:t>Dosis acumulada de glucocorticoides (mg)</w:t>
            </w:r>
          </w:p>
          <w:p w14:paraId="634A2EDF" w14:textId="0C608798" w:rsidR="00CD5F32" w:rsidRPr="006868F5" w:rsidRDefault="00CD5F32" w:rsidP="003569D6">
            <w:pPr>
              <w:widowControl w:val="0"/>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mediana en la </w:t>
            </w:r>
            <w:r w:rsidR="00BF318B">
              <w:rPr>
                <w:rFonts w:eastAsia="SimSun"/>
                <w:sz w:val="18"/>
                <w:szCs w:val="18"/>
                <w:lang w:val="es-ES" w:eastAsia="zh-CN"/>
              </w:rPr>
              <w:t>s</w:t>
            </w:r>
            <w:r w:rsidRPr="006868F5">
              <w:rPr>
                <w:rFonts w:eastAsia="SimSun"/>
                <w:sz w:val="18"/>
                <w:szCs w:val="18"/>
                <w:lang w:val="es-ES" w:eastAsia="zh-CN"/>
              </w:rPr>
              <w:t>emana 52 (</w:t>
            </w:r>
            <w:r>
              <w:rPr>
                <w:rFonts w:eastAsia="SimSun"/>
                <w:sz w:val="18"/>
                <w:szCs w:val="18"/>
                <w:lang w:val="es-ES" w:eastAsia="zh-CN"/>
              </w:rPr>
              <w:t xml:space="preserve">grupos </w:t>
            </w:r>
            <w:r w:rsidRPr="006868F5">
              <w:rPr>
                <w:rFonts w:eastAsia="SimSun"/>
                <w:sz w:val="18"/>
                <w:szCs w:val="18"/>
                <w:lang w:val="es-ES" w:eastAsia="zh-CN"/>
              </w:rPr>
              <w:t>Tocilizumab</w:t>
            </w:r>
            <w:r w:rsidRPr="007703ED">
              <w:rPr>
                <w:rFonts w:eastAsia="SimSun"/>
                <w:sz w:val="18"/>
                <w:szCs w:val="18"/>
                <w:lang w:val="es-ES" w:eastAsia="zh-CN"/>
              </w:rPr>
              <w:t xml:space="preserve"> </w:t>
            </w:r>
            <w:r w:rsidRPr="006868F5">
              <w:rPr>
                <w:rFonts w:eastAsia="SimSun"/>
                <w:sz w:val="18"/>
                <w:szCs w:val="18"/>
                <w:lang w:val="es-ES" w:eastAsia="zh-CN"/>
              </w:rPr>
              <w:t>vs Placebo+26</w:t>
            </w:r>
            <w:r w:rsidRPr="006868F5">
              <w:rPr>
                <w:rFonts w:eastAsia="SimSun"/>
                <w:sz w:val="18"/>
                <w:szCs w:val="18"/>
                <w:vertAlign w:val="superscript"/>
                <w:lang w:val="es-ES" w:eastAsia="zh-CN"/>
              </w:rPr>
              <w:t>2</w:t>
            </w:r>
            <w:r w:rsidRPr="006868F5">
              <w:rPr>
                <w:rFonts w:eastAsia="SimSun"/>
                <w:sz w:val="18"/>
                <w:szCs w:val="18"/>
                <w:lang w:val="es-ES" w:eastAsia="zh-CN"/>
              </w:rPr>
              <w:t xml:space="preserve">)                          </w:t>
            </w:r>
          </w:p>
          <w:p w14:paraId="2FF4F994" w14:textId="6E3E7E0D" w:rsidR="00CD5F32" w:rsidRPr="006868F5" w:rsidRDefault="00CD5F32" w:rsidP="003569D6">
            <w:pPr>
              <w:widowControl w:val="0"/>
              <w:spacing w:before="50" w:after="50" w:line="240" w:lineRule="exact"/>
              <w:ind w:left="720"/>
              <w:rPr>
                <w:rFonts w:eastAsia="SimSun"/>
                <w:sz w:val="18"/>
                <w:szCs w:val="18"/>
                <w:lang w:val="es-ES" w:eastAsia="zh-CN"/>
              </w:rPr>
            </w:pPr>
            <w:r w:rsidRPr="006868F5">
              <w:rPr>
                <w:rFonts w:eastAsia="SimSun"/>
                <w:sz w:val="18"/>
                <w:szCs w:val="18"/>
                <w:lang w:val="es-ES" w:eastAsia="zh-CN"/>
              </w:rPr>
              <w:t xml:space="preserve">mediana en la </w:t>
            </w:r>
            <w:r w:rsidR="00BF318B">
              <w:rPr>
                <w:rFonts w:eastAsia="SimSun"/>
                <w:sz w:val="18"/>
                <w:szCs w:val="18"/>
                <w:lang w:val="es-ES" w:eastAsia="zh-CN"/>
              </w:rPr>
              <w:t>s</w:t>
            </w:r>
            <w:r w:rsidRPr="006868F5">
              <w:rPr>
                <w:rFonts w:eastAsia="SimSun"/>
                <w:sz w:val="18"/>
                <w:szCs w:val="18"/>
                <w:lang w:val="es-ES" w:eastAsia="zh-CN"/>
              </w:rPr>
              <w:t>emana</w:t>
            </w:r>
            <w:r>
              <w:rPr>
                <w:rFonts w:eastAsia="SimSun"/>
                <w:sz w:val="18"/>
                <w:szCs w:val="18"/>
                <w:lang w:val="es-ES" w:eastAsia="zh-CN"/>
              </w:rPr>
              <w:t xml:space="preserve"> </w:t>
            </w:r>
            <w:r w:rsidRPr="006868F5">
              <w:rPr>
                <w:rFonts w:eastAsia="SimSun"/>
                <w:sz w:val="18"/>
                <w:szCs w:val="18"/>
                <w:lang w:val="es-ES" w:eastAsia="zh-CN"/>
              </w:rPr>
              <w:t>52 (</w:t>
            </w:r>
            <w:r>
              <w:rPr>
                <w:rFonts w:eastAsia="SimSun"/>
                <w:sz w:val="18"/>
                <w:szCs w:val="18"/>
                <w:lang w:val="es-ES" w:eastAsia="zh-CN"/>
              </w:rPr>
              <w:t>grupos</w:t>
            </w:r>
            <w:r w:rsidRPr="006868F5">
              <w:rPr>
                <w:rFonts w:eastAsia="SimSun"/>
                <w:sz w:val="18"/>
                <w:szCs w:val="18"/>
                <w:lang w:val="es-ES" w:eastAsia="zh-CN"/>
              </w:rPr>
              <w:t>Tocilizumab vs Placebo +52</w:t>
            </w:r>
            <w:r w:rsidRPr="006868F5">
              <w:rPr>
                <w:rFonts w:eastAsia="SimSun"/>
                <w:sz w:val="18"/>
                <w:szCs w:val="18"/>
                <w:vertAlign w:val="superscript"/>
                <w:lang w:val="es-ES" w:eastAsia="zh-CN"/>
              </w:rPr>
              <w:t>2</w:t>
            </w:r>
            <w:r w:rsidRPr="006868F5">
              <w:rPr>
                <w:rFonts w:eastAsia="SimSun"/>
                <w:sz w:val="18"/>
                <w:szCs w:val="18"/>
                <w:lang w:val="es-ES" w:eastAsia="zh-CN"/>
              </w:rPr>
              <w:t xml:space="preserve">)                         </w:t>
            </w:r>
          </w:p>
        </w:tc>
        <w:tc>
          <w:tcPr>
            <w:tcW w:w="919" w:type="dxa"/>
            <w:gridSpan w:val="2"/>
            <w:tcBorders>
              <w:top w:val="single" w:sz="4" w:space="0" w:color="auto"/>
              <w:bottom w:val="single" w:sz="4" w:space="0" w:color="auto"/>
            </w:tcBorders>
            <w:tcMar>
              <w:top w:w="0" w:type="dxa"/>
              <w:left w:w="57" w:type="dxa"/>
              <w:bottom w:w="0" w:type="dxa"/>
              <w:right w:w="57" w:type="dxa"/>
            </w:tcMar>
          </w:tcPr>
          <w:p w14:paraId="64177110" w14:textId="77777777" w:rsidR="00CD5F32" w:rsidRPr="006868F5" w:rsidRDefault="00CD5F32" w:rsidP="003569D6">
            <w:pPr>
              <w:widowControl w:val="0"/>
              <w:spacing w:before="50" w:after="50" w:line="240" w:lineRule="exact"/>
              <w:jc w:val="center"/>
              <w:rPr>
                <w:rFonts w:eastAsia="SimSun"/>
                <w:sz w:val="18"/>
                <w:szCs w:val="18"/>
                <w:lang w:val="es-ES" w:eastAsia="zh-CN"/>
              </w:rPr>
            </w:pPr>
          </w:p>
          <w:p w14:paraId="72596BE5"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3.296,</w:t>
            </w:r>
            <w:r w:rsidRPr="009030C1">
              <w:rPr>
                <w:rFonts w:eastAsia="SimSun"/>
                <w:sz w:val="18"/>
                <w:szCs w:val="18"/>
                <w:lang w:val="en-GB" w:eastAsia="zh-CN"/>
              </w:rPr>
              <w:t>00</w:t>
            </w:r>
          </w:p>
          <w:p w14:paraId="6B8D1E69" w14:textId="77777777" w:rsidR="00CD5F32" w:rsidRDefault="00CD5F32" w:rsidP="003569D6">
            <w:pPr>
              <w:widowControl w:val="0"/>
              <w:spacing w:before="50" w:after="50" w:line="240" w:lineRule="exact"/>
              <w:jc w:val="center"/>
              <w:rPr>
                <w:rFonts w:eastAsia="SimSun"/>
                <w:sz w:val="18"/>
                <w:szCs w:val="18"/>
                <w:lang w:val="en-GB" w:eastAsia="zh-CN"/>
              </w:rPr>
            </w:pPr>
          </w:p>
          <w:p w14:paraId="1FD4837B"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tc>
        <w:tc>
          <w:tcPr>
            <w:tcW w:w="1208" w:type="dxa"/>
            <w:tcBorders>
              <w:top w:val="single" w:sz="4" w:space="0" w:color="auto"/>
              <w:bottom w:val="single" w:sz="4" w:space="0" w:color="auto"/>
            </w:tcBorders>
            <w:tcMar>
              <w:top w:w="0" w:type="dxa"/>
              <w:left w:w="57" w:type="dxa"/>
              <w:bottom w:w="0" w:type="dxa"/>
              <w:right w:w="57" w:type="dxa"/>
            </w:tcMar>
          </w:tcPr>
          <w:p w14:paraId="36C4B75D" w14:textId="77777777" w:rsidR="00CD5F32" w:rsidRPr="009030C1" w:rsidRDefault="00CD5F32" w:rsidP="003569D6">
            <w:pPr>
              <w:widowControl w:val="0"/>
              <w:spacing w:before="50" w:after="50" w:line="240" w:lineRule="exact"/>
              <w:jc w:val="center"/>
              <w:rPr>
                <w:rFonts w:eastAsia="SimSun"/>
                <w:sz w:val="18"/>
                <w:szCs w:val="18"/>
                <w:lang w:val="en-GB" w:eastAsia="zh-CN"/>
              </w:rPr>
            </w:pPr>
          </w:p>
          <w:p w14:paraId="33BB2EAC" w14:textId="77777777" w:rsidR="00CD5F32" w:rsidRPr="009030C1" w:rsidRDefault="00CD5F32" w:rsidP="003569D6">
            <w:pPr>
              <w:widowControl w:val="0"/>
              <w:spacing w:before="50" w:after="50" w:line="240" w:lineRule="exact"/>
              <w:jc w:val="center"/>
              <w:rPr>
                <w:rFonts w:eastAsia="SimSun"/>
                <w:sz w:val="18"/>
                <w:szCs w:val="18"/>
                <w:lang w:val="en-GB" w:eastAsia="zh-CN"/>
              </w:rPr>
            </w:pPr>
            <w:r w:rsidRPr="009030C1">
              <w:rPr>
                <w:rFonts w:eastAsia="SimSun"/>
                <w:sz w:val="18"/>
                <w:szCs w:val="18"/>
                <w:lang w:val="en-GB" w:eastAsia="zh-CN"/>
              </w:rPr>
              <w:t>N/A</w:t>
            </w:r>
          </w:p>
          <w:p w14:paraId="2EFA45B1" w14:textId="77777777" w:rsidR="00CD5F32" w:rsidRDefault="00CD5F32" w:rsidP="003569D6">
            <w:pPr>
              <w:widowControl w:val="0"/>
              <w:spacing w:before="50" w:after="50" w:line="240" w:lineRule="exact"/>
              <w:jc w:val="center"/>
              <w:rPr>
                <w:rFonts w:eastAsia="SimSun"/>
                <w:sz w:val="18"/>
                <w:szCs w:val="18"/>
                <w:lang w:val="en-GB" w:eastAsia="zh-CN"/>
              </w:rPr>
            </w:pPr>
          </w:p>
          <w:p w14:paraId="52505C89"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3.817,</w:t>
            </w:r>
            <w:r w:rsidRPr="009030C1">
              <w:rPr>
                <w:rFonts w:eastAsia="SimSun"/>
                <w:sz w:val="18"/>
                <w:szCs w:val="18"/>
                <w:lang w:val="en-GB" w:eastAsia="zh-CN"/>
              </w:rPr>
              <w:t>50</w:t>
            </w:r>
          </w:p>
        </w:tc>
        <w:tc>
          <w:tcPr>
            <w:tcW w:w="1842" w:type="dxa"/>
            <w:tcBorders>
              <w:top w:val="single" w:sz="4" w:space="0" w:color="auto"/>
              <w:bottom w:val="single" w:sz="4" w:space="0" w:color="auto"/>
              <w:right w:val="nil"/>
            </w:tcBorders>
          </w:tcPr>
          <w:p w14:paraId="6FFAC750" w14:textId="77777777" w:rsidR="00CD5F32" w:rsidRPr="009030C1" w:rsidRDefault="00CD5F32" w:rsidP="003569D6">
            <w:pPr>
              <w:widowControl w:val="0"/>
              <w:spacing w:before="50" w:after="50" w:line="240" w:lineRule="exact"/>
              <w:jc w:val="center"/>
              <w:rPr>
                <w:rFonts w:eastAsia="SimSun"/>
                <w:sz w:val="18"/>
                <w:szCs w:val="18"/>
                <w:lang w:val="en-GB" w:eastAsia="zh-CN"/>
              </w:rPr>
            </w:pPr>
          </w:p>
          <w:p w14:paraId="02BD3636"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p w14:paraId="2FD569B2" w14:textId="77777777" w:rsidR="00CD5F32" w:rsidRDefault="00CD5F32" w:rsidP="003569D6">
            <w:pPr>
              <w:widowControl w:val="0"/>
              <w:spacing w:before="50" w:after="50" w:line="240" w:lineRule="exact"/>
              <w:jc w:val="center"/>
              <w:rPr>
                <w:rFonts w:eastAsia="SimSun"/>
                <w:sz w:val="18"/>
                <w:szCs w:val="18"/>
                <w:lang w:val="en-GB" w:eastAsia="zh-CN"/>
              </w:rPr>
            </w:pPr>
          </w:p>
          <w:p w14:paraId="29448E5C"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tc>
        <w:tc>
          <w:tcPr>
            <w:tcW w:w="1842" w:type="dxa"/>
            <w:tcBorders>
              <w:top w:val="single" w:sz="4" w:space="0" w:color="auto"/>
              <w:left w:val="nil"/>
              <w:bottom w:val="single" w:sz="4" w:space="0" w:color="auto"/>
              <w:right w:val="single" w:sz="4" w:space="0" w:color="auto"/>
            </w:tcBorders>
            <w:tcMar>
              <w:top w:w="0" w:type="dxa"/>
              <w:left w:w="57" w:type="dxa"/>
              <w:bottom w:w="0" w:type="dxa"/>
              <w:right w:w="57" w:type="dxa"/>
            </w:tcMar>
          </w:tcPr>
          <w:p w14:paraId="46162ED9" w14:textId="77777777" w:rsidR="00CD5F32" w:rsidRPr="009030C1" w:rsidRDefault="00CD5F32" w:rsidP="003569D6">
            <w:pPr>
              <w:widowControl w:val="0"/>
              <w:spacing w:before="50" w:after="50" w:line="240" w:lineRule="exact"/>
              <w:jc w:val="center"/>
              <w:rPr>
                <w:rFonts w:eastAsia="SimSun"/>
                <w:sz w:val="18"/>
                <w:szCs w:val="18"/>
                <w:lang w:val="en-GB" w:eastAsia="zh-CN"/>
              </w:rPr>
            </w:pPr>
          </w:p>
          <w:p w14:paraId="5C1002FD"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p w14:paraId="6D4F7AAD" w14:textId="77777777" w:rsidR="00CD5F32" w:rsidRDefault="00CD5F32" w:rsidP="003569D6">
            <w:pPr>
              <w:widowControl w:val="0"/>
              <w:spacing w:before="50" w:after="50" w:line="240" w:lineRule="exact"/>
              <w:jc w:val="center"/>
              <w:rPr>
                <w:rFonts w:eastAsia="SimSun"/>
                <w:sz w:val="18"/>
                <w:szCs w:val="18"/>
                <w:lang w:val="en-GB" w:eastAsia="zh-CN"/>
              </w:rPr>
            </w:pPr>
          </w:p>
          <w:p w14:paraId="1D2225BA" w14:textId="77777777" w:rsidR="00CD5F32" w:rsidRPr="009030C1" w:rsidRDefault="00CD5F32" w:rsidP="003569D6">
            <w:pPr>
              <w:widowControl w:val="0"/>
              <w:spacing w:before="50" w:after="50" w:line="240" w:lineRule="exact"/>
              <w:jc w:val="center"/>
              <w:rPr>
                <w:rFonts w:eastAsia="SimSun"/>
                <w:sz w:val="18"/>
                <w:szCs w:val="18"/>
                <w:lang w:val="en-GB" w:eastAsia="zh-CN"/>
              </w:rPr>
            </w:pPr>
            <w:r>
              <w:rPr>
                <w:rFonts w:eastAsia="SimSun"/>
                <w:sz w:val="18"/>
                <w:szCs w:val="18"/>
                <w:lang w:val="en-GB" w:eastAsia="zh-CN"/>
              </w:rPr>
              <w:t>1.862,</w:t>
            </w:r>
            <w:r w:rsidRPr="009030C1">
              <w:rPr>
                <w:rFonts w:eastAsia="SimSun"/>
                <w:sz w:val="18"/>
                <w:szCs w:val="18"/>
                <w:lang w:val="en-GB" w:eastAsia="zh-CN"/>
              </w:rPr>
              <w:t>00*</w:t>
            </w:r>
          </w:p>
        </w:tc>
      </w:tr>
      <w:tr w:rsidR="00CD5F32" w:rsidRPr="009030C1" w14:paraId="50562436" w14:textId="77777777" w:rsidTr="00FF2AFA">
        <w:trPr>
          <w:cantSplit/>
        </w:trPr>
        <w:tc>
          <w:tcPr>
            <w:tcW w:w="10346" w:type="dxa"/>
            <w:gridSpan w:val="9"/>
            <w:tcBorders>
              <w:top w:val="single" w:sz="4" w:space="0" w:color="auto"/>
              <w:left w:val="single" w:sz="4" w:space="0" w:color="auto"/>
              <w:bottom w:val="single" w:sz="4" w:space="0" w:color="auto"/>
              <w:right w:val="single" w:sz="8" w:space="0" w:color="auto"/>
            </w:tcBorders>
          </w:tcPr>
          <w:p w14:paraId="3102B7E9" w14:textId="2F6451F1" w:rsidR="00CD5F32" w:rsidRPr="009030C1" w:rsidRDefault="00CD5F32" w:rsidP="003569D6">
            <w:pPr>
              <w:spacing w:before="50" w:after="50" w:line="240" w:lineRule="exact"/>
              <w:rPr>
                <w:rFonts w:eastAsia="SimSun"/>
                <w:b/>
                <w:sz w:val="18"/>
                <w:szCs w:val="18"/>
                <w:lang w:val="en-GB" w:eastAsia="zh-CN"/>
              </w:rPr>
            </w:pPr>
            <w:del w:id="1898" w:author="AUTHOR">
              <w:r w:rsidDel="00174473">
                <w:rPr>
                  <w:rFonts w:eastAsia="SimSun"/>
                  <w:b/>
                  <w:sz w:val="18"/>
                  <w:szCs w:val="18"/>
                  <w:lang w:val="en-GB" w:eastAsia="zh-CN"/>
                </w:rPr>
                <w:delText xml:space="preserve"> Objetivo</w:delText>
              </w:r>
            </w:del>
            <w:ins w:id="1899" w:author="AUTHOR">
              <w:r w:rsidR="00174473">
                <w:rPr>
                  <w:rFonts w:eastAsia="SimSun"/>
                  <w:b/>
                  <w:sz w:val="18"/>
                  <w:szCs w:val="18"/>
                  <w:lang w:val="en-GB" w:eastAsia="zh-CN"/>
                </w:rPr>
                <w:t>Variables</w:t>
              </w:r>
            </w:ins>
            <w:r>
              <w:rPr>
                <w:rFonts w:eastAsia="SimSun"/>
                <w:b/>
                <w:sz w:val="18"/>
                <w:szCs w:val="18"/>
                <w:lang w:val="en-GB" w:eastAsia="zh-CN"/>
              </w:rPr>
              <w:t>s exploratori</w:t>
            </w:r>
            <w:ins w:id="1900" w:author="AUTHOR">
              <w:r w:rsidR="00174473">
                <w:rPr>
                  <w:rFonts w:eastAsia="SimSun"/>
                  <w:b/>
                  <w:sz w:val="18"/>
                  <w:szCs w:val="18"/>
                  <w:lang w:val="en-GB" w:eastAsia="zh-CN"/>
                </w:rPr>
                <w:t>a</w:t>
              </w:r>
            </w:ins>
            <w:del w:id="1901" w:author="AUTHOR">
              <w:r w:rsidDel="00174473">
                <w:rPr>
                  <w:rFonts w:eastAsia="SimSun"/>
                  <w:b/>
                  <w:sz w:val="18"/>
                  <w:szCs w:val="18"/>
                  <w:lang w:val="en-GB" w:eastAsia="zh-CN"/>
                </w:rPr>
                <w:delText>o</w:delText>
              </w:r>
            </w:del>
            <w:r>
              <w:rPr>
                <w:rFonts w:eastAsia="SimSun"/>
                <w:b/>
                <w:sz w:val="18"/>
                <w:szCs w:val="18"/>
                <w:lang w:val="en-GB" w:eastAsia="zh-CN"/>
              </w:rPr>
              <w:t>s</w:t>
            </w:r>
          </w:p>
        </w:tc>
      </w:tr>
      <w:tr w:rsidR="00CD5F32" w:rsidRPr="009030C1" w14:paraId="59E361E2" w14:textId="77777777" w:rsidTr="00FF2AFA">
        <w:trPr>
          <w:cantSplit/>
        </w:trPr>
        <w:tc>
          <w:tcPr>
            <w:tcW w:w="3827" w:type="dxa"/>
            <w:gridSpan w:val="2"/>
            <w:tcBorders>
              <w:top w:val="single" w:sz="4" w:space="0" w:color="auto"/>
              <w:left w:val="single" w:sz="4" w:space="0" w:color="auto"/>
              <w:bottom w:val="single" w:sz="4" w:space="0" w:color="auto"/>
            </w:tcBorders>
            <w:tcMar>
              <w:top w:w="0" w:type="dxa"/>
              <w:left w:w="57" w:type="dxa"/>
              <w:bottom w:w="0" w:type="dxa"/>
              <w:right w:w="57" w:type="dxa"/>
            </w:tcMar>
          </w:tcPr>
          <w:p w14:paraId="13B7F8CC" w14:textId="77777777" w:rsidR="00CD5F32" w:rsidRPr="00C555F2" w:rsidRDefault="00CD5F32" w:rsidP="003569D6">
            <w:pPr>
              <w:spacing w:before="50" w:after="50" w:line="240" w:lineRule="exact"/>
              <w:rPr>
                <w:rFonts w:eastAsia="SimSun"/>
                <w:sz w:val="18"/>
                <w:szCs w:val="18"/>
                <w:lang w:val="pt-BR" w:eastAsia="zh-CN"/>
              </w:rPr>
            </w:pPr>
            <w:r w:rsidRPr="00C555F2">
              <w:rPr>
                <w:rFonts w:eastAsia="SimSun"/>
                <w:sz w:val="18"/>
                <w:szCs w:val="18"/>
                <w:lang w:val="pt-BR" w:eastAsia="zh-CN"/>
              </w:rPr>
              <w:t>Tasa de recaída anual, Semana 52</w:t>
            </w:r>
            <w:r w:rsidRPr="00C555F2">
              <w:rPr>
                <w:rFonts w:eastAsia="SimSun"/>
                <w:sz w:val="18"/>
                <w:szCs w:val="18"/>
                <w:vertAlign w:val="superscript"/>
                <w:lang w:val="pt-BR" w:eastAsia="zh-CN"/>
              </w:rPr>
              <w:t>§</w:t>
            </w:r>
          </w:p>
          <w:p w14:paraId="13D06109" w14:textId="77777777" w:rsidR="00CD5F32" w:rsidRPr="00C555F2" w:rsidRDefault="00CD5F32" w:rsidP="003569D6">
            <w:pPr>
              <w:spacing w:before="50" w:after="50" w:line="240" w:lineRule="exact"/>
              <w:rPr>
                <w:rFonts w:eastAsia="SimSun"/>
                <w:sz w:val="18"/>
                <w:szCs w:val="18"/>
                <w:lang w:val="pt-BR" w:eastAsia="zh-CN"/>
              </w:rPr>
            </w:pPr>
            <w:r w:rsidRPr="00C555F2">
              <w:rPr>
                <w:rFonts w:eastAsia="SimSun"/>
                <w:sz w:val="18"/>
                <w:szCs w:val="18"/>
                <w:lang w:val="pt-BR" w:eastAsia="zh-CN"/>
              </w:rPr>
              <w:t xml:space="preserve">               </w:t>
            </w:r>
          </w:p>
          <w:p w14:paraId="3C274F37" w14:textId="77777777" w:rsidR="00CD5F32" w:rsidRPr="00F30AB8" w:rsidRDefault="00CD5F32" w:rsidP="003569D6">
            <w:pPr>
              <w:spacing w:before="50" w:after="50" w:line="240" w:lineRule="exact"/>
              <w:rPr>
                <w:rFonts w:eastAsia="SimSun"/>
                <w:sz w:val="18"/>
                <w:szCs w:val="18"/>
                <w:lang w:val="it-IT" w:eastAsia="zh-CN"/>
              </w:rPr>
            </w:pPr>
            <w:r w:rsidRPr="00C555F2">
              <w:rPr>
                <w:rFonts w:eastAsia="SimSun"/>
                <w:sz w:val="18"/>
                <w:szCs w:val="18"/>
                <w:lang w:val="pt-BR" w:eastAsia="zh-CN"/>
              </w:rPr>
              <w:t xml:space="preserve">  </w:t>
            </w:r>
            <w:r w:rsidRPr="00F30AB8">
              <w:rPr>
                <w:rFonts w:eastAsia="SimSun"/>
                <w:sz w:val="18"/>
                <w:szCs w:val="18"/>
                <w:lang w:val="it-IT" w:eastAsia="zh-CN"/>
              </w:rPr>
              <w:t>Media (DE)</w:t>
            </w:r>
          </w:p>
        </w:tc>
        <w:tc>
          <w:tcPr>
            <w:tcW w:w="1417" w:type="dxa"/>
            <w:gridSpan w:val="3"/>
            <w:tcBorders>
              <w:top w:val="single" w:sz="4" w:space="0" w:color="auto"/>
              <w:bottom w:val="single" w:sz="4" w:space="0" w:color="auto"/>
            </w:tcBorders>
            <w:tcMar>
              <w:top w:w="0" w:type="dxa"/>
              <w:left w:w="57" w:type="dxa"/>
              <w:bottom w:w="0" w:type="dxa"/>
              <w:right w:w="57" w:type="dxa"/>
            </w:tcMar>
            <w:vAlign w:val="center"/>
          </w:tcPr>
          <w:p w14:paraId="4B16CC9E" w14:textId="77777777" w:rsidR="00CD5F32" w:rsidRPr="00F30AB8" w:rsidRDefault="00CD5F32" w:rsidP="003569D6">
            <w:pPr>
              <w:spacing w:before="50" w:after="50" w:line="240" w:lineRule="exact"/>
              <w:jc w:val="center"/>
              <w:rPr>
                <w:rFonts w:eastAsia="SimSun"/>
                <w:sz w:val="18"/>
                <w:szCs w:val="18"/>
                <w:lang w:val="it-IT" w:eastAsia="zh-CN"/>
              </w:rPr>
            </w:pPr>
          </w:p>
          <w:p w14:paraId="44B4A8DB" w14:textId="77777777" w:rsidR="00CD5F32"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1,</w:t>
            </w:r>
            <w:r w:rsidRPr="009030C1">
              <w:rPr>
                <w:rFonts w:eastAsia="SimSun"/>
                <w:sz w:val="18"/>
                <w:szCs w:val="18"/>
                <w:lang w:val="en-GB" w:eastAsia="zh-CN"/>
              </w:rPr>
              <w:t xml:space="preserve">74 </w:t>
            </w:r>
          </w:p>
          <w:p w14:paraId="61BEC321" w14:textId="77777777" w:rsidR="00CD5F32" w:rsidRPr="009030C1"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(2,</w:t>
            </w:r>
            <w:r w:rsidRPr="009030C1">
              <w:rPr>
                <w:rFonts w:eastAsia="SimSun"/>
                <w:sz w:val="18"/>
                <w:szCs w:val="18"/>
                <w:lang w:val="en-GB" w:eastAsia="zh-CN"/>
              </w:rPr>
              <w:t>18)</w:t>
            </w:r>
          </w:p>
        </w:tc>
        <w:tc>
          <w:tcPr>
            <w:tcW w:w="1418" w:type="dxa"/>
            <w:gridSpan w:val="2"/>
            <w:tcBorders>
              <w:top w:val="single" w:sz="4" w:space="0" w:color="auto"/>
              <w:bottom w:val="single" w:sz="4" w:space="0" w:color="auto"/>
            </w:tcBorders>
            <w:tcMar>
              <w:top w:w="0" w:type="dxa"/>
              <w:left w:w="57" w:type="dxa"/>
              <w:bottom w:w="0" w:type="dxa"/>
              <w:right w:w="57" w:type="dxa"/>
            </w:tcMar>
            <w:vAlign w:val="center"/>
          </w:tcPr>
          <w:p w14:paraId="6E50C691" w14:textId="77777777" w:rsidR="00CD5F32" w:rsidRPr="009030C1" w:rsidRDefault="00CD5F32" w:rsidP="003569D6">
            <w:pPr>
              <w:spacing w:before="50" w:after="50" w:line="240" w:lineRule="exact"/>
              <w:jc w:val="center"/>
              <w:rPr>
                <w:rFonts w:eastAsia="SimSun"/>
                <w:sz w:val="18"/>
                <w:szCs w:val="18"/>
                <w:lang w:val="en-GB" w:eastAsia="zh-CN"/>
              </w:rPr>
            </w:pPr>
          </w:p>
          <w:p w14:paraId="2BDE9300" w14:textId="77777777" w:rsidR="00CD5F32"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1,</w:t>
            </w:r>
            <w:r w:rsidRPr="009030C1">
              <w:rPr>
                <w:rFonts w:eastAsia="SimSun"/>
                <w:sz w:val="18"/>
                <w:szCs w:val="18"/>
                <w:lang w:val="en-GB" w:eastAsia="zh-CN"/>
              </w:rPr>
              <w:t xml:space="preserve">30 </w:t>
            </w:r>
          </w:p>
          <w:p w14:paraId="14BA3740" w14:textId="77777777" w:rsidR="00CD5F32" w:rsidRPr="009030C1" w:rsidRDefault="00CD5F32" w:rsidP="003569D6">
            <w:pPr>
              <w:spacing w:before="50" w:after="50" w:line="240" w:lineRule="exact"/>
              <w:jc w:val="center"/>
              <w:rPr>
                <w:rFonts w:eastAsia="SimSun"/>
                <w:sz w:val="18"/>
                <w:szCs w:val="18"/>
                <w:lang w:val="en-GB" w:eastAsia="zh-CN"/>
              </w:rPr>
            </w:pPr>
            <w:r w:rsidRPr="009030C1">
              <w:rPr>
                <w:rFonts w:eastAsia="SimSun"/>
                <w:sz w:val="18"/>
                <w:szCs w:val="18"/>
                <w:lang w:val="en-GB" w:eastAsia="zh-CN"/>
              </w:rPr>
              <w:t>(</w:t>
            </w:r>
            <w:r>
              <w:rPr>
                <w:rFonts w:eastAsia="SimSun"/>
                <w:sz w:val="18"/>
                <w:szCs w:val="18"/>
                <w:lang w:val="en-GB" w:eastAsia="zh-CN"/>
              </w:rPr>
              <w:t>1,</w:t>
            </w:r>
            <w:r w:rsidRPr="009030C1">
              <w:rPr>
                <w:rFonts w:eastAsia="SimSun"/>
                <w:sz w:val="18"/>
                <w:szCs w:val="18"/>
                <w:lang w:val="en-GB" w:eastAsia="zh-CN"/>
              </w:rPr>
              <w:t>84)</w:t>
            </w:r>
          </w:p>
        </w:tc>
        <w:tc>
          <w:tcPr>
            <w:tcW w:w="1842" w:type="dxa"/>
            <w:tcBorders>
              <w:top w:val="single" w:sz="4" w:space="0" w:color="auto"/>
              <w:bottom w:val="single" w:sz="4" w:space="0" w:color="auto"/>
              <w:right w:val="nil"/>
            </w:tcBorders>
            <w:vAlign w:val="center"/>
          </w:tcPr>
          <w:p w14:paraId="46E65A55" w14:textId="77777777" w:rsidR="00CD5F32" w:rsidRPr="009030C1" w:rsidRDefault="00CD5F32" w:rsidP="003569D6">
            <w:pPr>
              <w:spacing w:before="50" w:after="50" w:line="240" w:lineRule="exact"/>
              <w:jc w:val="center"/>
              <w:rPr>
                <w:rFonts w:eastAsia="SimSun"/>
                <w:sz w:val="18"/>
                <w:szCs w:val="18"/>
                <w:lang w:val="en-GB" w:eastAsia="zh-CN"/>
              </w:rPr>
            </w:pPr>
          </w:p>
          <w:p w14:paraId="0E243EAE" w14:textId="77777777" w:rsidR="00CD5F32"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41</w:t>
            </w:r>
          </w:p>
          <w:p w14:paraId="1F855DD9" w14:textId="77777777" w:rsidR="00CD5F32" w:rsidRPr="009030C1"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 xml:space="preserve"> (0,</w:t>
            </w:r>
            <w:r w:rsidRPr="009030C1">
              <w:rPr>
                <w:rFonts w:eastAsia="SimSun"/>
                <w:sz w:val="18"/>
                <w:szCs w:val="18"/>
                <w:lang w:val="en-GB" w:eastAsia="zh-CN"/>
              </w:rPr>
              <w:t>78)</w:t>
            </w:r>
          </w:p>
        </w:tc>
        <w:tc>
          <w:tcPr>
            <w:tcW w:w="1842" w:type="dxa"/>
            <w:tcBorders>
              <w:top w:val="single" w:sz="4" w:space="0" w:color="auto"/>
              <w:left w:val="nil"/>
              <w:bottom w:val="single" w:sz="4" w:space="0" w:color="auto"/>
              <w:right w:val="single" w:sz="8" w:space="0" w:color="auto"/>
            </w:tcBorders>
            <w:tcMar>
              <w:top w:w="0" w:type="dxa"/>
              <w:left w:w="57" w:type="dxa"/>
              <w:bottom w:w="0" w:type="dxa"/>
              <w:right w:w="57" w:type="dxa"/>
            </w:tcMar>
            <w:vAlign w:val="center"/>
          </w:tcPr>
          <w:p w14:paraId="5A6E0FFE" w14:textId="77777777" w:rsidR="00CD5F32" w:rsidRPr="009030C1" w:rsidRDefault="00CD5F32" w:rsidP="003569D6">
            <w:pPr>
              <w:spacing w:before="50" w:after="50" w:line="240" w:lineRule="exact"/>
              <w:jc w:val="center"/>
              <w:rPr>
                <w:rFonts w:eastAsia="SimSun"/>
                <w:sz w:val="18"/>
                <w:szCs w:val="18"/>
                <w:lang w:val="en-GB" w:eastAsia="zh-CN"/>
              </w:rPr>
            </w:pPr>
          </w:p>
          <w:p w14:paraId="4B686C06" w14:textId="77777777" w:rsidR="00CD5F32"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0,</w:t>
            </w:r>
            <w:r w:rsidRPr="009030C1">
              <w:rPr>
                <w:rFonts w:eastAsia="SimSun"/>
                <w:sz w:val="18"/>
                <w:szCs w:val="18"/>
                <w:lang w:val="en-GB" w:eastAsia="zh-CN"/>
              </w:rPr>
              <w:t>67</w:t>
            </w:r>
          </w:p>
          <w:p w14:paraId="0004F97A" w14:textId="77777777" w:rsidR="00CD5F32" w:rsidRPr="009030C1" w:rsidRDefault="00CD5F32" w:rsidP="003569D6">
            <w:pPr>
              <w:spacing w:before="50" w:after="50" w:line="240" w:lineRule="exact"/>
              <w:jc w:val="center"/>
              <w:rPr>
                <w:rFonts w:eastAsia="SimSun"/>
                <w:sz w:val="18"/>
                <w:szCs w:val="18"/>
                <w:lang w:val="en-GB" w:eastAsia="zh-CN"/>
              </w:rPr>
            </w:pPr>
            <w:r>
              <w:rPr>
                <w:rFonts w:eastAsia="SimSun"/>
                <w:sz w:val="18"/>
                <w:szCs w:val="18"/>
                <w:lang w:val="en-GB" w:eastAsia="zh-CN"/>
              </w:rPr>
              <w:t xml:space="preserve"> (1,</w:t>
            </w:r>
            <w:r w:rsidRPr="009030C1">
              <w:rPr>
                <w:rFonts w:eastAsia="SimSun"/>
                <w:sz w:val="18"/>
                <w:szCs w:val="18"/>
                <w:lang w:val="en-GB" w:eastAsia="zh-CN"/>
              </w:rPr>
              <w:t>10)</w:t>
            </w:r>
          </w:p>
        </w:tc>
      </w:tr>
    </w:tbl>
    <w:p w14:paraId="032F0D86" w14:textId="77777777" w:rsidR="00CD5F32" w:rsidRPr="006868F5" w:rsidRDefault="00CD5F32" w:rsidP="00CD5F32">
      <w:pPr>
        <w:keepNext/>
        <w:keepLines/>
        <w:jc w:val="both"/>
        <w:rPr>
          <w:sz w:val="18"/>
          <w:szCs w:val="18"/>
          <w:lang w:val="es-ES" w:eastAsia="en-US"/>
        </w:rPr>
      </w:pPr>
      <w:r w:rsidRPr="006868F5">
        <w:rPr>
          <w:sz w:val="18"/>
          <w:szCs w:val="18"/>
          <w:lang w:val="es-ES" w:eastAsia="en-US"/>
        </w:rPr>
        <w:t>*  p&lt;0,0001</w:t>
      </w:r>
    </w:p>
    <w:p w14:paraId="3F2676AA" w14:textId="69B78C4E" w:rsidR="00CD5F32" w:rsidRPr="006868F5" w:rsidRDefault="00CD5F32" w:rsidP="00CD5F32">
      <w:pPr>
        <w:keepNext/>
        <w:keepLines/>
        <w:jc w:val="both"/>
        <w:rPr>
          <w:sz w:val="18"/>
          <w:szCs w:val="18"/>
          <w:lang w:val="es-ES" w:eastAsia="en-US"/>
        </w:rPr>
      </w:pPr>
      <w:r w:rsidRPr="0029618B">
        <w:rPr>
          <w:sz w:val="18"/>
          <w:szCs w:val="18"/>
          <w:lang w:val="es-ES" w:eastAsia="en-US"/>
        </w:rPr>
        <w:t>** p&lt;0</w:t>
      </w:r>
      <w:r>
        <w:rPr>
          <w:sz w:val="18"/>
          <w:szCs w:val="18"/>
          <w:lang w:val="es-ES" w:eastAsia="en-US"/>
        </w:rPr>
        <w:t>,</w:t>
      </w:r>
      <w:r w:rsidRPr="006868F5">
        <w:rPr>
          <w:sz w:val="18"/>
          <w:szCs w:val="18"/>
          <w:lang w:val="es-ES" w:eastAsia="en-US"/>
        </w:rPr>
        <w:t>005 (</w:t>
      </w:r>
      <w:r>
        <w:rPr>
          <w:sz w:val="18"/>
          <w:szCs w:val="18"/>
          <w:lang w:val="es-ES" w:eastAsia="en-US"/>
        </w:rPr>
        <w:t>u</w:t>
      </w:r>
      <w:r w:rsidRPr="006868F5">
        <w:rPr>
          <w:sz w:val="18"/>
          <w:szCs w:val="18"/>
          <w:lang w:val="es-ES" w:eastAsia="en-US"/>
        </w:rPr>
        <w:t xml:space="preserve">mbral de significación para las pruebas </w:t>
      </w:r>
      <w:r>
        <w:rPr>
          <w:sz w:val="18"/>
          <w:szCs w:val="18"/>
          <w:lang w:val="es-ES" w:eastAsia="en-US"/>
        </w:rPr>
        <w:t>de superioridad de</w:t>
      </w:r>
      <w:ins w:id="1902" w:author="AUTHOR">
        <w:r w:rsidR="00E11790">
          <w:rPr>
            <w:sz w:val="18"/>
            <w:szCs w:val="18"/>
            <w:lang w:val="es-ES" w:eastAsia="en-US"/>
          </w:rPr>
          <w:t xml:space="preserve"> </w:t>
        </w:r>
      </w:ins>
      <w:r>
        <w:rPr>
          <w:sz w:val="18"/>
          <w:szCs w:val="18"/>
          <w:lang w:val="es-ES" w:eastAsia="en-US"/>
        </w:rPr>
        <w:t>l</w:t>
      </w:r>
      <w:ins w:id="1903" w:author="AUTHOR">
        <w:r w:rsidR="00E11790">
          <w:rPr>
            <w:sz w:val="18"/>
            <w:szCs w:val="18"/>
            <w:lang w:val="es-ES" w:eastAsia="en-US"/>
          </w:rPr>
          <w:t>a</w:t>
        </w:r>
      </w:ins>
      <w:r>
        <w:rPr>
          <w:sz w:val="18"/>
          <w:szCs w:val="18"/>
          <w:lang w:val="es-ES" w:eastAsia="en-US"/>
        </w:rPr>
        <w:t xml:space="preserve"> </w:t>
      </w:r>
      <w:del w:id="1904" w:author="AUTHOR">
        <w:r w:rsidDel="00E11790">
          <w:rPr>
            <w:sz w:val="18"/>
            <w:szCs w:val="18"/>
            <w:lang w:val="es-ES" w:eastAsia="en-US"/>
          </w:rPr>
          <w:delText xml:space="preserve">objetivo </w:delText>
        </w:r>
      </w:del>
      <w:ins w:id="1905" w:author="AUTHOR">
        <w:r w:rsidR="00E11790">
          <w:rPr>
            <w:sz w:val="18"/>
            <w:szCs w:val="18"/>
            <w:lang w:val="es-ES" w:eastAsia="en-US"/>
          </w:rPr>
          <w:t>variable principal</w:t>
        </w:r>
      </w:ins>
      <w:del w:id="1906" w:author="AUTHOR">
        <w:r w:rsidDel="00E11790">
          <w:rPr>
            <w:sz w:val="18"/>
            <w:szCs w:val="18"/>
            <w:lang w:val="es-ES" w:eastAsia="en-US"/>
          </w:rPr>
          <w:delText>primario</w:delText>
        </w:r>
      </w:del>
      <w:r>
        <w:rPr>
          <w:sz w:val="18"/>
          <w:szCs w:val="18"/>
          <w:lang w:val="es-ES" w:eastAsia="en-US"/>
        </w:rPr>
        <w:t xml:space="preserve"> y de</w:t>
      </w:r>
      <w:ins w:id="1907" w:author="AUTHOR">
        <w:r w:rsidR="00E11790">
          <w:rPr>
            <w:sz w:val="18"/>
            <w:szCs w:val="18"/>
            <w:lang w:val="es-ES" w:eastAsia="en-US"/>
          </w:rPr>
          <w:t xml:space="preserve"> </w:t>
        </w:r>
      </w:ins>
      <w:r>
        <w:rPr>
          <w:sz w:val="18"/>
          <w:szCs w:val="18"/>
          <w:lang w:val="es-ES" w:eastAsia="en-US"/>
        </w:rPr>
        <w:t>l</w:t>
      </w:r>
      <w:ins w:id="1908" w:author="AUTHOR">
        <w:r w:rsidR="00E11790">
          <w:rPr>
            <w:sz w:val="18"/>
            <w:szCs w:val="18"/>
            <w:lang w:val="es-ES" w:eastAsia="en-US"/>
          </w:rPr>
          <w:t>a</w:t>
        </w:r>
      </w:ins>
      <w:r>
        <w:rPr>
          <w:sz w:val="18"/>
          <w:szCs w:val="18"/>
          <w:lang w:val="es-ES" w:eastAsia="en-US"/>
        </w:rPr>
        <w:t xml:space="preserve"> </w:t>
      </w:r>
      <w:ins w:id="1909" w:author="AUTHOR">
        <w:r w:rsidR="00E11790">
          <w:rPr>
            <w:sz w:val="18"/>
            <w:szCs w:val="18"/>
            <w:lang w:val="es-ES" w:eastAsia="en-US"/>
          </w:rPr>
          <w:t>variable</w:t>
        </w:r>
      </w:ins>
      <w:del w:id="1910" w:author="AUTHOR">
        <w:r w:rsidDel="00E11790">
          <w:rPr>
            <w:sz w:val="18"/>
            <w:szCs w:val="18"/>
            <w:lang w:val="es-ES" w:eastAsia="en-US"/>
          </w:rPr>
          <w:delText>objetivo</w:delText>
        </w:r>
      </w:del>
      <w:ins w:id="1911" w:author="AUTHOR">
        <w:r w:rsidR="00E11790">
          <w:rPr>
            <w:sz w:val="18"/>
            <w:szCs w:val="18"/>
            <w:lang w:val="es-ES" w:eastAsia="en-US"/>
          </w:rPr>
          <w:t xml:space="preserve"> secundaria</w:t>
        </w:r>
      </w:ins>
      <w:r>
        <w:rPr>
          <w:sz w:val="18"/>
          <w:szCs w:val="18"/>
          <w:lang w:val="es-ES" w:eastAsia="en-US"/>
        </w:rPr>
        <w:t xml:space="preserve"> principal</w:t>
      </w:r>
      <w:del w:id="1912" w:author="AUTHOR">
        <w:r w:rsidDel="00E11790">
          <w:rPr>
            <w:sz w:val="18"/>
            <w:szCs w:val="18"/>
            <w:lang w:val="es-ES" w:eastAsia="en-US"/>
          </w:rPr>
          <w:delText xml:space="preserve"> secundario</w:delText>
        </w:r>
      </w:del>
      <w:r w:rsidRPr="006868F5">
        <w:rPr>
          <w:sz w:val="18"/>
          <w:szCs w:val="18"/>
          <w:lang w:val="es-ES" w:eastAsia="en-US"/>
        </w:rPr>
        <w:t>)</w:t>
      </w:r>
    </w:p>
    <w:p w14:paraId="41A33F50" w14:textId="77777777" w:rsidR="00CD5F32" w:rsidRDefault="00CD5F32" w:rsidP="00CD5F32">
      <w:pPr>
        <w:keepNext/>
        <w:keepLines/>
        <w:jc w:val="both"/>
        <w:rPr>
          <w:sz w:val="18"/>
          <w:szCs w:val="18"/>
          <w:u w:val="single"/>
          <w:lang w:val="es-ES" w:eastAsia="en-US"/>
        </w:rPr>
      </w:pPr>
      <w:r w:rsidRPr="006868F5">
        <w:rPr>
          <w:sz w:val="18"/>
          <w:szCs w:val="18"/>
          <w:lang w:val="es-ES" w:eastAsia="en-US"/>
        </w:rPr>
        <w:t xml:space="preserve">***valor p descriptivo </w:t>
      </w:r>
      <w:r w:rsidRPr="007303A6">
        <w:rPr>
          <w:sz w:val="18"/>
          <w:szCs w:val="18"/>
          <w:u w:val="single"/>
          <w:lang w:val="es-ES" w:eastAsia="en-US"/>
        </w:rPr>
        <w:t>&lt;0</w:t>
      </w:r>
      <w:r>
        <w:rPr>
          <w:sz w:val="18"/>
          <w:szCs w:val="18"/>
          <w:u w:val="single"/>
          <w:lang w:val="es-ES" w:eastAsia="en-US"/>
        </w:rPr>
        <w:t>,</w:t>
      </w:r>
      <w:r w:rsidRPr="006868F5">
        <w:rPr>
          <w:sz w:val="18"/>
          <w:szCs w:val="18"/>
          <w:u w:val="single"/>
          <w:lang w:val="es-ES" w:eastAsia="en-US"/>
        </w:rPr>
        <w:t>005</w:t>
      </w:r>
    </w:p>
    <w:p w14:paraId="2EC0AB97" w14:textId="77777777" w:rsidR="00CD5F32" w:rsidRPr="00F30AB8" w:rsidRDefault="00CD5F32" w:rsidP="00CD5F32">
      <w:pPr>
        <w:keepNext/>
        <w:keepLines/>
        <w:jc w:val="both"/>
        <w:rPr>
          <w:sz w:val="18"/>
          <w:szCs w:val="18"/>
          <w:lang w:val="es-ES" w:eastAsia="en-US"/>
        </w:rPr>
      </w:pPr>
      <w:r w:rsidRPr="0041284B">
        <w:rPr>
          <w:sz w:val="18"/>
          <w:szCs w:val="18"/>
          <w:u w:val="single"/>
          <w:lang w:val="es-ES" w:eastAsia="en-US"/>
        </w:rPr>
        <w:t>****</w:t>
      </w:r>
      <w:r w:rsidRPr="008E23C3">
        <w:rPr>
          <w:b/>
          <w:bCs/>
          <w:iCs/>
          <w:color w:val="706F6F"/>
          <w:sz w:val="18"/>
          <w:szCs w:val="18"/>
          <w:shd w:val="clear" w:color="auto" w:fill="FFFFFF"/>
          <w:lang w:val="es-ES" w:eastAsia="zh-TW"/>
        </w:rPr>
        <w:t>Brote: recurrencia de los signos o síntomas de la ACG y/o VSG ≥30 mm/h.</w:t>
      </w:r>
      <w:r w:rsidRPr="0041284B">
        <w:rPr>
          <w:sz w:val="18"/>
          <w:szCs w:val="18"/>
          <w:u w:val="single"/>
          <w:lang w:val="es-ES" w:eastAsia="en-US"/>
        </w:rPr>
        <w:t xml:space="preserve"> </w:t>
      </w:r>
      <w:r w:rsidRPr="00F30AB8">
        <w:rPr>
          <w:sz w:val="18"/>
          <w:szCs w:val="18"/>
          <w:lang w:val="es-ES" w:eastAsia="en-US"/>
        </w:rPr>
        <w:t>Aumento de la dosis de prednisona requerida.</w:t>
      </w:r>
    </w:p>
    <w:p w14:paraId="30839D4B" w14:textId="77777777" w:rsidR="00CD5F32" w:rsidRPr="008E23C3" w:rsidRDefault="00CD5F32" w:rsidP="00CD5F32">
      <w:pPr>
        <w:keepNext/>
        <w:keepLines/>
        <w:jc w:val="both"/>
        <w:rPr>
          <w:b/>
          <w:bCs/>
          <w:iCs/>
          <w:color w:val="706F6F"/>
          <w:sz w:val="18"/>
          <w:szCs w:val="18"/>
          <w:lang w:val="es-ES" w:eastAsia="zh-TW"/>
        </w:rPr>
      </w:pPr>
      <w:r w:rsidRPr="008E23C3">
        <w:rPr>
          <w:b/>
          <w:bCs/>
          <w:iCs/>
          <w:color w:val="706F6F"/>
          <w:sz w:val="18"/>
          <w:szCs w:val="18"/>
          <w:lang w:val="es-ES" w:eastAsia="zh-TW"/>
        </w:rPr>
        <w:t>Remisión: ausencia de brote y normalización del PCR</w:t>
      </w:r>
    </w:p>
    <w:p w14:paraId="44360D21" w14:textId="77777777" w:rsidR="00CD5F32" w:rsidRPr="00DE55C8" w:rsidRDefault="00CD5F32" w:rsidP="00CD5F32">
      <w:pPr>
        <w:jc w:val="both"/>
        <w:rPr>
          <w:sz w:val="18"/>
          <w:szCs w:val="18"/>
          <w:lang w:val="es-ES" w:eastAsia="en-US"/>
        </w:rPr>
      </w:pPr>
      <w:r w:rsidRPr="008E23C3">
        <w:rPr>
          <w:b/>
          <w:bCs/>
          <w:iCs/>
          <w:color w:val="706F6F"/>
          <w:sz w:val="18"/>
          <w:szCs w:val="18"/>
          <w:lang w:val="es-ES" w:eastAsia="zh-TW"/>
        </w:rPr>
        <w:t>Remisión sostenida: remisión de la semana 12 a la semana 52</w:t>
      </w:r>
      <w:r w:rsidRPr="00F30AB8">
        <w:rPr>
          <w:sz w:val="18"/>
          <w:szCs w:val="18"/>
          <w:lang w:val="es-ES" w:eastAsia="en-US"/>
        </w:rPr>
        <w:t>. Los pacientes deben adherirse al protocolo establecido para la reducción gradual de prednisona</w:t>
      </w:r>
    </w:p>
    <w:p w14:paraId="68A27E62" w14:textId="77777777" w:rsidR="00CD5F32" w:rsidRPr="00DE55C8" w:rsidRDefault="00CD5F32" w:rsidP="00CD5F32">
      <w:pPr>
        <w:jc w:val="both"/>
        <w:rPr>
          <w:sz w:val="18"/>
          <w:szCs w:val="18"/>
          <w:lang w:val="es-ES" w:eastAsia="en-US"/>
        </w:rPr>
      </w:pPr>
      <w:r w:rsidRPr="00DE55C8">
        <w:rPr>
          <w:sz w:val="18"/>
          <w:szCs w:val="18"/>
          <w:lang w:val="es-ES" w:eastAsia="en-US"/>
        </w:rPr>
        <w:t>¹ análisis del tiempo (en días) entre la remisión clínica y el primer brote de la enfermedad</w:t>
      </w:r>
    </w:p>
    <w:p w14:paraId="3CD755CF" w14:textId="77777777" w:rsidR="00CD5F32" w:rsidRPr="006868F5" w:rsidRDefault="00CD5F32" w:rsidP="00CD5F32">
      <w:pPr>
        <w:jc w:val="both"/>
        <w:rPr>
          <w:sz w:val="18"/>
          <w:szCs w:val="18"/>
          <w:lang w:val="es-ES" w:eastAsia="en-US"/>
        </w:rPr>
      </w:pPr>
      <w:r w:rsidRPr="00DE55C8">
        <w:rPr>
          <w:rFonts w:eastAsia="SimSun"/>
          <w:sz w:val="18"/>
          <w:szCs w:val="18"/>
          <w:vertAlign w:val="superscript"/>
          <w:lang w:val="es-ES" w:eastAsia="zh-CN"/>
        </w:rPr>
        <w:t>2</w:t>
      </w:r>
      <w:r w:rsidRPr="00DE55C8">
        <w:rPr>
          <w:sz w:val="18"/>
          <w:szCs w:val="18"/>
          <w:lang w:val="es-ES" w:eastAsia="en-US"/>
        </w:rPr>
        <w:t xml:space="preserve"> los valores de p se determinan utilizando el análisis de Van Elteren para datos</w:t>
      </w:r>
      <w:r w:rsidRPr="006868F5">
        <w:rPr>
          <w:sz w:val="18"/>
          <w:szCs w:val="18"/>
          <w:lang w:val="es-ES" w:eastAsia="en-US"/>
        </w:rPr>
        <w:t xml:space="preserve"> no paramétricos</w:t>
      </w:r>
    </w:p>
    <w:p w14:paraId="2C03C8BB" w14:textId="77777777" w:rsidR="00CD5F32" w:rsidRPr="006868F5" w:rsidRDefault="00CD5F32" w:rsidP="00CD5F32">
      <w:pPr>
        <w:jc w:val="both"/>
        <w:rPr>
          <w:sz w:val="18"/>
          <w:szCs w:val="18"/>
          <w:lang w:val="es-ES" w:eastAsia="en-US"/>
        </w:rPr>
      </w:pPr>
      <w:r w:rsidRPr="006868F5">
        <w:rPr>
          <w:sz w:val="18"/>
          <w:szCs w:val="18"/>
          <w:vertAlign w:val="superscript"/>
          <w:lang w:val="es-ES" w:eastAsia="en-US"/>
        </w:rPr>
        <w:t>§</w:t>
      </w:r>
      <w:r w:rsidRPr="006868F5">
        <w:rPr>
          <w:sz w:val="18"/>
          <w:szCs w:val="18"/>
          <w:lang w:val="es-ES" w:eastAsia="en-US"/>
        </w:rPr>
        <w:t xml:space="preserve"> </w:t>
      </w:r>
      <w:r>
        <w:rPr>
          <w:sz w:val="18"/>
          <w:szCs w:val="18"/>
          <w:lang w:val="es-ES" w:eastAsia="en-US"/>
        </w:rPr>
        <w:t>n</w:t>
      </w:r>
      <w:r w:rsidRPr="0028481A">
        <w:rPr>
          <w:sz w:val="18"/>
          <w:szCs w:val="18"/>
          <w:lang w:val="es-ES" w:eastAsia="en-US"/>
        </w:rPr>
        <w:t>o se ha</w:t>
      </w:r>
      <w:r w:rsidRPr="006868F5">
        <w:rPr>
          <w:sz w:val="18"/>
          <w:szCs w:val="18"/>
          <w:lang w:val="es-ES" w:eastAsia="en-US"/>
        </w:rPr>
        <w:t xml:space="preserve"> realizado análisi</w:t>
      </w:r>
      <w:r w:rsidRPr="0028481A">
        <w:rPr>
          <w:sz w:val="18"/>
          <w:szCs w:val="18"/>
          <w:lang w:val="es-ES" w:eastAsia="en-US"/>
        </w:rPr>
        <w:t>s estadístico</w:t>
      </w:r>
    </w:p>
    <w:p w14:paraId="2838824E" w14:textId="77777777" w:rsidR="00CD5F32" w:rsidRPr="006868F5" w:rsidRDefault="00CD5F32" w:rsidP="00CD5F32">
      <w:pPr>
        <w:jc w:val="both"/>
        <w:rPr>
          <w:sz w:val="18"/>
          <w:szCs w:val="18"/>
          <w:lang w:val="es-ES" w:eastAsia="en-US"/>
        </w:rPr>
      </w:pPr>
      <w:r w:rsidRPr="006868F5">
        <w:rPr>
          <w:sz w:val="18"/>
          <w:szCs w:val="18"/>
          <w:lang w:val="es-ES" w:eastAsia="en-US"/>
        </w:rPr>
        <w:t>N/A= No aplica</w:t>
      </w:r>
    </w:p>
    <w:p w14:paraId="1AEBB20B" w14:textId="77777777" w:rsidR="00CD5F32" w:rsidRPr="006868F5" w:rsidRDefault="00CD5F32" w:rsidP="00CD5F32">
      <w:pPr>
        <w:jc w:val="both"/>
        <w:rPr>
          <w:sz w:val="18"/>
          <w:szCs w:val="18"/>
          <w:lang w:val="es-ES" w:eastAsia="en-US"/>
        </w:rPr>
      </w:pPr>
      <w:r w:rsidRPr="006868F5">
        <w:rPr>
          <w:sz w:val="18"/>
          <w:szCs w:val="18"/>
          <w:lang w:val="es-ES" w:eastAsia="en-US"/>
        </w:rPr>
        <w:t>HR = Hazard Ratio</w:t>
      </w:r>
    </w:p>
    <w:p w14:paraId="5F1A2351" w14:textId="77777777" w:rsidR="00915C39" w:rsidRPr="00F30AB8" w:rsidRDefault="00CD5F32" w:rsidP="00CD5F32">
      <w:pPr>
        <w:jc w:val="both"/>
        <w:rPr>
          <w:lang w:val="es-ES"/>
        </w:rPr>
      </w:pPr>
      <w:r w:rsidRPr="006868F5">
        <w:rPr>
          <w:sz w:val="18"/>
          <w:szCs w:val="18"/>
          <w:lang w:val="es-ES" w:eastAsia="en-US"/>
        </w:rPr>
        <w:t>IC = Intervalo de Confianza</w:t>
      </w:r>
      <w:r w:rsidR="00915C39" w:rsidRPr="00F30AB8">
        <w:rPr>
          <w:lang w:val="es-ES"/>
        </w:rPr>
        <w:t xml:space="preserve"> </w:t>
      </w:r>
    </w:p>
    <w:p w14:paraId="08C9B3AB" w14:textId="77777777" w:rsidR="00CD5F32" w:rsidRPr="006868F5" w:rsidRDefault="00915C39" w:rsidP="00CD5F32">
      <w:pPr>
        <w:jc w:val="both"/>
        <w:rPr>
          <w:sz w:val="18"/>
          <w:szCs w:val="18"/>
          <w:lang w:val="es-ES" w:eastAsia="en-US"/>
        </w:rPr>
      </w:pPr>
      <w:r w:rsidRPr="00915C39">
        <w:rPr>
          <w:sz w:val="18"/>
          <w:szCs w:val="18"/>
          <w:lang w:val="es-ES" w:eastAsia="en-US"/>
        </w:rPr>
        <w:t>SC = subcut</w:t>
      </w:r>
      <w:r>
        <w:rPr>
          <w:sz w:val="18"/>
          <w:szCs w:val="18"/>
          <w:lang w:val="es-ES" w:eastAsia="en-US"/>
        </w:rPr>
        <w:t>á</w:t>
      </w:r>
      <w:r w:rsidRPr="00915C39">
        <w:rPr>
          <w:sz w:val="18"/>
          <w:szCs w:val="18"/>
          <w:lang w:val="es-ES" w:eastAsia="en-US"/>
        </w:rPr>
        <w:t>ne</w:t>
      </w:r>
      <w:r>
        <w:rPr>
          <w:sz w:val="18"/>
          <w:szCs w:val="18"/>
          <w:lang w:val="es-ES" w:eastAsia="en-US"/>
        </w:rPr>
        <w:t>o</w:t>
      </w:r>
    </w:p>
    <w:p w14:paraId="3CFE6769" w14:textId="77777777" w:rsidR="00CD5F32" w:rsidRPr="006868F5" w:rsidRDefault="00CD5F32" w:rsidP="00CD5F32">
      <w:pPr>
        <w:jc w:val="both"/>
        <w:rPr>
          <w:sz w:val="18"/>
          <w:szCs w:val="18"/>
          <w:lang w:val="es-ES" w:eastAsia="en-US"/>
        </w:rPr>
      </w:pPr>
    </w:p>
    <w:p w14:paraId="06D1FB25" w14:textId="77777777" w:rsidR="00CD5F32" w:rsidRPr="00EC0387" w:rsidRDefault="00CD5F32" w:rsidP="00CD5F32">
      <w:pPr>
        <w:rPr>
          <w:i/>
          <w:iCs/>
          <w:lang w:val="es-ES"/>
        </w:rPr>
      </w:pPr>
      <w:r w:rsidRPr="00F30AB8">
        <w:rPr>
          <w:i/>
          <w:iCs/>
          <w:u w:val="single"/>
          <w:lang w:val="es-ES"/>
        </w:rPr>
        <w:t>Resultados de calidad de vida</w:t>
      </w:r>
    </w:p>
    <w:p w14:paraId="409C5F4E" w14:textId="77777777" w:rsidR="00CD5F32" w:rsidRPr="006868F5" w:rsidRDefault="00CD5F32" w:rsidP="00CD5F32">
      <w:pPr>
        <w:rPr>
          <w:i/>
          <w:iCs/>
          <w:lang w:val="es-ES"/>
        </w:rPr>
      </w:pPr>
    </w:p>
    <w:p w14:paraId="4A011B43" w14:textId="38069C79" w:rsidR="00CD5F32" w:rsidRPr="00C22F3F" w:rsidRDefault="00CD5F32" w:rsidP="00CD5F32">
      <w:pPr>
        <w:rPr>
          <w:lang w:val="es-ES" w:eastAsia="de-DE"/>
        </w:rPr>
      </w:pPr>
      <w:r w:rsidRPr="00EC0387">
        <w:rPr>
          <w:iCs/>
          <w:lang w:val="es-ES"/>
        </w:rPr>
        <w:t>En el e</w:t>
      </w:r>
      <w:r>
        <w:rPr>
          <w:iCs/>
          <w:lang w:val="es-ES"/>
        </w:rPr>
        <w:t>nsay</w:t>
      </w:r>
      <w:r w:rsidRPr="00EC0387">
        <w:rPr>
          <w:iCs/>
          <w:lang w:val="es-ES"/>
        </w:rPr>
        <w:t xml:space="preserve">o </w:t>
      </w:r>
      <w:r w:rsidRPr="006868F5">
        <w:rPr>
          <w:lang w:val="es-ES" w:eastAsia="de-DE"/>
        </w:rPr>
        <w:t>WA28119, los resultados de S</w:t>
      </w:r>
      <w:r w:rsidRPr="00EC0387">
        <w:rPr>
          <w:lang w:val="es-ES" w:eastAsia="de-DE"/>
        </w:rPr>
        <w:t>F</w:t>
      </w:r>
      <w:r w:rsidRPr="006868F5">
        <w:rPr>
          <w:lang w:val="es-ES" w:eastAsia="de-DE"/>
        </w:rPr>
        <w:t xml:space="preserve">-36 se separaron </w:t>
      </w:r>
      <w:r w:rsidRPr="00EC0387">
        <w:rPr>
          <w:lang w:val="es-ES" w:eastAsia="de-DE"/>
        </w:rPr>
        <w:t>en el</w:t>
      </w:r>
      <w:r w:rsidRPr="002837E4">
        <w:rPr>
          <w:lang w:val="es-ES" w:eastAsia="de-DE"/>
        </w:rPr>
        <w:t xml:space="preserve"> </w:t>
      </w:r>
      <w:r w:rsidRPr="006C05BA">
        <w:rPr>
          <w:lang w:val="es-ES" w:eastAsia="de-DE"/>
        </w:rPr>
        <w:t>resu</w:t>
      </w:r>
      <w:r w:rsidRPr="00C22F3F">
        <w:rPr>
          <w:lang w:val="es-ES" w:eastAsia="de-DE"/>
        </w:rPr>
        <w:t xml:space="preserve">men de las puntuaciones del </w:t>
      </w:r>
      <w:r w:rsidRPr="006868F5">
        <w:rPr>
          <w:lang w:val="es-ES" w:eastAsia="de-DE"/>
        </w:rPr>
        <w:t>component</w:t>
      </w:r>
      <w:r w:rsidRPr="00EC0387">
        <w:rPr>
          <w:lang w:val="es-ES" w:eastAsia="de-DE"/>
        </w:rPr>
        <w:t xml:space="preserve">e físico y mental (PCS y MCS, respectivamente). </w:t>
      </w:r>
      <w:r w:rsidRPr="002837E4">
        <w:rPr>
          <w:lang w:val="es-ES" w:eastAsia="de-DE"/>
        </w:rPr>
        <w:t>El ca</w:t>
      </w:r>
      <w:r w:rsidRPr="006C05BA">
        <w:rPr>
          <w:lang w:val="es-ES" w:eastAsia="de-DE"/>
        </w:rPr>
        <w:t xml:space="preserve">mbio </w:t>
      </w:r>
      <w:ins w:id="1913" w:author="AUTHOR">
        <w:r w:rsidR="00771673">
          <w:rPr>
            <w:lang w:val="es-ES" w:eastAsia="de-DE"/>
          </w:rPr>
          <w:t xml:space="preserve">medio </w:t>
        </w:r>
      </w:ins>
      <w:r w:rsidRPr="00C22F3F">
        <w:rPr>
          <w:lang w:val="es-ES" w:eastAsia="de-DE"/>
        </w:rPr>
        <w:t xml:space="preserve">de la PCS </w:t>
      </w:r>
      <w:del w:id="1914" w:author="AUTHOR">
        <w:r w:rsidRPr="00C22F3F" w:rsidDel="00771673">
          <w:rPr>
            <w:lang w:val="es-ES" w:eastAsia="de-DE"/>
          </w:rPr>
          <w:delText xml:space="preserve">más importante </w:delText>
        </w:r>
      </w:del>
      <w:r w:rsidRPr="00C22F3F">
        <w:rPr>
          <w:lang w:val="es-ES" w:eastAsia="de-DE"/>
        </w:rPr>
        <w:t>desde el inicio hasta la semana</w:t>
      </w:r>
      <w:r w:rsidR="00031422" w:rsidRPr="00F30AB8">
        <w:rPr>
          <w:rFonts w:eastAsia="SimSun"/>
          <w:b/>
          <w:szCs w:val="22"/>
          <w:lang w:val="es-ES" w:eastAsia="zh-CN"/>
        </w:rPr>
        <w:t> </w:t>
      </w:r>
      <w:r w:rsidRPr="00C22F3F">
        <w:rPr>
          <w:lang w:val="es-ES" w:eastAsia="de-DE"/>
        </w:rPr>
        <w:t xml:space="preserve">52 fue mayor (mostrando más mejoría) en los grupos semanal y </w:t>
      </w:r>
      <w:del w:id="1915" w:author="AUTHOR">
        <w:r w:rsidRPr="00C22F3F" w:rsidDel="009F26E0">
          <w:rPr>
            <w:lang w:val="es-ES" w:eastAsia="de-DE"/>
          </w:rPr>
          <w:delText>bisemanal</w:delText>
        </w:r>
      </w:del>
      <w:ins w:id="1916" w:author="AUTHOR">
        <w:r w:rsidR="009F26E0">
          <w:rPr>
            <w:lang w:val="es-ES" w:eastAsia="de-DE"/>
          </w:rPr>
          <w:t>cada dos semanas</w:t>
        </w:r>
      </w:ins>
      <w:r w:rsidRPr="00C22F3F">
        <w:rPr>
          <w:lang w:val="es-ES" w:eastAsia="de-DE"/>
        </w:rPr>
        <w:t xml:space="preserve"> de administración de </w:t>
      </w:r>
      <w:r w:rsidR="00915C39" w:rsidRPr="00F30AB8">
        <w:rPr>
          <w:szCs w:val="22"/>
          <w:lang w:val="es-ES" w:eastAsia="de-DE"/>
        </w:rPr>
        <w:t>tocilizumab</w:t>
      </w:r>
      <w:r w:rsidRPr="00C22F3F">
        <w:rPr>
          <w:lang w:val="es-ES" w:eastAsia="de-DE"/>
        </w:rPr>
        <w:t xml:space="preserve"> [4,10; 2,76; respectivamente] </w:t>
      </w:r>
      <w:r w:rsidRPr="00C22F3F">
        <w:rPr>
          <w:lang w:val="es-ES" w:eastAsia="de-DE"/>
        </w:rPr>
        <w:lastRenderedPageBreak/>
        <w:t>que en los dos grupos de administración de placebo [placebo más 26</w:t>
      </w:r>
      <w:r w:rsidR="00031422" w:rsidRPr="00F30AB8">
        <w:rPr>
          <w:rFonts w:eastAsia="SimSun"/>
          <w:b/>
          <w:szCs w:val="22"/>
          <w:lang w:val="es-ES" w:eastAsia="zh-CN"/>
        </w:rPr>
        <w:t> </w:t>
      </w:r>
      <w:r w:rsidRPr="00C22F3F">
        <w:rPr>
          <w:lang w:val="es-ES" w:eastAsia="de-DE"/>
        </w:rPr>
        <w:t>semanas; -0,28, placebo más 52</w:t>
      </w:r>
      <w:r w:rsidR="00031422" w:rsidRPr="00F30AB8">
        <w:rPr>
          <w:rFonts w:eastAsia="SimSun"/>
          <w:b/>
          <w:szCs w:val="22"/>
          <w:lang w:val="es-ES" w:eastAsia="zh-CN"/>
        </w:rPr>
        <w:t> </w:t>
      </w:r>
      <w:r w:rsidRPr="00C22F3F">
        <w:rPr>
          <w:lang w:val="es-ES" w:eastAsia="de-DE"/>
        </w:rPr>
        <w:t xml:space="preserve">semanas; -1,49], a pesar de que la sola comparación entre </w:t>
      </w:r>
      <w:r w:rsidR="00915C39" w:rsidRPr="00F30AB8">
        <w:rPr>
          <w:szCs w:val="22"/>
          <w:lang w:val="es-ES" w:eastAsia="de-DE"/>
        </w:rPr>
        <w:t>tocilizumab</w:t>
      </w:r>
      <w:r w:rsidRPr="00C22F3F">
        <w:rPr>
          <w:lang w:val="es-ES" w:eastAsia="de-DE"/>
        </w:rPr>
        <w:t xml:space="preserve"> semanal más 26</w:t>
      </w:r>
      <w:r w:rsidR="00031422" w:rsidRPr="00F30AB8">
        <w:rPr>
          <w:rFonts w:eastAsia="SimSun"/>
          <w:b/>
          <w:szCs w:val="22"/>
          <w:lang w:val="es-ES" w:eastAsia="zh-CN"/>
        </w:rPr>
        <w:t> </w:t>
      </w:r>
      <w:r w:rsidRPr="00C22F3F">
        <w:rPr>
          <w:lang w:val="es-ES" w:eastAsia="de-DE"/>
        </w:rPr>
        <w:t>semanas de reducción gradual de prednisona y placebo más 52</w:t>
      </w:r>
      <w:r w:rsidR="00031422" w:rsidRPr="00F30AB8">
        <w:rPr>
          <w:rFonts w:eastAsia="SimSun"/>
          <w:b/>
          <w:szCs w:val="22"/>
          <w:lang w:val="es-ES" w:eastAsia="zh-CN"/>
        </w:rPr>
        <w:t> </w:t>
      </w:r>
      <w:r w:rsidRPr="00C22F3F">
        <w:rPr>
          <w:lang w:val="es-ES" w:eastAsia="de-DE"/>
        </w:rPr>
        <w:t>semanas de reducción gradual de prednisona (5,59; IC 99</w:t>
      </w:r>
      <w:r>
        <w:rPr>
          <w:lang w:val="es-ES" w:eastAsia="de-DE"/>
        </w:rPr>
        <w:t xml:space="preserve"> </w:t>
      </w:r>
      <w:r w:rsidRPr="00C22F3F">
        <w:rPr>
          <w:lang w:val="es-ES" w:eastAsia="de-DE"/>
        </w:rPr>
        <w:t xml:space="preserve">%: 8,6; 10,32) ya mostraron una diferencia estadísticamente significativa (p=0,0024). Para MCS, el cambio </w:t>
      </w:r>
      <w:del w:id="1917" w:author="AUTHOR">
        <w:r w:rsidRPr="00C22F3F" w:rsidDel="00771673">
          <w:rPr>
            <w:lang w:val="es-ES" w:eastAsia="de-DE"/>
          </w:rPr>
          <w:delText>más importante</w:delText>
        </w:r>
      </w:del>
      <w:ins w:id="1918" w:author="AUTHOR">
        <w:r w:rsidR="00771673">
          <w:rPr>
            <w:lang w:val="es-ES" w:eastAsia="de-DE"/>
          </w:rPr>
          <w:t>medio</w:t>
        </w:r>
      </w:ins>
      <w:r w:rsidRPr="00C22F3F">
        <w:rPr>
          <w:lang w:val="es-ES" w:eastAsia="de-DE"/>
        </w:rPr>
        <w:t xml:space="preserve"> desde el inicio a la semana</w:t>
      </w:r>
      <w:r w:rsidR="00031422" w:rsidRPr="00F30AB8">
        <w:rPr>
          <w:rFonts w:eastAsia="SimSun"/>
          <w:b/>
          <w:szCs w:val="22"/>
          <w:lang w:val="es-ES" w:eastAsia="zh-CN"/>
        </w:rPr>
        <w:t> </w:t>
      </w:r>
      <w:r w:rsidRPr="00C22F3F">
        <w:rPr>
          <w:lang w:val="es-ES" w:eastAsia="de-DE"/>
        </w:rPr>
        <w:t xml:space="preserve">52 en los grupos semanal y </w:t>
      </w:r>
      <w:del w:id="1919" w:author="AUTHOR">
        <w:r w:rsidRPr="00C22F3F" w:rsidDel="009F26E0">
          <w:rPr>
            <w:lang w:val="es-ES" w:eastAsia="de-DE"/>
          </w:rPr>
          <w:delText>bisemanal</w:delText>
        </w:r>
      </w:del>
      <w:ins w:id="1920" w:author="AUTHOR">
        <w:r w:rsidR="009F26E0">
          <w:rPr>
            <w:lang w:val="es-ES" w:eastAsia="de-DE"/>
          </w:rPr>
          <w:t>cada dos semanas</w:t>
        </w:r>
      </w:ins>
      <w:r w:rsidRPr="00C22F3F">
        <w:rPr>
          <w:lang w:val="es-ES" w:eastAsia="de-DE"/>
        </w:rPr>
        <w:t xml:space="preserve"> de administración de </w:t>
      </w:r>
      <w:r w:rsidR="00915C39" w:rsidRPr="00F30AB8">
        <w:rPr>
          <w:szCs w:val="22"/>
          <w:lang w:val="es-ES" w:eastAsia="de-DE"/>
        </w:rPr>
        <w:t>tocilizumab</w:t>
      </w:r>
      <w:r w:rsidRPr="00EC0387">
        <w:rPr>
          <w:lang w:val="es-ES" w:eastAsia="de-DE"/>
        </w:rPr>
        <w:t xml:space="preserve"> [7,28; 6,12;</w:t>
      </w:r>
      <w:r w:rsidRPr="002837E4">
        <w:rPr>
          <w:lang w:val="es-ES" w:eastAsia="de-DE"/>
        </w:rPr>
        <w:t xml:space="preserve"> respectivamente]</w:t>
      </w:r>
      <w:r w:rsidRPr="006C05BA">
        <w:rPr>
          <w:lang w:val="es-ES" w:eastAsia="de-DE"/>
        </w:rPr>
        <w:t xml:space="preserve"> fueron mayores que el grupo de </w:t>
      </w:r>
      <w:r w:rsidRPr="00C22F3F">
        <w:rPr>
          <w:lang w:val="es-ES" w:eastAsia="de-DE"/>
        </w:rPr>
        <w:t>placebo más 52</w:t>
      </w:r>
      <w:r w:rsidR="00031422" w:rsidRPr="00F30AB8">
        <w:rPr>
          <w:rFonts w:eastAsia="SimSun"/>
          <w:b/>
          <w:szCs w:val="22"/>
          <w:lang w:val="es-ES" w:eastAsia="zh-CN"/>
        </w:rPr>
        <w:t> </w:t>
      </w:r>
      <w:r w:rsidRPr="00C22F3F">
        <w:rPr>
          <w:lang w:val="es-ES" w:eastAsia="de-DE"/>
        </w:rPr>
        <w:t xml:space="preserve">semanas de reducción gradual de prednisona [2,84] (aunque las diferencias no fueron estadísticamente significativas [p=0,0252 para el grupo semanal, p=0,1468 para el grupo </w:t>
      </w:r>
      <w:del w:id="1921" w:author="AUTHOR">
        <w:r w:rsidRPr="00C22F3F" w:rsidDel="009F26E0">
          <w:rPr>
            <w:lang w:val="es-ES" w:eastAsia="de-DE"/>
          </w:rPr>
          <w:delText>bisemanal</w:delText>
        </w:r>
      </w:del>
      <w:ins w:id="1922" w:author="AUTHOR">
        <w:r w:rsidR="009F26E0">
          <w:rPr>
            <w:lang w:val="es-ES" w:eastAsia="de-DE"/>
          </w:rPr>
          <w:t>cada dos semanas</w:t>
        </w:r>
      </w:ins>
      <w:r w:rsidRPr="00C22F3F">
        <w:rPr>
          <w:lang w:val="es-ES" w:eastAsia="de-DE"/>
        </w:rPr>
        <w:t>) y fue similar para el grupo de administración de  placebo más 26</w:t>
      </w:r>
      <w:r w:rsidR="00031422" w:rsidRPr="00F30AB8">
        <w:rPr>
          <w:rFonts w:eastAsia="SimSun"/>
          <w:b/>
          <w:szCs w:val="22"/>
          <w:lang w:val="es-ES" w:eastAsia="zh-CN"/>
        </w:rPr>
        <w:t> </w:t>
      </w:r>
      <w:r w:rsidRPr="00C22F3F">
        <w:rPr>
          <w:lang w:val="es-ES" w:eastAsia="de-DE"/>
        </w:rPr>
        <w:t>semanas de reducción gradual de prednisona [6,67].</w:t>
      </w:r>
    </w:p>
    <w:p w14:paraId="277FB0B5" w14:textId="77777777" w:rsidR="00CD5F32" w:rsidRPr="00C22F3F" w:rsidRDefault="00CD5F32" w:rsidP="00CD5F32">
      <w:pPr>
        <w:rPr>
          <w:lang w:val="es-ES" w:eastAsia="de-DE"/>
        </w:rPr>
      </w:pPr>
    </w:p>
    <w:p w14:paraId="68AAE1A6" w14:textId="101F460A" w:rsidR="00CD5F32" w:rsidRPr="00C22F3F" w:rsidRDefault="00CD5F32" w:rsidP="00CD5F32">
      <w:pPr>
        <w:rPr>
          <w:lang w:val="es-ES" w:eastAsia="de-DE"/>
        </w:rPr>
      </w:pPr>
      <w:r w:rsidRPr="00C22F3F">
        <w:rPr>
          <w:lang w:val="es-ES" w:eastAsia="de-DE"/>
        </w:rPr>
        <w:t>La Evaluación Global del Paciente de la actividad de la enfermedad se evaluó en una Escala Analógica Visual de 0-100 mm (EAV). El cambio medio en la EAV global del paciente desde el inicio a la semana</w:t>
      </w:r>
      <w:r w:rsidR="00031422" w:rsidRPr="00F30AB8">
        <w:rPr>
          <w:rFonts w:eastAsia="SimSun"/>
          <w:b/>
          <w:szCs w:val="22"/>
          <w:lang w:val="es-ES" w:eastAsia="zh-CN"/>
        </w:rPr>
        <w:t> </w:t>
      </w:r>
      <w:r w:rsidRPr="00C22F3F">
        <w:rPr>
          <w:lang w:val="es-ES" w:eastAsia="de-DE"/>
        </w:rPr>
        <w:t xml:space="preserve">52 fue menor (mostrando mayor mejoría) en los grupos semanal y </w:t>
      </w:r>
      <w:del w:id="1923" w:author="AUTHOR">
        <w:r w:rsidRPr="00C22F3F" w:rsidDel="009F26E0">
          <w:rPr>
            <w:lang w:val="es-ES" w:eastAsia="de-DE"/>
          </w:rPr>
          <w:delText>bisemanal</w:delText>
        </w:r>
      </w:del>
      <w:ins w:id="1924" w:author="AUTHOR">
        <w:r w:rsidR="009F26E0">
          <w:rPr>
            <w:lang w:val="es-ES" w:eastAsia="de-DE"/>
          </w:rPr>
          <w:t>cada dos semanas</w:t>
        </w:r>
      </w:ins>
      <w:r w:rsidRPr="00C22F3F">
        <w:rPr>
          <w:lang w:val="es-ES" w:eastAsia="de-DE"/>
        </w:rPr>
        <w:t xml:space="preserve"> de </w:t>
      </w:r>
      <w:r w:rsidR="00915C39" w:rsidRPr="00F30AB8">
        <w:rPr>
          <w:szCs w:val="22"/>
          <w:lang w:val="es-ES" w:eastAsia="de-DE"/>
        </w:rPr>
        <w:t>tocilizumab</w:t>
      </w:r>
      <w:r w:rsidRPr="00C22F3F">
        <w:rPr>
          <w:lang w:val="es-ES" w:eastAsia="de-DE"/>
        </w:rPr>
        <w:t xml:space="preserve"> [-19,0; -25,3; respectivamente] que en los dos grupos de placebo [placebo más 26</w:t>
      </w:r>
      <w:r w:rsidR="00031422" w:rsidRPr="00F30AB8">
        <w:rPr>
          <w:rFonts w:eastAsia="SimSun"/>
          <w:b/>
          <w:szCs w:val="22"/>
          <w:lang w:val="es-ES" w:eastAsia="zh-CN"/>
        </w:rPr>
        <w:t> </w:t>
      </w:r>
      <w:r w:rsidRPr="00C22F3F">
        <w:rPr>
          <w:lang w:val="es-ES" w:eastAsia="de-DE"/>
        </w:rPr>
        <w:t>semanas -3,4 ; placebo más 52</w:t>
      </w:r>
      <w:r w:rsidR="00031422" w:rsidRPr="00F30AB8">
        <w:rPr>
          <w:rFonts w:eastAsia="SimSun"/>
          <w:b/>
          <w:szCs w:val="22"/>
          <w:lang w:val="es-ES" w:eastAsia="zh-CN"/>
        </w:rPr>
        <w:t> </w:t>
      </w:r>
      <w:r w:rsidRPr="00C22F3F">
        <w:rPr>
          <w:lang w:val="es-ES" w:eastAsia="de-DE"/>
        </w:rPr>
        <w:t xml:space="preserve">semanas -7,2], aunque solo el grupo de administración de </w:t>
      </w:r>
      <w:r w:rsidR="00915C39" w:rsidRPr="00F30AB8">
        <w:rPr>
          <w:szCs w:val="22"/>
          <w:lang w:val="es-ES" w:eastAsia="de-DE"/>
        </w:rPr>
        <w:t>tocilizumab</w:t>
      </w:r>
      <w:r w:rsidRPr="00C22F3F">
        <w:rPr>
          <w:lang w:val="es-ES" w:eastAsia="de-DE"/>
        </w:rPr>
        <w:t xml:space="preserve"> </w:t>
      </w:r>
      <w:del w:id="1925" w:author="AUTHOR">
        <w:r w:rsidRPr="00C22F3F" w:rsidDel="009F26E0">
          <w:rPr>
            <w:lang w:val="es-ES" w:eastAsia="de-DE"/>
          </w:rPr>
          <w:delText>bisemanal</w:delText>
        </w:r>
      </w:del>
      <w:ins w:id="1926" w:author="AUTHOR">
        <w:r w:rsidR="009F26E0">
          <w:rPr>
            <w:lang w:val="es-ES" w:eastAsia="de-DE"/>
          </w:rPr>
          <w:t>cada dos semanas</w:t>
        </w:r>
      </w:ins>
      <w:r w:rsidRPr="00C22F3F">
        <w:rPr>
          <w:lang w:val="es-ES" w:eastAsia="de-DE"/>
        </w:rPr>
        <w:t xml:space="preserve"> más 26</w:t>
      </w:r>
      <w:r w:rsidR="00031422" w:rsidRPr="00F30AB8">
        <w:rPr>
          <w:rFonts w:eastAsia="SimSun"/>
          <w:b/>
          <w:szCs w:val="22"/>
          <w:lang w:val="es-ES" w:eastAsia="zh-CN"/>
        </w:rPr>
        <w:t> </w:t>
      </w:r>
      <w:r w:rsidRPr="00C22F3F">
        <w:rPr>
          <w:lang w:val="es-ES" w:eastAsia="de-DE"/>
        </w:rPr>
        <w:t>semanas de reducción gradual de prednisona mostró una diferencia estadísticamente significativa en comparación con placebo [placebo más 26</w:t>
      </w:r>
      <w:r w:rsidR="00031422" w:rsidRPr="00F30AB8">
        <w:rPr>
          <w:rFonts w:eastAsia="SimSun"/>
          <w:b/>
          <w:szCs w:val="22"/>
          <w:lang w:val="es-ES" w:eastAsia="zh-CN"/>
        </w:rPr>
        <w:t> </w:t>
      </w:r>
      <w:r w:rsidRPr="00C22F3F">
        <w:rPr>
          <w:lang w:val="es-ES" w:eastAsia="de-DE"/>
        </w:rPr>
        <w:t>semanas de reducción gradual de prednisona p=0,0059, y placebo más 52</w:t>
      </w:r>
      <w:r w:rsidR="00031422" w:rsidRPr="00F30AB8">
        <w:rPr>
          <w:rFonts w:eastAsia="SimSun"/>
          <w:b/>
          <w:szCs w:val="22"/>
          <w:lang w:val="es-ES" w:eastAsia="zh-CN"/>
        </w:rPr>
        <w:t> </w:t>
      </w:r>
      <w:r w:rsidRPr="00C22F3F">
        <w:rPr>
          <w:lang w:val="es-ES" w:eastAsia="de-DE"/>
        </w:rPr>
        <w:t>semanas de reducción gradual de prednisona p=0,0081].</w:t>
      </w:r>
    </w:p>
    <w:p w14:paraId="7E9F8B98" w14:textId="77777777" w:rsidR="00CD5F32" w:rsidRPr="00C22F3F" w:rsidRDefault="00CD5F32" w:rsidP="00CD5F32">
      <w:pPr>
        <w:rPr>
          <w:lang w:val="es-ES" w:eastAsia="de-DE"/>
        </w:rPr>
      </w:pPr>
    </w:p>
    <w:p w14:paraId="49BB54CF" w14:textId="43D6DE49" w:rsidR="00CD5F32" w:rsidRPr="00C22F3F" w:rsidRDefault="00CD5F32" w:rsidP="00CD5F32">
      <w:pPr>
        <w:rPr>
          <w:lang w:val="es-ES" w:eastAsia="de-DE"/>
        </w:rPr>
      </w:pPr>
      <w:r w:rsidRPr="00C22F3F">
        <w:rPr>
          <w:lang w:val="es-ES" w:eastAsia="de-DE"/>
        </w:rPr>
        <w:t>Se calcularon las puntuaciones del cambio FACIT-Fatiga desde el inicio hasta la semana</w:t>
      </w:r>
      <w:r w:rsidR="00031422" w:rsidRPr="00F30AB8">
        <w:rPr>
          <w:rFonts w:eastAsia="SimSun"/>
          <w:b/>
          <w:szCs w:val="22"/>
          <w:lang w:val="es-ES" w:eastAsia="zh-CN"/>
        </w:rPr>
        <w:t> </w:t>
      </w:r>
      <w:r w:rsidRPr="00C22F3F">
        <w:rPr>
          <w:lang w:val="es-ES" w:eastAsia="de-DE"/>
        </w:rPr>
        <w:t xml:space="preserve">52 para todos los grupos. La media [DE] de las puntuaciones del cambio fueron las siguientes: </w:t>
      </w:r>
      <w:r w:rsidR="00915C39" w:rsidRPr="00F30AB8">
        <w:rPr>
          <w:szCs w:val="22"/>
          <w:lang w:val="es-ES" w:eastAsia="de-DE"/>
        </w:rPr>
        <w:t>tocilizumab</w:t>
      </w:r>
      <w:r w:rsidRPr="00C22F3F">
        <w:rPr>
          <w:lang w:val="es-ES" w:eastAsia="de-DE"/>
        </w:rPr>
        <w:t xml:space="preserve"> semanal más 26</w:t>
      </w:r>
      <w:r w:rsidR="00031422" w:rsidRPr="00F30AB8">
        <w:rPr>
          <w:rFonts w:eastAsia="SimSun"/>
          <w:b/>
          <w:szCs w:val="22"/>
          <w:lang w:val="es-ES" w:eastAsia="zh-CN"/>
        </w:rPr>
        <w:t> </w:t>
      </w:r>
      <w:r w:rsidRPr="00C22F3F">
        <w:rPr>
          <w:lang w:val="es-ES" w:eastAsia="de-DE"/>
        </w:rPr>
        <w:t>semanas</w:t>
      </w:r>
      <w:del w:id="1927" w:author="AUTHOR">
        <w:r w:rsidRPr="00C22F3F" w:rsidDel="00771673">
          <w:rPr>
            <w:lang w:val="es-ES" w:eastAsia="de-DE"/>
          </w:rPr>
          <w:delText xml:space="preserve"> de reducción gradual de prednisona</w:delText>
        </w:r>
      </w:del>
      <w:r w:rsidRPr="00C22F3F">
        <w:rPr>
          <w:lang w:val="es-ES" w:eastAsia="de-DE"/>
        </w:rPr>
        <w:t xml:space="preserve"> 5,61 [10,115], </w:t>
      </w:r>
      <w:r w:rsidR="00915C39" w:rsidRPr="00F30AB8">
        <w:rPr>
          <w:szCs w:val="22"/>
          <w:lang w:val="es-ES" w:eastAsia="de-DE"/>
        </w:rPr>
        <w:t>tocilizumab</w:t>
      </w:r>
      <w:r w:rsidRPr="00C22F3F">
        <w:rPr>
          <w:lang w:val="es-ES" w:eastAsia="de-DE"/>
        </w:rPr>
        <w:t xml:space="preserve"> </w:t>
      </w:r>
      <w:del w:id="1928" w:author="AUTHOR">
        <w:r w:rsidRPr="00C22F3F" w:rsidDel="009F26E0">
          <w:rPr>
            <w:lang w:val="es-ES" w:eastAsia="de-DE"/>
          </w:rPr>
          <w:delText>bisemanal</w:delText>
        </w:r>
      </w:del>
      <w:ins w:id="1929" w:author="AUTHOR">
        <w:r w:rsidR="009F26E0">
          <w:rPr>
            <w:lang w:val="es-ES" w:eastAsia="de-DE"/>
          </w:rPr>
          <w:t>cada dos semanas</w:t>
        </w:r>
      </w:ins>
      <w:r w:rsidRPr="00C22F3F">
        <w:rPr>
          <w:lang w:val="es-ES" w:eastAsia="de-DE"/>
        </w:rPr>
        <w:t xml:space="preserve"> más 26</w:t>
      </w:r>
      <w:r w:rsidR="00031422" w:rsidRPr="00F30AB8">
        <w:rPr>
          <w:rFonts w:eastAsia="SimSun"/>
          <w:b/>
          <w:szCs w:val="22"/>
          <w:lang w:val="es-ES" w:eastAsia="zh-CN"/>
        </w:rPr>
        <w:t> </w:t>
      </w:r>
      <w:r w:rsidRPr="00C22F3F">
        <w:rPr>
          <w:lang w:val="es-ES" w:eastAsia="de-DE"/>
        </w:rPr>
        <w:t xml:space="preserve">semanas </w:t>
      </w:r>
      <w:del w:id="1930" w:author="AUTHOR">
        <w:r w:rsidRPr="00C22F3F" w:rsidDel="00771673">
          <w:rPr>
            <w:lang w:val="es-ES" w:eastAsia="de-DE"/>
          </w:rPr>
          <w:delText xml:space="preserve">de reducción gradual de prednisona </w:delText>
        </w:r>
      </w:del>
      <w:r w:rsidRPr="00C22F3F">
        <w:rPr>
          <w:lang w:val="es-ES" w:eastAsia="de-DE"/>
        </w:rPr>
        <w:t>1,81 [8,836], placebo más 26</w:t>
      </w:r>
      <w:r w:rsidR="00031422" w:rsidRPr="00F30AB8">
        <w:rPr>
          <w:rFonts w:eastAsia="SimSun"/>
          <w:b/>
          <w:szCs w:val="22"/>
          <w:lang w:val="es-ES" w:eastAsia="zh-CN"/>
        </w:rPr>
        <w:t> </w:t>
      </w:r>
      <w:r w:rsidRPr="00C22F3F">
        <w:rPr>
          <w:lang w:val="es-ES" w:eastAsia="de-DE"/>
        </w:rPr>
        <w:t>semanas de reducción gradual de prednisona 0,26 [10,702] y placebo más 52</w:t>
      </w:r>
      <w:r w:rsidR="00BF318B">
        <w:rPr>
          <w:lang w:val="es-ES" w:eastAsia="de-DE"/>
        </w:rPr>
        <w:t> </w:t>
      </w:r>
      <w:r w:rsidRPr="00C22F3F">
        <w:rPr>
          <w:lang w:val="es-ES" w:eastAsia="de-DE"/>
        </w:rPr>
        <w:t xml:space="preserve">semanas </w:t>
      </w:r>
      <w:del w:id="1931" w:author="AUTHOR">
        <w:r w:rsidRPr="00C22F3F" w:rsidDel="00771673">
          <w:rPr>
            <w:lang w:val="es-ES" w:eastAsia="de-DE"/>
          </w:rPr>
          <w:delText xml:space="preserve">de reducción gradual de prednisona </w:delText>
        </w:r>
      </w:del>
      <w:r w:rsidRPr="00C22F3F">
        <w:rPr>
          <w:lang w:val="es-ES" w:eastAsia="de-DE"/>
        </w:rPr>
        <w:t>-1,63 [6,753].</w:t>
      </w:r>
    </w:p>
    <w:p w14:paraId="32B15627" w14:textId="77777777" w:rsidR="00CD5F32" w:rsidRPr="00C22F3F" w:rsidRDefault="00CD5F32" w:rsidP="00CD5F32">
      <w:pPr>
        <w:rPr>
          <w:lang w:val="es-ES" w:eastAsia="de-DE"/>
        </w:rPr>
      </w:pPr>
    </w:p>
    <w:p w14:paraId="5842DE8C" w14:textId="7601E730" w:rsidR="00CD5F32" w:rsidRPr="00C22F3F" w:rsidRDefault="00CD5F32" w:rsidP="00CD5F32">
      <w:pPr>
        <w:rPr>
          <w:lang w:val="es-ES" w:eastAsia="de-DE"/>
        </w:rPr>
      </w:pPr>
      <w:r w:rsidRPr="00C22F3F">
        <w:rPr>
          <w:lang w:val="es-ES" w:eastAsia="de-DE"/>
        </w:rPr>
        <w:t>El cambio en las puntuaciones de EQ-5D desde el inicio hasta la semana</w:t>
      </w:r>
      <w:r w:rsidR="00031422" w:rsidRPr="00F30AB8">
        <w:rPr>
          <w:rFonts w:eastAsia="SimSun"/>
          <w:b/>
          <w:szCs w:val="22"/>
          <w:lang w:val="es-ES" w:eastAsia="zh-CN"/>
        </w:rPr>
        <w:t> </w:t>
      </w:r>
      <w:r w:rsidRPr="00C22F3F">
        <w:rPr>
          <w:lang w:val="es-ES" w:eastAsia="de-DE"/>
        </w:rPr>
        <w:t xml:space="preserve">52 fueron: </w:t>
      </w:r>
      <w:r w:rsidR="00915C39" w:rsidRPr="00F30AB8">
        <w:rPr>
          <w:szCs w:val="22"/>
          <w:lang w:val="es-ES" w:eastAsia="de-DE"/>
        </w:rPr>
        <w:t>tocilizumab</w:t>
      </w:r>
      <w:r w:rsidRPr="00C22F3F">
        <w:rPr>
          <w:lang w:val="es-ES" w:eastAsia="de-DE"/>
        </w:rPr>
        <w:t xml:space="preserve"> semanal más 26</w:t>
      </w:r>
      <w:r w:rsidR="00031422" w:rsidRPr="00F30AB8">
        <w:rPr>
          <w:rFonts w:eastAsia="SimSun"/>
          <w:b/>
          <w:szCs w:val="22"/>
          <w:lang w:val="es-ES" w:eastAsia="zh-CN"/>
        </w:rPr>
        <w:t> </w:t>
      </w:r>
      <w:r w:rsidRPr="00C22F3F">
        <w:rPr>
          <w:lang w:val="es-ES" w:eastAsia="de-DE"/>
        </w:rPr>
        <w:t xml:space="preserve">semanas de reducción gradual de prednisona 0,10 [0,198], </w:t>
      </w:r>
      <w:r w:rsidR="00915C39" w:rsidRPr="00F30AB8">
        <w:rPr>
          <w:szCs w:val="22"/>
          <w:lang w:val="es-ES" w:eastAsia="de-DE"/>
        </w:rPr>
        <w:t>tocilizumab</w:t>
      </w:r>
      <w:r w:rsidRPr="00C22F3F">
        <w:rPr>
          <w:lang w:val="es-ES" w:eastAsia="de-DE"/>
        </w:rPr>
        <w:t xml:space="preserve"> </w:t>
      </w:r>
      <w:del w:id="1932" w:author="AUTHOR">
        <w:r w:rsidRPr="00C22F3F" w:rsidDel="009F26E0">
          <w:rPr>
            <w:lang w:val="es-ES" w:eastAsia="de-DE"/>
          </w:rPr>
          <w:delText>bisemanal</w:delText>
        </w:r>
      </w:del>
      <w:ins w:id="1933" w:author="AUTHOR">
        <w:r w:rsidR="009F26E0">
          <w:rPr>
            <w:lang w:val="es-ES" w:eastAsia="de-DE"/>
          </w:rPr>
          <w:t>cada dos semanas</w:t>
        </w:r>
      </w:ins>
      <w:r w:rsidRPr="00C22F3F">
        <w:rPr>
          <w:lang w:val="es-ES" w:eastAsia="de-DE"/>
        </w:rPr>
        <w:t xml:space="preserve"> más 26</w:t>
      </w:r>
      <w:r w:rsidR="00031422" w:rsidRPr="00F30AB8">
        <w:rPr>
          <w:rFonts w:eastAsia="SimSun"/>
          <w:b/>
          <w:szCs w:val="22"/>
          <w:lang w:val="es-ES" w:eastAsia="zh-CN"/>
        </w:rPr>
        <w:t> </w:t>
      </w:r>
      <w:r w:rsidRPr="00C22F3F">
        <w:rPr>
          <w:lang w:val="es-ES" w:eastAsia="de-DE"/>
        </w:rPr>
        <w:t xml:space="preserve">semanas </w:t>
      </w:r>
      <w:del w:id="1934" w:author="AUTHOR">
        <w:r w:rsidRPr="00C22F3F" w:rsidDel="00771673">
          <w:rPr>
            <w:lang w:val="es-ES" w:eastAsia="de-DE"/>
          </w:rPr>
          <w:delText xml:space="preserve">de reducción gradual de prednisona </w:delText>
        </w:r>
      </w:del>
      <w:r w:rsidRPr="00C22F3F">
        <w:rPr>
          <w:lang w:val="es-ES" w:eastAsia="de-DE"/>
        </w:rPr>
        <w:t>0,05 [0,215], placebo más 26</w:t>
      </w:r>
      <w:r w:rsidR="00031422" w:rsidRPr="00F30AB8">
        <w:rPr>
          <w:rFonts w:eastAsia="SimSun"/>
          <w:b/>
          <w:szCs w:val="22"/>
          <w:lang w:val="es-ES" w:eastAsia="zh-CN"/>
        </w:rPr>
        <w:t> </w:t>
      </w:r>
      <w:r w:rsidRPr="00C22F3F">
        <w:rPr>
          <w:lang w:val="es-ES" w:eastAsia="de-DE"/>
        </w:rPr>
        <w:t>semanas de reducción gradual de prednisona 0,07 [0,293] y placebo más 52</w:t>
      </w:r>
      <w:r w:rsidR="00BF318B">
        <w:rPr>
          <w:lang w:val="es-ES" w:eastAsia="de-DE"/>
        </w:rPr>
        <w:t> </w:t>
      </w:r>
      <w:r w:rsidRPr="00C22F3F">
        <w:rPr>
          <w:lang w:val="es-ES" w:eastAsia="de-DE"/>
        </w:rPr>
        <w:t xml:space="preserve">semanas </w:t>
      </w:r>
      <w:del w:id="1935" w:author="AUTHOR">
        <w:r w:rsidRPr="00C22F3F" w:rsidDel="00771673">
          <w:rPr>
            <w:lang w:val="es-ES" w:eastAsia="de-DE"/>
          </w:rPr>
          <w:delText xml:space="preserve">de reducción gradual de prednisona </w:delText>
        </w:r>
      </w:del>
      <w:r w:rsidRPr="00C22F3F">
        <w:rPr>
          <w:lang w:val="es-ES" w:eastAsia="de-DE"/>
        </w:rPr>
        <w:t>-0,02 [0,159].</w:t>
      </w:r>
    </w:p>
    <w:p w14:paraId="18608C89" w14:textId="77777777" w:rsidR="00CD5F32" w:rsidRPr="00C22F3F" w:rsidRDefault="00CD5F32" w:rsidP="00CD5F32">
      <w:pPr>
        <w:rPr>
          <w:lang w:val="es-ES" w:eastAsia="de-DE"/>
        </w:rPr>
      </w:pPr>
    </w:p>
    <w:p w14:paraId="4AFC17EB" w14:textId="77777777" w:rsidR="00CD5F32" w:rsidRDefault="00CD5F32" w:rsidP="00CD5F32">
      <w:pPr>
        <w:rPr>
          <w:lang w:val="es-ES" w:eastAsia="de-DE"/>
        </w:rPr>
      </w:pPr>
      <w:r w:rsidRPr="00C22F3F">
        <w:rPr>
          <w:lang w:val="es-ES" w:eastAsia="de-DE"/>
        </w:rPr>
        <w:t>Las puntuaciones más altas indican mejoría tanto en FACIT-Fatiga como en EQ5D.</w:t>
      </w:r>
      <w:r>
        <w:rPr>
          <w:lang w:val="es-ES" w:eastAsia="de-DE"/>
        </w:rPr>
        <w:t xml:space="preserve"> </w:t>
      </w:r>
    </w:p>
    <w:p w14:paraId="442E7C65" w14:textId="77777777" w:rsidR="000B447D" w:rsidRDefault="000B447D" w:rsidP="00CD5F32">
      <w:pPr>
        <w:rPr>
          <w:lang w:val="es-ES" w:eastAsia="de-DE"/>
        </w:rPr>
      </w:pPr>
    </w:p>
    <w:p w14:paraId="4667095B" w14:textId="77777777" w:rsidR="000B447D" w:rsidRDefault="000B447D" w:rsidP="003569D6">
      <w:pPr>
        <w:keepNext/>
        <w:keepLines/>
        <w:rPr>
          <w:u w:val="single"/>
          <w:lang w:val="es-ES" w:eastAsia="de-DE"/>
        </w:rPr>
      </w:pPr>
      <w:r>
        <w:rPr>
          <w:u w:val="single"/>
          <w:lang w:val="es-ES" w:eastAsia="de-DE"/>
        </w:rPr>
        <w:t>Vía intravenosa</w:t>
      </w:r>
    </w:p>
    <w:p w14:paraId="79DEB9A7" w14:textId="77777777" w:rsidR="00915C39" w:rsidRPr="00E576A0" w:rsidRDefault="00915C39" w:rsidP="003569D6">
      <w:pPr>
        <w:keepNext/>
        <w:keepLines/>
        <w:rPr>
          <w:u w:val="single"/>
          <w:lang w:val="es-ES" w:eastAsia="de-DE"/>
        </w:rPr>
      </w:pPr>
    </w:p>
    <w:p w14:paraId="70853473" w14:textId="77777777" w:rsidR="00DC224A" w:rsidRPr="00F30AB8" w:rsidRDefault="00915C39" w:rsidP="003569D6">
      <w:pPr>
        <w:keepNext/>
        <w:keepLines/>
        <w:numPr>
          <w:ilvl w:val="12"/>
          <w:numId w:val="0"/>
        </w:numPr>
        <w:ind w:right="-2"/>
        <w:rPr>
          <w:bCs/>
          <w:i/>
          <w:iCs/>
          <w:lang w:val="es-ES"/>
        </w:rPr>
      </w:pPr>
      <w:r w:rsidRPr="00F30AB8">
        <w:rPr>
          <w:bCs/>
          <w:i/>
          <w:iCs/>
          <w:lang w:val="es-ES"/>
        </w:rPr>
        <w:t xml:space="preserve">Pacientes con </w:t>
      </w:r>
      <w:r w:rsidR="00DC224A" w:rsidRPr="00F30AB8">
        <w:rPr>
          <w:bCs/>
          <w:i/>
          <w:iCs/>
          <w:lang w:val="es-ES"/>
        </w:rPr>
        <w:t xml:space="preserve">AR </w:t>
      </w:r>
    </w:p>
    <w:p w14:paraId="6CCA3EDC" w14:textId="77777777" w:rsidR="00DC224A" w:rsidRPr="00F30AB8" w:rsidRDefault="00DC224A" w:rsidP="003569D6">
      <w:pPr>
        <w:keepNext/>
        <w:keepLines/>
        <w:numPr>
          <w:ilvl w:val="12"/>
          <w:numId w:val="0"/>
        </w:numPr>
        <w:rPr>
          <w:i/>
          <w:u w:val="single"/>
          <w:lang w:val="es-ES"/>
        </w:rPr>
      </w:pPr>
      <w:r w:rsidRPr="00F30AB8">
        <w:rPr>
          <w:i/>
          <w:u w:val="single"/>
          <w:lang w:val="es-ES_tradnl"/>
        </w:rPr>
        <w:t>Eficacia clínica</w:t>
      </w:r>
      <w:r w:rsidRPr="00F30AB8">
        <w:rPr>
          <w:i/>
          <w:u w:val="single"/>
          <w:lang w:val="es-ES"/>
        </w:rPr>
        <w:t xml:space="preserve"> </w:t>
      </w:r>
    </w:p>
    <w:p w14:paraId="25DA7AC1" w14:textId="727D06A5" w:rsidR="00DC224A" w:rsidRPr="008A106B" w:rsidRDefault="00DC224A" w:rsidP="00DC224A">
      <w:pPr>
        <w:numPr>
          <w:ilvl w:val="12"/>
          <w:numId w:val="0"/>
        </w:numPr>
        <w:rPr>
          <w:lang w:val="es-ES"/>
        </w:rPr>
      </w:pPr>
      <w:r w:rsidRPr="008A106B">
        <w:rPr>
          <w:lang w:val="es-ES_tradnl"/>
        </w:rPr>
        <w:t xml:space="preserve">Se ha evaluado la eficacia de </w:t>
      </w:r>
      <w:r w:rsidR="00915C39" w:rsidRPr="00F30AB8">
        <w:rPr>
          <w:szCs w:val="22"/>
          <w:lang w:val="es-ES" w:eastAsia="de-DE"/>
        </w:rPr>
        <w:t>tocilizumab</w:t>
      </w:r>
      <w:r w:rsidRPr="00C555F2">
        <w:rPr>
          <w:lang w:val="es-ES"/>
        </w:rPr>
        <w:t xml:space="preserve"> </w:t>
      </w:r>
      <w:r w:rsidRPr="008A106B">
        <w:rPr>
          <w:lang w:val="es-ES_tradnl"/>
        </w:rPr>
        <w:t>para aliviar los signos y</w:t>
      </w:r>
      <w:r>
        <w:rPr>
          <w:lang w:val="es-ES_tradnl"/>
        </w:rPr>
        <w:t xml:space="preserve"> síntomas de AR</w:t>
      </w:r>
      <w:r w:rsidRPr="008A106B">
        <w:rPr>
          <w:lang w:val="es-ES_tradnl"/>
        </w:rPr>
        <w:t xml:space="preserve"> en cinco ensayos aleatorizados, doble ciego, multicéntricos.</w:t>
      </w:r>
      <w:r w:rsidRPr="008A106B">
        <w:rPr>
          <w:lang w:val="es-ES"/>
        </w:rPr>
        <w:t xml:space="preserve"> </w:t>
      </w:r>
      <w:r w:rsidRPr="008A106B">
        <w:rPr>
          <w:lang w:val="es-ES_tradnl"/>
        </w:rPr>
        <w:t>Los ensayos I-V incluyeron a pacientes ≥ 18 años de edad con artritis reumatoide activa diagnosticada según los criterios del American College of Rheumatology (ACR) y que tenían al menos ocho articulaciones doloridas y seis inflamadas al inicio.</w:t>
      </w:r>
      <w:r w:rsidRPr="008A106B">
        <w:rPr>
          <w:lang w:val="es-ES"/>
        </w:rPr>
        <w:t xml:space="preserve"> </w:t>
      </w:r>
    </w:p>
    <w:p w14:paraId="49A40944" w14:textId="77777777" w:rsidR="00DC224A" w:rsidRPr="008A106B" w:rsidRDefault="00DC224A" w:rsidP="00DC224A">
      <w:pPr>
        <w:numPr>
          <w:ilvl w:val="12"/>
          <w:numId w:val="0"/>
        </w:numPr>
        <w:ind w:right="-2"/>
        <w:rPr>
          <w:lang w:val="es-ES"/>
        </w:rPr>
      </w:pPr>
    </w:p>
    <w:p w14:paraId="350456A9" w14:textId="18CE852C" w:rsidR="00DC224A" w:rsidRPr="008A106B" w:rsidRDefault="00DC224A" w:rsidP="00DC224A">
      <w:pPr>
        <w:numPr>
          <w:ilvl w:val="12"/>
          <w:numId w:val="0"/>
        </w:numPr>
        <w:ind w:right="-2"/>
        <w:rPr>
          <w:lang w:val="es-ES"/>
        </w:rPr>
      </w:pPr>
      <w:r w:rsidRPr="008A106B">
        <w:rPr>
          <w:lang w:val="es-ES_tradnl"/>
        </w:rPr>
        <w:t xml:space="preserve">En el ensayo I, </w:t>
      </w:r>
      <w:r w:rsidR="00915C39" w:rsidRPr="00F30AB8">
        <w:rPr>
          <w:szCs w:val="22"/>
          <w:lang w:val="es-ES" w:eastAsia="de-DE"/>
        </w:rPr>
        <w:t>tocilizumab</w:t>
      </w:r>
      <w:r w:rsidRPr="006868F5">
        <w:rPr>
          <w:rFonts w:eastAsia="SimSun"/>
          <w:lang w:val="es-ES" w:eastAsia="zh-CN"/>
        </w:rPr>
        <w:t xml:space="preserve"> </w:t>
      </w:r>
      <w:r w:rsidRPr="008A106B">
        <w:rPr>
          <w:lang w:val="es-ES_tradnl"/>
        </w:rPr>
        <w:t>se administró por vía intravenosa cada cuatro semanas como monoterapia.</w:t>
      </w:r>
      <w:r w:rsidRPr="008A106B">
        <w:rPr>
          <w:lang w:val="es-ES"/>
        </w:rPr>
        <w:t xml:space="preserve"> </w:t>
      </w:r>
      <w:r w:rsidRPr="008A106B">
        <w:rPr>
          <w:lang w:val="es-ES_tradnl"/>
        </w:rPr>
        <w:t>En los e</w:t>
      </w:r>
      <w:r>
        <w:rPr>
          <w:lang w:val="es-ES_tradnl"/>
        </w:rPr>
        <w:t>nsay</w:t>
      </w:r>
      <w:r w:rsidRPr="008A106B">
        <w:rPr>
          <w:lang w:val="es-ES_tradnl"/>
        </w:rPr>
        <w:t xml:space="preserve">os II, III y V, </w:t>
      </w:r>
      <w:r w:rsidR="00915C39" w:rsidRPr="00F30AB8">
        <w:rPr>
          <w:szCs w:val="22"/>
          <w:lang w:val="es-ES" w:eastAsia="de-DE"/>
        </w:rPr>
        <w:t>tocilizumab</w:t>
      </w:r>
      <w:r w:rsidRPr="006868F5">
        <w:rPr>
          <w:rFonts w:eastAsia="SimSun"/>
          <w:lang w:val="es-ES" w:eastAsia="zh-CN"/>
        </w:rPr>
        <w:t xml:space="preserve"> </w:t>
      </w:r>
      <w:r w:rsidRPr="008A106B">
        <w:rPr>
          <w:lang w:val="es-ES_tradnl"/>
        </w:rPr>
        <w:t>se administró por vía intravenosa cada cuatro semanas en combinación con MTX frente a placebo y MTX.</w:t>
      </w:r>
      <w:r w:rsidRPr="008A106B">
        <w:rPr>
          <w:lang w:val="es-ES"/>
        </w:rPr>
        <w:t xml:space="preserve"> </w:t>
      </w:r>
      <w:r w:rsidRPr="008A106B">
        <w:rPr>
          <w:lang w:val="es-ES_tradnl"/>
        </w:rPr>
        <w:t>En el e</w:t>
      </w:r>
      <w:r>
        <w:rPr>
          <w:lang w:val="es-ES_tradnl"/>
        </w:rPr>
        <w:t>nsay</w:t>
      </w:r>
      <w:r w:rsidRPr="008A106B">
        <w:rPr>
          <w:lang w:val="es-ES_tradnl"/>
        </w:rPr>
        <w:t xml:space="preserve">o IV, </w:t>
      </w:r>
      <w:r w:rsidR="00915C39" w:rsidRPr="00F30AB8">
        <w:rPr>
          <w:szCs w:val="22"/>
          <w:lang w:val="es-ES" w:eastAsia="de-DE"/>
        </w:rPr>
        <w:t>tocilizumab</w:t>
      </w:r>
      <w:r w:rsidRPr="006868F5">
        <w:rPr>
          <w:rFonts w:eastAsia="SimSun"/>
          <w:lang w:val="es-ES" w:eastAsia="zh-CN"/>
        </w:rPr>
        <w:t xml:space="preserve"> </w:t>
      </w:r>
      <w:r w:rsidRPr="008A106B">
        <w:rPr>
          <w:lang w:val="es-ES_tradnl"/>
        </w:rPr>
        <w:t>se administró por vía intravenosa cada 4 semanas en combinación con otros FAMEs frente a placebo y otros FAMEs.</w:t>
      </w:r>
      <w:r w:rsidRPr="008A106B">
        <w:rPr>
          <w:lang w:val="es-ES"/>
        </w:rPr>
        <w:t xml:space="preserve"> </w:t>
      </w:r>
      <w:del w:id="1936" w:author="AUTHOR">
        <w:r w:rsidRPr="008A106B" w:rsidDel="00E11790">
          <w:rPr>
            <w:lang w:val="es-ES_tradnl"/>
          </w:rPr>
          <w:delText>El objetivo primario</w:delText>
        </w:r>
      </w:del>
      <w:ins w:id="1937" w:author="AUTHOR">
        <w:r w:rsidR="00E11790">
          <w:rPr>
            <w:lang w:val="es-ES_tradnl"/>
          </w:rPr>
          <w:t>La variable principal</w:t>
        </w:r>
      </w:ins>
      <w:r w:rsidRPr="008A106B">
        <w:rPr>
          <w:lang w:val="es-ES_tradnl"/>
        </w:rPr>
        <w:t xml:space="preserve"> de los cinco e</w:t>
      </w:r>
      <w:r>
        <w:rPr>
          <w:lang w:val="es-ES_tradnl"/>
        </w:rPr>
        <w:t>nsay</w:t>
      </w:r>
      <w:r w:rsidRPr="008A106B">
        <w:rPr>
          <w:lang w:val="es-ES_tradnl"/>
        </w:rPr>
        <w:t>os fue la proporción de pacientes que alcanzaron respuesta ACR20 la semana</w:t>
      </w:r>
      <w:r w:rsidR="00031422" w:rsidRPr="00F30AB8">
        <w:rPr>
          <w:rFonts w:eastAsia="SimSun"/>
          <w:b/>
          <w:szCs w:val="22"/>
          <w:lang w:val="es-ES" w:eastAsia="zh-CN"/>
        </w:rPr>
        <w:t> </w:t>
      </w:r>
      <w:r w:rsidRPr="008A106B">
        <w:rPr>
          <w:lang w:val="es-ES_tradnl"/>
        </w:rPr>
        <w:t>24.</w:t>
      </w:r>
      <w:r w:rsidRPr="008A106B">
        <w:rPr>
          <w:lang w:val="es-ES"/>
        </w:rPr>
        <w:t xml:space="preserve"> </w:t>
      </w:r>
    </w:p>
    <w:p w14:paraId="027D6CE3" w14:textId="77777777" w:rsidR="00DC224A" w:rsidRPr="008A106B" w:rsidRDefault="00DC224A" w:rsidP="00DC224A">
      <w:pPr>
        <w:numPr>
          <w:ilvl w:val="12"/>
          <w:numId w:val="0"/>
        </w:numPr>
        <w:ind w:right="-2"/>
        <w:rPr>
          <w:lang w:val="es-ES"/>
        </w:rPr>
      </w:pPr>
    </w:p>
    <w:p w14:paraId="20C6EBA0" w14:textId="006661E9" w:rsidR="00DC224A" w:rsidRPr="008A106B" w:rsidRDefault="00DC224A" w:rsidP="00DC224A">
      <w:pPr>
        <w:numPr>
          <w:ilvl w:val="12"/>
          <w:numId w:val="0"/>
        </w:numPr>
        <w:ind w:right="-2"/>
        <w:rPr>
          <w:lang w:val="es-ES"/>
        </w:rPr>
      </w:pPr>
      <w:r w:rsidRPr="008A106B">
        <w:rPr>
          <w:lang w:val="es-ES_tradnl"/>
        </w:rPr>
        <w:t>En el ensayo I se evaluaron 673</w:t>
      </w:r>
      <w:r w:rsidR="00031422" w:rsidRPr="00F30AB8">
        <w:rPr>
          <w:rFonts w:eastAsia="SimSun"/>
          <w:b/>
          <w:szCs w:val="22"/>
          <w:lang w:val="es-ES" w:eastAsia="zh-CN"/>
        </w:rPr>
        <w:t> </w:t>
      </w:r>
      <w:r w:rsidRPr="008A106B">
        <w:rPr>
          <w:lang w:val="es-ES_tradnl"/>
        </w:rPr>
        <w:t>pacientes que no habían sido tratados con MTX en los seis meses previos a la aleatorización y que no habían suspendido el tratamiento previo con MTX como consecuencia de efectos tóxicos clínicamente importantes o falta de respuesta.</w:t>
      </w:r>
      <w:r w:rsidRPr="008A106B">
        <w:rPr>
          <w:lang w:val="es-ES"/>
        </w:rPr>
        <w:t xml:space="preserve"> </w:t>
      </w:r>
      <w:r w:rsidRPr="008A106B">
        <w:rPr>
          <w:lang w:val="es-ES_tradnl"/>
        </w:rPr>
        <w:t>La mayoría (67 %) de los pacientes no habían recibido nunca MTX.</w:t>
      </w:r>
      <w:r w:rsidRPr="008A106B">
        <w:rPr>
          <w:lang w:val="es-ES"/>
        </w:rPr>
        <w:t xml:space="preserve"> </w:t>
      </w:r>
      <w:r w:rsidRPr="008A106B">
        <w:rPr>
          <w:lang w:val="es-ES_tradnl"/>
        </w:rPr>
        <w:t xml:space="preserve">Se administraron dosis de 8 mg/kg de </w:t>
      </w:r>
      <w:r w:rsidR="00915C39" w:rsidRPr="00F30AB8">
        <w:rPr>
          <w:szCs w:val="22"/>
          <w:lang w:val="es-ES" w:eastAsia="de-DE"/>
        </w:rPr>
        <w:t>tocilizumab</w:t>
      </w:r>
      <w:r w:rsidRPr="006868F5">
        <w:rPr>
          <w:szCs w:val="22"/>
          <w:lang w:val="es-ES"/>
        </w:rPr>
        <w:t xml:space="preserve"> </w:t>
      </w:r>
      <w:r w:rsidRPr="008A106B">
        <w:rPr>
          <w:lang w:val="es-ES_tradnl"/>
        </w:rPr>
        <w:t xml:space="preserve">cada </w:t>
      </w:r>
      <w:r w:rsidRPr="008A106B">
        <w:rPr>
          <w:lang w:val="es-ES_tradnl"/>
        </w:rPr>
        <w:lastRenderedPageBreak/>
        <w:t>cuatro semanas como monoterapia.</w:t>
      </w:r>
      <w:r w:rsidRPr="008A106B">
        <w:rPr>
          <w:lang w:val="es-ES"/>
        </w:rPr>
        <w:t xml:space="preserve"> </w:t>
      </w:r>
      <w:r w:rsidRPr="008A106B">
        <w:rPr>
          <w:lang w:val="es-ES_tradnl"/>
        </w:rPr>
        <w:t>El grupo de comparación recibió MTX semanal (dosis ajustada desde 7,5 mg a un máximo de 20 mg por semana durante un período de ocho semanas).</w:t>
      </w:r>
      <w:r w:rsidRPr="008A106B">
        <w:rPr>
          <w:lang w:val="es-ES"/>
        </w:rPr>
        <w:t xml:space="preserve"> </w:t>
      </w:r>
    </w:p>
    <w:p w14:paraId="0A4A2495" w14:textId="77777777" w:rsidR="00DC224A" w:rsidRPr="008A106B" w:rsidRDefault="00DC224A" w:rsidP="00DC224A">
      <w:pPr>
        <w:numPr>
          <w:ilvl w:val="12"/>
          <w:numId w:val="0"/>
        </w:numPr>
        <w:ind w:right="-2"/>
        <w:rPr>
          <w:lang w:val="es-ES"/>
        </w:rPr>
      </w:pPr>
    </w:p>
    <w:p w14:paraId="596A2F3C" w14:textId="02828853" w:rsidR="00DC224A" w:rsidRPr="008A106B" w:rsidRDefault="00DC224A" w:rsidP="00DC224A">
      <w:pPr>
        <w:numPr>
          <w:ilvl w:val="12"/>
          <w:numId w:val="0"/>
        </w:numPr>
        <w:ind w:right="-2"/>
        <w:rPr>
          <w:lang w:val="es-ES"/>
        </w:rPr>
      </w:pPr>
      <w:r w:rsidRPr="008A106B">
        <w:rPr>
          <w:lang w:val="es-ES_tradnl"/>
        </w:rPr>
        <w:t>En el ensayo II, un e</w:t>
      </w:r>
      <w:r>
        <w:rPr>
          <w:lang w:val="es-ES_tradnl"/>
        </w:rPr>
        <w:t>nsay</w:t>
      </w:r>
      <w:r w:rsidRPr="008A106B">
        <w:rPr>
          <w:lang w:val="es-ES_tradnl"/>
        </w:rPr>
        <w:t>o de dos años con análisis planificados en las semanas</w:t>
      </w:r>
      <w:r w:rsidR="00031422" w:rsidRPr="00F30AB8">
        <w:rPr>
          <w:rFonts w:eastAsia="SimSun"/>
          <w:b/>
          <w:szCs w:val="22"/>
          <w:lang w:val="es-ES" w:eastAsia="zh-CN"/>
        </w:rPr>
        <w:t> </w:t>
      </w:r>
      <w:r w:rsidRPr="008A106B">
        <w:rPr>
          <w:lang w:val="es-ES_tradnl"/>
        </w:rPr>
        <w:t>24, 52 y 104, se evaluaron 1</w:t>
      </w:r>
      <w:r>
        <w:rPr>
          <w:lang w:val="es-ES_tradnl"/>
        </w:rPr>
        <w:t>.</w:t>
      </w:r>
      <w:r w:rsidRPr="008A106B">
        <w:rPr>
          <w:lang w:val="es-ES_tradnl"/>
        </w:rPr>
        <w:t>196 pacientes con una respuesta clínica inadecuada a MTX.</w:t>
      </w:r>
      <w:r w:rsidRPr="008A106B">
        <w:rPr>
          <w:lang w:val="es-ES"/>
        </w:rPr>
        <w:t xml:space="preserve"> </w:t>
      </w:r>
      <w:r w:rsidRPr="008A106B">
        <w:rPr>
          <w:lang w:val="es-ES_tradnl"/>
        </w:rPr>
        <w:t xml:space="preserve">Se administraron dosis de 4 u 8 mg/kg de </w:t>
      </w:r>
      <w:r w:rsidR="00915C39" w:rsidRPr="00F30AB8">
        <w:rPr>
          <w:szCs w:val="22"/>
          <w:lang w:val="es-ES" w:eastAsia="de-DE"/>
        </w:rPr>
        <w:t>tocilizumab</w:t>
      </w:r>
      <w:r w:rsidRPr="006868F5">
        <w:rPr>
          <w:szCs w:val="22"/>
          <w:lang w:val="es-ES"/>
        </w:rPr>
        <w:t xml:space="preserve"> </w:t>
      </w:r>
      <w:r w:rsidRPr="008A106B">
        <w:rPr>
          <w:lang w:val="es-ES_tradnl"/>
        </w:rPr>
        <w:t xml:space="preserve">o placebo cada cuatro semanas como </w:t>
      </w:r>
      <w:ins w:id="1938" w:author="AUTHOR">
        <w:r w:rsidR="004E273B" w:rsidRPr="004E273B">
          <w:rPr>
            <w:lang w:val="es-ES_tradnl"/>
          </w:rPr>
          <w:t>tratamiento bajo enmascaramiento</w:t>
        </w:r>
      </w:ins>
      <w:del w:id="1939" w:author="AUTHOR">
        <w:r w:rsidRPr="008A106B" w:rsidDel="004E273B">
          <w:rPr>
            <w:lang w:val="es-ES_tradnl"/>
          </w:rPr>
          <w:delText>terapia ciega</w:delText>
        </w:r>
      </w:del>
      <w:r w:rsidRPr="008A106B">
        <w:rPr>
          <w:lang w:val="es-ES_tradnl"/>
        </w:rPr>
        <w:t xml:space="preserve"> durante 52 semanas en combinación con MTX estable (de 10 mg a 25 mg semanales).</w:t>
      </w:r>
      <w:r w:rsidRPr="008A106B">
        <w:rPr>
          <w:lang w:val="es-ES"/>
        </w:rPr>
        <w:t xml:space="preserve"> Después de 52</w:t>
      </w:r>
      <w:r w:rsidR="00031422" w:rsidRPr="00F30AB8">
        <w:rPr>
          <w:rFonts w:eastAsia="SimSun"/>
          <w:b/>
          <w:szCs w:val="22"/>
          <w:lang w:val="es-ES" w:eastAsia="zh-CN"/>
        </w:rPr>
        <w:t> </w:t>
      </w:r>
      <w:r w:rsidRPr="008A106B">
        <w:rPr>
          <w:lang w:val="es-ES"/>
        </w:rPr>
        <w:t xml:space="preserve">semanas todos los pacientes pudieron recibir tratamiento abierto con </w:t>
      </w:r>
      <w:r w:rsidR="00915C39" w:rsidRPr="00F30AB8">
        <w:rPr>
          <w:szCs w:val="22"/>
          <w:lang w:val="es-ES" w:eastAsia="de-DE"/>
        </w:rPr>
        <w:t>tocilizumab</w:t>
      </w:r>
      <w:r w:rsidRPr="006868F5">
        <w:rPr>
          <w:szCs w:val="22"/>
          <w:lang w:val="es-ES"/>
        </w:rPr>
        <w:t xml:space="preserve"> </w:t>
      </w:r>
      <w:r w:rsidRPr="008A106B">
        <w:rPr>
          <w:lang w:val="es-ES"/>
        </w:rPr>
        <w:t>8</w:t>
      </w:r>
      <w:r w:rsidR="00031422" w:rsidRPr="00F30AB8">
        <w:rPr>
          <w:rFonts w:eastAsia="SimSun"/>
          <w:b/>
          <w:szCs w:val="22"/>
          <w:lang w:val="es-ES" w:eastAsia="zh-CN"/>
        </w:rPr>
        <w:t> </w:t>
      </w:r>
      <w:r w:rsidRPr="008A106B">
        <w:rPr>
          <w:lang w:val="es-ES"/>
        </w:rPr>
        <w:t>mg/kg. De los pacientes que completaron el e</w:t>
      </w:r>
      <w:r>
        <w:rPr>
          <w:lang w:val="es-ES"/>
        </w:rPr>
        <w:t>nsay</w:t>
      </w:r>
      <w:r w:rsidRPr="008A106B">
        <w:rPr>
          <w:lang w:val="es-ES"/>
        </w:rPr>
        <w:t>o, el 86</w:t>
      </w:r>
      <w:r>
        <w:rPr>
          <w:lang w:val="es-ES"/>
        </w:rPr>
        <w:t xml:space="preserve"> </w:t>
      </w:r>
      <w:r w:rsidRPr="008A106B">
        <w:rPr>
          <w:lang w:val="es-ES"/>
        </w:rPr>
        <w:t xml:space="preserve">% de los que inicialmente fueron asignados al </w:t>
      </w:r>
      <w:ins w:id="1940" w:author="AUTHOR">
        <w:r w:rsidR="004E273B">
          <w:rPr>
            <w:lang w:val="es-ES"/>
          </w:rPr>
          <w:t>grupo</w:t>
        </w:r>
      </w:ins>
      <w:del w:id="1941" w:author="AUTHOR">
        <w:r w:rsidRPr="008A106B" w:rsidDel="004E273B">
          <w:rPr>
            <w:lang w:val="es-ES"/>
          </w:rPr>
          <w:delText>brazo</w:delText>
        </w:r>
      </w:del>
      <w:r w:rsidRPr="008A106B">
        <w:rPr>
          <w:lang w:val="es-ES"/>
        </w:rPr>
        <w:t xml:space="preserve"> placebo + MTX recibieron tratamiento abierto con </w:t>
      </w:r>
      <w:r w:rsidR="00915C39" w:rsidRPr="00F30AB8">
        <w:rPr>
          <w:szCs w:val="22"/>
          <w:lang w:val="es-ES" w:eastAsia="de-DE"/>
        </w:rPr>
        <w:t>tocilizumab</w:t>
      </w:r>
      <w:r w:rsidRPr="006868F5">
        <w:rPr>
          <w:szCs w:val="22"/>
          <w:lang w:val="es-ES"/>
        </w:rPr>
        <w:t xml:space="preserve"> </w:t>
      </w:r>
      <w:r w:rsidRPr="008A106B">
        <w:rPr>
          <w:lang w:val="es-ES"/>
        </w:rPr>
        <w:t>8</w:t>
      </w:r>
      <w:r w:rsidR="00031422" w:rsidRPr="00F30AB8">
        <w:rPr>
          <w:rFonts w:eastAsia="SimSun"/>
          <w:b/>
          <w:szCs w:val="22"/>
          <w:lang w:val="es-ES" w:eastAsia="zh-CN"/>
        </w:rPr>
        <w:t> </w:t>
      </w:r>
      <w:r w:rsidRPr="008A106B">
        <w:rPr>
          <w:lang w:val="es-ES"/>
        </w:rPr>
        <w:t xml:space="preserve">mg/kg en el segundo año. </w:t>
      </w:r>
      <w:del w:id="1942" w:author="AUTHOR">
        <w:r w:rsidRPr="008A106B" w:rsidDel="00E11790">
          <w:rPr>
            <w:lang w:val="es-ES_tradnl"/>
          </w:rPr>
          <w:delText>El objetivo primario</w:delText>
        </w:r>
      </w:del>
      <w:ins w:id="1943" w:author="AUTHOR">
        <w:r w:rsidR="00E11790">
          <w:rPr>
            <w:lang w:val="es-ES_tradnl"/>
          </w:rPr>
          <w:t>La variable principal</w:t>
        </w:r>
      </w:ins>
      <w:r w:rsidRPr="008A106B">
        <w:rPr>
          <w:lang w:val="es-ES_tradnl"/>
        </w:rPr>
        <w:t xml:space="preserve"> en la semana</w:t>
      </w:r>
      <w:r w:rsidR="00031422" w:rsidRPr="00F30AB8">
        <w:rPr>
          <w:rFonts w:eastAsia="SimSun"/>
          <w:b/>
          <w:szCs w:val="22"/>
          <w:lang w:val="es-ES" w:eastAsia="zh-CN"/>
        </w:rPr>
        <w:t> </w:t>
      </w:r>
      <w:r w:rsidRPr="008A106B">
        <w:rPr>
          <w:lang w:val="es-ES_tradnl"/>
        </w:rPr>
        <w:t>24 fue la proporción de pacientes que alcanzaron respuesta ACR20.</w:t>
      </w:r>
      <w:r w:rsidRPr="008A106B">
        <w:rPr>
          <w:lang w:val="es-ES"/>
        </w:rPr>
        <w:t xml:space="preserve"> En </w:t>
      </w:r>
      <w:r w:rsidRPr="008A106B">
        <w:rPr>
          <w:lang w:val="es-ES_tradnl"/>
        </w:rPr>
        <w:t>la semana</w:t>
      </w:r>
      <w:r w:rsidR="00031422" w:rsidRPr="00F30AB8">
        <w:rPr>
          <w:rFonts w:eastAsia="SimSun"/>
          <w:b/>
          <w:szCs w:val="22"/>
          <w:lang w:val="es-ES" w:eastAsia="zh-CN"/>
        </w:rPr>
        <w:t> </w:t>
      </w:r>
      <w:r w:rsidRPr="008A106B">
        <w:rPr>
          <w:lang w:val="es-ES_tradnl"/>
        </w:rPr>
        <w:t>52 y 104, l</w:t>
      </w:r>
      <w:del w:id="1944" w:author="AUTHOR">
        <w:r w:rsidRPr="008A106B" w:rsidDel="00E11790">
          <w:rPr>
            <w:lang w:val="es-ES_tradnl"/>
          </w:rPr>
          <w:delText>o</w:delText>
        </w:r>
      </w:del>
      <w:ins w:id="1945" w:author="AUTHOR">
        <w:r w:rsidR="00E11790">
          <w:rPr>
            <w:lang w:val="es-ES_tradnl"/>
          </w:rPr>
          <w:t>a</w:t>
        </w:r>
      </w:ins>
      <w:r w:rsidRPr="008A106B">
        <w:rPr>
          <w:lang w:val="es-ES_tradnl"/>
        </w:rPr>
        <w:t xml:space="preserve">s </w:t>
      </w:r>
      <w:del w:id="1946" w:author="AUTHOR">
        <w:r w:rsidRPr="008A106B" w:rsidDel="00E11790">
          <w:rPr>
            <w:lang w:val="es-ES_tradnl"/>
          </w:rPr>
          <w:delText xml:space="preserve">objetivos </w:delText>
        </w:r>
      </w:del>
      <w:ins w:id="1947" w:author="AUTHOR">
        <w:r w:rsidR="00E11790">
          <w:rPr>
            <w:lang w:val="es-ES_tradnl"/>
          </w:rPr>
          <w:t>variables</w:t>
        </w:r>
        <w:r w:rsidR="00E11790" w:rsidRPr="008A106B">
          <w:rPr>
            <w:lang w:val="es-ES_tradnl"/>
          </w:rPr>
          <w:t xml:space="preserve"> </w:t>
        </w:r>
      </w:ins>
      <w:r w:rsidRPr="008A106B">
        <w:rPr>
          <w:lang w:val="es-ES_tradnl"/>
        </w:rPr>
        <w:t>co-</w:t>
      </w:r>
      <w:del w:id="1948" w:author="AUTHOR">
        <w:r w:rsidRPr="008A106B" w:rsidDel="00E11790">
          <w:rPr>
            <w:lang w:val="es-ES_tradnl"/>
          </w:rPr>
          <w:delText xml:space="preserve">primarios </w:delText>
        </w:r>
      </w:del>
      <w:ins w:id="1949" w:author="AUTHOR">
        <w:r w:rsidR="00E11790" w:rsidRPr="008A106B">
          <w:rPr>
            <w:lang w:val="es-ES_tradnl"/>
          </w:rPr>
          <w:t>pri</w:t>
        </w:r>
        <w:r w:rsidR="00E11790">
          <w:rPr>
            <w:lang w:val="es-ES_tradnl"/>
          </w:rPr>
          <w:t>ncipales</w:t>
        </w:r>
        <w:r w:rsidR="00E11790" w:rsidRPr="008A106B">
          <w:rPr>
            <w:lang w:val="es-ES_tradnl"/>
          </w:rPr>
          <w:t xml:space="preserve"> </w:t>
        </w:r>
      </w:ins>
      <w:r w:rsidRPr="008A106B">
        <w:rPr>
          <w:lang w:val="es-ES_tradnl"/>
        </w:rPr>
        <w:t>fueron la prevención del daño articular y la mejora de la función física.</w:t>
      </w:r>
    </w:p>
    <w:p w14:paraId="59A2F919" w14:textId="77777777" w:rsidR="00DC224A" w:rsidRPr="008A106B" w:rsidRDefault="00DC224A" w:rsidP="00DC224A">
      <w:pPr>
        <w:numPr>
          <w:ilvl w:val="12"/>
          <w:numId w:val="0"/>
        </w:numPr>
        <w:ind w:right="-2"/>
        <w:rPr>
          <w:lang w:val="es-ES"/>
        </w:rPr>
      </w:pPr>
    </w:p>
    <w:p w14:paraId="5C3B07ED" w14:textId="6F5E8FAA" w:rsidR="00DC224A" w:rsidRPr="008A106B" w:rsidRDefault="00DC224A" w:rsidP="00DC224A">
      <w:pPr>
        <w:numPr>
          <w:ilvl w:val="12"/>
          <w:numId w:val="0"/>
        </w:numPr>
        <w:ind w:right="-2"/>
        <w:rPr>
          <w:lang w:val="es-ES"/>
        </w:rPr>
      </w:pPr>
      <w:r w:rsidRPr="008A106B">
        <w:rPr>
          <w:lang w:val="es-ES_tradnl"/>
        </w:rPr>
        <w:t>En el ensayo III se evaluaron 623</w:t>
      </w:r>
      <w:r w:rsidR="00031422" w:rsidRPr="00F30AB8">
        <w:rPr>
          <w:rFonts w:eastAsia="SimSun"/>
          <w:b/>
          <w:szCs w:val="22"/>
          <w:lang w:val="es-ES" w:eastAsia="zh-CN"/>
        </w:rPr>
        <w:t> </w:t>
      </w:r>
      <w:r w:rsidRPr="008A106B">
        <w:rPr>
          <w:lang w:val="es-ES_tradnl"/>
        </w:rPr>
        <w:t>pacientes con una respuesta clínica inadecuada a MTX.</w:t>
      </w:r>
      <w:r w:rsidRPr="008A106B">
        <w:rPr>
          <w:lang w:val="es-ES"/>
        </w:rPr>
        <w:t xml:space="preserve"> </w:t>
      </w:r>
      <w:r w:rsidRPr="008A106B">
        <w:rPr>
          <w:lang w:val="es-ES_tradnl"/>
        </w:rPr>
        <w:t xml:space="preserve">Se administraron dosis de 4 u 8 mg/kg de </w:t>
      </w:r>
      <w:r w:rsidR="00915C39" w:rsidRPr="00F30AB8">
        <w:rPr>
          <w:szCs w:val="22"/>
          <w:lang w:val="es-ES" w:eastAsia="de-DE"/>
        </w:rPr>
        <w:t>tocilizumab</w:t>
      </w:r>
      <w:r w:rsidRPr="006868F5">
        <w:rPr>
          <w:szCs w:val="22"/>
          <w:lang w:val="es-ES"/>
        </w:rPr>
        <w:t xml:space="preserve"> </w:t>
      </w:r>
      <w:r w:rsidRPr="008A106B">
        <w:rPr>
          <w:lang w:val="es-ES_tradnl"/>
        </w:rPr>
        <w:t>o placebo cada cuatro semanas, en combinación con MTX estable (de 10 mg a 25 mg semanales).</w:t>
      </w:r>
      <w:r w:rsidRPr="008A106B">
        <w:rPr>
          <w:lang w:val="es-ES"/>
        </w:rPr>
        <w:t xml:space="preserve"> </w:t>
      </w:r>
    </w:p>
    <w:p w14:paraId="5FABF2C0" w14:textId="77777777" w:rsidR="00DC224A" w:rsidRPr="008A106B" w:rsidRDefault="00DC224A" w:rsidP="00DC224A">
      <w:pPr>
        <w:numPr>
          <w:ilvl w:val="12"/>
          <w:numId w:val="0"/>
        </w:numPr>
        <w:ind w:right="-2"/>
        <w:rPr>
          <w:lang w:val="es-ES"/>
        </w:rPr>
      </w:pPr>
    </w:p>
    <w:p w14:paraId="628C9FEA" w14:textId="62A68176" w:rsidR="00DC224A" w:rsidRPr="008A106B" w:rsidRDefault="00DC224A" w:rsidP="00DC224A">
      <w:pPr>
        <w:numPr>
          <w:ilvl w:val="12"/>
          <w:numId w:val="0"/>
        </w:numPr>
        <w:ind w:right="-2"/>
        <w:rPr>
          <w:lang w:val="es-ES"/>
        </w:rPr>
      </w:pPr>
      <w:r w:rsidRPr="008A106B">
        <w:rPr>
          <w:lang w:val="es-ES_tradnl"/>
        </w:rPr>
        <w:t>En el ensayo IV se evaluaron 1</w:t>
      </w:r>
      <w:r>
        <w:rPr>
          <w:lang w:val="es-ES_tradnl"/>
        </w:rPr>
        <w:t>.</w:t>
      </w:r>
      <w:r w:rsidRPr="008A106B">
        <w:rPr>
          <w:lang w:val="es-ES_tradnl"/>
        </w:rPr>
        <w:t>220</w:t>
      </w:r>
      <w:r w:rsidR="00031422" w:rsidRPr="00F30AB8">
        <w:rPr>
          <w:rFonts w:eastAsia="SimSun"/>
          <w:b/>
          <w:szCs w:val="22"/>
          <w:lang w:val="es-ES" w:eastAsia="zh-CN"/>
        </w:rPr>
        <w:t> </w:t>
      </w:r>
      <w:r w:rsidRPr="008A106B">
        <w:rPr>
          <w:lang w:val="es-ES_tradnl"/>
        </w:rPr>
        <w:t>pacientes con una respuesta inadecuada a un tratamiento reumatológico instaurado, con uno o más FAMEs.</w:t>
      </w:r>
      <w:r w:rsidRPr="008A106B">
        <w:rPr>
          <w:lang w:val="es-ES"/>
        </w:rPr>
        <w:t xml:space="preserve"> </w:t>
      </w:r>
      <w:r w:rsidRPr="008A106B">
        <w:rPr>
          <w:lang w:val="es-ES_tradnl"/>
        </w:rPr>
        <w:t xml:space="preserve">Se administraron dosis de 8 mg/kg de </w:t>
      </w:r>
      <w:r w:rsidR="00915C39" w:rsidRPr="00F30AB8">
        <w:rPr>
          <w:szCs w:val="22"/>
          <w:lang w:val="es-ES" w:eastAsia="de-DE"/>
        </w:rPr>
        <w:t>tocilizumab</w:t>
      </w:r>
      <w:r w:rsidRPr="006868F5">
        <w:rPr>
          <w:szCs w:val="22"/>
          <w:lang w:val="es-ES"/>
        </w:rPr>
        <w:t xml:space="preserve"> </w:t>
      </w:r>
      <w:r w:rsidRPr="008A106B">
        <w:rPr>
          <w:lang w:val="es-ES_tradnl"/>
        </w:rPr>
        <w:t>o placebo cada cuatro semanas, en combinación con FAMEs estables.</w:t>
      </w:r>
      <w:r w:rsidRPr="008A106B">
        <w:rPr>
          <w:lang w:val="es-ES"/>
        </w:rPr>
        <w:t xml:space="preserve"> </w:t>
      </w:r>
    </w:p>
    <w:p w14:paraId="47DFD0FD" w14:textId="77777777" w:rsidR="00DC224A" w:rsidRPr="008A106B" w:rsidRDefault="00DC224A" w:rsidP="00DC224A">
      <w:pPr>
        <w:numPr>
          <w:ilvl w:val="12"/>
          <w:numId w:val="0"/>
        </w:numPr>
        <w:ind w:right="-2"/>
        <w:rPr>
          <w:lang w:val="es-ES"/>
        </w:rPr>
      </w:pPr>
    </w:p>
    <w:p w14:paraId="706152D9" w14:textId="1D05032A" w:rsidR="00DC224A" w:rsidRPr="008A106B" w:rsidRDefault="00DC224A" w:rsidP="00DC224A">
      <w:pPr>
        <w:numPr>
          <w:ilvl w:val="12"/>
          <w:numId w:val="0"/>
        </w:numPr>
        <w:ind w:right="-2"/>
        <w:rPr>
          <w:lang w:val="es-ES"/>
        </w:rPr>
      </w:pPr>
      <w:r w:rsidRPr="008A106B">
        <w:rPr>
          <w:lang w:val="es-ES_tradnl"/>
        </w:rPr>
        <w:t>En el ensayo V se evaluaron 499 pacientes con una respuesta clínica inadecuada o intolerancia a uno o más tratamientos antagonistas TNF.</w:t>
      </w:r>
      <w:r w:rsidRPr="008A106B">
        <w:rPr>
          <w:lang w:val="es-ES"/>
        </w:rPr>
        <w:t xml:space="preserve"> </w:t>
      </w:r>
      <w:r w:rsidRPr="008A106B">
        <w:rPr>
          <w:lang w:val="es-ES_tradnl"/>
        </w:rPr>
        <w:t>El tratamiento con antagonistas TNF se suspendió antes de la aleatorización.</w:t>
      </w:r>
      <w:r w:rsidRPr="008A106B">
        <w:rPr>
          <w:lang w:val="es-ES"/>
        </w:rPr>
        <w:t xml:space="preserve"> </w:t>
      </w:r>
      <w:r w:rsidRPr="008A106B">
        <w:rPr>
          <w:lang w:val="es-ES_tradnl"/>
        </w:rPr>
        <w:t>Se admini</w:t>
      </w:r>
      <w:r>
        <w:rPr>
          <w:lang w:val="es-ES_tradnl"/>
        </w:rPr>
        <w:t xml:space="preserve">straron dosis de 4 u 8 mg/kg de </w:t>
      </w:r>
      <w:r w:rsidR="00915C39" w:rsidRPr="00F30AB8">
        <w:rPr>
          <w:szCs w:val="22"/>
          <w:lang w:val="es-ES" w:eastAsia="de-DE"/>
        </w:rPr>
        <w:t>tocilizumab</w:t>
      </w:r>
      <w:r w:rsidRPr="00C555F2">
        <w:rPr>
          <w:lang w:val="es-ES"/>
        </w:rPr>
        <w:t xml:space="preserve"> </w:t>
      </w:r>
      <w:r w:rsidRPr="008A106B">
        <w:rPr>
          <w:lang w:val="es-ES_tradnl"/>
        </w:rPr>
        <w:t>o placebo cada cuatro semanas, en combinació</w:t>
      </w:r>
      <w:r>
        <w:rPr>
          <w:lang w:val="es-ES_tradnl"/>
        </w:rPr>
        <w:t xml:space="preserve">n con MTX estable (de 10 mg a </w:t>
      </w:r>
      <w:r w:rsidRPr="008A106B">
        <w:rPr>
          <w:lang w:val="es-ES_tradnl"/>
        </w:rPr>
        <w:t>25 mg semanales).</w:t>
      </w:r>
      <w:r w:rsidRPr="008A106B">
        <w:rPr>
          <w:lang w:val="es-ES"/>
        </w:rPr>
        <w:t xml:space="preserve"> </w:t>
      </w:r>
    </w:p>
    <w:p w14:paraId="60B43FF9" w14:textId="77777777" w:rsidR="00DC224A" w:rsidRPr="008A106B" w:rsidRDefault="00DC224A" w:rsidP="00DC224A">
      <w:pPr>
        <w:numPr>
          <w:ilvl w:val="12"/>
          <w:numId w:val="0"/>
        </w:numPr>
        <w:ind w:right="-2"/>
        <w:rPr>
          <w:lang w:val="es-ES"/>
        </w:rPr>
      </w:pPr>
    </w:p>
    <w:p w14:paraId="7E071815" w14:textId="77777777" w:rsidR="00DC224A" w:rsidRPr="00F30AB8" w:rsidRDefault="00DC224A" w:rsidP="00DC224A">
      <w:pPr>
        <w:keepNext/>
        <w:keepLines/>
        <w:numPr>
          <w:ilvl w:val="12"/>
          <w:numId w:val="0"/>
        </w:numPr>
        <w:rPr>
          <w:i/>
          <w:iCs/>
          <w:u w:val="single"/>
          <w:lang w:val="es-ES"/>
        </w:rPr>
      </w:pPr>
      <w:r w:rsidRPr="00F30AB8">
        <w:rPr>
          <w:i/>
          <w:iCs/>
          <w:u w:val="single"/>
          <w:lang w:val="es-ES_tradnl"/>
        </w:rPr>
        <w:t>Respuesta clínica</w:t>
      </w:r>
    </w:p>
    <w:p w14:paraId="7133DBA8" w14:textId="3C1357FB" w:rsidR="00DC224A" w:rsidRPr="008A106B" w:rsidRDefault="00DC224A" w:rsidP="00DC224A">
      <w:pPr>
        <w:keepNext/>
        <w:keepLines/>
        <w:numPr>
          <w:ilvl w:val="12"/>
          <w:numId w:val="0"/>
        </w:numPr>
        <w:rPr>
          <w:lang w:val="es-ES"/>
        </w:rPr>
      </w:pPr>
      <w:r w:rsidRPr="008A106B">
        <w:rPr>
          <w:lang w:val="es-ES_tradnl"/>
        </w:rPr>
        <w:t xml:space="preserve">En todos los ensayos, los pacientes tratados con </w:t>
      </w:r>
      <w:r w:rsidR="00915C39" w:rsidRPr="00F30AB8">
        <w:rPr>
          <w:szCs w:val="22"/>
          <w:lang w:val="es-ES" w:eastAsia="de-DE"/>
        </w:rPr>
        <w:t>tocilizumab</w:t>
      </w:r>
      <w:r w:rsidRPr="006868F5">
        <w:rPr>
          <w:szCs w:val="22"/>
          <w:lang w:val="es-ES"/>
        </w:rPr>
        <w:t xml:space="preserve"> </w:t>
      </w:r>
      <w:r w:rsidRPr="008A106B">
        <w:rPr>
          <w:lang w:val="es-ES_tradnl"/>
        </w:rPr>
        <w:t>8 mg/kg tuvieron unas tasas de respuesta en ACR</w:t>
      </w:r>
      <w:r w:rsidR="00031422" w:rsidRPr="00F30AB8">
        <w:rPr>
          <w:rFonts w:eastAsia="SimSun"/>
          <w:b/>
          <w:szCs w:val="22"/>
          <w:lang w:val="es-ES" w:eastAsia="zh-CN"/>
        </w:rPr>
        <w:t> </w:t>
      </w:r>
      <w:r w:rsidRPr="008A106B">
        <w:rPr>
          <w:lang w:val="es-ES_tradnl"/>
        </w:rPr>
        <w:t>20, 50 y 70 significativamente mayores a los 6</w:t>
      </w:r>
      <w:r w:rsidR="00031422" w:rsidRPr="00F30AB8">
        <w:rPr>
          <w:rFonts w:eastAsia="SimSun"/>
          <w:b/>
          <w:szCs w:val="22"/>
          <w:lang w:val="es-ES" w:eastAsia="zh-CN"/>
        </w:rPr>
        <w:t> </w:t>
      </w:r>
      <w:r w:rsidRPr="008A106B">
        <w:rPr>
          <w:lang w:val="es-ES_tradnl"/>
        </w:rPr>
        <w:t>meses que los controles (</w:t>
      </w:r>
      <w:r>
        <w:rPr>
          <w:lang w:val="es-ES_tradnl"/>
        </w:rPr>
        <w:t xml:space="preserve">ver </w:t>
      </w:r>
      <w:r w:rsidRPr="008A106B">
        <w:rPr>
          <w:lang w:val="es-ES_tradnl"/>
        </w:rPr>
        <w:t>Tabla</w:t>
      </w:r>
      <w:r w:rsidR="00031422" w:rsidRPr="00F30AB8">
        <w:rPr>
          <w:rFonts w:eastAsia="SimSun"/>
          <w:b/>
          <w:szCs w:val="22"/>
          <w:lang w:val="es-ES" w:eastAsia="zh-CN"/>
        </w:rPr>
        <w:t> </w:t>
      </w:r>
      <w:r w:rsidR="000B447D">
        <w:rPr>
          <w:lang w:val="es-ES_tradnl"/>
        </w:rPr>
        <w:t>5</w:t>
      </w:r>
      <w:r w:rsidRPr="008A106B">
        <w:rPr>
          <w:lang w:val="es-ES_tradnl"/>
        </w:rPr>
        <w:t>).</w:t>
      </w:r>
      <w:r w:rsidRPr="008A106B">
        <w:rPr>
          <w:lang w:val="es-ES"/>
        </w:rPr>
        <w:t xml:space="preserve"> </w:t>
      </w:r>
      <w:r w:rsidRPr="008A106B">
        <w:rPr>
          <w:lang w:val="es-ES_tradnl"/>
        </w:rPr>
        <w:t>En el e</w:t>
      </w:r>
      <w:r>
        <w:rPr>
          <w:lang w:val="es-ES_tradnl"/>
        </w:rPr>
        <w:t>nsay</w:t>
      </w:r>
      <w:r w:rsidRPr="008A106B">
        <w:rPr>
          <w:lang w:val="es-ES_tradnl"/>
        </w:rPr>
        <w:t xml:space="preserve">o I, se demostró la superioridad de </w:t>
      </w:r>
      <w:r w:rsidR="00915C39" w:rsidRPr="00F30AB8">
        <w:rPr>
          <w:szCs w:val="22"/>
          <w:lang w:val="es-ES" w:eastAsia="de-DE"/>
        </w:rPr>
        <w:t>tocilizumab</w:t>
      </w:r>
      <w:r w:rsidRPr="006868F5">
        <w:rPr>
          <w:szCs w:val="22"/>
          <w:lang w:val="es-ES"/>
        </w:rPr>
        <w:t xml:space="preserve"> </w:t>
      </w:r>
      <w:r w:rsidRPr="008A106B">
        <w:rPr>
          <w:lang w:val="es-ES_tradnl"/>
        </w:rPr>
        <w:t>8 mg/kg frente al comparador activo MTX.</w:t>
      </w:r>
    </w:p>
    <w:p w14:paraId="6D7EA9F3" w14:textId="77777777" w:rsidR="00DC224A" w:rsidRPr="008A106B" w:rsidRDefault="00DC224A" w:rsidP="00DC224A">
      <w:pPr>
        <w:numPr>
          <w:ilvl w:val="12"/>
          <w:numId w:val="0"/>
        </w:numPr>
        <w:ind w:right="-2"/>
        <w:rPr>
          <w:lang w:val="es-ES"/>
        </w:rPr>
      </w:pPr>
    </w:p>
    <w:p w14:paraId="2F4ABB1A" w14:textId="7300A114" w:rsidR="00DC224A" w:rsidRPr="008A106B" w:rsidRDefault="00DC224A" w:rsidP="00DC224A">
      <w:pPr>
        <w:numPr>
          <w:ilvl w:val="12"/>
          <w:numId w:val="0"/>
        </w:numPr>
        <w:ind w:right="-2"/>
        <w:rPr>
          <w:lang w:val="es-ES"/>
        </w:rPr>
      </w:pPr>
      <w:r w:rsidRPr="008A106B">
        <w:rPr>
          <w:lang w:val="es-ES_tradnl"/>
        </w:rPr>
        <w:t>El efecto del tratamiento fue similar en los pacientes independientemente de cuestiones como factor reumatoide, edad, sexo, raza, número de tratamientos previos o estado de la enfermedad.</w:t>
      </w:r>
      <w:r w:rsidRPr="008A106B">
        <w:rPr>
          <w:lang w:val="es-ES"/>
        </w:rPr>
        <w:t xml:space="preserve"> </w:t>
      </w:r>
      <w:r w:rsidRPr="008A106B">
        <w:rPr>
          <w:lang w:val="es-ES_tradnl"/>
        </w:rPr>
        <w:t>El tiempo hasta al inicio de la acción fue rápido (ya a la semana</w:t>
      </w:r>
      <w:r w:rsidR="00031422" w:rsidRPr="00F30AB8">
        <w:rPr>
          <w:rFonts w:eastAsia="SimSun"/>
          <w:b/>
          <w:szCs w:val="22"/>
          <w:lang w:val="es-ES" w:eastAsia="zh-CN"/>
        </w:rPr>
        <w:t> </w:t>
      </w:r>
      <w:r w:rsidRPr="008A106B">
        <w:rPr>
          <w:lang w:val="es-ES_tradnl"/>
        </w:rPr>
        <w:t>2) y la magnitud de la respuesta siguió mejorando con la duración del tratamiento.</w:t>
      </w:r>
      <w:r w:rsidRPr="008A106B">
        <w:rPr>
          <w:lang w:val="es-ES"/>
        </w:rPr>
        <w:t xml:space="preserve"> </w:t>
      </w:r>
      <w:r w:rsidRPr="008A106B">
        <w:rPr>
          <w:lang w:val="es-ES_tradnl"/>
        </w:rPr>
        <w:t>Se han observado respuestas duraderas continuadas durante más de 3 años en los ensayos de extensión abiertos</w:t>
      </w:r>
      <w:del w:id="1950" w:author="AUTHOR">
        <w:r w:rsidRPr="008A106B" w:rsidDel="00B707BE">
          <w:rPr>
            <w:lang w:val="es-ES_tradnl"/>
          </w:rPr>
          <w:delText xml:space="preserve"> que están en marcha,</w:delText>
        </w:r>
      </w:del>
      <w:r w:rsidRPr="008A106B">
        <w:rPr>
          <w:lang w:val="es-ES_tradnl"/>
        </w:rPr>
        <w:t xml:space="preserve"> I</w:t>
      </w:r>
      <w:r>
        <w:rPr>
          <w:lang w:val="es-ES_tradnl"/>
        </w:rPr>
        <w:t>-</w:t>
      </w:r>
      <w:r w:rsidRPr="008A106B">
        <w:rPr>
          <w:lang w:val="es-ES_tradnl"/>
        </w:rPr>
        <w:t>V.</w:t>
      </w:r>
      <w:r w:rsidRPr="008A106B">
        <w:rPr>
          <w:lang w:val="es-ES"/>
        </w:rPr>
        <w:t xml:space="preserve"> </w:t>
      </w:r>
    </w:p>
    <w:p w14:paraId="60F8969B" w14:textId="77777777" w:rsidR="00DC224A" w:rsidRPr="008A106B" w:rsidRDefault="00DC224A" w:rsidP="00DC224A">
      <w:pPr>
        <w:numPr>
          <w:ilvl w:val="12"/>
          <w:numId w:val="0"/>
        </w:numPr>
        <w:ind w:right="-2"/>
        <w:rPr>
          <w:lang w:val="es-ES"/>
        </w:rPr>
      </w:pPr>
    </w:p>
    <w:p w14:paraId="3BB6A10F" w14:textId="5289039B" w:rsidR="00DC224A" w:rsidRPr="008A106B" w:rsidRDefault="00DC224A" w:rsidP="00DC224A">
      <w:pPr>
        <w:numPr>
          <w:ilvl w:val="12"/>
          <w:numId w:val="0"/>
        </w:numPr>
        <w:ind w:right="-2"/>
        <w:rPr>
          <w:lang w:val="es-ES"/>
        </w:rPr>
      </w:pPr>
      <w:r w:rsidRPr="008A106B">
        <w:rPr>
          <w:lang w:val="es-ES_tradnl"/>
        </w:rPr>
        <w:t xml:space="preserve">En pacientes tratados con </w:t>
      </w:r>
      <w:r w:rsidR="00915C39" w:rsidRPr="00F30AB8">
        <w:rPr>
          <w:szCs w:val="22"/>
          <w:lang w:val="es-ES" w:eastAsia="de-DE"/>
        </w:rPr>
        <w:t>tocilizumab</w:t>
      </w:r>
      <w:r w:rsidRPr="006868F5">
        <w:rPr>
          <w:szCs w:val="22"/>
          <w:lang w:val="es-ES"/>
        </w:rPr>
        <w:t xml:space="preserve"> </w:t>
      </w:r>
      <w:r w:rsidRPr="008A106B">
        <w:rPr>
          <w:lang w:val="es-ES_tradnl"/>
        </w:rPr>
        <w:t>8 mg/kg, se observaron mejorías significativas en todos los componentes individuales de la respuesta ACR, incluidos:</w:t>
      </w:r>
      <w:r w:rsidRPr="008A106B">
        <w:rPr>
          <w:lang w:val="es-ES"/>
        </w:rPr>
        <w:t xml:space="preserve"> </w:t>
      </w:r>
      <w:r>
        <w:rPr>
          <w:lang w:val="es-ES_tradnl"/>
        </w:rPr>
        <w:t>r</w:t>
      </w:r>
      <w:r w:rsidRPr="008A106B">
        <w:rPr>
          <w:lang w:val="es-ES_tradnl"/>
        </w:rPr>
        <w:t>ecuentos de articulaciones doloridas e inflamadas; evaluación global por los pacientes y los médicos; puntuaciones del índice de discapacidad; evaluación del dolor y PCR en comparación con los pacientes</w:t>
      </w:r>
      <w:r>
        <w:rPr>
          <w:lang w:val="es-ES_tradnl"/>
        </w:rPr>
        <w:t xml:space="preserve"> que recibieron placebo más MTX </w:t>
      </w:r>
      <w:r w:rsidRPr="008A106B">
        <w:rPr>
          <w:lang w:val="es-ES_tradnl"/>
        </w:rPr>
        <w:t>u otros FAMEs en todos los e</w:t>
      </w:r>
      <w:r>
        <w:rPr>
          <w:lang w:val="es-ES_tradnl"/>
        </w:rPr>
        <w:t>nsay</w:t>
      </w:r>
      <w:r w:rsidRPr="008A106B">
        <w:rPr>
          <w:lang w:val="es-ES_tradnl"/>
        </w:rPr>
        <w:t>os.</w:t>
      </w:r>
      <w:r w:rsidRPr="008A106B">
        <w:rPr>
          <w:lang w:val="es-ES"/>
        </w:rPr>
        <w:t xml:space="preserve"> </w:t>
      </w:r>
    </w:p>
    <w:p w14:paraId="684D93BD" w14:textId="77777777" w:rsidR="00DC224A" w:rsidRPr="008A106B" w:rsidRDefault="00DC224A" w:rsidP="00DC224A">
      <w:pPr>
        <w:numPr>
          <w:ilvl w:val="12"/>
          <w:numId w:val="0"/>
        </w:numPr>
        <w:ind w:right="-2"/>
        <w:rPr>
          <w:lang w:val="es-ES"/>
        </w:rPr>
      </w:pPr>
    </w:p>
    <w:p w14:paraId="0329AAF5" w14:textId="30F3D8BD" w:rsidR="00DC224A" w:rsidRPr="008A106B" w:rsidRDefault="00DC224A" w:rsidP="00DC224A">
      <w:pPr>
        <w:numPr>
          <w:ilvl w:val="12"/>
          <w:numId w:val="0"/>
        </w:numPr>
        <w:ind w:right="-2"/>
        <w:rPr>
          <w:lang w:val="es-ES"/>
        </w:rPr>
      </w:pPr>
      <w:r w:rsidRPr="008A106B">
        <w:rPr>
          <w:lang w:val="es-ES"/>
        </w:rPr>
        <w:t>Los pacientes de los e</w:t>
      </w:r>
      <w:r>
        <w:rPr>
          <w:lang w:val="es-ES"/>
        </w:rPr>
        <w:t>nsay</w:t>
      </w:r>
      <w:r w:rsidRPr="008A106B">
        <w:rPr>
          <w:lang w:val="es-ES"/>
        </w:rPr>
        <w:t xml:space="preserve">os I-V tenían un nivel medio de </w:t>
      </w:r>
      <w:r>
        <w:rPr>
          <w:lang w:val="es-ES"/>
        </w:rPr>
        <w:t>actividad de la enfermedad DAS</w:t>
      </w:r>
      <w:r w:rsidRPr="008A106B">
        <w:rPr>
          <w:lang w:val="es-ES"/>
        </w:rPr>
        <w:t xml:space="preserve">28 6,5- 6,8 al inicio. Se observó una reducción significativa (mejoría media), del nivel inicial DAS28 3,1- 3,4 en los pacientes tratados con </w:t>
      </w:r>
      <w:r w:rsidR="00915C39" w:rsidRPr="00F30AB8">
        <w:rPr>
          <w:szCs w:val="22"/>
          <w:lang w:val="es-ES" w:eastAsia="de-DE"/>
        </w:rPr>
        <w:t>tocilizumab</w:t>
      </w:r>
      <w:r w:rsidRPr="00AF14FE">
        <w:rPr>
          <w:lang w:val="es-ES"/>
        </w:rPr>
        <w:t xml:space="preserve"> </w:t>
      </w:r>
      <w:r w:rsidRPr="008A106B">
        <w:rPr>
          <w:lang w:val="es-ES"/>
        </w:rPr>
        <w:t>frente a los pacientes control (1,3-2,1). La proporción de pacientes que alcanzaron una remisión clínica DAS28 (DAS28&lt;</w:t>
      </w:r>
      <w:r w:rsidR="00031422" w:rsidRPr="00F30AB8">
        <w:rPr>
          <w:rFonts w:eastAsia="SimSun"/>
          <w:b/>
          <w:szCs w:val="22"/>
          <w:lang w:val="es-ES" w:eastAsia="zh-CN"/>
        </w:rPr>
        <w:t> </w:t>
      </w:r>
      <w:r w:rsidRPr="008A106B">
        <w:rPr>
          <w:lang w:val="es-ES"/>
        </w:rPr>
        <w:t xml:space="preserve">2,6), </w:t>
      </w:r>
      <w:del w:id="1951" w:author="AUTHOR">
        <w:r w:rsidRPr="008A106B" w:rsidDel="00771673">
          <w:rPr>
            <w:lang w:val="es-ES"/>
          </w:rPr>
          <w:delText>a las 24</w:delText>
        </w:r>
        <w:r w:rsidR="00031422" w:rsidRPr="00F30AB8" w:rsidDel="00771673">
          <w:rPr>
            <w:rFonts w:eastAsia="SimSun"/>
            <w:b/>
            <w:szCs w:val="22"/>
            <w:lang w:val="es-ES" w:eastAsia="zh-CN"/>
          </w:rPr>
          <w:delText> </w:delText>
        </w:r>
        <w:r w:rsidRPr="008A106B" w:rsidDel="00771673">
          <w:rPr>
            <w:lang w:val="es-ES"/>
          </w:rPr>
          <w:delText xml:space="preserve">semanas, </w:delText>
        </w:r>
      </w:del>
      <w:r w:rsidRPr="008A106B">
        <w:rPr>
          <w:lang w:val="es-ES"/>
        </w:rPr>
        <w:t xml:space="preserve">fue significativamente mayor en los pacientes que recibieron </w:t>
      </w:r>
      <w:r w:rsidR="00915C39" w:rsidRPr="00F30AB8">
        <w:rPr>
          <w:szCs w:val="22"/>
          <w:lang w:val="es-ES" w:eastAsia="de-DE"/>
        </w:rPr>
        <w:t>tocilizumab</w:t>
      </w:r>
      <w:r w:rsidRPr="00527E1D">
        <w:rPr>
          <w:lang w:val="es-ES"/>
        </w:rPr>
        <w:t xml:space="preserve"> </w:t>
      </w:r>
      <w:r w:rsidRPr="008A106B">
        <w:rPr>
          <w:lang w:val="es-ES"/>
        </w:rPr>
        <w:t>(28 - 34 %) comparado con los pacientes del control (1 - 12 %)</w:t>
      </w:r>
      <w:ins w:id="1952" w:author="AUTHOR">
        <w:r w:rsidR="00771673" w:rsidRPr="00467FFD">
          <w:rPr>
            <w:lang w:val="es-ES"/>
            <w:rPrChange w:id="1953" w:author="AUTHOR">
              <w:rPr/>
            </w:rPrChange>
          </w:rPr>
          <w:t xml:space="preserve"> </w:t>
        </w:r>
        <w:r w:rsidR="00771673" w:rsidRPr="00771673">
          <w:rPr>
            <w:lang w:val="es-ES"/>
          </w:rPr>
          <w:t>a las 24 semanas,</w:t>
        </w:r>
      </w:ins>
      <w:r w:rsidRPr="008A106B">
        <w:rPr>
          <w:lang w:val="es-ES"/>
        </w:rPr>
        <w:t>. En el ensayo II, un 65 % de los pacientes alcanzaron un DAS28</w:t>
      </w:r>
      <w:r w:rsidR="00915C39" w:rsidRPr="00B65EA9">
        <w:rPr>
          <w:rFonts w:eastAsia="MS Mincho"/>
          <w:szCs w:val="22"/>
          <w:lang w:val="en-GB"/>
        </w:rPr>
        <w:sym w:font="Symbol" w:char="F03C"/>
      </w:r>
      <w:r w:rsidRPr="008A106B">
        <w:rPr>
          <w:lang w:val="es-ES"/>
        </w:rPr>
        <w:t xml:space="preserve"> de 2,6 a la semana</w:t>
      </w:r>
      <w:r w:rsidR="00031422" w:rsidRPr="00F30AB8">
        <w:rPr>
          <w:rFonts w:eastAsia="SimSun"/>
          <w:b/>
          <w:szCs w:val="22"/>
          <w:lang w:val="es-ES" w:eastAsia="zh-CN"/>
        </w:rPr>
        <w:t> </w:t>
      </w:r>
      <w:r w:rsidRPr="008A106B">
        <w:rPr>
          <w:lang w:val="es-ES"/>
        </w:rPr>
        <w:t>104, comparado con un 48</w:t>
      </w:r>
      <w:r>
        <w:rPr>
          <w:lang w:val="es-ES"/>
        </w:rPr>
        <w:t xml:space="preserve"> </w:t>
      </w:r>
      <w:r w:rsidRPr="008A106B">
        <w:rPr>
          <w:lang w:val="es-ES"/>
        </w:rPr>
        <w:t>% que lo alcanzó a la semana</w:t>
      </w:r>
      <w:r w:rsidR="00031422" w:rsidRPr="00F30AB8">
        <w:rPr>
          <w:rFonts w:eastAsia="SimSun"/>
          <w:b/>
          <w:szCs w:val="22"/>
          <w:lang w:val="es-ES" w:eastAsia="zh-CN"/>
        </w:rPr>
        <w:t> </w:t>
      </w:r>
      <w:r w:rsidRPr="008A106B">
        <w:rPr>
          <w:lang w:val="es-ES"/>
        </w:rPr>
        <w:t>52 y un 33 % que lo alcanzó en la semana</w:t>
      </w:r>
      <w:r w:rsidR="00031422" w:rsidRPr="00F30AB8">
        <w:rPr>
          <w:rFonts w:eastAsia="SimSun"/>
          <w:b/>
          <w:szCs w:val="22"/>
          <w:lang w:val="es-ES" w:eastAsia="zh-CN"/>
        </w:rPr>
        <w:t> </w:t>
      </w:r>
      <w:r w:rsidRPr="008A106B">
        <w:rPr>
          <w:lang w:val="es-ES"/>
        </w:rPr>
        <w:t xml:space="preserve">24. </w:t>
      </w:r>
    </w:p>
    <w:p w14:paraId="70901EB1" w14:textId="77777777" w:rsidR="00DC224A" w:rsidRPr="008A106B" w:rsidRDefault="00DC224A" w:rsidP="00DC224A">
      <w:pPr>
        <w:numPr>
          <w:ilvl w:val="12"/>
          <w:numId w:val="0"/>
        </w:numPr>
        <w:ind w:right="-2"/>
        <w:rPr>
          <w:lang w:val="es-ES"/>
        </w:rPr>
      </w:pPr>
    </w:p>
    <w:p w14:paraId="63F65427" w14:textId="77D5D3DA" w:rsidR="00DC224A" w:rsidRPr="008A106B" w:rsidRDefault="00DC224A" w:rsidP="00DC224A">
      <w:pPr>
        <w:numPr>
          <w:ilvl w:val="12"/>
          <w:numId w:val="0"/>
        </w:numPr>
        <w:ind w:right="-2"/>
        <w:rPr>
          <w:lang w:val="es-ES"/>
        </w:rPr>
      </w:pPr>
      <w:r w:rsidRPr="008A106B">
        <w:rPr>
          <w:lang w:val="es-ES_tradnl"/>
        </w:rPr>
        <w:t>En un análisis conjunto de los e</w:t>
      </w:r>
      <w:r>
        <w:rPr>
          <w:lang w:val="es-ES_tradnl"/>
        </w:rPr>
        <w:t>nsay</w:t>
      </w:r>
      <w:r w:rsidRPr="008A106B">
        <w:rPr>
          <w:lang w:val="es-ES_tradnl"/>
        </w:rPr>
        <w:t>os II, III y IV, la proporción de pacientes que alcanzaron una respuesta ACR</w:t>
      </w:r>
      <w:r w:rsidR="00031422" w:rsidRPr="00F30AB8">
        <w:rPr>
          <w:rFonts w:eastAsia="SimSun"/>
          <w:b/>
          <w:szCs w:val="22"/>
          <w:lang w:val="es-ES" w:eastAsia="zh-CN"/>
        </w:rPr>
        <w:t> </w:t>
      </w:r>
      <w:r w:rsidRPr="008A106B">
        <w:rPr>
          <w:lang w:val="es-ES_tradnl"/>
        </w:rPr>
        <w:t>20, 50 y 70 fue significativamente mayor (59 % frente al 50 %, 37 % frente a</w:t>
      </w:r>
      <w:r>
        <w:rPr>
          <w:lang w:val="es-ES_tradnl"/>
        </w:rPr>
        <w:t>l</w:t>
      </w:r>
      <w:r w:rsidRPr="008A106B">
        <w:rPr>
          <w:lang w:val="es-ES_tradnl"/>
        </w:rPr>
        <w:t xml:space="preserve"> 27 %, 18 % frente al 11 %, respectivamente) en el grupo de </w:t>
      </w:r>
      <w:r w:rsidR="00F435D3">
        <w:rPr>
          <w:lang w:val="es-ES_tradnl"/>
        </w:rPr>
        <w:t>t</w:t>
      </w:r>
      <w:r w:rsidR="00915C39" w:rsidRPr="00F30AB8">
        <w:rPr>
          <w:szCs w:val="22"/>
          <w:lang w:val="es-ES"/>
        </w:rPr>
        <w:t>ocilizumab</w:t>
      </w:r>
      <w:r w:rsidRPr="00477B91">
        <w:rPr>
          <w:lang w:val="es-ES_tradnl"/>
        </w:rPr>
        <w:t xml:space="preserve"> </w:t>
      </w:r>
      <w:r w:rsidRPr="008A106B">
        <w:rPr>
          <w:lang w:val="es-ES_tradnl"/>
        </w:rPr>
        <w:t xml:space="preserve">8 mg/kg más FAMEs frente al grupo </w:t>
      </w:r>
      <w:r w:rsidRPr="008A106B">
        <w:rPr>
          <w:lang w:val="es-ES_tradnl"/>
        </w:rPr>
        <w:lastRenderedPageBreak/>
        <w:t xml:space="preserve">tratado con </w:t>
      </w:r>
      <w:r w:rsidR="00F435D3">
        <w:rPr>
          <w:lang w:val="es-ES_tradnl"/>
        </w:rPr>
        <w:t>t</w:t>
      </w:r>
      <w:r w:rsidR="00915C39" w:rsidRPr="00F30AB8">
        <w:rPr>
          <w:szCs w:val="22"/>
          <w:lang w:val="es-ES"/>
        </w:rPr>
        <w:t>ocilizumab</w:t>
      </w:r>
      <w:r w:rsidRPr="005B3A75">
        <w:rPr>
          <w:lang w:val="es-ES_tradnl"/>
        </w:rPr>
        <w:t xml:space="preserve"> </w:t>
      </w:r>
      <w:r w:rsidRPr="008A106B">
        <w:rPr>
          <w:lang w:val="es-ES_tradnl"/>
        </w:rPr>
        <w:t>4 mg/kg más FAMEs (p &lt; 0,03).</w:t>
      </w:r>
      <w:r w:rsidRPr="008A106B">
        <w:rPr>
          <w:lang w:val="es-ES"/>
        </w:rPr>
        <w:t xml:space="preserve"> </w:t>
      </w:r>
      <w:r w:rsidRPr="008A106B">
        <w:rPr>
          <w:lang w:val="es-ES_tradnl"/>
        </w:rPr>
        <w:t xml:space="preserve">De forma similar, la proporción de pacientes que alcanzaron remisión en el DAS28 (DAS28 &lt; 2,6) fue significativamente mayor (31 % frente al 16 %, respectivamente) en los pacientes que recibieron </w:t>
      </w:r>
      <w:r w:rsidR="00F435D3">
        <w:rPr>
          <w:lang w:val="es-ES_tradnl"/>
        </w:rPr>
        <w:t>t</w:t>
      </w:r>
      <w:r w:rsidR="00F435D3" w:rsidRPr="00F30AB8">
        <w:rPr>
          <w:szCs w:val="22"/>
          <w:lang w:val="es-ES"/>
        </w:rPr>
        <w:t>ocilizumab</w:t>
      </w:r>
      <w:r w:rsidRPr="006868F5">
        <w:rPr>
          <w:szCs w:val="22"/>
          <w:lang w:val="es-ES"/>
        </w:rPr>
        <w:t xml:space="preserve"> </w:t>
      </w:r>
      <w:r w:rsidRPr="008A106B">
        <w:rPr>
          <w:lang w:val="es-ES_tradnl"/>
        </w:rPr>
        <w:t>8 mg/kg más FAME</w:t>
      </w:r>
      <w:r>
        <w:rPr>
          <w:lang w:val="es-ES_tradnl"/>
        </w:rPr>
        <w:t>s</w:t>
      </w:r>
      <w:r w:rsidRPr="008A106B">
        <w:rPr>
          <w:lang w:val="es-ES_tradnl"/>
        </w:rPr>
        <w:t xml:space="preserve"> que en pacientes que reciben </w:t>
      </w:r>
      <w:r w:rsidR="00F435D3">
        <w:rPr>
          <w:lang w:val="es-ES_tradnl"/>
        </w:rPr>
        <w:t>t</w:t>
      </w:r>
      <w:r w:rsidR="00915C39" w:rsidRPr="00F30AB8">
        <w:rPr>
          <w:szCs w:val="22"/>
          <w:lang w:val="es-ES"/>
        </w:rPr>
        <w:t>ocilizumab</w:t>
      </w:r>
      <w:r w:rsidRPr="006868F5">
        <w:rPr>
          <w:szCs w:val="22"/>
          <w:lang w:val="es-ES"/>
        </w:rPr>
        <w:t xml:space="preserve"> </w:t>
      </w:r>
      <w:r w:rsidRPr="008A106B">
        <w:rPr>
          <w:lang w:val="es-ES_tradnl"/>
        </w:rPr>
        <w:t>4 mg/kg más FAME</w:t>
      </w:r>
      <w:r>
        <w:rPr>
          <w:lang w:val="es-ES_tradnl"/>
        </w:rPr>
        <w:t>s</w:t>
      </w:r>
      <w:r w:rsidRPr="008A106B">
        <w:rPr>
          <w:lang w:val="es-ES_tradnl"/>
        </w:rPr>
        <w:t xml:space="preserve"> (p &lt; 0,0001).</w:t>
      </w:r>
    </w:p>
    <w:p w14:paraId="7C0743A4" w14:textId="77777777" w:rsidR="00DC224A" w:rsidRPr="008A106B" w:rsidRDefault="00DC224A" w:rsidP="00DC224A">
      <w:pPr>
        <w:numPr>
          <w:ilvl w:val="12"/>
          <w:numId w:val="0"/>
        </w:numPr>
        <w:rPr>
          <w:lang w:val="es-ES"/>
        </w:rPr>
      </w:pPr>
    </w:p>
    <w:p w14:paraId="3DBAE4DD" w14:textId="77777777" w:rsidR="00DC224A" w:rsidRDefault="00DC224A" w:rsidP="00DC224A">
      <w:pPr>
        <w:keepNext/>
        <w:keepLines/>
        <w:numPr>
          <w:ilvl w:val="12"/>
          <w:numId w:val="0"/>
        </w:numPr>
        <w:ind w:right="-2"/>
        <w:rPr>
          <w:bCs/>
          <w:i/>
          <w:lang w:val="es-ES_tradnl"/>
        </w:rPr>
      </w:pPr>
      <w:r w:rsidRPr="006E0948">
        <w:rPr>
          <w:bCs/>
          <w:i/>
          <w:lang w:val="es-ES_tradnl"/>
        </w:rPr>
        <w:t>Tabla</w:t>
      </w:r>
      <w:r w:rsidR="00E610D8">
        <w:rPr>
          <w:bCs/>
          <w:i/>
          <w:lang w:val="es-ES_tradnl"/>
        </w:rPr>
        <w:t xml:space="preserve"> </w:t>
      </w:r>
      <w:r w:rsidR="000B447D">
        <w:rPr>
          <w:bCs/>
          <w:i/>
          <w:lang w:val="es-ES_tradnl"/>
        </w:rPr>
        <w:t>5</w:t>
      </w:r>
      <w:r w:rsidRPr="006E0948">
        <w:rPr>
          <w:bCs/>
          <w:i/>
          <w:lang w:val="es-ES_tradnl"/>
        </w:rPr>
        <w:t>. Respuestas ACR</w:t>
      </w:r>
      <w:r w:rsidRPr="00D43732">
        <w:rPr>
          <w:bCs/>
          <w:i/>
          <w:lang w:val="es-ES_tradnl"/>
        </w:rPr>
        <w:t xml:space="preserve"> en</w:t>
      </w:r>
      <w:r w:rsidRPr="00286CDE">
        <w:rPr>
          <w:bCs/>
          <w:i/>
          <w:lang w:val="es-ES_tradnl"/>
        </w:rPr>
        <w:t xml:space="preserve"> ensayos controlados con placebo / MTX / FAMEs (Porcentaje de pacientes)</w:t>
      </w:r>
      <w:r w:rsidRPr="008A106B">
        <w:rPr>
          <w:bCs/>
          <w:i/>
          <w:lang w:val="es-ES_tradnl"/>
        </w:rPr>
        <w:t xml:space="preserve"> </w:t>
      </w:r>
    </w:p>
    <w:p w14:paraId="45EAB68B" w14:textId="77777777" w:rsidR="00227091" w:rsidRPr="008A106B" w:rsidRDefault="00227091" w:rsidP="00DC224A">
      <w:pPr>
        <w:keepNext/>
        <w:keepLines/>
        <w:numPr>
          <w:ilvl w:val="12"/>
          <w:numId w:val="0"/>
        </w:numPr>
        <w:ind w:right="-2"/>
        <w:rPr>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861"/>
        <w:gridCol w:w="636"/>
        <w:gridCol w:w="861"/>
        <w:gridCol w:w="835"/>
        <w:gridCol w:w="861"/>
        <w:gridCol w:w="835"/>
        <w:gridCol w:w="920"/>
        <w:gridCol w:w="909"/>
        <w:gridCol w:w="8"/>
        <w:gridCol w:w="861"/>
        <w:gridCol w:w="706"/>
      </w:tblGrid>
      <w:tr w:rsidR="00DC224A" w:rsidRPr="005A5612" w14:paraId="38F3FAAD" w14:textId="77777777" w:rsidTr="0072377D">
        <w:trPr>
          <w:cantSplit/>
          <w:trHeight w:val="463"/>
          <w:tblHeader/>
        </w:trPr>
        <w:tc>
          <w:tcPr>
            <w:tcW w:w="432" w:type="pct"/>
          </w:tcPr>
          <w:p w14:paraId="5869DE8B" w14:textId="77777777" w:rsidR="00DC224A" w:rsidRPr="005A5612" w:rsidRDefault="00DC224A" w:rsidP="0072377D">
            <w:pPr>
              <w:keepNext/>
              <w:keepLines/>
              <w:numPr>
                <w:ilvl w:val="12"/>
                <w:numId w:val="0"/>
              </w:numPr>
              <w:ind w:right="-2"/>
              <w:jc w:val="center"/>
              <w:rPr>
                <w:sz w:val="18"/>
                <w:szCs w:val="18"/>
                <w:lang w:val="es-ES"/>
              </w:rPr>
            </w:pPr>
          </w:p>
        </w:tc>
        <w:tc>
          <w:tcPr>
            <w:tcW w:w="787" w:type="pct"/>
            <w:gridSpan w:val="2"/>
            <w:tcBorders>
              <w:bottom w:val="single" w:sz="4" w:space="0" w:color="auto"/>
            </w:tcBorders>
          </w:tcPr>
          <w:p w14:paraId="708B517C" w14:textId="1C4ED0FB" w:rsidR="00DC224A" w:rsidRPr="005A5612" w:rsidRDefault="00DC224A" w:rsidP="0072377D">
            <w:pPr>
              <w:keepNext/>
              <w:keepLines/>
              <w:numPr>
                <w:ilvl w:val="12"/>
                <w:numId w:val="0"/>
              </w:numPr>
              <w:ind w:right="-2"/>
              <w:jc w:val="center"/>
              <w:rPr>
                <w:b/>
                <w:bCs/>
                <w:sz w:val="18"/>
                <w:szCs w:val="18"/>
                <w:lang w:val="en-GB"/>
              </w:rPr>
            </w:pPr>
            <w:del w:id="1954" w:author="AUTHOR">
              <w:r w:rsidRPr="005A5612" w:rsidDel="00411076">
                <w:rPr>
                  <w:b/>
                  <w:bCs/>
                  <w:sz w:val="18"/>
                  <w:szCs w:val="18"/>
                  <w:lang w:val="es-ES_tradnl"/>
                </w:rPr>
                <w:delText xml:space="preserve">Estudio </w:delText>
              </w:r>
            </w:del>
            <w:ins w:id="1955" w:author="AUTHOR">
              <w:r w:rsidR="00411076" w:rsidRPr="005A5612">
                <w:rPr>
                  <w:b/>
                  <w:bCs/>
                  <w:sz w:val="18"/>
                  <w:szCs w:val="18"/>
                  <w:lang w:val="es-ES_tradnl"/>
                </w:rPr>
                <w:t>E</w:t>
              </w:r>
              <w:r w:rsidR="00411076">
                <w:rPr>
                  <w:b/>
                  <w:bCs/>
                  <w:sz w:val="18"/>
                  <w:szCs w:val="18"/>
                  <w:lang w:val="es-ES_tradnl"/>
                </w:rPr>
                <w:t>nsayo</w:t>
              </w:r>
              <w:r w:rsidR="00411076" w:rsidRPr="005A5612">
                <w:rPr>
                  <w:b/>
                  <w:bCs/>
                  <w:sz w:val="18"/>
                  <w:szCs w:val="18"/>
                  <w:lang w:val="es-ES_tradnl"/>
                </w:rPr>
                <w:t xml:space="preserve"> </w:t>
              </w:r>
            </w:ins>
            <w:r w:rsidRPr="005A5612">
              <w:rPr>
                <w:b/>
                <w:bCs/>
                <w:sz w:val="18"/>
                <w:szCs w:val="18"/>
                <w:lang w:val="es-ES_tradnl"/>
              </w:rPr>
              <w:t>I</w:t>
            </w:r>
          </w:p>
          <w:p w14:paraId="2BC1FDD4"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AMBITION</w:t>
            </w:r>
          </w:p>
        </w:tc>
        <w:tc>
          <w:tcPr>
            <w:tcW w:w="938" w:type="pct"/>
            <w:gridSpan w:val="2"/>
            <w:tcBorders>
              <w:bottom w:val="single" w:sz="4" w:space="0" w:color="auto"/>
            </w:tcBorders>
          </w:tcPr>
          <w:p w14:paraId="4C338A8D" w14:textId="23E9A6D1" w:rsidR="00DC224A" w:rsidRPr="005A5612" w:rsidRDefault="00411076" w:rsidP="0072377D">
            <w:pPr>
              <w:keepNext/>
              <w:keepLines/>
              <w:numPr>
                <w:ilvl w:val="12"/>
                <w:numId w:val="0"/>
              </w:numPr>
              <w:ind w:right="-2"/>
              <w:jc w:val="center"/>
              <w:rPr>
                <w:b/>
                <w:bCs/>
                <w:sz w:val="18"/>
                <w:szCs w:val="18"/>
                <w:lang w:val="en-GB"/>
              </w:rPr>
            </w:pPr>
            <w:ins w:id="1956" w:author="AUTHOR">
              <w:r w:rsidRPr="005A5612">
                <w:rPr>
                  <w:b/>
                  <w:bCs/>
                  <w:sz w:val="18"/>
                  <w:szCs w:val="18"/>
                  <w:lang w:val="es-ES_tradnl"/>
                </w:rPr>
                <w:t>E</w:t>
              </w:r>
              <w:r>
                <w:rPr>
                  <w:b/>
                  <w:bCs/>
                  <w:sz w:val="18"/>
                  <w:szCs w:val="18"/>
                  <w:lang w:val="es-ES_tradnl"/>
                </w:rPr>
                <w:t>nsayo</w:t>
              </w:r>
            </w:ins>
            <w:del w:id="1957" w:author="AUTHOR">
              <w:r w:rsidR="00DC224A" w:rsidRPr="005A5612" w:rsidDel="00411076">
                <w:rPr>
                  <w:b/>
                  <w:bCs/>
                  <w:sz w:val="18"/>
                  <w:szCs w:val="18"/>
                  <w:lang w:val="es-ES_tradnl"/>
                </w:rPr>
                <w:delText>Estudio</w:delText>
              </w:r>
            </w:del>
            <w:r w:rsidR="00DC224A" w:rsidRPr="005A5612">
              <w:rPr>
                <w:b/>
                <w:bCs/>
                <w:sz w:val="18"/>
                <w:szCs w:val="18"/>
                <w:lang w:val="es-ES_tradnl"/>
              </w:rPr>
              <w:t xml:space="preserve"> II</w:t>
            </w:r>
          </w:p>
          <w:p w14:paraId="70572992"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LITHE</w:t>
            </w:r>
          </w:p>
        </w:tc>
        <w:tc>
          <w:tcPr>
            <w:tcW w:w="938" w:type="pct"/>
            <w:gridSpan w:val="2"/>
            <w:tcBorders>
              <w:bottom w:val="single" w:sz="4" w:space="0" w:color="auto"/>
            </w:tcBorders>
          </w:tcPr>
          <w:p w14:paraId="5AE2CAE3" w14:textId="610ADC4E" w:rsidR="00DC224A" w:rsidRPr="005A5612" w:rsidRDefault="00411076" w:rsidP="0072377D">
            <w:pPr>
              <w:keepNext/>
              <w:keepLines/>
              <w:numPr>
                <w:ilvl w:val="12"/>
                <w:numId w:val="0"/>
              </w:numPr>
              <w:ind w:right="-2"/>
              <w:jc w:val="center"/>
              <w:rPr>
                <w:b/>
                <w:bCs/>
                <w:sz w:val="18"/>
                <w:szCs w:val="18"/>
                <w:lang w:val="en-GB"/>
              </w:rPr>
            </w:pPr>
            <w:ins w:id="1958" w:author="AUTHOR">
              <w:r w:rsidRPr="005A5612">
                <w:rPr>
                  <w:b/>
                  <w:bCs/>
                  <w:sz w:val="18"/>
                  <w:szCs w:val="18"/>
                  <w:lang w:val="es-ES_tradnl"/>
                </w:rPr>
                <w:t>E</w:t>
              </w:r>
              <w:r>
                <w:rPr>
                  <w:b/>
                  <w:bCs/>
                  <w:sz w:val="18"/>
                  <w:szCs w:val="18"/>
                  <w:lang w:val="es-ES_tradnl"/>
                </w:rPr>
                <w:t>nsayo</w:t>
              </w:r>
            </w:ins>
            <w:del w:id="1959" w:author="AUTHOR">
              <w:r w:rsidR="00DC224A" w:rsidRPr="005A5612" w:rsidDel="00411076">
                <w:rPr>
                  <w:b/>
                  <w:bCs/>
                  <w:sz w:val="18"/>
                  <w:szCs w:val="18"/>
                  <w:lang w:val="es-ES_tradnl"/>
                </w:rPr>
                <w:delText>Estudio</w:delText>
              </w:r>
            </w:del>
            <w:r w:rsidR="00DC224A" w:rsidRPr="005A5612">
              <w:rPr>
                <w:b/>
                <w:bCs/>
                <w:sz w:val="18"/>
                <w:szCs w:val="18"/>
                <w:lang w:val="es-ES_tradnl"/>
              </w:rPr>
              <w:t xml:space="preserve"> III</w:t>
            </w:r>
          </w:p>
          <w:p w14:paraId="498E4240"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OPTION</w:t>
            </w:r>
          </w:p>
        </w:tc>
        <w:tc>
          <w:tcPr>
            <w:tcW w:w="1031" w:type="pct"/>
            <w:gridSpan w:val="3"/>
            <w:tcBorders>
              <w:bottom w:val="single" w:sz="4" w:space="0" w:color="auto"/>
            </w:tcBorders>
          </w:tcPr>
          <w:p w14:paraId="71907EA5" w14:textId="7AFF7B18" w:rsidR="00DC224A" w:rsidRPr="005A5612" w:rsidRDefault="00411076" w:rsidP="0072377D">
            <w:pPr>
              <w:keepNext/>
              <w:keepLines/>
              <w:numPr>
                <w:ilvl w:val="12"/>
                <w:numId w:val="0"/>
              </w:numPr>
              <w:ind w:right="-2"/>
              <w:jc w:val="center"/>
              <w:rPr>
                <w:b/>
                <w:bCs/>
                <w:sz w:val="18"/>
                <w:szCs w:val="18"/>
                <w:lang w:val="en-GB"/>
              </w:rPr>
            </w:pPr>
            <w:ins w:id="1960" w:author="AUTHOR">
              <w:r w:rsidRPr="005A5612">
                <w:rPr>
                  <w:b/>
                  <w:bCs/>
                  <w:sz w:val="18"/>
                  <w:szCs w:val="18"/>
                  <w:lang w:val="es-ES_tradnl"/>
                </w:rPr>
                <w:t>E</w:t>
              </w:r>
              <w:r>
                <w:rPr>
                  <w:b/>
                  <w:bCs/>
                  <w:sz w:val="18"/>
                  <w:szCs w:val="18"/>
                  <w:lang w:val="es-ES_tradnl"/>
                </w:rPr>
                <w:t>nsayo</w:t>
              </w:r>
            </w:ins>
            <w:del w:id="1961" w:author="AUTHOR">
              <w:r w:rsidR="00DC224A" w:rsidRPr="005A5612" w:rsidDel="00411076">
                <w:rPr>
                  <w:b/>
                  <w:bCs/>
                  <w:sz w:val="18"/>
                  <w:szCs w:val="18"/>
                  <w:lang w:val="es-ES_tradnl"/>
                </w:rPr>
                <w:delText>Estudio</w:delText>
              </w:r>
            </w:del>
            <w:r w:rsidR="00DC224A" w:rsidRPr="005A5612">
              <w:rPr>
                <w:b/>
                <w:bCs/>
                <w:sz w:val="18"/>
                <w:szCs w:val="18"/>
                <w:lang w:val="es-ES_tradnl"/>
              </w:rPr>
              <w:t xml:space="preserve"> IV</w:t>
            </w:r>
          </w:p>
          <w:p w14:paraId="4F576146"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TOWARD</w:t>
            </w:r>
          </w:p>
        </w:tc>
        <w:tc>
          <w:tcPr>
            <w:tcW w:w="875" w:type="pct"/>
            <w:gridSpan w:val="2"/>
            <w:tcBorders>
              <w:bottom w:val="single" w:sz="4" w:space="0" w:color="auto"/>
            </w:tcBorders>
          </w:tcPr>
          <w:p w14:paraId="663B9278" w14:textId="0DE69BA3" w:rsidR="00DC224A" w:rsidRPr="005A5612" w:rsidRDefault="00411076" w:rsidP="0072377D">
            <w:pPr>
              <w:keepNext/>
              <w:keepLines/>
              <w:numPr>
                <w:ilvl w:val="12"/>
                <w:numId w:val="0"/>
              </w:numPr>
              <w:ind w:right="-2"/>
              <w:jc w:val="center"/>
              <w:rPr>
                <w:b/>
                <w:bCs/>
                <w:sz w:val="18"/>
                <w:szCs w:val="18"/>
                <w:lang w:val="en-GB"/>
              </w:rPr>
            </w:pPr>
            <w:ins w:id="1962" w:author="AUTHOR">
              <w:r w:rsidRPr="005A5612">
                <w:rPr>
                  <w:b/>
                  <w:bCs/>
                  <w:sz w:val="18"/>
                  <w:szCs w:val="18"/>
                  <w:lang w:val="es-ES_tradnl"/>
                </w:rPr>
                <w:t>E</w:t>
              </w:r>
              <w:r>
                <w:rPr>
                  <w:b/>
                  <w:bCs/>
                  <w:sz w:val="18"/>
                  <w:szCs w:val="18"/>
                  <w:lang w:val="es-ES_tradnl"/>
                </w:rPr>
                <w:t>nsayo</w:t>
              </w:r>
            </w:ins>
            <w:del w:id="1963" w:author="AUTHOR">
              <w:r w:rsidR="00DC224A" w:rsidRPr="005A5612" w:rsidDel="00411076">
                <w:rPr>
                  <w:b/>
                  <w:bCs/>
                  <w:sz w:val="18"/>
                  <w:szCs w:val="18"/>
                  <w:lang w:val="es-ES_tradnl"/>
                </w:rPr>
                <w:delText>Estudio</w:delText>
              </w:r>
            </w:del>
            <w:r w:rsidR="00DC224A" w:rsidRPr="005A5612">
              <w:rPr>
                <w:b/>
                <w:bCs/>
                <w:sz w:val="18"/>
                <w:szCs w:val="18"/>
                <w:lang w:val="es-ES_tradnl"/>
              </w:rPr>
              <w:t xml:space="preserve"> V</w:t>
            </w:r>
          </w:p>
          <w:p w14:paraId="166EEFD8"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RADIATE</w:t>
            </w:r>
          </w:p>
        </w:tc>
      </w:tr>
      <w:tr w:rsidR="00DC224A" w:rsidRPr="005A5612" w14:paraId="6269BFB6" w14:textId="77777777" w:rsidTr="0072377D">
        <w:trPr>
          <w:cantSplit/>
          <w:trHeight w:val="737"/>
        </w:trPr>
        <w:tc>
          <w:tcPr>
            <w:tcW w:w="432" w:type="pct"/>
          </w:tcPr>
          <w:p w14:paraId="02E48416"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Sema-na</w:t>
            </w:r>
          </w:p>
        </w:tc>
        <w:tc>
          <w:tcPr>
            <w:tcW w:w="443" w:type="pct"/>
            <w:tcBorders>
              <w:right w:val="single" w:sz="4" w:space="0" w:color="auto"/>
            </w:tcBorders>
          </w:tcPr>
          <w:p w14:paraId="13ABED2D"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TCZ</w:t>
            </w:r>
          </w:p>
          <w:p w14:paraId="45B69F22"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8 mg/kg</w:t>
            </w:r>
          </w:p>
        </w:tc>
        <w:tc>
          <w:tcPr>
            <w:tcW w:w="344" w:type="pct"/>
            <w:tcBorders>
              <w:left w:val="single" w:sz="4" w:space="0" w:color="auto"/>
              <w:right w:val="single" w:sz="4" w:space="0" w:color="auto"/>
            </w:tcBorders>
          </w:tcPr>
          <w:p w14:paraId="0A03A649"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MTX</w:t>
            </w:r>
          </w:p>
        </w:tc>
        <w:tc>
          <w:tcPr>
            <w:tcW w:w="469" w:type="pct"/>
            <w:tcBorders>
              <w:left w:val="single" w:sz="4" w:space="0" w:color="auto"/>
              <w:right w:val="single" w:sz="4" w:space="0" w:color="auto"/>
            </w:tcBorders>
          </w:tcPr>
          <w:p w14:paraId="490EE435"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es-ES_tradnl"/>
              </w:rPr>
              <w:t>TCZ</w:t>
            </w:r>
          </w:p>
          <w:p w14:paraId="5B55AD1A"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8 mg/kg + MTX</w:t>
            </w:r>
          </w:p>
        </w:tc>
        <w:tc>
          <w:tcPr>
            <w:tcW w:w="469" w:type="pct"/>
            <w:tcBorders>
              <w:left w:val="single" w:sz="4" w:space="0" w:color="auto"/>
              <w:right w:val="single" w:sz="4" w:space="0" w:color="auto"/>
            </w:tcBorders>
          </w:tcPr>
          <w:p w14:paraId="00DEB536"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PBO + MTX</w:t>
            </w:r>
          </w:p>
        </w:tc>
        <w:tc>
          <w:tcPr>
            <w:tcW w:w="469" w:type="pct"/>
            <w:tcBorders>
              <w:left w:val="single" w:sz="4" w:space="0" w:color="auto"/>
              <w:right w:val="single" w:sz="4" w:space="0" w:color="auto"/>
            </w:tcBorders>
          </w:tcPr>
          <w:p w14:paraId="7ADA8845"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es-ES_tradnl"/>
              </w:rPr>
              <w:t>TCZ</w:t>
            </w:r>
          </w:p>
          <w:p w14:paraId="2CAAACFD"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8 mg/kg + MTX</w:t>
            </w:r>
          </w:p>
        </w:tc>
        <w:tc>
          <w:tcPr>
            <w:tcW w:w="469" w:type="pct"/>
            <w:tcBorders>
              <w:left w:val="single" w:sz="4" w:space="0" w:color="auto"/>
            </w:tcBorders>
          </w:tcPr>
          <w:p w14:paraId="2ABB36E9"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PBO + MTX</w:t>
            </w:r>
          </w:p>
        </w:tc>
        <w:tc>
          <w:tcPr>
            <w:tcW w:w="516" w:type="pct"/>
            <w:tcBorders>
              <w:left w:val="nil"/>
              <w:right w:val="single" w:sz="4" w:space="0" w:color="auto"/>
            </w:tcBorders>
          </w:tcPr>
          <w:p w14:paraId="6B3649AE" w14:textId="77777777" w:rsidR="00DC224A" w:rsidRPr="005A5612" w:rsidRDefault="00DC224A" w:rsidP="0072377D">
            <w:pPr>
              <w:keepNext/>
              <w:keepLines/>
              <w:numPr>
                <w:ilvl w:val="12"/>
                <w:numId w:val="0"/>
              </w:numPr>
              <w:ind w:right="-2"/>
              <w:jc w:val="center"/>
              <w:rPr>
                <w:b/>
                <w:bCs/>
                <w:sz w:val="18"/>
                <w:szCs w:val="18"/>
                <w:lang w:val="fr-FR"/>
              </w:rPr>
            </w:pPr>
            <w:r w:rsidRPr="005A5612">
              <w:rPr>
                <w:b/>
                <w:bCs/>
                <w:sz w:val="18"/>
                <w:szCs w:val="18"/>
                <w:lang w:val="es-ES_tradnl"/>
              </w:rPr>
              <w:t>TCZ</w:t>
            </w:r>
          </w:p>
          <w:p w14:paraId="1CB58B87"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8 mg/kg + FAME</w:t>
            </w:r>
          </w:p>
        </w:tc>
        <w:tc>
          <w:tcPr>
            <w:tcW w:w="516" w:type="pct"/>
            <w:gridSpan w:val="2"/>
            <w:tcBorders>
              <w:left w:val="single" w:sz="4" w:space="0" w:color="auto"/>
            </w:tcBorders>
          </w:tcPr>
          <w:p w14:paraId="7BB6827F"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PBO + FAME</w:t>
            </w:r>
          </w:p>
        </w:tc>
        <w:tc>
          <w:tcPr>
            <w:tcW w:w="469" w:type="pct"/>
            <w:tcBorders>
              <w:left w:val="nil"/>
              <w:right w:val="single" w:sz="4" w:space="0" w:color="auto"/>
            </w:tcBorders>
          </w:tcPr>
          <w:p w14:paraId="23B934C7"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TCZ 8 mg/kg + MTX</w:t>
            </w:r>
          </w:p>
        </w:tc>
        <w:tc>
          <w:tcPr>
            <w:tcW w:w="406" w:type="pct"/>
            <w:tcBorders>
              <w:left w:val="single" w:sz="4" w:space="0" w:color="auto"/>
            </w:tcBorders>
          </w:tcPr>
          <w:p w14:paraId="132A8CD7"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PBO + MTX</w:t>
            </w:r>
            <w:r w:rsidRPr="005A5612">
              <w:rPr>
                <w:b/>
                <w:bCs/>
                <w:sz w:val="18"/>
                <w:szCs w:val="18"/>
                <w:lang w:val="en-GB"/>
              </w:rPr>
              <w:br/>
            </w:r>
          </w:p>
        </w:tc>
      </w:tr>
      <w:tr w:rsidR="00DC224A" w:rsidRPr="005A5612" w14:paraId="7AEE1085" w14:textId="77777777" w:rsidTr="0072377D">
        <w:trPr>
          <w:cantSplit/>
          <w:trHeight w:val="521"/>
        </w:trPr>
        <w:tc>
          <w:tcPr>
            <w:tcW w:w="432" w:type="pct"/>
          </w:tcPr>
          <w:p w14:paraId="0DEC9E62" w14:textId="77777777" w:rsidR="00DC224A" w:rsidRPr="005A5612" w:rsidRDefault="00DC224A" w:rsidP="0072377D">
            <w:pPr>
              <w:keepNext/>
              <w:keepLines/>
              <w:numPr>
                <w:ilvl w:val="12"/>
                <w:numId w:val="0"/>
              </w:numPr>
              <w:ind w:right="-2"/>
              <w:jc w:val="center"/>
              <w:rPr>
                <w:b/>
                <w:bCs/>
                <w:sz w:val="18"/>
                <w:szCs w:val="18"/>
                <w:lang w:val="en-GB"/>
              </w:rPr>
            </w:pPr>
          </w:p>
        </w:tc>
        <w:tc>
          <w:tcPr>
            <w:tcW w:w="443" w:type="pct"/>
            <w:tcBorders>
              <w:right w:val="single" w:sz="4" w:space="0" w:color="auto"/>
            </w:tcBorders>
          </w:tcPr>
          <w:p w14:paraId="4984D358"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07ACA439"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286</w:t>
            </w:r>
          </w:p>
        </w:tc>
        <w:tc>
          <w:tcPr>
            <w:tcW w:w="344" w:type="pct"/>
            <w:tcBorders>
              <w:left w:val="single" w:sz="4" w:space="0" w:color="auto"/>
              <w:right w:val="single" w:sz="4" w:space="0" w:color="auto"/>
            </w:tcBorders>
          </w:tcPr>
          <w:p w14:paraId="0524DC9A"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722FB4C4"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284</w:t>
            </w:r>
          </w:p>
        </w:tc>
        <w:tc>
          <w:tcPr>
            <w:tcW w:w="469" w:type="pct"/>
            <w:tcBorders>
              <w:left w:val="single" w:sz="4" w:space="0" w:color="auto"/>
              <w:right w:val="single" w:sz="4" w:space="0" w:color="auto"/>
            </w:tcBorders>
          </w:tcPr>
          <w:p w14:paraId="2B36C594"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es-ES_tradnl"/>
              </w:rPr>
              <w:t>N</w:t>
            </w:r>
            <w:r>
              <w:rPr>
                <w:b/>
                <w:bCs/>
                <w:sz w:val="18"/>
                <w:szCs w:val="18"/>
                <w:lang w:val="es-ES_tradnl"/>
              </w:rPr>
              <w:t>=</w:t>
            </w:r>
          </w:p>
          <w:p w14:paraId="6F469AB3"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pt-BR"/>
              </w:rPr>
              <w:t>398</w:t>
            </w:r>
          </w:p>
        </w:tc>
        <w:tc>
          <w:tcPr>
            <w:tcW w:w="469" w:type="pct"/>
            <w:tcBorders>
              <w:left w:val="single" w:sz="4" w:space="0" w:color="auto"/>
              <w:right w:val="single" w:sz="4" w:space="0" w:color="auto"/>
            </w:tcBorders>
          </w:tcPr>
          <w:p w14:paraId="02A9C05D"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454562A9"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393</w:t>
            </w:r>
          </w:p>
        </w:tc>
        <w:tc>
          <w:tcPr>
            <w:tcW w:w="469" w:type="pct"/>
            <w:tcBorders>
              <w:left w:val="single" w:sz="4" w:space="0" w:color="auto"/>
              <w:right w:val="single" w:sz="4" w:space="0" w:color="auto"/>
            </w:tcBorders>
          </w:tcPr>
          <w:p w14:paraId="11E6D40D"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es-ES_tradnl"/>
              </w:rPr>
              <w:t>N</w:t>
            </w:r>
            <w:r>
              <w:rPr>
                <w:b/>
                <w:bCs/>
                <w:sz w:val="18"/>
                <w:szCs w:val="18"/>
                <w:lang w:val="es-ES_tradnl"/>
              </w:rPr>
              <w:t>=</w:t>
            </w:r>
          </w:p>
          <w:p w14:paraId="5F61BB5B"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pt-BR"/>
              </w:rPr>
              <w:t>205</w:t>
            </w:r>
          </w:p>
        </w:tc>
        <w:tc>
          <w:tcPr>
            <w:tcW w:w="469" w:type="pct"/>
            <w:tcBorders>
              <w:left w:val="single" w:sz="4" w:space="0" w:color="auto"/>
            </w:tcBorders>
          </w:tcPr>
          <w:p w14:paraId="435D7A95"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74348EE0"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204</w:t>
            </w:r>
          </w:p>
        </w:tc>
        <w:tc>
          <w:tcPr>
            <w:tcW w:w="516" w:type="pct"/>
            <w:tcBorders>
              <w:left w:val="nil"/>
              <w:right w:val="single" w:sz="4" w:space="0" w:color="auto"/>
            </w:tcBorders>
          </w:tcPr>
          <w:p w14:paraId="1F5A2508"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604B6EE8"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803</w:t>
            </w:r>
          </w:p>
        </w:tc>
        <w:tc>
          <w:tcPr>
            <w:tcW w:w="516" w:type="pct"/>
            <w:gridSpan w:val="2"/>
            <w:tcBorders>
              <w:left w:val="single" w:sz="4" w:space="0" w:color="auto"/>
            </w:tcBorders>
          </w:tcPr>
          <w:p w14:paraId="48EAB3AA"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6EFB647C"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413</w:t>
            </w:r>
          </w:p>
        </w:tc>
        <w:tc>
          <w:tcPr>
            <w:tcW w:w="469" w:type="pct"/>
            <w:tcBorders>
              <w:left w:val="nil"/>
              <w:right w:val="single" w:sz="4" w:space="0" w:color="auto"/>
            </w:tcBorders>
          </w:tcPr>
          <w:p w14:paraId="3D4AE02F"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es-ES_tradnl"/>
              </w:rPr>
              <w:t>N</w:t>
            </w:r>
            <w:r>
              <w:rPr>
                <w:b/>
                <w:bCs/>
                <w:sz w:val="18"/>
                <w:szCs w:val="18"/>
                <w:lang w:val="es-ES_tradnl"/>
              </w:rPr>
              <w:t>=</w:t>
            </w:r>
          </w:p>
          <w:p w14:paraId="7C873DB7" w14:textId="77777777" w:rsidR="00DC224A" w:rsidRPr="005A5612" w:rsidRDefault="00DC224A" w:rsidP="0072377D">
            <w:pPr>
              <w:keepNext/>
              <w:keepLines/>
              <w:numPr>
                <w:ilvl w:val="12"/>
                <w:numId w:val="0"/>
              </w:numPr>
              <w:ind w:right="-2"/>
              <w:jc w:val="center"/>
              <w:rPr>
                <w:b/>
                <w:bCs/>
                <w:sz w:val="18"/>
                <w:szCs w:val="18"/>
                <w:lang w:val="pt-BR"/>
              </w:rPr>
            </w:pPr>
            <w:r w:rsidRPr="005A5612">
              <w:rPr>
                <w:b/>
                <w:bCs/>
                <w:sz w:val="18"/>
                <w:szCs w:val="18"/>
                <w:lang w:val="pt-BR"/>
              </w:rPr>
              <w:t>170</w:t>
            </w:r>
          </w:p>
        </w:tc>
        <w:tc>
          <w:tcPr>
            <w:tcW w:w="406" w:type="pct"/>
            <w:tcBorders>
              <w:left w:val="single" w:sz="4" w:space="0" w:color="auto"/>
            </w:tcBorders>
          </w:tcPr>
          <w:p w14:paraId="6B57A318"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s-ES_tradnl"/>
              </w:rPr>
              <w:t>N</w:t>
            </w:r>
            <w:r>
              <w:rPr>
                <w:b/>
                <w:bCs/>
                <w:sz w:val="18"/>
                <w:szCs w:val="18"/>
                <w:lang w:val="es-ES_tradnl"/>
              </w:rPr>
              <w:t>=</w:t>
            </w:r>
          </w:p>
          <w:p w14:paraId="1C18B540" w14:textId="77777777" w:rsidR="00DC224A" w:rsidRPr="005A5612" w:rsidRDefault="00DC224A" w:rsidP="0072377D">
            <w:pPr>
              <w:keepNext/>
              <w:keepLines/>
              <w:numPr>
                <w:ilvl w:val="12"/>
                <w:numId w:val="0"/>
              </w:numPr>
              <w:ind w:right="-2"/>
              <w:jc w:val="center"/>
              <w:rPr>
                <w:b/>
                <w:bCs/>
                <w:sz w:val="18"/>
                <w:szCs w:val="18"/>
                <w:lang w:val="en-GB"/>
              </w:rPr>
            </w:pPr>
            <w:r w:rsidRPr="005A5612">
              <w:rPr>
                <w:b/>
                <w:bCs/>
                <w:sz w:val="18"/>
                <w:szCs w:val="18"/>
                <w:lang w:val="en-GB"/>
              </w:rPr>
              <w:t>158</w:t>
            </w:r>
          </w:p>
        </w:tc>
      </w:tr>
      <w:tr w:rsidR="00DC224A" w:rsidRPr="005A5612" w14:paraId="0CC48D12" w14:textId="77777777" w:rsidTr="0072377D">
        <w:trPr>
          <w:cantSplit/>
        </w:trPr>
        <w:tc>
          <w:tcPr>
            <w:tcW w:w="5000" w:type="pct"/>
            <w:gridSpan w:val="12"/>
          </w:tcPr>
          <w:p w14:paraId="19FCA7F8" w14:textId="77777777" w:rsidR="00DC224A" w:rsidRPr="005A5612" w:rsidRDefault="00DC224A" w:rsidP="0072377D">
            <w:pPr>
              <w:keepNext/>
              <w:keepLines/>
              <w:numPr>
                <w:ilvl w:val="12"/>
                <w:numId w:val="0"/>
              </w:numPr>
              <w:ind w:right="-2"/>
              <w:jc w:val="center"/>
              <w:rPr>
                <w:sz w:val="18"/>
                <w:szCs w:val="18"/>
              </w:rPr>
            </w:pPr>
            <w:r w:rsidRPr="005A5612">
              <w:rPr>
                <w:b/>
                <w:bCs/>
                <w:sz w:val="18"/>
                <w:szCs w:val="18"/>
                <w:lang w:val="es-ES_tradnl"/>
              </w:rPr>
              <w:t>ACR 20</w:t>
            </w:r>
          </w:p>
        </w:tc>
      </w:tr>
      <w:tr w:rsidR="00DC224A" w:rsidRPr="005A5612" w14:paraId="0674AD38" w14:textId="77777777" w:rsidTr="0072377D">
        <w:trPr>
          <w:cantSplit/>
        </w:trPr>
        <w:tc>
          <w:tcPr>
            <w:tcW w:w="432" w:type="pct"/>
            <w:tcBorders>
              <w:right w:val="single" w:sz="4" w:space="0" w:color="auto"/>
            </w:tcBorders>
          </w:tcPr>
          <w:p w14:paraId="6B6492F3"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24</w:t>
            </w:r>
          </w:p>
        </w:tc>
        <w:tc>
          <w:tcPr>
            <w:tcW w:w="443" w:type="pct"/>
            <w:tcBorders>
              <w:left w:val="single" w:sz="4" w:space="0" w:color="auto"/>
              <w:right w:val="single" w:sz="4" w:space="0" w:color="auto"/>
            </w:tcBorders>
          </w:tcPr>
          <w:p w14:paraId="0C6662F3"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70 %***</w:t>
            </w:r>
          </w:p>
        </w:tc>
        <w:tc>
          <w:tcPr>
            <w:tcW w:w="344" w:type="pct"/>
            <w:tcBorders>
              <w:left w:val="single" w:sz="4" w:space="0" w:color="auto"/>
              <w:right w:val="single" w:sz="4" w:space="0" w:color="auto"/>
            </w:tcBorders>
          </w:tcPr>
          <w:p w14:paraId="4EEEC2B1"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52 %</w:t>
            </w:r>
          </w:p>
        </w:tc>
        <w:tc>
          <w:tcPr>
            <w:tcW w:w="469" w:type="pct"/>
            <w:tcBorders>
              <w:left w:val="single" w:sz="4" w:space="0" w:color="auto"/>
              <w:right w:val="single" w:sz="4" w:space="0" w:color="auto"/>
            </w:tcBorders>
          </w:tcPr>
          <w:p w14:paraId="38AFE5E8"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56 %***</w:t>
            </w:r>
          </w:p>
        </w:tc>
        <w:tc>
          <w:tcPr>
            <w:tcW w:w="469" w:type="pct"/>
            <w:tcBorders>
              <w:left w:val="single" w:sz="4" w:space="0" w:color="auto"/>
              <w:right w:val="single" w:sz="4" w:space="0" w:color="auto"/>
            </w:tcBorders>
          </w:tcPr>
          <w:p w14:paraId="4F13B472"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27 %</w:t>
            </w:r>
          </w:p>
        </w:tc>
        <w:tc>
          <w:tcPr>
            <w:tcW w:w="469" w:type="pct"/>
            <w:tcBorders>
              <w:left w:val="single" w:sz="4" w:space="0" w:color="auto"/>
              <w:right w:val="single" w:sz="4" w:space="0" w:color="auto"/>
            </w:tcBorders>
          </w:tcPr>
          <w:p w14:paraId="41FE57F9"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59 %***</w:t>
            </w:r>
          </w:p>
        </w:tc>
        <w:tc>
          <w:tcPr>
            <w:tcW w:w="469" w:type="pct"/>
            <w:tcBorders>
              <w:left w:val="single" w:sz="4" w:space="0" w:color="auto"/>
            </w:tcBorders>
          </w:tcPr>
          <w:p w14:paraId="5581CE23"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26 %</w:t>
            </w:r>
          </w:p>
        </w:tc>
        <w:tc>
          <w:tcPr>
            <w:tcW w:w="516" w:type="pct"/>
            <w:tcBorders>
              <w:left w:val="nil"/>
            </w:tcBorders>
          </w:tcPr>
          <w:p w14:paraId="6FCDF705"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61 %***</w:t>
            </w:r>
          </w:p>
        </w:tc>
        <w:tc>
          <w:tcPr>
            <w:tcW w:w="516" w:type="pct"/>
            <w:gridSpan w:val="2"/>
            <w:tcBorders>
              <w:left w:val="nil"/>
            </w:tcBorders>
          </w:tcPr>
          <w:p w14:paraId="4B8A60A5"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24 %</w:t>
            </w:r>
          </w:p>
        </w:tc>
        <w:tc>
          <w:tcPr>
            <w:tcW w:w="469" w:type="pct"/>
            <w:tcBorders>
              <w:left w:val="nil"/>
            </w:tcBorders>
          </w:tcPr>
          <w:p w14:paraId="16AA6E17"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50 %***</w:t>
            </w:r>
          </w:p>
        </w:tc>
        <w:tc>
          <w:tcPr>
            <w:tcW w:w="406" w:type="pct"/>
            <w:tcBorders>
              <w:left w:val="nil"/>
            </w:tcBorders>
          </w:tcPr>
          <w:p w14:paraId="234E1B29"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10 %</w:t>
            </w:r>
          </w:p>
        </w:tc>
      </w:tr>
      <w:tr w:rsidR="00DC224A" w:rsidRPr="005A5612" w14:paraId="6093FEB6" w14:textId="77777777" w:rsidTr="0072377D">
        <w:trPr>
          <w:cantSplit/>
        </w:trPr>
        <w:tc>
          <w:tcPr>
            <w:tcW w:w="432" w:type="pct"/>
            <w:tcBorders>
              <w:right w:val="single" w:sz="4" w:space="0" w:color="auto"/>
            </w:tcBorders>
          </w:tcPr>
          <w:p w14:paraId="4525EF19"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52</w:t>
            </w:r>
          </w:p>
        </w:tc>
        <w:tc>
          <w:tcPr>
            <w:tcW w:w="443" w:type="pct"/>
            <w:tcBorders>
              <w:left w:val="single" w:sz="4" w:space="0" w:color="auto"/>
              <w:right w:val="single" w:sz="4" w:space="0" w:color="auto"/>
            </w:tcBorders>
          </w:tcPr>
          <w:p w14:paraId="5B525CEF" w14:textId="77777777" w:rsidR="00DC224A" w:rsidRPr="005A5612" w:rsidRDefault="00DC224A" w:rsidP="0072377D">
            <w:pPr>
              <w:keepNext/>
              <w:keepLines/>
              <w:numPr>
                <w:ilvl w:val="12"/>
                <w:numId w:val="0"/>
              </w:numPr>
              <w:ind w:right="-2"/>
              <w:jc w:val="center"/>
              <w:rPr>
                <w:sz w:val="18"/>
                <w:szCs w:val="18"/>
                <w:lang w:val="en-GB"/>
              </w:rPr>
            </w:pPr>
          </w:p>
        </w:tc>
        <w:tc>
          <w:tcPr>
            <w:tcW w:w="344" w:type="pct"/>
            <w:tcBorders>
              <w:left w:val="single" w:sz="4" w:space="0" w:color="auto"/>
              <w:right w:val="single" w:sz="4" w:space="0" w:color="auto"/>
            </w:tcBorders>
          </w:tcPr>
          <w:p w14:paraId="01C42847" w14:textId="77777777" w:rsidR="00DC224A" w:rsidRPr="005A5612" w:rsidRDefault="00DC224A" w:rsidP="0072377D">
            <w:pPr>
              <w:keepNext/>
              <w:keepLines/>
              <w:numPr>
                <w:ilvl w:val="12"/>
                <w:numId w:val="0"/>
              </w:numPr>
              <w:ind w:right="-2"/>
              <w:jc w:val="center"/>
              <w:rPr>
                <w:sz w:val="18"/>
                <w:szCs w:val="18"/>
                <w:lang w:val="en-GB"/>
              </w:rPr>
            </w:pPr>
          </w:p>
        </w:tc>
        <w:tc>
          <w:tcPr>
            <w:tcW w:w="469" w:type="pct"/>
            <w:tcBorders>
              <w:left w:val="single" w:sz="4" w:space="0" w:color="auto"/>
              <w:right w:val="single" w:sz="4" w:space="0" w:color="auto"/>
            </w:tcBorders>
          </w:tcPr>
          <w:p w14:paraId="5D49CB09"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56 %***</w:t>
            </w:r>
          </w:p>
        </w:tc>
        <w:tc>
          <w:tcPr>
            <w:tcW w:w="469" w:type="pct"/>
            <w:tcBorders>
              <w:left w:val="single" w:sz="4" w:space="0" w:color="auto"/>
              <w:right w:val="single" w:sz="4" w:space="0" w:color="auto"/>
            </w:tcBorders>
          </w:tcPr>
          <w:p w14:paraId="72FF0EA8"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25 %</w:t>
            </w:r>
          </w:p>
        </w:tc>
        <w:tc>
          <w:tcPr>
            <w:tcW w:w="469" w:type="pct"/>
            <w:tcBorders>
              <w:left w:val="single" w:sz="4" w:space="0" w:color="auto"/>
              <w:right w:val="single" w:sz="4" w:space="0" w:color="auto"/>
            </w:tcBorders>
          </w:tcPr>
          <w:p w14:paraId="3DE23393" w14:textId="77777777" w:rsidR="00DC224A" w:rsidRPr="005A5612" w:rsidRDefault="00DC224A" w:rsidP="0072377D">
            <w:pPr>
              <w:keepNext/>
              <w:keepLines/>
              <w:numPr>
                <w:ilvl w:val="12"/>
                <w:numId w:val="0"/>
              </w:numPr>
              <w:ind w:right="-2"/>
              <w:jc w:val="center"/>
              <w:rPr>
                <w:sz w:val="18"/>
                <w:szCs w:val="18"/>
                <w:lang w:val="en-GB"/>
              </w:rPr>
            </w:pPr>
          </w:p>
        </w:tc>
        <w:tc>
          <w:tcPr>
            <w:tcW w:w="469" w:type="pct"/>
            <w:tcBorders>
              <w:left w:val="single" w:sz="4" w:space="0" w:color="auto"/>
            </w:tcBorders>
          </w:tcPr>
          <w:p w14:paraId="29E161A6" w14:textId="77777777" w:rsidR="00DC224A" w:rsidRPr="005A5612" w:rsidRDefault="00DC224A" w:rsidP="0072377D">
            <w:pPr>
              <w:keepNext/>
              <w:keepLines/>
              <w:numPr>
                <w:ilvl w:val="12"/>
                <w:numId w:val="0"/>
              </w:numPr>
              <w:ind w:right="-2"/>
              <w:jc w:val="center"/>
              <w:rPr>
                <w:sz w:val="18"/>
                <w:szCs w:val="18"/>
                <w:lang w:val="en-GB"/>
              </w:rPr>
            </w:pPr>
          </w:p>
        </w:tc>
        <w:tc>
          <w:tcPr>
            <w:tcW w:w="516" w:type="pct"/>
            <w:tcBorders>
              <w:left w:val="nil"/>
            </w:tcBorders>
          </w:tcPr>
          <w:p w14:paraId="466BEF93" w14:textId="77777777" w:rsidR="00DC224A" w:rsidRPr="005A5612" w:rsidRDefault="00DC224A" w:rsidP="0072377D">
            <w:pPr>
              <w:keepNext/>
              <w:keepLines/>
              <w:numPr>
                <w:ilvl w:val="12"/>
                <w:numId w:val="0"/>
              </w:numPr>
              <w:ind w:right="-2"/>
              <w:jc w:val="center"/>
              <w:rPr>
                <w:sz w:val="18"/>
                <w:szCs w:val="18"/>
                <w:lang w:val="en-GB"/>
              </w:rPr>
            </w:pPr>
          </w:p>
        </w:tc>
        <w:tc>
          <w:tcPr>
            <w:tcW w:w="516" w:type="pct"/>
            <w:gridSpan w:val="2"/>
            <w:tcBorders>
              <w:left w:val="nil"/>
            </w:tcBorders>
          </w:tcPr>
          <w:p w14:paraId="35D2C52D" w14:textId="77777777" w:rsidR="00DC224A" w:rsidRPr="005A5612" w:rsidRDefault="00DC224A" w:rsidP="0072377D">
            <w:pPr>
              <w:keepNext/>
              <w:keepLines/>
              <w:numPr>
                <w:ilvl w:val="12"/>
                <w:numId w:val="0"/>
              </w:numPr>
              <w:ind w:right="-2"/>
              <w:jc w:val="center"/>
              <w:rPr>
                <w:sz w:val="18"/>
                <w:szCs w:val="18"/>
                <w:lang w:val="en-GB"/>
              </w:rPr>
            </w:pPr>
          </w:p>
        </w:tc>
        <w:tc>
          <w:tcPr>
            <w:tcW w:w="469" w:type="pct"/>
            <w:tcBorders>
              <w:left w:val="nil"/>
            </w:tcBorders>
          </w:tcPr>
          <w:p w14:paraId="71E322F7" w14:textId="77777777" w:rsidR="00DC224A" w:rsidRPr="005A5612" w:rsidRDefault="00DC224A" w:rsidP="0072377D">
            <w:pPr>
              <w:keepNext/>
              <w:keepLines/>
              <w:numPr>
                <w:ilvl w:val="12"/>
                <w:numId w:val="0"/>
              </w:numPr>
              <w:ind w:right="-2"/>
              <w:jc w:val="center"/>
              <w:rPr>
                <w:sz w:val="18"/>
                <w:szCs w:val="18"/>
                <w:lang w:val="en-GB"/>
              </w:rPr>
            </w:pPr>
          </w:p>
        </w:tc>
        <w:tc>
          <w:tcPr>
            <w:tcW w:w="406" w:type="pct"/>
            <w:tcBorders>
              <w:left w:val="nil"/>
            </w:tcBorders>
          </w:tcPr>
          <w:p w14:paraId="31C152D8" w14:textId="77777777" w:rsidR="00DC224A" w:rsidRPr="005A5612" w:rsidRDefault="00DC224A" w:rsidP="0072377D">
            <w:pPr>
              <w:keepNext/>
              <w:keepLines/>
              <w:numPr>
                <w:ilvl w:val="12"/>
                <w:numId w:val="0"/>
              </w:numPr>
              <w:ind w:right="-2"/>
              <w:jc w:val="center"/>
              <w:rPr>
                <w:sz w:val="18"/>
                <w:szCs w:val="18"/>
                <w:lang w:val="en-GB"/>
              </w:rPr>
            </w:pPr>
          </w:p>
        </w:tc>
      </w:tr>
      <w:tr w:rsidR="00DC224A" w:rsidRPr="005A5612" w14:paraId="067BD527" w14:textId="77777777" w:rsidTr="0072377D">
        <w:trPr>
          <w:cantSplit/>
        </w:trPr>
        <w:tc>
          <w:tcPr>
            <w:tcW w:w="5000" w:type="pct"/>
            <w:gridSpan w:val="12"/>
          </w:tcPr>
          <w:p w14:paraId="289F6895" w14:textId="77777777" w:rsidR="00DC224A" w:rsidRPr="005A5612" w:rsidRDefault="00DC224A" w:rsidP="0072377D">
            <w:pPr>
              <w:keepNext/>
              <w:keepLines/>
              <w:numPr>
                <w:ilvl w:val="12"/>
                <w:numId w:val="0"/>
              </w:numPr>
              <w:jc w:val="center"/>
              <w:rPr>
                <w:sz w:val="18"/>
                <w:szCs w:val="18"/>
              </w:rPr>
            </w:pPr>
            <w:r w:rsidRPr="005A5612">
              <w:rPr>
                <w:b/>
                <w:bCs/>
                <w:sz w:val="18"/>
                <w:szCs w:val="18"/>
                <w:lang w:val="es-ES_tradnl"/>
              </w:rPr>
              <w:t>ACR 50</w:t>
            </w:r>
          </w:p>
        </w:tc>
      </w:tr>
      <w:tr w:rsidR="00DC224A" w:rsidRPr="005A5612" w14:paraId="6C3C6077" w14:textId="77777777" w:rsidTr="0072377D">
        <w:trPr>
          <w:cantSplit/>
        </w:trPr>
        <w:tc>
          <w:tcPr>
            <w:tcW w:w="432" w:type="pct"/>
            <w:tcBorders>
              <w:right w:val="single" w:sz="4" w:space="0" w:color="auto"/>
            </w:tcBorders>
          </w:tcPr>
          <w:p w14:paraId="57ACF569"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24</w:t>
            </w:r>
          </w:p>
        </w:tc>
        <w:tc>
          <w:tcPr>
            <w:tcW w:w="443" w:type="pct"/>
            <w:tcBorders>
              <w:left w:val="single" w:sz="4" w:space="0" w:color="auto"/>
              <w:right w:val="single" w:sz="4" w:space="0" w:color="auto"/>
            </w:tcBorders>
          </w:tcPr>
          <w:p w14:paraId="214F987C"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44 %**</w:t>
            </w:r>
          </w:p>
        </w:tc>
        <w:tc>
          <w:tcPr>
            <w:tcW w:w="344" w:type="pct"/>
            <w:tcBorders>
              <w:left w:val="single" w:sz="4" w:space="0" w:color="auto"/>
              <w:right w:val="single" w:sz="4" w:space="0" w:color="auto"/>
            </w:tcBorders>
          </w:tcPr>
          <w:p w14:paraId="059990A3"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33 %</w:t>
            </w:r>
          </w:p>
        </w:tc>
        <w:tc>
          <w:tcPr>
            <w:tcW w:w="469" w:type="pct"/>
            <w:tcBorders>
              <w:left w:val="single" w:sz="4" w:space="0" w:color="auto"/>
              <w:right w:val="single" w:sz="4" w:space="0" w:color="auto"/>
            </w:tcBorders>
          </w:tcPr>
          <w:p w14:paraId="6F4E6A8B"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32 %***</w:t>
            </w:r>
          </w:p>
        </w:tc>
        <w:tc>
          <w:tcPr>
            <w:tcW w:w="469" w:type="pct"/>
            <w:tcBorders>
              <w:left w:val="single" w:sz="4" w:space="0" w:color="auto"/>
              <w:right w:val="single" w:sz="4" w:space="0" w:color="auto"/>
            </w:tcBorders>
          </w:tcPr>
          <w:p w14:paraId="2E5A5294"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10 %</w:t>
            </w:r>
          </w:p>
        </w:tc>
        <w:tc>
          <w:tcPr>
            <w:tcW w:w="469" w:type="pct"/>
            <w:tcBorders>
              <w:left w:val="single" w:sz="4" w:space="0" w:color="auto"/>
              <w:right w:val="single" w:sz="4" w:space="0" w:color="auto"/>
            </w:tcBorders>
          </w:tcPr>
          <w:p w14:paraId="5A1EC9D0"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44 %***</w:t>
            </w:r>
          </w:p>
        </w:tc>
        <w:tc>
          <w:tcPr>
            <w:tcW w:w="469" w:type="pct"/>
            <w:tcBorders>
              <w:left w:val="single" w:sz="4" w:space="0" w:color="auto"/>
            </w:tcBorders>
          </w:tcPr>
          <w:p w14:paraId="6A31066E"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11 %</w:t>
            </w:r>
          </w:p>
        </w:tc>
        <w:tc>
          <w:tcPr>
            <w:tcW w:w="516" w:type="pct"/>
            <w:tcBorders>
              <w:left w:val="nil"/>
            </w:tcBorders>
          </w:tcPr>
          <w:p w14:paraId="75D089F1"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38 %***</w:t>
            </w:r>
          </w:p>
        </w:tc>
        <w:tc>
          <w:tcPr>
            <w:tcW w:w="510" w:type="pct"/>
            <w:tcBorders>
              <w:left w:val="nil"/>
            </w:tcBorders>
          </w:tcPr>
          <w:p w14:paraId="5C48D68A"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9 %</w:t>
            </w:r>
          </w:p>
        </w:tc>
        <w:tc>
          <w:tcPr>
            <w:tcW w:w="474" w:type="pct"/>
            <w:gridSpan w:val="2"/>
            <w:tcBorders>
              <w:left w:val="nil"/>
            </w:tcBorders>
          </w:tcPr>
          <w:p w14:paraId="715B4CDD"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29 %***</w:t>
            </w:r>
          </w:p>
        </w:tc>
        <w:tc>
          <w:tcPr>
            <w:tcW w:w="406" w:type="pct"/>
            <w:tcBorders>
              <w:left w:val="nil"/>
            </w:tcBorders>
          </w:tcPr>
          <w:p w14:paraId="56A0A73B"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4 %</w:t>
            </w:r>
          </w:p>
        </w:tc>
      </w:tr>
      <w:tr w:rsidR="00DC224A" w:rsidRPr="005A5612" w14:paraId="617FCE7B" w14:textId="77777777" w:rsidTr="0072377D">
        <w:trPr>
          <w:cantSplit/>
        </w:trPr>
        <w:tc>
          <w:tcPr>
            <w:tcW w:w="432" w:type="pct"/>
            <w:tcBorders>
              <w:right w:val="single" w:sz="4" w:space="0" w:color="auto"/>
            </w:tcBorders>
          </w:tcPr>
          <w:p w14:paraId="634DB3DC"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52</w:t>
            </w:r>
          </w:p>
        </w:tc>
        <w:tc>
          <w:tcPr>
            <w:tcW w:w="443" w:type="pct"/>
            <w:tcBorders>
              <w:left w:val="single" w:sz="4" w:space="0" w:color="auto"/>
              <w:right w:val="single" w:sz="4" w:space="0" w:color="auto"/>
            </w:tcBorders>
          </w:tcPr>
          <w:p w14:paraId="36F9D7DD" w14:textId="77777777" w:rsidR="00DC224A" w:rsidRPr="005A5612" w:rsidRDefault="00DC224A" w:rsidP="0072377D">
            <w:pPr>
              <w:keepNext/>
              <w:keepLines/>
              <w:numPr>
                <w:ilvl w:val="12"/>
                <w:numId w:val="0"/>
              </w:numPr>
              <w:ind w:right="-2"/>
              <w:jc w:val="center"/>
              <w:rPr>
                <w:sz w:val="18"/>
                <w:szCs w:val="18"/>
                <w:lang w:val="en-GB"/>
              </w:rPr>
            </w:pPr>
          </w:p>
        </w:tc>
        <w:tc>
          <w:tcPr>
            <w:tcW w:w="344" w:type="pct"/>
            <w:tcBorders>
              <w:left w:val="single" w:sz="4" w:space="0" w:color="auto"/>
              <w:right w:val="single" w:sz="4" w:space="0" w:color="auto"/>
            </w:tcBorders>
          </w:tcPr>
          <w:p w14:paraId="29DB0411" w14:textId="77777777" w:rsidR="00DC224A" w:rsidRPr="005A5612" w:rsidRDefault="00DC224A" w:rsidP="0072377D">
            <w:pPr>
              <w:keepNext/>
              <w:keepLines/>
              <w:numPr>
                <w:ilvl w:val="12"/>
                <w:numId w:val="0"/>
              </w:numPr>
              <w:ind w:right="-2"/>
              <w:jc w:val="center"/>
              <w:rPr>
                <w:sz w:val="18"/>
                <w:szCs w:val="18"/>
                <w:lang w:val="en-GB"/>
              </w:rPr>
            </w:pPr>
          </w:p>
        </w:tc>
        <w:tc>
          <w:tcPr>
            <w:tcW w:w="469" w:type="pct"/>
            <w:tcBorders>
              <w:left w:val="single" w:sz="4" w:space="0" w:color="auto"/>
              <w:right w:val="single" w:sz="4" w:space="0" w:color="auto"/>
            </w:tcBorders>
          </w:tcPr>
          <w:p w14:paraId="5237BE4A"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36 %***</w:t>
            </w:r>
          </w:p>
        </w:tc>
        <w:tc>
          <w:tcPr>
            <w:tcW w:w="469" w:type="pct"/>
            <w:tcBorders>
              <w:left w:val="single" w:sz="4" w:space="0" w:color="auto"/>
              <w:right w:val="single" w:sz="4" w:space="0" w:color="auto"/>
            </w:tcBorders>
          </w:tcPr>
          <w:p w14:paraId="3F8C0CFA" w14:textId="77777777" w:rsidR="00DC224A" w:rsidRPr="005A5612" w:rsidRDefault="00DC224A" w:rsidP="0072377D">
            <w:pPr>
              <w:keepNext/>
              <w:keepLines/>
              <w:numPr>
                <w:ilvl w:val="12"/>
                <w:numId w:val="0"/>
              </w:numPr>
              <w:ind w:right="-2"/>
              <w:jc w:val="center"/>
              <w:rPr>
                <w:sz w:val="18"/>
                <w:szCs w:val="18"/>
                <w:lang w:val="en-GB"/>
              </w:rPr>
            </w:pPr>
            <w:r w:rsidRPr="005A5612">
              <w:rPr>
                <w:sz w:val="18"/>
                <w:szCs w:val="18"/>
                <w:lang w:val="en-GB"/>
              </w:rPr>
              <w:t>10 %</w:t>
            </w:r>
          </w:p>
        </w:tc>
        <w:tc>
          <w:tcPr>
            <w:tcW w:w="469" w:type="pct"/>
            <w:tcBorders>
              <w:left w:val="single" w:sz="4" w:space="0" w:color="auto"/>
              <w:right w:val="single" w:sz="4" w:space="0" w:color="auto"/>
            </w:tcBorders>
          </w:tcPr>
          <w:p w14:paraId="7ADAA277" w14:textId="77777777" w:rsidR="00DC224A" w:rsidRPr="005A5612" w:rsidRDefault="00DC224A" w:rsidP="0072377D">
            <w:pPr>
              <w:keepNext/>
              <w:keepLines/>
              <w:numPr>
                <w:ilvl w:val="12"/>
                <w:numId w:val="0"/>
              </w:numPr>
              <w:ind w:right="-2"/>
              <w:jc w:val="center"/>
              <w:rPr>
                <w:sz w:val="18"/>
                <w:szCs w:val="18"/>
                <w:lang w:val="en-GB"/>
              </w:rPr>
            </w:pPr>
          </w:p>
        </w:tc>
        <w:tc>
          <w:tcPr>
            <w:tcW w:w="469" w:type="pct"/>
            <w:tcBorders>
              <w:left w:val="single" w:sz="4" w:space="0" w:color="auto"/>
            </w:tcBorders>
          </w:tcPr>
          <w:p w14:paraId="3097B2A8" w14:textId="77777777" w:rsidR="00DC224A" w:rsidRPr="005A5612" w:rsidRDefault="00DC224A" w:rsidP="0072377D">
            <w:pPr>
              <w:keepNext/>
              <w:keepLines/>
              <w:numPr>
                <w:ilvl w:val="12"/>
                <w:numId w:val="0"/>
              </w:numPr>
              <w:ind w:right="-2"/>
              <w:jc w:val="center"/>
              <w:rPr>
                <w:sz w:val="18"/>
                <w:szCs w:val="18"/>
                <w:lang w:val="en-GB"/>
              </w:rPr>
            </w:pPr>
          </w:p>
        </w:tc>
        <w:tc>
          <w:tcPr>
            <w:tcW w:w="516" w:type="pct"/>
            <w:tcBorders>
              <w:left w:val="nil"/>
            </w:tcBorders>
          </w:tcPr>
          <w:p w14:paraId="46ADA196" w14:textId="77777777" w:rsidR="00DC224A" w:rsidRPr="005A5612" w:rsidRDefault="00DC224A" w:rsidP="0072377D">
            <w:pPr>
              <w:keepNext/>
              <w:keepLines/>
              <w:numPr>
                <w:ilvl w:val="12"/>
                <w:numId w:val="0"/>
              </w:numPr>
              <w:ind w:right="-2"/>
              <w:jc w:val="center"/>
              <w:rPr>
                <w:sz w:val="18"/>
                <w:szCs w:val="18"/>
                <w:lang w:val="en-GB"/>
              </w:rPr>
            </w:pPr>
          </w:p>
        </w:tc>
        <w:tc>
          <w:tcPr>
            <w:tcW w:w="510" w:type="pct"/>
            <w:tcBorders>
              <w:left w:val="nil"/>
            </w:tcBorders>
          </w:tcPr>
          <w:p w14:paraId="0E1CC712" w14:textId="77777777" w:rsidR="00DC224A" w:rsidRPr="005A5612" w:rsidRDefault="00DC224A" w:rsidP="0072377D">
            <w:pPr>
              <w:keepNext/>
              <w:keepLines/>
              <w:numPr>
                <w:ilvl w:val="12"/>
                <w:numId w:val="0"/>
              </w:numPr>
              <w:ind w:right="-2"/>
              <w:jc w:val="center"/>
              <w:rPr>
                <w:sz w:val="18"/>
                <w:szCs w:val="18"/>
                <w:lang w:val="en-GB"/>
              </w:rPr>
            </w:pPr>
          </w:p>
        </w:tc>
        <w:tc>
          <w:tcPr>
            <w:tcW w:w="474" w:type="pct"/>
            <w:gridSpan w:val="2"/>
            <w:tcBorders>
              <w:left w:val="nil"/>
            </w:tcBorders>
          </w:tcPr>
          <w:p w14:paraId="010DAD46" w14:textId="77777777" w:rsidR="00DC224A" w:rsidRPr="005A5612" w:rsidRDefault="00DC224A" w:rsidP="0072377D">
            <w:pPr>
              <w:keepNext/>
              <w:keepLines/>
              <w:numPr>
                <w:ilvl w:val="12"/>
                <w:numId w:val="0"/>
              </w:numPr>
              <w:ind w:right="-2"/>
              <w:jc w:val="center"/>
              <w:rPr>
                <w:sz w:val="18"/>
                <w:szCs w:val="18"/>
                <w:lang w:val="en-GB"/>
              </w:rPr>
            </w:pPr>
          </w:p>
        </w:tc>
        <w:tc>
          <w:tcPr>
            <w:tcW w:w="406" w:type="pct"/>
            <w:tcBorders>
              <w:left w:val="nil"/>
            </w:tcBorders>
          </w:tcPr>
          <w:p w14:paraId="04BCFE98" w14:textId="77777777" w:rsidR="00DC224A" w:rsidRPr="005A5612" w:rsidRDefault="00DC224A" w:rsidP="0072377D">
            <w:pPr>
              <w:keepNext/>
              <w:keepLines/>
              <w:numPr>
                <w:ilvl w:val="12"/>
                <w:numId w:val="0"/>
              </w:numPr>
              <w:ind w:right="-2"/>
              <w:jc w:val="center"/>
              <w:rPr>
                <w:sz w:val="18"/>
                <w:szCs w:val="18"/>
                <w:lang w:val="en-GB"/>
              </w:rPr>
            </w:pPr>
          </w:p>
        </w:tc>
      </w:tr>
      <w:tr w:rsidR="00DC224A" w:rsidRPr="005A5612" w14:paraId="37896CB2" w14:textId="77777777" w:rsidTr="0072377D">
        <w:trPr>
          <w:cantSplit/>
        </w:trPr>
        <w:tc>
          <w:tcPr>
            <w:tcW w:w="5000" w:type="pct"/>
            <w:gridSpan w:val="12"/>
          </w:tcPr>
          <w:p w14:paraId="7F213209" w14:textId="77777777" w:rsidR="00DC224A" w:rsidRPr="005A5612" w:rsidRDefault="00DC224A" w:rsidP="0072377D">
            <w:pPr>
              <w:keepNext/>
              <w:numPr>
                <w:ilvl w:val="12"/>
                <w:numId w:val="0"/>
              </w:numPr>
              <w:ind w:right="-2"/>
              <w:jc w:val="center"/>
              <w:rPr>
                <w:sz w:val="18"/>
                <w:szCs w:val="18"/>
              </w:rPr>
            </w:pPr>
            <w:r w:rsidRPr="005A5612">
              <w:rPr>
                <w:b/>
                <w:bCs/>
                <w:sz w:val="18"/>
                <w:szCs w:val="18"/>
                <w:lang w:val="es-ES_tradnl"/>
              </w:rPr>
              <w:t>ACR 70</w:t>
            </w:r>
          </w:p>
        </w:tc>
      </w:tr>
      <w:tr w:rsidR="00DC224A" w:rsidRPr="005A5612" w14:paraId="6A6E56DD" w14:textId="77777777" w:rsidTr="0072377D">
        <w:trPr>
          <w:cantSplit/>
        </w:trPr>
        <w:tc>
          <w:tcPr>
            <w:tcW w:w="432" w:type="pct"/>
            <w:tcBorders>
              <w:right w:val="single" w:sz="4" w:space="0" w:color="auto"/>
            </w:tcBorders>
          </w:tcPr>
          <w:p w14:paraId="2E1BB205"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24</w:t>
            </w:r>
          </w:p>
        </w:tc>
        <w:tc>
          <w:tcPr>
            <w:tcW w:w="443" w:type="pct"/>
            <w:tcBorders>
              <w:left w:val="single" w:sz="4" w:space="0" w:color="auto"/>
              <w:right w:val="single" w:sz="4" w:space="0" w:color="auto"/>
            </w:tcBorders>
          </w:tcPr>
          <w:p w14:paraId="77893CFC"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28 %**</w:t>
            </w:r>
          </w:p>
        </w:tc>
        <w:tc>
          <w:tcPr>
            <w:tcW w:w="344" w:type="pct"/>
            <w:tcBorders>
              <w:left w:val="single" w:sz="4" w:space="0" w:color="auto"/>
              <w:right w:val="single" w:sz="4" w:space="0" w:color="auto"/>
            </w:tcBorders>
          </w:tcPr>
          <w:p w14:paraId="66F58136"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15 %</w:t>
            </w:r>
          </w:p>
        </w:tc>
        <w:tc>
          <w:tcPr>
            <w:tcW w:w="469" w:type="pct"/>
            <w:tcBorders>
              <w:left w:val="single" w:sz="4" w:space="0" w:color="auto"/>
              <w:right w:val="single" w:sz="4" w:space="0" w:color="auto"/>
            </w:tcBorders>
          </w:tcPr>
          <w:p w14:paraId="736AE395"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13 %***</w:t>
            </w:r>
          </w:p>
        </w:tc>
        <w:tc>
          <w:tcPr>
            <w:tcW w:w="469" w:type="pct"/>
            <w:tcBorders>
              <w:left w:val="single" w:sz="4" w:space="0" w:color="auto"/>
              <w:right w:val="single" w:sz="4" w:space="0" w:color="auto"/>
            </w:tcBorders>
          </w:tcPr>
          <w:p w14:paraId="66A9CBB4"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2 %</w:t>
            </w:r>
          </w:p>
        </w:tc>
        <w:tc>
          <w:tcPr>
            <w:tcW w:w="469" w:type="pct"/>
            <w:tcBorders>
              <w:left w:val="single" w:sz="4" w:space="0" w:color="auto"/>
              <w:right w:val="single" w:sz="4" w:space="0" w:color="auto"/>
            </w:tcBorders>
          </w:tcPr>
          <w:p w14:paraId="1AF8ACE8"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22 %***</w:t>
            </w:r>
          </w:p>
        </w:tc>
        <w:tc>
          <w:tcPr>
            <w:tcW w:w="469" w:type="pct"/>
            <w:tcBorders>
              <w:left w:val="single" w:sz="4" w:space="0" w:color="auto"/>
            </w:tcBorders>
          </w:tcPr>
          <w:p w14:paraId="510E0511"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2 %</w:t>
            </w:r>
          </w:p>
        </w:tc>
        <w:tc>
          <w:tcPr>
            <w:tcW w:w="516" w:type="pct"/>
            <w:tcBorders>
              <w:left w:val="nil"/>
            </w:tcBorders>
          </w:tcPr>
          <w:p w14:paraId="21E52D47"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21 %***</w:t>
            </w:r>
          </w:p>
        </w:tc>
        <w:tc>
          <w:tcPr>
            <w:tcW w:w="516" w:type="pct"/>
            <w:gridSpan w:val="2"/>
            <w:tcBorders>
              <w:left w:val="nil"/>
            </w:tcBorders>
          </w:tcPr>
          <w:p w14:paraId="7006B6EF"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3 %</w:t>
            </w:r>
          </w:p>
        </w:tc>
        <w:tc>
          <w:tcPr>
            <w:tcW w:w="469" w:type="pct"/>
            <w:tcBorders>
              <w:left w:val="nil"/>
            </w:tcBorders>
          </w:tcPr>
          <w:p w14:paraId="4CA4ED3A"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12 %**</w:t>
            </w:r>
          </w:p>
        </w:tc>
        <w:tc>
          <w:tcPr>
            <w:tcW w:w="406" w:type="pct"/>
            <w:tcBorders>
              <w:left w:val="nil"/>
            </w:tcBorders>
          </w:tcPr>
          <w:p w14:paraId="6E2DB464"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1 %</w:t>
            </w:r>
          </w:p>
        </w:tc>
      </w:tr>
      <w:tr w:rsidR="00DC224A" w:rsidRPr="005A5612" w14:paraId="4E055E26" w14:textId="77777777" w:rsidTr="0072377D">
        <w:trPr>
          <w:cantSplit/>
        </w:trPr>
        <w:tc>
          <w:tcPr>
            <w:tcW w:w="432" w:type="pct"/>
          </w:tcPr>
          <w:p w14:paraId="260743EA"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52</w:t>
            </w:r>
          </w:p>
        </w:tc>
        <w:tc>
          <w:tcPr>
            <w:tcW w:w="443" w:type="pct"/>
            <w:tcBorders>
              <w:right w:val="nil"/>
            </w:tcBorders>
          </w:tcPr>
          <w:p w14:paraId="7FC5237F" w14:textId="77777777" w:rsidR="00DC224A" w:rsidRPr="005A5612" w:rsidRDefault="00DC224A" w:rsidP="0072377D">
            <w:pPr>
              <w:keepNext/>
              <w:numPr>
                <w:ilvl w:val="12"/>
                <w:numId w:val="0"/>
              </w:numPr>
              <w:ind w:right="-2"/>
              <w:jc w:val="center"/>
              <w:rPr>
                <w:sz w:val="18"/>
                <w:szCs w:val="18"/>
                <w:lang w:val="en-GB"/>
              </w:rPr>
            </w:pPr>
          </w:p>
        </w:tc>
        <w:tc>
          <w:tcPr>
            <w:tcW w:w="344" w:type="pct"/>
            <w:tcBorders>
              <w:left w:val="nil"/>
            </w:tcBorders>
          </w:tcPr>
          <w:p w14:paraId="48EFC7E1" w14:textId="77777777" w:rsidR="00DC224A" w:rsidRPr="005A5612" w:rsidRDefault="00DC224A" w:rsidP="0072377D">
            <w:pPr>
              <w:keepNext/>
              <w:numPr>
                <w:ilvl w:val="12"/>
                <w:numId w:val="0"/>
              </w:numPr>
              <w:ind w:right="-2"/>
              <w:jc w:val="center"/>
              <w:rPr>
                <w:sz w:val="18"/>
                <w:szCs w:val="18"/>
                <w:lang w:val="en-GB"/>
              </w:rPr>
            </w:pPr>
          </w:p>
        </w:tc>
        <w:tc>
          <w:tcPr>
            <w:tcW w:w="469" w:type="pct"/>
            <w:tcBorders>
              <w:right w:val="nil"/>
            </w:tcBorders>
          </w:tcPr>
          <w:p w14:paraId="31D3EF9C"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20 %***</w:t>
            </w:r>
          </w:p>
        </w:tc>
        <w:tc>
          <w:tcPr>
            <w:tcW w:w="469" w:type="pct"/>
            <w:tcBorders>
              <w:left w:val="nil"/>
            </w:tcBorders>
          </w:tcPr>
          <w:p w14:paraId="2A9C0A97" w14:textId="77777777" w:rsidR="00DC224A" w:rsidRPr="005A5612" w:rsidRDefault="00DC224A" w:rsidP="0072377D">
            <w:pPr>
              <w:keepNext/>
              <w:numPr>
                <w:ilvl w:val="12"/>
                <w:numId w:val="0"/>
              </w:numPr>
              <w:ind w:right="-2"/>
              <w:jc w:val="center"/>
              <w:rPr>
                <w:sz w:val="18"/>
                <w:szCs w:val="18"/>
                <w:lang w:val="en-GB"/>
              </w:rPr>
            </w:pPr>
            <w:r w:rsidRPr="005A5612">
              <w:rPr>
                <w:sz w:val="18"/>
                <w:szCs w:val="18"/>
                <w:lang w:val="en-GB"/>
              </w:rPr>
              <w:t>4 %</w:t>
            </w:r>
          </w:p>
        </w:tc>
        <w:tc>
          <w:tcPr>
            <w:tcW w:w="469" w:type="pct"/>
            <w:tcBorders>
              <w:right w:val="nil"/>
            </w:tcBorders>
          </w:tcPr>
          <w:p w14:paraId="3F4F114E" w14:textId="77777777" w:rsidR="00DC224A" w:rsidRPr="005A5612" w:rsidRDefault="00DC224A" w:rsidP="0072377D">
            <w:pPr>
              <w:keepNext/>
              <w:numPr>
                <w:ilvl w:val="12"/>
                <w:numId w:val="0"/>
              </w:numPr>
              <w:ind w:right="-2"/>
              <w:jc w:val="center"/>
              <w:rPr>
                <w:sz w:val="18"/>
                <w:szCs w:val="18"/>
                <w:lang w:val="en-GB"/>
              </w:rPr>
            </w:pPr>
          </w:p>
        </w:tc>
        <w:tc>
          <w:tcPr>
            <w:tcW w:w="469" w:type="pct"/>
            <w:tcBorders>
              <w:left w:val="nil"/>
            </w:tcBorders>
          </w:tcPr>
          <w:p w14:paraId="5757BDFE" w14:textId="77777777" w:rsidR="00DC224A" w:rsidRPr="005A5612" w:rsidRDefault="00DC224A" w:rsidP="0072377D">
            <w:pPr>
              <w:keepNext/>
              <w:numPr>
                <w:ilvl w:val="12"/>
                <w:numId w:val="0"/>
              </w:numPr>
              <w:ind w:right="-2"/>
              <w:jc w:val="center"/>
              <w:rPr>
                <w:sz w:val="18"/>
                <w:szCs w:val="18"/>
                <w:lang w:val="en-GB"/>
              </w:rPr>
            </w:pPr>
          </w:p>
        </w:tc>
        <w:tc>
          <w:tcPr>
            <w:tcW w:w="516" w:type="pct"/>
            <w:tcBorders>
              <w:left w:val="nil"/>
            </w:tcBorders>
          </w:tcPr>
          <w:p w14:paraId="5C209F40" w14:textId="77777777" w:rsidR="00DC224A" w:rsidRPr="005A5612" w:rsidRDefault="00DC224A" w:rsidP="0072377D">
            <w:pPr>
              <w:keepNext/>
              <w:numPr>
                <w:ilvl w:val="12"/>
                <w:numId w:val="0"/>
              </w:numPr>
              <w:ind w:right="-2"/>
              <w:jc w:val="center"/>
              <w:rPr>
                <w:sz w:val="18"/>
                <w:szCs w:val="18"/>
                <w:lang w:val="en-GB"/>
              </w:rPr>
            </w:pPr>
          </w:p>
        </w:tc>
        <w:tc>
          <w:tcPr>
            <w:tcW w:w="516" w:type="pct"/>
            <w:gridSpan w:val="2"/>
            <w:tcBorders>
              <w:left w:val="nil"/>
            </w:tcBorders>
          </w:tcPr>
          <w:p w14:paraId="6A8A3C41" w14:textId="77777777" w:rsidR="00DC224A" w:rsidRPr="005A5612" w:rsidRDefault="00DC224A" w:rsidP="0072377D">
            <w:pPr>
              <w:keepNext/>
              <w:numPr>
                <w:ilvl w:val="12"/>
                <w:numId w:val="0"/>
              </w:numPr>
              <w:ind w:right="-2"/>
              <w:jc w:val="center"/>
              <w:rPr>
                <w:sz w:val="18"/>
                <w:szCs w:val="18"/>
                <w:lang w:val="en-GB"/>
              </w:rPr>
            </w:pPr>
          </w:p>
        </w:tc>
        <w:tc>
          <w:tcPr>
            <w:tcW w:w="469" w:type="pct"/>
            <w:tcBorders>
              <w:left w:val="nil"/>
            </w:tcBorders>
          </w:tcPr>
          <w:p w14:paraId="543679EE" w14:textId="77777777" w:rsidR="00DC224A" w:rsidRPr="005A5612" w:rsidRDefault="00DC224A" w:rsidP="0072377D">
            <w:pPr>
              <w:keepNext/>
              <w:numPr>
                <w:ilvl w:val="12"/>
                <w:numId w:val="0"/>
              </w:numPr>
              <w:ind w:right="-2"/>
              <w:jc w:val="center"/>
              <w:rPr>
                <w:sz w:val="18"/>
                <w:szCs w:val="18"/>
                <w:lang w:val="en-GB"/>
              </w:rPr>
            </w:pPr>
          </w:p>
        </w:tc>
        <w:tc>
          <w:tcPr>
            <w:tcW w:w="406" w:type="pct"/>
            <w:tcBorders>
              <w:left w:val="nil"/>
            </w:tcBorders>
          </w:tcPr>
          <w:p w14:paraId="48F08404" w14:textId="77777777" w:rsidR="00DC224A" w:rsidRPr="005A5612" w:rsidRDefault="00DC224A" w:rsidP="0072377D">
            <w:pPr>
              <w:keepNext/>
              <w:numPr>
                <w:ilvl w:val="12"/>
                <w:numId w:val="0"/>
              </w:numPr>
              <w:ind w:right="-2"/>
              <w:jc w:val="center"/>
              <w:rPr>
                <w:sz w:val="18"/>
                <w:szCs w:val="18"/>
                <w:lang w:val="en-GB"/>
              </w:rPr>
            </w:pPr>
          </w:p>
        </w:tc>
      </w:tr>
    </w:tbl>
    <w:p w14:paraId="3EF9C9B2" w14:textId="77777777" w:rsidR="00DC224A" w:rsidRPr="00286CDE" w:rsidRDefault="00DC224A" w:rsidP="00DC224A">
      <w:pPr>
        <w:keepNext/>
        <w:numPr>
          <w:ilvl w:val="12"/>
          <w:numId w:val="0"/>
        </w:numPr>
        <w:ind w:right="-2"/>
        <w:rPr>
          <w:i/>
          <w:iCs/>
          <w:sz w:val="18"/>
          <w:szCs w:val="18"/>
          <w:lang w:val="en-GB"/>
        </w:rPr>
      </w:pPr>
      <w:r w:rsidRPr="00286CDE">
        <w:rPr>
          <w:i/>
          <w:iCs/>
          <w:sz w:val="18"/>
          <w:szCs w:val="18"/>
          <w:lang w:val="en-GB"/>
        </w:rPr>
        <w:t>TCZ</w:t>
      </w:r>
      <w:r w:rsidRPr="00286CDE">
        <w:rPr>
          <w:i/>
          <w:iCs/>
          <w:sz w:val="18"/>
          <w:szCs w:val="18"/>
          <w:lang w:val="en-GB"/>
        </w:rPr>
        <w:tab/>
      </w:r>
      <w:r w:rsidRPr="00286CDE">
        <w:rPr>
          <w:i/>
          <w:iCs/>
          <w:sz w:val="18"/>
          <w:szCs w:val="18"/>
          <w:lang w:val="en-GB"/>
        </w:rPr>
        <w:tab/>
        <w:t>-Tocilizumab</w:t>
      </w:r>
    </w:p>
    <w:p w14:paraId="0FBB8F1A" w14:textId="77777777" w:rsidR="00DC224A" w:rsidRPr="00286CDE" w:rsidRDefault="00DC224A" w:rsidP="00DC224A">
      <w:pPr>
        <w:keepNext/>
        <w:numPr>
          <w:ilvl w:val="12"/>
          <w:numId w:val="0"/>
        </w:numPr>
        <w:ind w:right="-2"/>
        <w:rPr>
          <w:lang w:val="en-GB"/>
        </w:rPr>
      </w:pPr>
      <w:r w:rsidRPr="00286CDE">
        <w:rPr>
          <w:i/>
          <w:iCs/>
          <w:sz w:val="18"/>
          <w:szCs w:val="18"/>
          <w:lang w:val="en-GB"/>
        </w:rPr>
        <w:t>MTX</w:t>
      </w:r>
      <w:r w:rsidRPr="00286CDE">
        <w:rPr>
          <w:i/>
          <w:iCs/>
          <w:sz w:val="18"/>
          <w:szCs w:val="18"/>
          <w:lang w:val="en-GB"/>
        </w:rPr>
        <w:tab/>
      </w:r>
      <w:r w:rsidRPr="00286CDE">
        <w:rPr>
          <w:i/>
          <w:iCs/>
          <w:sz w:val="18"/>
          <w:szCs w:val="18"/>
          <w:lang w:val="en-GB"/>
        </w:rPr>
        <w:tab/>
        <w:t>- Metotrexato</w:t>
      </w:r>
    </w:p>
    <w:p w14:paraId="296D9F54" w14:textId="77777777" w:rsidR="00DC224A" w:rsidRPr="00286CDE" w:rsidRDefault="00DC224A" w:rsidP="00DC224A">
      <w:pPr>
        <w:keepNext/>
        <w:numPr>
          <w:ilvl w:val="12"/>
          <w:numId w:val="0"/>
        </w:numPr>
        <w:ind w:right="-2"/>
        <w:rPr>
          <w:i/>
          <w:iCs/>
          <w:sz w:val="18"/>
          <w:szCs w:val="18"/>
          <w:lang w:val="en-GB"/>
        </w:rPr>
      </w:pPr>
      <w:r w:rsidRPr="00286CDE">
        <w:rPr>
          <w:i/>
          <w:iCs/>
          <w:sz w:val="18"/>
          <w:szCs w:val="18"/>
          <w:lang w:val="en-GB"/>
        </w:rPr>
        <w:t>PBO</w:t>
      </w:r>
      <w:r w:rsidRPr="00286CDE">
        <w:rPr>
          <w:i/>
          <w:iCs/>
          <w:sz w:val="18"/>
          <w:szCs w:val="18"/>
          <w:lang w:val="en-GB"/>
        </w:rPr>
        <w:tab/>
      </w:r>
      <w:r w:rsidRPr="00286CDE">
        <w:rPr>
          <w:i/>
          <w:iCs/>
          <w:sz w:val="18"/>
          <w:szCs w:val="18"/>
          <w:lang w:val="en-GB"/>
        </w:rPr>
        <w:tab/>
        <w:t>-Placebo</w:t>
      </w:r>
    </w:p>
    <w:p w14:paraId="6D862CE9" w14:textId="77777777" w:rsidR="00DC224A" w:rsidRPr="008A106B" w:rsidRDefault="00DC224A" w:rsidP="00DC224A">
      <w:pPr>
        <w:numPr>
          <w:ilvl w:val="12"/>
          <w:numId w:val="0"/>
        </w:numPr>
        <w:ind w:right="-2"/>
        <w:rPr>
          <w:lang w:val="es-ES_tradnl"/>
        </w:rPr>
      </w:pPr>
      <w:r w:rsidRPr="008A106B">
        <w:rPr>
          <w:i/>
          <w:iCs/>
          <w:sz w:val="18"/>
          <w:szCs w:val="18"/>
          <w:lang w:val="es-ES_tradnl"/>
        </w:rPr>
        <w:t>FAME</w:t>
      </w:r>
      <w:r w:rsidRPr="008A106B">
        <w:rPr>
          <w:i/>
          <w:iCs/>
          <w:sz w:val="18"/>
          <w:szCs w:val="18"/>
          <w:lang w:val="es-ES_tradnl"/>
        </w:rPr>
        <w:tab/>
        <w:t xml:space="preserve"> </w:t>
      </w:r>
      <w:r w:rsidRPr="008A106B">
        <w:rPr>
          <w:i/>
          <w:iCs/>
          <w:sz w:val="18"/>
          <w:szCs w:val="18"/>
          <w:lang w:val="es-ES_tradnl"/>
        </w:rPr>
        <w:tab/>
        <w:t xml:space="preserve">- Fármaco Antirreumático Modificador de la Enfermedad </w:t>
      </w:r>
    </w:p>
    <w:p w14:paraId="4F75C6DA" w14:textId="77777777" w:rsidR="00DC224A" w:rsidRPr="008A106B" w:rsidRDefault="00DC224A" w:rsidP="00DC224A">
      <w:pPr>
        <w:numPr>
          <w:ilvl w:val="12"/>
          <w:numId w:val="0"/>
        </w:numPr>
        <w:ind w:right="-2"/>
        <w:rPr>
          <w:i/>
          <w:iCs/>
          <w:sz w:val="18"/>
          <w:szCs w:val="18"/>
          <w:lang w:val="es-ES_tradnl"/>
        </w:rPr>
      </w:pPr>
      <w:r w:rsidRPr="008A106B">
        <w:rPr>
          <w:i/>
          <w:iCs/>
          <w:sz w:val="18"/>
          <w:szCs w:val="18"/>
          <w:lang w:val="es-ES_tradnl"/>
        </w:rPr>
        <w:t>*</w:t>
      </w:r>
      <w:r>
        <w:rPr>
          <w:i/>
          <w:iCs/>
          <w:sz w:val="18"/>
          <w:szCs w:val="18"/>
          <w:lang w:val="es-ES_tradnl"/>
        </w:rPr>
        <w:t xml:space="preserve">* </w:t>
      </w:r>
      <w:r>
        <w:rPr>
          <w:i/>
          <w:iCs/>
          <w:sz w:val="18"/>
          <w:szCs w:val="18"/>
          <w:lang w:val="es-ES_tradnl"/>
        </w:rPr>
        <w:tab/>
      </w:r>
      <w:r>
        <w:rPr>
          <w:i/>
          <w:iCs/>
          <w:sz w:val="18"/>
          <w:szCs w:val="18"/>
          <w:lang w:val="es-ES_tradnl"/>
        </w:rPr>
        <w:tab/>
        <w:t>- p&lt;0,01, TCZ VS PBO + MTX/</w:t>
      </w:r>
      <w:r w:rsidRPr="008A106B">
        <w:rPr>
          <w:i/>
          <w:iCs/>
          <w:sz w:val="18"/>
          <w:szCs w:val="18"/>
          <w:lang w:val="es-ES_tradnl"/>
        </w:rPr>
        <w:t xml:space="preserve">FAME </w:t>
      </w:r>
    </w:p>
    <w:p w14:paraId="745A7BB9" w14:textId="77777777" w:rsidR="00DC224A" w:rsidRPr="008A106B" w:rsidRDefault="00DC224A" w:rsidP="00DC224A">
      <w:pPr>
        <w:numPr>
          <w:ilvl w:val="12"/>
          <w:numId w:val="0"/>
        </w:numPr>
        <w:ind w:right="-2"/>
        <w:rPr>
          <w:i/>
          <w:iCs/>
          <w:sz w:val="18"/>
          <w:szCs w:val="18"/>
          <w:lang w:val="es-ES_tradnl"/>
        </w:rPr>
      </w:pPr>
      <w:r w:rsidRPr="008A106B">
        <w:rPr>
          <w:i/>
          <w:iCs/>
          <w:sz w:val="18"/>
          <w:szCs w:val="18"/>
          <w:lang w:val="es-ES_tradnl"/>
        </w:rPr>
        <w:t xml:space="preserve">*** </w:t>
      </w:r>
      <w:r>
        <w:rPr>
          <w:i/>
          <w:iCs/>
          <w:sz w:val="18"/>
          <w:szCs w:val="18"/>
          <w:lang w:val="es-ES_tradnl"/>
        </w:rPr>
        <w:tab/>
      </w:r>
      <w:r>
        <w:rPr>
          <w:i/>
          <w:iCs/>
          <w:sz w:val="18"/>
          <w:szCs w:val="18"/>
          <w:lang w:val="es-ES_tradnl"/>
        </w:rPr>
        <w:tab/>
        <w:t>- p&lt;0,0001, TCZ VS PBO + MTX/</w:t>
      </w:r>
      <w:r w:rsidRPr="008A106B">
        <w:rPr>
          <w:i/>
          <w:iCs/>
          <w:sz w:val="18"/>
          <w:szCs w:val="18"/>
          <w:lang w:val="es-ES_tradnl"/>
        </w:rPr>
        <w:t xml:space="preserve">FAME </w:t>
      </w:r>
    </w:p>
    <w:p w14:paraId="4E4962F0" w14:textId="77777777" w:rsidR="00DC224A" w:rsidRPr="008A106B" w:rsidRDefault="00DC224A" w:rsidP="00DC224A">
      <w:pPr>
        <w:numPr>
          <w:ilvl w:val="12"/>
          <w:numId w:val="0"/>
        </w:numPr>
        <w:rPr>
          <w:lang w:val="es-ES"/>
        </w:rPr>
      </w:pPr>
    </w:p>
    <w:p w14:paraId="70657F68" w14:textId="77777777" w:rsidR="00DC224A" w:rsidRPr="00F30AB8" w:rsidRDefault="00DC224A" w:rsidP="00DC224A">
      <w:pPr>
        <w:keepNext/>
        <w:numPr>
          <w:ilvl w:val="12"/>
          <w:numId w:val="0"/>
        </w:numPr>
        <w:rPr>
          <w:i/>
          <w:u w:val="single"/>
          <w:lang w:val="es-ES"/>
        </w:rPr>
      </w:pPr>
      <w:r w:rsidRPr="00F30AB8">
        <w:rPr>
          <w:i/>
          <w:u w:val="single"/>
          <w:lang w:val="es-ES"/>
        </w:rPr>
        <w:t xml:space="preserve">Respuesta clínica mayor </w:t>
      </w:r>
    </w:p>
    <w:p w14:paraId="00D59A0B" w14:textId="6A114903" w:rsidR="00DC224A" w:rsidRPr="008A106B" w:rsidRDefault="00DC224A" w:rsidP="00DC224A">
      <w:pPr>
        <w:numPr>
          <w:ilvl w:val="12"/>
          <w:numId w:val="0"/>
        </w:numPr>
        <w:rPr>
          <w:lang w:val="es-ES"/>
        </w:rPr>
      </w:pPr>
      <w:r w:rsidRPr="008A106B">
        <w:rPr>
          <w:lang w:val="es-ES"/>
        </w:rPr>
        <w:t xml:space="preserve">Después de 2 años de tratamiento con </w:t>
      </w:r>
      <w:r w:rsidR="00F435D3">
        <w:rPr>
          <w:lang w:val="es-ES"/>
        </w:rPr>
        <w:t>t</w:t>
      </w:r>
      <w:r w:rsidR="00F435D3" w:rsidRPr="00F30AB8">
        <w:rPr>
          <w:szCs w:val="22"/>
          <w:lang w:val="es-ES"/>
        </w:rPr>
        <w:t>ocilizumab</w:t>
      </w:r>
      <w:r w:rsidRPr="00C555F2">
        <w:rPr>
          <w:lang w:val="es-ES"/>
        </w:rPr>
        <w:t xml:space="preserve"> </w:t>
      </w:r>
      <w:r w:rsidRPr="008A106B">
        <w:rPr>
          <w:lang w:val="es-ES"/>
        </w:rPr>
        <w:t xml:space="preserve">y </w:t>
      </w:r>
      <w:r w:rsidR="006304B2">
        <w:rPr>
          <w:lang w:val="es-ES"/>
        </w:rPr>
        <w:t>MTX</w:t>
      </w:r>
      <w:r w:rsidRPr="008A106B">
        <w:rPr>
          <w:lang w:val="es-ES"/>
        </w:rPr>
        <w:t>, el 14</w:t>
      </w:r>
      <w:r>
        <w:rPr>
          <w:lang w:val="es-ES"/>
        </w:rPr>
        <w:t xml:space="preserve"> </w:t>
      </w:r>
      <w:r w:rsidRPr="008A106B">
        <w:rPr>
          <w:lang w:val="es-ES"/>
        </w:rPr>
        <w:t>% de los pacientes alcanzaron una respuesta clínica mayor (mantenimiento de la respuesta ACR 70 durante 24 semanas o más).</w:t>
      </w:r>
    </w:p>
    <w:p w14:paraId="1D8342C8" w14:textId="77777777" w:rsidR="00DC224A" w:rsidRPr="00F30AB8" w:rsidRDefault="00DC224A" w:rsidP="00DC224A">
      <w:pPr>
        <w:numPr>
          <w:ilvl w:val="12"/>
          <w:numId w:val="0"/>
        </w:numPr>
        <w:rPr>
          <w:u w:val="single"/>
          <w:lang w:val="es-ES"/>
        </w:rPr>
      </w:pPr>
    </w:p>
    <w:p w14:paraId="4FA5C1A2" w14:textId="77777777" w:rsidR="00DC224A" w:rsidRPr="008A106B" w:rsidRDefault="00DC224A" w:rsidP="00DC224A">
      <w:pPr>
        <w:rPr>
          <w:i/>
          <w:iCs/>
          <w:lang w:val="es-ES"/>
        </w:rPr>
      </w:pPr>
      <w:r w:rsidRPr="00F30AB8">
        <w:rPr>
          <w:i/>
          <w:iCs/>
          <w:u w:val="single"/>
          <w:lang w:val="es-ES_tradnl"/>
        </w:rPr>
        <w:t>Respuesta radiográfica</w:t>
      </w:r>
    </w:p>
    <w:p w14:paraId="25023410" w14:textId="342AF9B8" w:rsidR="00DC224A" w:rsidRPr="008A106B" w:rsidRDefault="00DC224A" w:rsidP="00DC224A">
      <w:pPr>
        <w:rPr>
          <w:lang w:val="es-ES_tradnl"/>
        </w:rPr>
      </w:pPr>
      <w:r w:rsidRPr="008A106B">
        <w:rPr>
          <w:lang w:val="es-ES_tradnl"/>
        </w:rPr>
        <w:t>En el ensayo II, en pacientes con una respuesta inadecuada a MTX, se evaluó radiográficamente la inhibición del daño articular estructural y se expresó como un cambio en la escala de Sharp modificada y sus componentes, la puntuación de erosión y la puntuación de estrechamiento del espacio articular.</w:t>
      </w:r>
      <w:r w:rsidRPr="008A106B">
        <w:rPr>
          <w:lang w:val="es-ES"/>
        </w:rPr>
        <w:t xml:space="preserve"> </w:t>
      </w:r>
      <w:r w:rsidRPr="008A106B">
        <w:rPr>
          <w:lang w:val="es-ES_tradnl"/>
        </w:rPr>
        <w:t xml:space="preserve">Se demostró inhibición del daño estructural articular con una progresión radiográfica significativamente menor en los pacientes que recibieron </w:t>
      </w:r>
      <w:r w:rsidR="00F435D3">
        <w:rPr>
          <w:lang w:val="es-ES"/>
        </w:rPr>
        <w:t>t</w:t>
      </w:r>
      <w:r w:rsidR="00F435D3" w:rsidRPr="00554BAE">
        <w:rPr>
          <w:szCs w:val="22"/>
          <w:lang w:val="es-ES"/>
        </w:rPr>
        <w:t>ocilizumab</w:t>
      </w:r>
      <w:r w:rsidRPr="006868F5">
        <w:rPr>
          <w:szCs w:val="22"/>
          <w:lang w:val="es-ES"/>
        </w:rPr>
        <w:t xml:space="preserve"> </w:t>
      </w:r>
      <w:r w:rsidRPr="008A106B">
        <w:rPr>
          <w:lang w:val="es-ES_tradnl"/>
        </w:rPr>
        <w:t>en comparación con el control (</w:t>
      </w:r>
      <w:r>
        <w:rPr>
          <w:lang w:val="es-ES_tradnl"/>
        </w:rPr>
        <w:t xml:space="preserve">ver </w:t>
      </w:r>
      <w:r w:rsidRPr="008A106B">
        <w:rPr>
          <w:lang w:val="es-ES_tradnl"/>
        </w:rPr>
        <w:t>Tabla </w:t>
      </w:r>
      <w:r w:rsidR="000B447D">
        <w:rPr>
          <w:lang w:val="es-ES_tradnl"/>
        </w:rPr>
        <w:t>6</w:t>
      </w:r>
      <w:r w:rsidRPr="008A106B">
        <w:rPr>
          <w:lang w:val="es-ES_tradnl"/>
        </w:rPr>
        <w:t>).</w:t>
      </w:r>
    </w:p>
    <w:p w14:paraId="609421A0" w14:textId="77777777" w:rsidR="00DC224A" w:rsidRPr="008A106B" w:rsidRDefault="00DC224A" w:rsidP="00DC224A">
      <w:pPr>
        <w:rPr>
          <w:lang w:val="es-ES"/>
        </w:rPr>
      </w:pPr>
    </w:p>
    <w:p w14:paraId="2DDAF2D5" w14:textId="3BDC35EB" w:rsidR="00DC224A" w:rsidRPr="008A106B" w:rsidRDefault="00DC224A" w:rsidP="00DC224A">
      <w:pPr>
        <w:rPr>
          <w:lang w:val="es-ES"/>
        </w:rPr>
      </w:pPr>
      <w:r w:rsidRPr="008A106B">
        <w:rPr>
          <w:lang w:val="es-ES"/>
        </w:rPr>
        <w:t>En la extensión abierta del e</w:t>
      </w:r>
      <w:r>
        <w:rPr>
          <w:lang w:val="es-ES"/>
        </w:rPr>
        <w:t>nsay</w:t>
      </w:r>
      <w:r w:rsidRPr="008A106B">
        <w:rPr>
          <w:lang w:val="es-ES"/>
        </w:rPr>
        <w:t xml:space="preserve">o II la inhibición de la progresión del daño estructural en los pacientes tratados con </w:t>
      </w:r>
      <w:r w:rsidR="00F435D3">
        <w:rPr>
          <w:lang w:val="es-ES"/>
        </w:rPr>
        <w:t>t</w:t>
      </w:r>
      <w:r w:rsidR="00F435D3" w:rsidRPr="00554BAE">
        <w:rPr>
          <w:szCs w:val="22"/>
          <w:lang w:val="es-ES"/>
        </w:rPr>
        <w:t>ocilizumab</w:t>
      </w:r>
      <w:r w:rsidRPr="00C555F2">
        <w:rPr>
          <w:lang w:val="es-ES"/>
        </w:rPr>
        <w:t xml:space="preserve"> </w:t>
      </w:r>
      <w:r w:rsidRPr="008A106B">
        <w:rPr>
          <w:lang w:val="es-ES"/>
        </w:rPr>
        <w:t xml:space="preserve">más MTX se mantuvo en el segundo año de tratamiento. En la semana 104 el cambio medio desde la basal en el índice total Sharp-Genant fue significativamente menor en los pacientes del </w:t>
      </w:r>
      <w:del w:id="1964" w:author="AUTHOR">
        <w:r w:rsidRPr="008A106B" w:rsidDel="004E273B">
          <w:rPr>
            <w:lang w:val="es-ES"/>
          </w:rPr>
          <w:delText xml:space="preserve">brazo </w:delText>
        </w:r>
      </w:del>
      <w:ins w:id="1965" w:author="AUTHOR">
        <w:r w:rsidR="004E273B">
          <w:rPr>
            <w:lang w:val="es-ES"/>
          </w:rPr>
          <w:t>grupo</w:t>
        </w:r>
        <w:r w:rsidR="004E273B" w:rsidRPr="008A106B">
          <w:rPr>
            <w:lang w:val="es-ES"/>
          </w:rPr>
          <w:t xml:space="preserve"> </w:t>
        </w:r>
      </w:ins>
      <w:r w:rsidR="00F435D3">
        <w:rPr>
          <w:lang w:val="es-ES"/>
        </w:rPr>
        <w:t>t</w:t>
      </w:r>
      <w:r w:rsidR="00F435D3" w:rsidRPr="00554BAE">
        <w:rPr>
          <w:szCs w:val="22"/>
          <w:lang w:val="es-ES"/>
        </w:rPr>
        <w:t>ocilizumab</w:t>
      </w:r>
      <w:r w:rsidRPr="006868F5">
        <w:rPr>
          <w:szCs w:val="22"/>
          <w:lang w:val="es-ES"/>
        </w:rPr>
        <w:t xml:space="preserve"> </w:t>
      </w:r>
      <w:r w:rsidRPr="008A106B">
        <w:rPr>
          <w:lang w:val="es-ES"/>
        </w:rPr>
        <w:t>8 mg/kg más MTX (p</w:t>
      </w:r>
      <w:r w:rsidR="00F435D3" w:rsidRPr="00F30AB8">
        <w:rPr>
          <w:rFonts w:eastAsia="MS Mincho"/>
          <w:sz w:val="10"/>
          <w:szCs w:val="22"/>
          <w:lang w:val="es-ES"/>
        </w:rPr>
        <w:t> </w:t>
      </w:r>
      <w:r w:rsidR="00F435D3" w:rsidRPr="00B65EA9">
        <w:rPr>
          <w:rFonts w:eastAsia="MS Mincho"/>
          <w:szCs w:val="22"/>
          <w:lang w:val="en-GB"/>
        </w:rPr>
        <w:sym w:font="Symbol" w:char="F03C"/>
      </w:r>
      <w:r w:rsidRPr="008A106B">
        <w:rPr>
          <w:lang w:val="es-ES"/>
        </w:rPr>
        <w:t>0</w:t>
      </w:r>
      <w:r>
        <w:rPr>
          <w:lang w:val="es-ES"/>
        </w:rPr>
        <w:t>,</w:t>
      </w:r>
      <w:r w:rsidRPr="008A106B">
        <w:rPr>
          <w:lang w:val="es-ES"/>
        </w:rPr>
        <w:t xml:space="preserve">0001) que en los del </w:t>
      </w:r>
      <w:del w:id="1966" w:author="AUTHOR">
        <w:r w:rsidRPr="008A106B" w:rsidDel="004E273B">
          <w:rPr>
            <w:lang w:val="es-ES"/>
          </w:rPr>
          <w:delText xml:space="preserve">brazo </w:delText>
        </w:r>
      </w:del>
      <w:ins w:id="1967" w:author="AUTHOR">
        <w:r w:rsidR="004E273B">
          <w:rPr>
            <w:lang w:val="es-ES"/>
          </w:rPr>
          <w:t>grupo</w:t>
        </w:r>
        <w:r w:rsidR="004E273B" w:rsidRPr="008A106B">
          <w:rPr>
            <w:lang w:val="es-ES"/>
          </w:rPr>
          <w:t xml:space="preserve"> </w:t>
        </w:r>
      </w:ins>
      <w:r w:rsidRPr="008A106B">
        <w:rPr>
          <w:lang w:val="es-ES"/>
        </w:rPr>
        <w:t xml:space="preserve">placebo más MTX. </w:t>
      </w:r>
    </w:p>
    <w:p w14:paraId="43A2AAF2" w14:textId="77777777" w:rsidR="00DC224A" w:rsidRPr="008A106B" w:rsidRDefault="00DC224A" w:rsidP="00DC224A">
      <w:pPr>
        <w:rPr>
          <w:lang w:val="es-ES"/>
        </w:rPr>
      </w:pPr>
    </w:p>
    <w:p w14:paraId="5284F063" w14:textId="361F2D04" w:rsidR="00DC224A" w:rsidRDefault="00DC224A" w:rsidP="00DC224A">
      <w:pPr>
        <w:rPr>
          <w:bCs/>
          <w:i/>
          <w:lang w:val="es-ES_tradnl"/>
        </w:rPr>
      </w:pPr>
      <w:r w:rsidRPr="008A106B">
        <w:rPr>
          <w:bCs/>
          <w:i/>
          <w:lang w:val="es-ES_tradnl"/>
        </w:rPr>
        <w:t>Tabla </w:t>
      </w:r>
      <w:r w:rsidR="000B447D">
        <w:rPr>
          <w:bCs/>
          <w:i/>
          <w:lang w:val="es-ES_tradnl"/>
        </w:rPr>
        <w:t>6</w:t>
      </w:r>
      <w:r w:rsidRPr="008A106B">
        <w:rPr>
          <w:bCs/>
          <w:i/>
          <w:lang w:val="es-ES_tradnl"/>
        </w:rPr>
        <w:t>. Cambios radiográficos medios en 52</w:t>
      </w:r>
      <w:r w:rsidR="006304B2">
        <w:rPr>
          <w:bCs/>
          <w:i/>
          <w:lang w:val="es-ES_tradnl"/>
        </w:rPr>
        <w:t> </w:t>
      </w:r>
      <w:r w:rsidRPr="008A106B">
        <w:rPr>
          <w:bCs/>
          <w:i/>
          <w:lang w:val="es-ES_tradnl"/>
        </w:rPr>
        <w:t>semanas en el e</w:t>
      </w:r>
      <w:r>
        <w:rPr>
          <w:bCs/>
          <w:i/>
          <w:lang w:val="es-ES_tradnl"/>
        </w:rPr>
        <w:t>nsay</w:t>
      </w:r>
      <w:r w:rsidRPr="008A106B">
        <w:rPr>
          <w:bCs/>
          <w:i/>
          <w:lang w:val="es-ES_tradnl"/>
        </w:rPr>
        <w:t>o II</w:t>
      </w:r>
    </w:p>
    <w:p w14:paraId="5106E413" w14:textId="77777777" w:rsidR="00904ED2" w:rsidRPr="008A106B" w:rsidRDefault="00904ED2" w:rsidP="00DC224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8"/>
        <w:gridCol w:w="2790"/>
        <w:gridCol w:w="2610"/>
      </w:tblGrid>
      <w:tr w:rsidR="00DC224A" w:rsidRPr="001335A4" w14:paraId="00FB0C2C" w14:textId="77777777" w:rsidTr="0072377D">
        <w:tc>
          <w:tcPr>
            <w:tcW w:w="2358" w:type="dxa"/>
          </w:tcPr>
          <w:p w14:paraId="10688C24" w14:textId="77777777" w:rsidR="00DC224A" w:rsidRPr="005A5612" w:rsidRDefault="00DC224A" w:rsidP="0072377D">
            <w:pPr>
              <w:rPr>
                <w:lang w:val="es-ES"/>
              </w:rPr>
            </w:pPr>
          </w:p>
        </w:tc>
        <w:tc>
          <w:tcPr>
            <w:tcW w:w="2790" w:type="dxa"/>
          </w:tcPr>
          <w:p w14:paraId="15D4EF63" w14:textId="77777777" w:rsidR="00DC224A" w:rsidRPr="005A5612" w:rsidRDefault="00DC224A" w:rsidP="0072377D">
            <w:pPr>
              <w:numPr>
                <w:ilvl w:val="12"/>
                <w:numId w:val="0"/>
              </w:numPr>
              <w:ind w:right="-2"/>
              <w:jc w:val="center"/>
              <w:rPr>
                <w:lang w:val="es-ES"/>
              </w:rPr>
            </w:pPr>
            <w:r w:rsidRPr="005A5612">
              <w:rPr>
                <w:b/>
                <w:bCs/>
                <w:sz w:val="20"/>
                <w:lang w:val="es-ES_tradnl"/>
              </w:rPr>
              <w:t>PBO + MTX</w:t>
            </w:r>
            <w:r w:rsidRPr="005A5612">
              <w:rPr>
                <w:b/>
                <w:bCs/>
                <w:sz w:val="20"/>
                <w:lang w:val="es-ES"/>
              </w:rPr>
              <w:t xml:space="preserve"> </w:t>
            </w:r>
          </w:p>
          <w:p w14:paraId="24F0662F" w14:textId="650EBD88" w:rsidR="00DC224A" w:rsidRPr="005A5612" w:rsidRDefault="00DC224A" w:rsidP="0072377D">
            <w:pPr>
              <w:numPr>
                <w:ilvl w:val="12"/>
                <w:numId w:val="0"/>
              </w:numPr>
              <w:ind w:right="-2"/>
              <w:jc w:val="center"/>
              <w:rPr>
                <w:b/>
                <w:bCs/>
                <w:sz w:val="20"/>
                <w:lang w:val="es-ES"/>
              </w:rPr>
            </w:pPr>
            <w:r w:rsidRPr="005A5612">
              <w:rPr>
                <w:b/>
                <w:bCs/>
                <w:sz w:val="20"/>
                <w:lang w:val="es-ES_tradnl"/>
              </w:rPr>
              <w:t>(+TCZ desde la semana</w:t>
            </w:r>
            <w:r w:rsidR="00031422" w:rsidRPr="00F30AB8">
              <w:rPr>
                <w:rFonts w:eastAsia="SimSun"/>
                <w:b/>
                <w:sz w:val="20"/>
                <w:lang w:val="es-ES" w:eastAsia="zh-CN"/>
              </w:rPr>
              <w:t> </w:t>
            </w:r>
            <w:r w:rsidRPr="005A5612">
              <w:rPr>
                <w:b/>
                <w:bCs/>
                <w:sz w:val="20"/>
                <w:lang w:val="es-ES_tradnl"/>
              </w:rPr>
              <w:t>24)</w:t>
            </w:r>
          </w:p>
          <w:p w14:paraId="358CDBE9" w14:textId="77777777" w:rsidR="00DC224A" w:rsidRPr="005A5612" w:rsidRDefault="00DC224A" w:rsidP="0072377D">
            <w:pPr>
              <w:jc w:val="center"/>
            </w:pPr>
            <w:r w:rsidRPr="005A5612">
              <w:rPr>
                <w:b/>
                <w:bCs/>
                <w:sz w:val="20"/>
                <w:lang w:val="es-ES_tradnl"/>
              </w:rPr>
              <w:t>N = 393</w:t>
            </w:r>
          </w:p>
        </w:tc>
        <w:tc>
          <w:tcPr>
            <w:tcW w:w="2610" w:type="dxa"/>
          </w:tcPr>
          <w:p w14:paraId="77DD5461" w14:textId="77777777" w:rsidR="00DC224A" w:rsidRPr="005A5612" w:rsidRDefault="00DC224A" w:rsidP="0072377D">
            <w:pPr>
              <w:jc w:val="center"/>
              <w:rPr>
                <w:lang w:val="pt-BR"/>
              </w:rPr>
            </w:pPr>
            <w:r w:rsidRPr="005A5612">
              <w:rPr>
                <w:b/>
                <w:bCs/>
                <w:sz w:val="20"/>
                <w:lang w:val="pt-BR"/>
              </w:rPr>
              <w:t>TCZ 8 mg/kg + MTX</w:t>
            </w:r>
            <w:r w:rsidRPr="005A5612">
              <w:rPr>
                <w:b/>
                <w:bCs/>
                <w:sz w:val="20"/>
                <w:lang w:val="pt-BR"/>
              </w:rPr>
              <w:br/>
              <w:t>N = 398</w:t>
            </w:r>
          </w:p>
        </w:tc>
      </w:tr>
      <w:tr w:rsidR="00DC224A" w:rsidRPr="005A5612" w14:paraId="05F4DE4D" w14:textId="77777777" w:rsidTr="0072377D">
        <w:tc>
          <w:tcPr>
            <w:tcW w:w="2358" w:type="dxa"/>
          </w:tcPr>
          <w:p w14:paraId="3A0E9C12" w14:textId="77777777" w:rsidR="00DC224A" w:rsidRPr="005A5612" w:rsidRDefault="00DC224A" w:rsidP="0072377D">
            <w:pPr>
              <w:rPr>
                <w:lang w:val="es-ES"/>
              </w:rPr>
            </w:pPr>
            <w:r w:rsidRPr="005A5612">
              <w:rPr>
                <w:lang w:val="es-ES_tradnl"/>
              </w:rPr>
              <w:t>Puntuación total de Sharp-Genant</w:t>
            </w:r>
          </w:p>
        </w:tc>
        <w:tc>
          <w:tcPr>
            <w:tcW w:w="2790" w:type="dxa"/>
          </w:tcPr>
          <w:p w14:paraId="5D863F32" w14:textId="77777777" w:rsidR="00DC224A" w:rsidRPr="005A5612" w:rsidRDefault="00DC224A" w:rsidP="0072377D">
            <w:pPr>
              <w:jc w:val="center"/>
              <w:rPr>
                <w:lang w:val="en-GB"/>
              </w:rPr>
            </w:pPr>
            <w:r w:rsidRPr="005A5612">
              <w:rPr>
                <w:lang w:val="en-GB"/>
              </w:rPr>
              <w:t>1,13</w:t>
            </w:r>
          </w:p>
        </w:tc>
        <w:tc>
          <w:tcPr>
            <w:tcW w:w="2610" w:type="dxa"/>
          </w:tcPr>
          <w:p w14:paraId="0233529C" w14:textId="77777777" w:rsidR="00DC224A" w:rsidRPr="005A5612" w:rsidRDefault="00DC224A" w:rsidP="0072377D">
            <w:pPr>
              <w:jc w:val="center"/>
              <w:rPr>
                <w:lang w:val="en-GB"/>
              </w:rPr>
            </w:pPr>
            <w:r w:rsidRPr="005A5612">
              <w:rPr>
                <w:lang w:val="en-GB"/>
              </w:rPr>
              <w:t>0,29*</w:t>
            </w:r>
          </w:p>
        </w:tc>
      </w:tr>
      <w:tr w:rsidR="00DC224A" w:rsidRPr="005A5612" w14:paraId="28492FA4" w14:textId="77777777" w:rsidTr="0072377D">
        <w:tc>
          <w:tcPr>
            <w:tcW w:w="2358" w:type="dxa"/>
          </w:tcPr>
          <w:p w14:paraId="1E00E939" w14:textId="77777777" w:rsidR="00DC224A" w:rsidRPr="005A5612" w:rsidRDefault="00DC224A" w:rsidP="0072377D">
            <w:r w:rsidRPr="005A5612">
              <w:rPr>
                <w:lang w:val="es-ES_tradnl"/>
              </w:rPr>
              <w:t>Puntuación de erosión</w:t>
            </w:r>
          </w:p>
        </w:tc>
        <w:tc>
          <w:tcPr>
            <w:tcW w:w="2790" w:type="dxa"/>
          </w:tcPr>
          <w:p w14:paraId="23FFF17D" w14:textId="77777777" w:rsidR="00DC224A" w:rsidRPr="005A5612" w:rsidRDefault="00DC224A" w:rsidP="0072377D">
            <w:pPr>
              <w:jc w:val="center"/>
              <w:rPr>
                <w:lang w:val="en-GB"/>
              </w:rPr>
            </w:pPr>
            <w:r w:rsidRPr="005A5612">
              <w:rPr>
                <w:lang w:val="en-GB"/>
              </w:rPr>
              <w:t>0,71</w:t>
            </w:r>
          </w:p>
        </w:tc>
        <w:tc>
          <w:tcPr>
            <w:tcW w:w="2610" w:type="dxa"/>
          </w:tcPr>
          <w:p w14:paraId="2CDFFF12" w14:textId="77777777" w:rsidR="00DC224A" w:rsidRPr="005A5612" w:rsidRDefault="00DC224A" w:rsidP="0072377D">
            <w:pPr>
              <w:jc w:val="center"/>
              <w:rPr>
                <w:lang w:val="en-GB"/>
              </w:rPr>
            </w:pPr>
            <w:r w:rsidRPr="005A5612">
              <w:rPr>
                <w:lang w:val="en-GB"/>
              </w:rPr>
              <w:t>0,17*</w:t>
            </w:r>
          </w:p>
        </w:tc>
      </w:tr>
      <w:tr w:rsidR="00DC224A" w:rsidRPr="005A5612" w14:paraId="41F6F5A5" w14:textId="77777777" w:rsidTr="0072377D">
        <w:tc>
          <w:tcPr>
            <w:tcW w:w="2358" w:type="dxa"/>
          </w:tcPr>
          <w:p w14:paraId="1AB57D76" w14:textId="77777777" w:rsidR="00DC224A" w:rsidRPr="005A5612" w:rsidRDefault="00DC224A" w:rsidP="0072377D">
            <w:r w:rsidRPr="005A5612">
              <w:rPr>
                <w:lang w:val="es-ES_tradnl"/>
              </w:rPr>
              <w:t>Puntuación de EEA</w:t>
            </w:r>
          </w:p>
        </w:tc>
        <w:tc>
          <w:tcPr>
            <w:tcW w:w="2790" w:type="dxa"/>
          </w:tcPr>
          <w:p w14:paraId="3F9ACFA7" w14:textId="77777777" w:rsidR="00DC224A" w:rsidRPr="005A5612" w:rsidRDefault="00DC224A" w:rsidP="0072377D">
            <w:pPr>
              <w:jc w:val="center"/>
              <w:rPr>
                <w:lang w:val="en-GB"/>
              </w:rPr>
            </w:pPr>
            <w:r w:rsidRPr="005A5612">
              <w:rPr>
                <w:lang w:val="en-GB"/>
              </w:rPr>
              <w:t>0,42</w:t>
            </w:r>
          </w:p>
        </w:tc>
        <w:tc>
          <w:tcPr>
            <w:tcW w:w="2610" w:type="dxa"/>
          </w:tcPr>
          <w:p w14:paraId="311D0935" w14:textId="77777777" w:rsidR="00DC224A" w:rsidRPr="005A5612" w:rsidRDefault="00DC224A" w:rsidP="0072377D">
            <w:pPr>
              <w:jc w:val="center"/>
              <w:rPr>
                <w:lang w:val="en-GB"/>
              </w:rPr>
            </w:pPr>
            <w:r w:rsidRPr="005A5612">
              <w:rPr>
                <w:lang w:val="en-GB"/>
              </w:rPr>
              <w:t>0,12**</w:t>
            </w:r>
          </w:p>
        </w:tc>
      </w:tr>
    </w:tbl>
    <w:p w14:paraId="3A3A880B" w14:textId="77777777" w:rsidR="00DC224A" w:rsidRPr="008A106B" w:rsidRDefault="00DC224A" w:rsidP="00DC224A">
      <w:pPr>
        <w:rPr>
          <w:i/>
          <w:iCs/>
          <w:sz w:val="18"/>
          <w:szCs w:val="18"/>
          <w:lang w:val="es-ES_tradnl"/>
        </w:rPr>
      </w:pPr>
      <w:r w:rsidRPr="008A106B">
        <w:rPr>
          <w:i/>
          <w:iCs/>
          <w:sz w:val="18"/>
          <w:szCs w:val="18"/>
          <w:lang w:val="es-ES_tradnl"/>
        </w:rPr>
        <w:t>PBO</w:t>
      </w:r>
      <w:r w:rsidRPr="008A106B">
        <w:rPr>
          <w:i/>
          <w:iCs/>
          <w:sz w:val="18"/>
          <w:szCs w:val="18"/>
          <w:lang w:val="es-ES_tradnl"/>
        </w:rPr>
        <w:tab/>
        <w:t>-Placebo</w:t>
      </w:r>
    </w:p>
    <w:p w14:paraId="7281E450" w14:textId="77777777" w:rsidR="00DC224A" w:rsidRPr="008A106B" w:rsidRDefault="00DC224A" w:rsidP="00DC224A">
      <w:pPr>
        <w:rPr>
          <w:lang w:val="es-ES"/>
        </w:rPr>
      </w:pPr>
      <w:r w:rsidRPr="008A106B">
        <w:rPr>
          <w:i/>
          <w:iCs/>
          <w:sz w:val="18"/>
          <w:szCs w:val="18"/>
          <w:lang w:val="es-ES_tradnl"/>
        </w:rPr>
        <w:lastRenderedPageBreak/>
        <w:t>MTX</w:t>
      </w:r>
      <w:r w:rsidRPr="008A106B">
        <w:rPr>
          <w:i/>
          <w:iCs/>
          <w:sz w:val="18"/>
          <w:szCs w:val="18"/>
          <w:lang w:val="es-ES"/>
        </w:rPr>
        <w:tab/>
      </w:r>
      <w:r w:rsidRPr="008A106B">
        <w:rPr>
          <w:i/>
          <w:iCs/>
          <w:sz w:val="18"/>
          <w:szCs w:val="18"/>
          <w:lang w:val="es-ES_tradnl"/>
        </w:rPr>
        <w:t>- Metotrexato</w:t>
      </w:r>
    </w:p>
    <w:p w14:paraId="7C20B47D" w14:textId="77777777" w:rsidR="00DC224A" w:rsidRPr="008A106B" w:rsidRDefault="00DC224A" w:rsidP="00DC224A">
      <w:pPr>
        <w:rPr>
          <w:lang w:val="es-ES"/>
        </w:rPr>
      </w:pPr>
      <w:r w:rsidRPr="008A106B">
        <w:rPr>
          <w:i/>
          <w:iCs/>
          <w:sz w:val="18"/>
          <w:szCs w:val="18"/>
          <w:lang w:val="es-ES_tradnl"/>
        </w:rPr>
        <w:t>TCZ</w:t>
      </w:r>
      <w:r w:rsidRPr="008A106B">
        <w:rPr>
          <w:i/>
          <w:iCs/>
          <w:sz w:val="18"/>
          <w:szCs w:val="18"/>
          <w:lang w:val="es-ES"/>
        </w:rPr>
        <w:tab/>
      </w:r>
      <w:r w:rsidRPr="008A106B">
        <w:rPr>
          <w:i/>
          <w:iCs/>
          <w:sz w:val="18"/>
          <w:szCs w:val="18"/>
          <w:lang w:val="es-ES_tradnl"/>
        </w:rPr>
        <w:t>- Tocilizumab</w:t>
      </w:r>
    </w:p>
    <w:p w14:paraId="0DB9211D" w14:textId="77777777" w:rsidR="00DC224A" w:rsidRPr="008A106B" w:rsidRDefault="00DC224A" w:rsidP="00DC224A">
      <w:pPr>
        <w:rPr>
          <w:lang w:val="es-ES"/>
        </w:rPr>
      </w:pPr>
      <w:r w:rsidRPr="008A106B">
        <w:rPr>
          <w:i/>
          <w:iCs/>
          <w:sz w:val="18"/>
          <w:szCs w:val="18"/>
          <w:lang w:val="es-ES_tradnl"/>
        </w:rPr>
        <w:t>EEA</w:t>
      </w:r>
      <w:r w:rsidRPr="008A106B">
        <w:rPr>
          <w:i/>
          <w:iCs/>
          <w:sz w:val="18"/>
          <w:szCs w:val="18"/>
          <w:lang w:val="es-ES"/>
        </w:rPr>
        <w:tab/>
      </w:r>
      <w:r w:rsidRPr="008A106B">
        <w:rPr>
          <w:i/>
          <w:iCs/>
          <w:sz w:val="18"/>
          <w:szCs w:val="18"/>
          <w:lang w:val="es-ES_tradnl"/>
        </w:rPr>
        <w:t>- Estrechamiento del espacio articular</w:t>
      </w:r>
    </w:p>
    <w:p w14:paraId="12381933" w14:textId="77777777" w:rsidR="00DC224A" w:rsidRPr="008A106B" w:rsidRDefault="00DC224A" w:rsidP="00DC224A">
      <w:pPr>
        <w:numPr>
          <w:ilvl w:val="12"/>
          <w:numId w:val="0"/>
        </w:numPr>
        <w:ind w:right="-2"/>
        <w:rPr>
          <w:i/>
          <w:iCs/>
          <w:sz w:val="18"/>
          <w:szCs w:val="18"/>
          <w:lang w:val="es-ES"/>
        </w:rPr>
      </w:pPr>
      <w:r w:rsidRPr="008A106B">
        <w:rPr>
          <w:i/>
          <w:iCs/>
          <w:sz w:val="18"/>
          <w:szCs w:val="18"/>
          <w:lang w:val="es-ES"/>
        </w:rPr>
        <w:t>*</w:t>
      </w:r>
      <w:r w:rsidRPr="008A106B">
        <w:rPr>
          <w:i/>
          <w:iCs/>
          <w:sz w:val="18"/>
          <w:szCs w:val="18"/>
          <w:lang w:val="es-ES"/>
        </w:rPr>
        <w:tab/>
      </w:r>
      <w:r w:rsidRPr="008A106B">
        <w:rPr>
          <w:i/>
          <w:iCs/>
          <w:sz w:val="18"/>
          <w:szCs w:val="18"/>
          <w:lang w:val="es-ES_tradnl"/>
        </w:rPr>
        <w:t>- p≤0,0001, TCZ vs PBO + MTX</w:t>
      </w:r>
    </w:p>
    <w:p w14:paraId="0D2B6DD5" w14:textId="77777777" w:rsidR="00DC224A" w:rsidRPr="008A106B" w:rsidRDefault="00DC224A" w:rsidP="00DC224A">
      <w:pPr>
        <w:numPr>
          <w:ilvl w:val="12"/>
          <w:numId w:val="0"/>
        </w:numPr>
        <w:ind w:right="-2"/>
        <w:rPr>
          <w:i/>
          <w:iCs/>
          <w:sz w:val="18"/>
          <w:szCs w:val="18"/>
          <w:lang w:val="es-ES"/>
        </w:rPr>
      </w:pPr>
      <w:r w:rsidRPr="008A106B">
        <w:rPr>
          <w:i/>
          <w:iCs/>
          <w:sz w:val="18"/>
          <w:szCs w:val="18"/>
          <w:lang w:val="es-ES"/>
        </w:rPr>
        <w:t xml:space="preserve">** </w:t>
      </w:r>
      <w:r w:rsidRPr="008A106B">
        <w:rPr>
          <w:i/>
          <w:iCs/>
          <w:sz w:val="18"/>
          <w:szCs w:val="18"/>
          <w:lang w:val="es-ES"/>
        </w:rPr>
        <w:tab/>
      </w:r>
      <w:r w:rsidRPr="008A106B">
        <w:rPr>
          <w:i/>
          <w:iCs/>
          <w:sz w:val="18"/>
          <w:szCs w:val="18"/>
          <w:lang w:val="es-ES_tradnl"/>
        </w:rPr>
        <w:t>- p&lt;0,005, TCZ vs PBO + MTX</w:t>
      </w:r>
    </w:p>
    <w:p w14:paraId="56212F9D" w14:textId="77777777" w:rsidR="00DC224A" w:rsidRPr="008A106B" w:rsidRDefault="00DC224A" w:rsidP="00DC224A">
      <w:pPr>
        <w:rPr>
          <w:b/>
          <w:i/>
          <w:lang w:val="es-ES"/>
        </w:rPr>
      </w:pPr>
    </w:p>
    <w:p w14:paraId="522C6C75" w14:textId="0189E466" w:rsidR="00DC224A" w:rsidRPr="008A106B" w:rsidRDefault="00DC224A" w:rsidP="00DC224A">
      <w:pPr>
        <w:keepNext/>
        <w:keepLines/>
        <w:rPr>
          <w:lang w:val="es-ES"/>
        </w:rPr>
      </w:pPr>
      <w:r w:rsidRPr="00C23A07">
        <w:rPr>
          <w:lang w:val="es-ES"/>
        </w:rPr>
        <w:t>Tras 1 año de tratamiento</w:t>
      </w:r>
      <w:r w:rsidRPr="008A106B">
        <w:rPr>
          <w:lang w:val="es-ES"/>
        </w:rPr>
        <w:t xml:space="preserve"> con </w:t>
      </w:r>
      <w:r w:rsidR="00F435D3" w:rsidRPr="00F30AB8">
        <w:rPr>
          <w:szCs w:val="22"/>
          <w:lang w:val="es-ES"/>
        </w:rPr>
        <w:t>tocilizumab</w:t>
      </w:r>
      <w:r w:rsidRPr="00C23A07">
        <w:rPr>
          <w:lang w:val="es-ES"/>
        </w:rPr>
        <w:t xml:space="preserve"> </w:t>
      </w:r>
      <w:r w:rsidRPr="008A106B">
        <w:rPr>
          <w:lang w:val="es-ES"/>
        </w:rPr>
        <w:t>más MTX, el 85</w:t>
      </w:r>
      <w:r>
        <w:rPr>
          <w:lang w:val="es-ES"/>
        </w:rPr>
        <w:t xml:space="preserve"> </w:t>
      </w:r>
      <w:r w:rsidRPr="008A106B">
        <w:rPr>
          <w:lang w:val="es-ES"/>
        </w:rPr>
        <w:t>% de los pacientes (n=348) no presentaron progresión del daño estructural, definido por un cambio en el índice total de Sharp de cero o menos, comparado con el 67</w:t>
      </w:r>
      <w:r>
        <w:rPr>
          <w:lang w:val="es-ES"/>
        </w:rPr>
        <w:t xml:space="preserve"> </w:t>
      </w:r>
      <w:r w:rsidRPr="008A106B">
        <w:rPr>
          <w:lang w:val="es-ES"/>
        </w:rPr>
        <w:t>% de los pacientes tratados con placebo más MTX (n=290) (p</w:t>
      </w:r>
      <w:r w:rsidRPr="00C23A07">
        <w:rPr>
          <w:u w:val="single"/>
        </w:rPr>
        <w:sym w:font="Symbol" w:char="F0A3"/>
      </w:r>
      <w:r w:rsidRPr="00C555F2">
        <w:rPr>
          <w:u w:val="single"/>
          <w:lang w:val="es-ES"/>
        </w:rPr>
        <w:t xml:space="preserve"> </w:t>
      </w:r>
      <w:r>
        <w:rPr>
          <w:lang w:val="es-ES"/>
        </w:rPr>
        <w:t>0,</w:t>
      </w:r>
      <w:r w:rsidRPr="008A106B">
        <w:rPr>
          <w:lang w:val="es-ES"/>
        </w:rPr>
        <w:t>0001). Esto se mantuvo consistente tras 2 años de tratamiento (83</w:t>
      </w:r>
      <w:r>
        <w:rPr>
          <w:lang w:val="es-ES"/>
        </w:rPr>
        <w:t xml:space="preserve"> </w:t>
      </w:r>
      <w:r w:rsidRPr="008A106B">
        <w:rPr>
          <w:lang w:val="es-ES"/>
        </w:rPr>
        <w:t>%; n= 353). El noventa y tres por ciento (93</w:t>
      </w:r>
      <w:r>
        <w:rPr>
          <w:lang w:val="es-ES"/>
        </w:rPr>
        <w:t xml:space="preserve"> </w:t>
      </w:r>
      <w:r w:rsidRPr="008A106B">
        <w:rPr>
          <w:lang w:val="es-ES"/>
        </w:rPr>
        <w:t>%; n=271) de los pacientes no presentaron progresión entre la semana 52 y la semana 104.</w:t>
      </w:r>
    </w:p>
    <w:p w14:paraId="0D4996DB" w14:textId="77777777" w:rsidR="00DC224A" w:rsidRPr="008A106B" w:rsidRDefault="00DC224A" w:rsidP="00F30AB8">
      <w:pPr>
        <w:spacing w:line="180" w:lineRule="exact"/>
        <w:rPr>
          <w:lang w:val="es-ES"/>
        </w:rPr>
      </w:pPr>
    </w:p>
    <w:p w14:paraId="5B2CF492" w14:textId="77777777" w:rsidR="00DC224A" w:rsidRPr="00F30AB8" w:rsidRDefault="00DC224A" w:rsidP="00DC224A">
      <w:pPr>
        <w:rPr>
          <w:i/>
          <w:iCs/>
          <w:u w:val="single"/>
          <w:lang w:val="es-ES"/>
        </w:rPr>
      </w:pPr>
      <w:r w:rsidRPr="00F30AB8">
        <w:rPr>
          <w:i/>
          <w:iCs/>
          <w:u w:val="single"/>
          <w:lang w:val="es-ES_tradnl"/>
        </w:rPr>
        <w:t>Resultados relacionados con la salud y la calidad de vida</w:t>
      </w:r>
    </w:p>
    <w:p w14:paraId="66AF7AE6" w14:textId="0C1C8C55" w:rsidR="00DC224A" w:rsidRPr="008A106B" w:rsidRDefault="00DC224A" w:rsidP="00DC224A">
      <w:pPr>
        <w:rPr>
          <w:lang w:val="es-ES"/>
        </w:rPr>
      </w:pPr>
      <w:r w:rsidRPr="008A106B">
        <w:rPr>
          <w:lang w:val="es-ES_tradnl"/>
        </w:rPr>
        <w:t xml:space="preserve">Los pacientes tratados con </w:t>
      </w:r>
      <w:r w:rsidR="00F435D3" w:rsidRPr="00F30AB8">
        <w:rPr>
          <w:szCs w:val="22"/>
          <w:lang w:val="es-ES"/>
        </w:rPr>
        <w:t>tocilizumab</w:t>
      </w:r>
      <w:r w:rsidRPr="006868F5">
        <w:rPr>
          <w:szCs w:val="22"/>
          <w:lang w:val="es-ES"/>
        </w:rPr>
        <w:t xml:space="preserve"> </w:t>
      </w:r>
      <w:r w:rsidRPr="008A106B">
        <w:rPr>
          <w:lang w:val="es-ES_tradnl"/>
        </w:rPr>
        <w:t>comunicaron una mejora en todos los resultados notificados (Cuestionario de evaluación de la salud. Índice de Discapacidad (HAQ-DI), Formulario corto 36 (SF-36) y Evaluación funcional del tratamiento de enfermedades crónicas.</w:t>
      </w:r>
      <w:r w:rsidRPr="008A106B">
        <w:rPr>
          <w:lang w:val="es-ES"/>
        </w:rPr>
        <w:t xml:space="preserve"> </w:t>
      </w:r>
      <w:r w:rsidRPr="008A106B">
        <w:rPr>
          <w:lang w:val="es-ES_tradnl"/>
        </w:rPr>
        <w:t>Se observaron mejoras estadísticamente significativas en las puntuaciones de</w:t>
      </w:r>
      <w:r>
        <w:rPr>
          <w:lang w:val="es-ES_tradnl"/>
        </w:rPr>
        <w:t xml:space="preserve"> </w:t>
      </w:r>
      <w:r w:rsidRPr="008A106B">
        <w:rPr>
          <w:lang w:val="es-ES_tradnl"/>
        </w:rPr>
        <w:t xml:space="preserve">HAQ-DI en pacientes tratados con </w:t>
      </w:r>
      <w:r w:rsidR="00F435D3" w:rsidRPr="00F30AB8">
        <w:rPr>
          <w:szCs w:val="22"/>
          <w:lang w:val="es-ES"/>
        </w:rPr>
        <w:t>tocilizumab</w:t>
      </w:r>
      <w:r w:rsidRPr="008A106B">
        <w:rPr>
          <w:lang w:val="es-ES_tradnl"/>
        </w:rPr>
        <w:t xml:space="preserve"> en comparación con los pacientes tratados con FAMEs. Durante el periodo abierto del e</w:t>
      </w:r>
      <w:r>
        <w:rPr>
          <w:lang w:val="es-ES_tradnl"/>
        </w:rPr>
        <w:t>nsay</w:t>
      </w:r>
      <w:r w:rsidRPr="008A106B">
        <w:rPr>
          <w:lang w:val="es-ES_tradnl"/>
        </w:rPr>
        <w:t>o II, la mejora de la función física se ha mantenido hasta los 2</w:t>
      </w:r>
      <w:r w:rsidR="00031422" w:rsidRPr="00F30AB8">
        <w:rPr>
          <w:rFonts w:eastAsia="SimSun"/>
          <w:b/>
          <w:szCs w:val="22"/>
          <w:lang w:val="es-ES" w:eastAsia="zh-CN"/>
        </w:rPr>
        <w:t> </w:t>
      </w:r>
      <w:r w:rsidRPr="008A106B">
        <w:rPr>
          <w:lang w:val="es-ES_tradnl"/>
        </w:rPr>
        <w:t>años. En la semana</w:t>
      </w:r>
      <w:r w:rsidR="00031422" w:rsidRPr="00F30AB8">
        <w:rPr>
          <w:rFonts w:eastAsia="SimSun"/>
          <w:b/>
          <w:szCs w:val="22"/>
          <w:lang w:val="es-ES" w:eastAsia="zh-CN"/>
        </w:rPr>
        <w:t> </w:t>
      </w:r>
      <w:r w:rsidRPr="008A106B">
        <w:rPr>
          <w:lang w:val="es-ES_tradnl"/>
        </w:rPr>
        <w:t>52, el c</w:t>
      </w:r>
      <w:r>
        <w:rPr>
          <w:lang w:val="es-ES_tradnl"/>
        </w:rPr>
        <w:t>ambio medio en HAQ-DI fue de -0,</w:t>
      </w:r>
      <w:r w:rsidRPr="008A106B">
        <w:rPr>
          <w:lang w:val="es-ES_tradnl"/>
        </w:rPr>
        <w:t xml:space="preserve">58 en el grupo de </w:t>
      </w:r>
      <w:r w:rsidR="00F435D3" w:rsidRPr="00F30AB8">
        <w:rPr>
          <w:szCs w:val="22"/>
          <w:lang w:val="es-ES"/>
        </w:rPr>
        <w:t>tocilizumab</w:t>
      </w:r>
      <w:r w:rsidRPr="006868F5">
        <w:rPr>
          <w:szCs w:val="22"/>
          <w:lang w:val="es-ES"/>
        </w:rPr>
        <w:t xml:space="preserve"> </w:t>
      </w:r>
      <w:r w:rsidRPr="008A106B">
        <w:rPr>
          <w:lang w:val="es-ES_tradnl"/>
        </w:rPr>
        <w:t>8</w:t>
      </w:r>
      <w:r w:rsidR="00031422" w:rsidRPr="00F30AB8">
        <w:rPr>
          <w:rFonts w:eastAsia="SimSun"/>
          <w:b/>
          <w:szCs w:val="22"/>
          <w:lang w:val="es-ES" w:eastAsia="zh-CN"/>
        </w:rPr>
        <w:t> </w:t>
      </w:r>
      <w:r w:rsidRPr="008A106B">
        <w:rPr>
          <w:lang w:val="es-ES_tradnl"/>
        </w:rPr>
        <w:t>mg/kg más MTX comparado con -0</w:t>
      </w:r>
      <w:r>
        <w:rPr>
          <w:lang w:val="es-ES_tradnl"/>
        </w:rPr>
        <w:t>,</w:t>
      </w:r>
      <w:r w:rsidRPr="008A106B">
        <w:rPr>
          <w:lang w:val="es-ES_tradnl"/>
        </w:rPr>
        <w:t>39 del grupo placebo más MTX.</w:t>
      </w:r>
      <w:r w:rsidRPr="008A106B">
        <w:rPr>
          <w:lang w:val="es-ES"/>
        </w:rPr>
        <w:t xml:space="preserve"> El cambio medio en HAQ-DI se mantuvo a la semana 104 en el grupo </w:t>
      </w:r>
      <w:r w:rsidR="00F435D3" w:rsidRPr="00F30AB8">
        <w:rPr>
          <w:szCs w:val="22"/>
          <w:lang w:val="es-ES"/>
        </w:rPr>
        <w:t>tocilizumab</w:t>
      </w:r>
      <w:r w:rsidRPr="006868F5">
        <w:rPr>
          <w:szCs w:val="22"/>
          <w:lang w:val="es-ES"/>
        </w:rPr>
        <w:t xml:space="preserve"> </w:t>
      </w:r>
      <w:r>
        <w:rPr>
          <w:lang w:val="es-ES"/>
        </w:rPr>
        <w:t>8 mg/kg más MTX (-0,</w:t>
      </w:r>
      <w:r w:rsidRPr="008A106B">
        <w:rPr>
          <w:lang w:val="es-ES"/>
        </w:rPr>
        <w:t>61).</w:t>
      </w:r>
    </w:p>
    <w:p w14:paraId="750ABF0A" w14:textId="77777777" w:rsidR="00DC224A" w:rsidRPr="008A106B" w:rsidRDefault="00DC224A" w:rsidP="00F30AB8">
      <w:pPr>
        <w:numPr>
          <w:ilvl w:val="12"/>
          <w:numId w:val="0"/>
        </w:numPr>
        <w:spacing w:line="200" w:lineRule="exact"/>
        <w:rPr>
          <w:i/>
          <w:sz w:val="18"/>
          <w:szCs w:val="18"/>
          <w:lang w:val="es-ES"/>
        </w:rPr>
      </w:pPr>
    </w:p>
    <w:p w14:paraId="384FDBA5" w14:textId="77777777" w:rsidR="00DC224A" w:rsidRPr="00F30AB8" w:rsidRDefault="00DC224A" w:rsidP="00DC224A">
      <w:pPr>
        <w:keepNext/>
        <w:numPr>
          <w:ilvl w:val="12"/>
          <w:numId w:val="0"/>
        </w:numPr>
        <w:rPr>
          <w:u w:val="single"/>
          <w:lang w:val="es-ES"/>
        </w:rPr>
      </w:pPr>
      <w:r w:rsidRPr="00F30AB8">
        <w:rPr>
          <w:i/>
          <w:iCs/>
          <w:u w:val="single"/>
          <w:lang w:val="es-ES_tradnl"/>
        </w:rPr>
        <w:t>Niveles de hemoglobina</w:t>
      </w:r>
      <w:r w:rsidRPr="00F30AB8">
        <w:rPr>
          <w:i/>
          <w:iCs/>
          <w:u w:val="single"/>
          <w:lang w:val="es-ES"/>
        </w:rPr>
        <w:t xml:space="preserve"> </w:t>
      </w:r>
    </w:p>
    <w:p w14:paraId="6AAA09E7" w14:textId="5C30E680" w:rsidR="00DC224A" w:rsidRPr="008A106B" w:rsidRDefault="00DC224A" w:rsidP="00DC224A">
      <w:pPr>
        <w:numPr>
          <w:ilvl w:val="12"/>
          <w:numId w:val="0"/>
        </w:numPr>
        <w:ind w:right="-2"/>
        <w:rPr>
          <w:lang w:val="es-ES"/>
        </w:rPr>
      </w:pPr>
      <w:r w:rsidRPr="008A106B">
        <w:rPr>
          <w:lang w:val="es-ES_tradnl"/>
        </w:rPr>
        <w:t xml:space="preserve">Se observaron mejoras estadísticamente significativas en los niveles de hemoglobina con </w:t>
      </w:r>
      <w:r w:rsidR="00F435D3" w:rsidRPr="00F30AB8">
        <w:rPr>
          <w:szCs w:val="22"/>
          <w:lang w:val="es-ES"/>
        </w:rPr>
        <w:t>tocilizumab</w:t>
      </w:r>
      <w:r w:rsidRPr="006868F5">
        <w:rPr>
          <w:szCs w:val="22"/>
          <w:lang w:val="es-ES"/>
        </w:rPr>
        <w:t xml:space="preserve"> </w:t>
      </w:r>
      <w:r w:rsidRPr="008A106B">
        <w:rPr>
          <w:lang w:val="es-ES_tradnl"/>
        </w:rPr>
        <w:t>en comparación con los FAMEs (p &lt; 0,0001) en la semana</w:t>
      </w:r>
      <w:r w:rsidR="006304B2">
        <w:rPr>
          <w:lang w:val="es-ES_tradnl"/>
        </w:rPr>
        <w:t> </w:t>
      </w:r>
      <w:r w:rsidRPr="008A106B">
        <w:rPr>
          <w:lang w:val="es-ES_tradnl"/>
        </w:rPr>
        <w:t>24. Los niveles medios de hemoglobina aumentaron la semana</w:t>
      </w:r>
      <w:r w:rsidR="006304B2">
        <w:rPr>
          <w:lang w:val="es-ES_tradnl"/>
        </w:rPr>
        <w:t> </w:t>
      </w:r>
      <w:r w:rsidRPr="008A106B">
        <w:rPr>
          <w:lang w:val="es-ES_tradnl"/>
        </w:rPr>
        <w:t>2 y permanecieron dentro del intervalo normal hasta la semana</w:t>
      </w:r>
      <w:r w:rsidR="006304B2">
        <w:rPr>
          <w:lang w:val="es-ES_tradnl"/>
        </w:rPr>
        <w:t> </w:t>
      </w:r>
      <w:r w:rsidRPr="008A106B">
        <w:rPr>
          <w:lang w:val="es-ES_tradnl"/>
        </w:rPr>
        <w:t>24.</w:t>
      </w:r>
      <w:r w:rsidRPr="008A106B">
        <w:rPr>
          <w:lang w:val="es-ES"/>
        </w:rPr>
        <w:t xml:space="preserve"> </w:t>
      </w:r>
    </w:p>
    <w:p w14:paraId="184ACF44" w14:textId="77777777" w:rsidR="00DC224A" w:rsidRPr="008A106B" w:rsidRDefault="00DC224A" w:rsidP="00F30AB8">
      <w:pPr>
        <w:spacing w:line="180" w:lineRule="exact"/>
        <w:rPr>
          <w:i/>
          <w:lang w:val="es-ES"/>
        </w:rPr>
      </w:pPr>
    </w:p>
    <w:p w14:paraId="08FE3035" w14:textId="77777777" w:rsidR="00DC224A" w:rsidRPr="00F30AB8" w:rsidRDefault="00DC224A" w:rsidP="003569D6">
      <w:pPr>
        <w:keepNext/>
        <w:keepLines/>
        <w:rPr>
          <w:i/>
          <w:u w:val="single"/>
          <w:lang w:val="es-ES"/>
        </w:rPr>
      </w:pPr>
      <w:r w:rsidRPr="00F30AB8">
        <w:rPr>
          <w:i/>
          <w:u w:val="single"/>
          <w:lang w:val="es-ES"/>
        </w:rPr>
        <w:t>Tocilizumab versus adalimumab en monoterapia</w:t>
      </w:r>
    </w:p>
    <w:p w14:paraId="1A8C2631" w14:textId="08EB65E8" w:rsidR="00DC224A" w:rsidRDefault="00DC224A" w:rsidP="003569D6">
      <w:pPr>
        <w:keepNext/>
        <w:keepLines/>
        <w:rPr>
          <w:lang w:val="es-ES"/>
        </w:rPr>
      </w:pPr>
      <w:r w:rsidRPr="008A106B">
        <w:rPr>
          <w:lang w:val="es-ES"/>
        </w:rPr>
        <w:t>E</w:t>
      </w:r>
      <w:r>
        <w:rPr>
          <w:lang w:val="es-ES"/>
        </w:rPr>
        <w:t>n e</w:t>
      </w:r>
      <w:r w:rsidRPr="008A106B">
        <w:rPr>
          <w:lang w:val="es-ES"/>
        </w:rPr>
        <w:t xml:space="preserve">l </w:t>
      </w:r>
      <w:r w:rsidRPr="000911DD">
        <w:rPr>
          <w:lang w:val="es-ES"/>
        </w:rPr>
        <w:t xml:space="preserve">ensayo </w:t>
      </w:r>
      <w:r w:rsidRPr="009216F0">
        <w:rPr>
          <w:lang w:val="es-ES"/>
        </w:rPr>
        <w:t>VI (WA19924</w:t>
      </w:r>
      <w:r w:rsidRPr="00D20200">
        <w:rPr>
          <w:lang w:val="es-ES"/>
        </w:rPr>
        <w:t>)</w:t>
      </w:r>
      <w:r w:rsidRPr="00EB73CE">
        <w:rPr>
          <w:lang w:val="es-ES"/>
        </w:rPr>
        <w:t>,</w:t>
      </w:r>
      <w:r w:rsidRPr="008A106B">
        <w:rPr>
          <w:lang w:val="es-ES"/>
        </w:rPr>
        <w:t xml:space="preserve"> un ensayo doble ciego de 24</w:t>
      </w:r>
      <w:r w:rsidR="00031422" w:rsidRPr="00F30AB8">
        <w:rPr>
          <w:rFonts w:eastAsia="SimSun"/>
          <w:b/>
          <w:szCs w:val="22"/>
          <w:lang w:val="es-ES" w:eastAsia="zh-CN"/>
        </w:rPr>
        <w:t> </w:t>
      </w:r>
      <w:r w:rsidRPr="008A106B">
        <w:rPr>
          <w:lang w:val="es-ES"/>
        </w:rPr>
        <w:t xml:space="preserve">semanas que comparó </w:t>
      </w:r>
      <w:r w:rsidR="00F435D3" w:rsidRPr="00F30AB8">
        <w:rPr>
          <w:szCs w:val="22"/>
          <w:lang w:val="es-ES"/>
        </w:rPr>
        <w:t>tocilizumab</w:t>
      </w:r>
      <w:r w:rsidRPr="006868F5">
        <w:rPr>
          <w:szCs w:val="22"/>
          <w:lang w:val="es-ES"/>
        </w:rPr>
        <w:t xml:space="preserve"> </w:t>
      </w:r>
      <w:r w:rsidRPr="008A106B">
        <w:rPr>
          <w:lang w:val="es-ES"/>
        </w:rPr>
        <w:t>en monoterapia con adalimumab en monoterapia,</w:t>
      </w:r>
      <w:r>
        <w:rPr>
          <w:lang w:val="es-ES"/>
        </w:rPr>
        <w:t xml:space="preserve"> </w:t>
      </w:r>
      <w:r w:rsidRPr="008A106B">
        <w:rPr>
          <w:lang w:val="es-ES"/>
        </w:rPr>
        <w:t>se evaluó a 326</w:t>
      </w:r>
      <w:r w:rsidR="00031422" w:rsidRPr="00F30AB8">
        <w:rPr>
          <w:rFonts w:eastAsia="SimSun"/>
          <w:b/>
          <w:szCs w:val="22"/>
          <w:lang w:val="es-ES" w:eastAsia="zh-CN"/>
        </w:rPr>
        <w:t> </w:t>
      </w:r>
      <w:r w:rsidRPr="008A106B">
        <w:rPr>
          <w:lang w:val="es-ES"/>
        </w:rPr>
        <w:t xml:space="preserve">pacientes con AR que eran intolerantes a MTX o dónde el tratamiento continuado con MTX se consideraba inapropiado (incluyendo respondedores inadecuados a MTX). Los pacientes en el </w:t>
      </w:r>
      <w:del w:id="1968" w:author="AUTHOR">
        <w:r w:rsidRPr="008A106B" w:rsidDel="004E273B">
          <w:rPr>
            <w:lang w:val="es-ES"/>
          </w:rPr>
          <w:delText>brazo</w:delText>
        </w:r>
      </w:del>
      <w:ins w:id="1969" w:author="AUTHOR">
        <w:r w:rsidR="004E273B">
          <w:rPr>
            <w:lang w:val="es-ES"/>
          </w:rPr>
          <w:t>grupo</w:t>
        </w:r>
      </w:ins>
      <w:r w:rsidRPr="008A106B">
        <w:rPr>
          <w:lang w:val="es-ES"/>
        </w:rPr>
        <w:t xml:space="preserve"> de </w:t>
      </w:r>
      <w:r w:rsidR="00F435D3" w:rsidRPr="00F30AB8">
        <w:rPr>
          <w:szCs w:val="22"/>
          <w:lang w:val="es-ES"/>
        </w:rPr>
        <w:t>tocilizumab</w:t>
      </w:r>
      <w:r w:rsidRPr="006868F5">
        <w:rPr>
          <w:szCs w:val="22"/>
          <w:lang w:val="es-ES"/>
        </w:rPr>
        <w:t xml:space="preserve"> </w:t>
      </w:r>
      <w:r w:rsidRPr="008A106B">
        <w:rPr>
          <w:lang w:val="es-ES"/>
        </w:rPr>
        <w:t xml:space="preserve">recibieron una perfusión intravenosa de </w:t>
      </w:r>
      <w:r w:rsidR="00F435D3" w:rsidRPr="00F30AB8">
        <w:rPr>
          <w:szCs w:val="22"/>
          <w:lang w:val="es-ES"/>
        </w:rPr>
        <w:t>tocilizumab</w:t>
      </w:r>
      <w:r w:rsidRPr="006868F5">
        <w:rPr>
          <w:szCs w:val="22"/>
          <w:lang w:val="es-ES"/>
        </w:rPr>
        <w:t xml:space="preserve"> </w:t>
      </w:r>
      <w:r w:rsidRPr="008A106B">
        <w:rPr>
          <w:lang w:val="es-ES"/>
        </w:rPr>
        <w:t>(8 mg/kg) cada 4 semanas (q4w) y una inyección subcutánea  de placebo cada 2</w:t>
      </w:r>
      <w:r w:rsidR="00031422" w:rsidRPr="00F30AB8">
        <w:rPr>
          <w:rFonts w:eastAsia="SimSun"/>
          <w:b/>
          <w:szCs w:val="22"/>
          <w:lang w:val="es-ES" w:eastAsia="zh-CN"/>
        </w:rPr>
        <w:t> </w:t>
      </w:r>
      <w:r w:rsidRPr="008A106B">
        <w:rPr>
          <w:lang w:val="es-ES"/>
        </w:rPr>
        <w:t xml:space="preserve">semanas (q2w). Los pacientes en el </w:t>
      </w:r>
      <w:del w:id="1970" w:author="AUTHOR">
        <w:r w:rsidRPr="008A106B" w:rsidDel="004E273B">
          <w:rPr>
            <w:lang w:val="es-ES"/>
          </w:rPr>
          <w:delText>brazo</w:delText>
        </w:r>
      </w:del>
      <w:ins w:id="1971" w:author="AUTHOR">
        <w:r w:rsidR="004E273B">
          <w:rPr>
            <w:lang w:val="es-ES"/>
          </w:rPr>
          <w:t>grupo</w:t>
        </w:r>
      </w:ins>
      <w:r w:rsidRPr="008A106B">
        <w:rPr>
          <w:lang w:val="es-ES"/>
        </w:rPr>
        <w:t xml:space="preserve"> de adalimumab recibieron una inyección </w:t>
      </w:r>
      <w:r w:rsidR="00F435D3">
        <w:rPr>
          <w:lang w:val="es-ES"/>
        </w:rPr>
        <w:t>subcutánea</w:t>
      </w:r>
      <w:r w:rsidR="00F435D3" w:rsidRPr="008A106B">
        <w:rPr>
          <w:lang w:val="es-ES"/>
        </w:rPr>
        <w:t xml:space="preserve"> </w:t>
      </w:r>
      <w:r w:rsidRPr="008A106B">
        <w:rPr>
          <w:lang w:val="es-ES"/>
        </w:rPr>
        <w:t xml:space="preserve">de adalimumab (40 mg) cada 2 semanas (q2w) más una perfusión </w:t>
      </w:r>
      <w:r w:rsidR="00F435D3">
        <w:rPr>
          <w:lang w:val="es-ES"/>
        </w:rPr>
        <w:t>intravenosa</w:t>
      </w:r>
      <w:r w:rsidR="00F435D3" w:rsidRPr="008A106B">
        <w:rPr>
          <w:lang w:val="es-ES"/>
        </w:rPr>
        <w:t xml:space="preserve"> </w:t>
      </w:r>
      <w:r w:rsidRPr="008A106B">
        <w:rPr>
          <w:lang w:val="es-ES"/>
        </w:rPr>
        <w:t>de placebo cada 4 semanas (q4w).</w:t>
      </w:r>
    </w:p>
    <w:p w14:paraId="0DA1DD7A" w14:textId="77777777" w:rsidR="00DC224A" w:rsidRPr="008A106B" w:rsidRDefault="00DC224A" w:rsidP="00F30AB8">
      <w:pPr>
        <w:spacing w:line="180" w:lineRule="exact"/>
        <w:rPr>
          <w:lang w:val="es-ES"/>
        </w:rPr>
      </w:pPr>
    </w:p>
    <w:p w14:paraId="15BA433A" w14:textId="3689AA89" w:rsidR="00DC224A" w:rsidRPr="008A106B" w:rsidRDefault="00DC224A" w:rsidP="00DC224A">
      <w:pPr>
        <w:rPr>
          <w:lang w:val="es-ES"/>
        </w:rPr>
      </w:pPr>
      <w:r w:rsidRPr="008A106B">
        <w:rPr>
          <w:lang w:val="es-ES"/>
        </w:rPr>
        <w:t xml:space="preserve">Se observó un efecto de tratamiento superior, estadísticamente significativo de </w:t>
      </w:r>
      <w:r w:rsidR="00F435D3" w:rsidRPr="00F30AB8">
        <w:rPr>
          <w:szCs w:val="22"/>
          <w:lang w:val="es-ES"/>
        </w:rPr>
        <w:t>tocilizumab</w:t>
      </w:r>
      <w:r w:rsidRPr="006868F5">
        <w:rPr>
          <w:szCs w:val="22"/>
          <w:lang w:val="es-ES"/>
        </w:rPr>
        <w:t xml:space="preserve"> </w:t>
      </w:r>
      <w:r w:rsidRPr="008A106B">
        <w:rPr>
          <w:lang w:val="es-ES"/>
        </w:rPr>
        <w:t>sobre adalimumab, en el control de la actividad de la enfermedad, desde el valor basal a la semana</w:t>
      </w:r>
      <w:r>
        <w:rPr>
          <w:lang w:val="es-ES"/>
        </w:rPr>
        <w:t xml:space="preserve"> 24, para la variable </w:t>
      </w:r>
      <w:ins w:id="1972" w:author="AUTHOR">
        <w:r w:rsidR="00613A5B">
          <w:rPr>
            <w:lang w:val="es-ES"/>
          </w:rPr>
          <w:t>principal</w:t>
        </w:r>
      </w:ins>
      <w:del w:id="1973" w:author="AUTHOR">
        <w:r w:rsidDel="00613A5B">
          <w:rPr>
            <w:lang w:val="es-ES"/>
          </w:rPr>
          <w:delText>primaria</w:delText>
        </w:r>
      </w:del>
      <w:r>
        <w:rPr>
          <w:lang w:val="es-ES"/>
        </w:rPr>
        <w:t xml:space="preserve"> </w:t>
      </w:r>
      <w:r w:rsidRPr="008A106B">
        <w:rPr>
          <w:lang w:val="es-ES"/>
        </w:rPr>
        <w:t>cambio en DAS28 y para todas las variables secundarias (</w:t>
      </w:r>
      <w:r>
        <w:rPr>
          <w:lang w:val="es-ES"/>
        </w:rPr>
        <w:t xml:space="preserve">ver </w:t>
      </w:r>
      <w:r w:rsidRPr="008A106B">
        <w:rPr>
          <w:lang w:val="es-ES"/>
        </w:rPr>
        <w:t>Tabla</w:t>
      </w:r>
      <w:r w:rsidR="00031422" w:rsidRPr="00F30AB8">
        <w:rPr>
          <w:rFonts w:eastAsia="SimSun"/>
          <w:b/>
          <w:szCs w:val="22"/>
          <w:lang w:val="es-ES" w:eastAsia="zh-CN"/>
        </w:rPr>
        <w:t> </w:t>
      </w:r>
      <w:r w:rsidR="000B447D">
        <w:rPr>
          <w:lang w:val="es-ES"/>
        </w:rPr>
        <w:t>7</w:t>
      </w:r>
      <w:r w:rsidRPr="008A106B">
        <w:rPr>
          <w:lang w:val="es-ES"/>
        </w:rPr>
        <w:t>).</w:t>
      </w:r>
    </w:p>
    <w:p w14:paraId="25B1BA80" w14:textId="77777777" w:rsidR="00DC224A" w:rsidRPr="008A106B" w:rsidRDefault="00DC224A" w:rsidP="00F30AB8">
      <w:pPr>
        <w:numPr>
          <w:ilvl w:val="12"/>
          <w:numId w:val="0"/>
        </w:numPr>
        <w:spacing w:line="180" w:lineRule="exact"/>
        <w:rPr>
          <w:lang w:val="es-ES"/>
        </w:rPr>
      </w:pPr>
    </w:p>
    <w:p w14:paraId="2E4C7D58" w14:textId="77777777" w:rsidR="00DC224A" w:rsidRDefault="00DC224A">
      <w:pPr>
        <w:keepNext/>
        <w:keepLines/>
        <w:widowControl w:val="0"/>
        <w:rPr>
          <w:bCs/>
          <w:i/>
          <w:lang w:val="es-ES"/>
        </w:rPr>
        <w:pPrChange w:id="1974" w:author="tcs" w:date="2026-02-26T10:56:00Z">
          <w:pPr>
            <w:keepNext/>
            <w:keepLines/>
          </w:pPr>
        </w:pPrChange>
      </w:pPr>
      <w:r w:rsidRPr="008A106B">
        <w:rPr>
          <w:i/>
          <w:lang w:val="es-ES"/>
        </w:rPr>
        <w:lastRenderedPageBreak/>
        <w:t>Tabla</w:t>
      </w:r>
      <w:r w:rsidR="00E610D8">
        <w:rPr>
          <w:i/>
          <w:lang w:val="es-ES"/>
        </w:rPr>
        <w:t xml:space="preserve"> </w:t>
      </w:r>
      <w:r w:rsidR="000B447D">
        <w:rPr>
          <w:i/>
          <w:lang w:val="es-ES"/>
        </w:rPr>
        <w:t>7</w:t>
      </w:r>
      <w:r w:rsidRPr="008A106B">
        <w:rPr>
          <w:i/>
          <w:lang w:val="es-ES"/>
        </w:rPr>
        <w:t xml:space="preserve">: Resultados de eficacia para el ensayo </w:t>
      </w:r>
      <w:r>
        <w:rPr>
          <w:i/>
          <w:lang w:val="es-ES"/>
        </w:rPr>
        <w:t>VI (</w:t>
      </w:r>
      <w:r w:rsidRPr="008A106B">
        <w:rPr>
          <w:bCs/>
          <w:i/>
          <w:lang w:val="es-ES"/>
        </w:rPr>
        <w:t>WA19924</w:t>
      </w:r>
      <w:r>
        <w:rPr>
          <w:bCs/>
          <w:i/>
          <w:lang w:val="es-ES"/>
        </w:rPr>
        <w:t>)</w:t>
      </w:r>
    </w:p>
    <w:p w14:paraId="47715F54" w14:textId="77777777" w:rsidR="00227091" w:rsidRPr="008A106B" w:rsidRDefault="00227091">
      <w:pPr>
        <w:keepNext/>
        <w:keepLines/>
        <w:widowControl w:val="0"/>
        <w:spacing w:line="200" w:lineRule="exact"/>
        <w:rPr>
          <w:bCs/>
          <w:i/>
          <w:lang w:val="es-ES"/>
        </w:rPr>
        <w:pPrChange w:id="1975" w:author="tcs" w:date="2026-02-26T10:56:00Z">
          <w:pPr>
            <w:keepNext/>
            <w:keepLines/>
            <w:spacing w:line="200" w:lineRule="exact"/>
          </w:pPr>
        </w:pPrChange>
      </w:pPr>
    </w:p>
    <w:tbl>
      <w:tblPr>
        <w:tblW w:w="7951" w:type="dxa"/>
        <w:tblInd w:w="57" w:type="dxa"/>
        <w:tblLayout w:type="fixed"/>
        <w:tblCellMar>
          <w:left w:w="0" w:type="dxa"/>
          <w:right w:w="0" w:type="dxa"/>
        </w:tblCellMar>
        <w:tblLook w:val="04A0" w:firstRow="1" w:lastRow="0" w:firstColumn="1" w:lastColumn="0" w:noHBand="0" w:noVBand="1"/>
      </w:tblPr>
      <w:tblGrid>
        <w:gridCol w:w="3351"/>
        <w:gridCol w:w="1610"/>
        <w:gridCol w:w="1701"/>
        <w:gridCol w:w="1275"/>
        <w:gridCol w:w="14"/>
      </w:tblGrid>
      <w:tr w:rsidR="00DC224A" w:rsidRPr="008A106B" w14:paraId="0B40D962" w14:textId="77777777" w:rsidTr="001F7A68">
        <w:trPr>
          <w:gridAfter w:val="1"/>
          <w:wAfter w:w="14" w:type="dxa"/>
          <w:cantSplit/>
        </w:trPr>
        <w:tc>
          <w:tcPr>
            <w:tcW w:w="3351" w:type="dxa"/>
            <w:tcBorders>
              <w:top w:val="single" w:sz="8" w:space="0" w:color="auto"/>
              <w:left w:val="single" w:sz="4" w:space="0" w:color="auto"/>
              <w:bottom w:val="single" w:sz="8" w:space="0" w:color="auto"/>
              <w:right w:val="nil"/>
            </w:tcBorders>
            <w:tcMar>
              <w:top w:w="0" w:type="dxa"/>
              <w:left w:w="57" w:type="dxa"/>
              <w:bottom w:w="0" w:type="dxa"/>
              <w:right w:w="57" w:type="dxa"/>
            </w:tcMar>
            <w:vAlign w:val="bottom"/>
          </w:tcPr>
          <w:p w14:paraId="6362E27E" w14:textId="77777777" w:rsidR="00DC224A" w:rsidRPr="005A5612" w:rsidRDefault="00DC224A">
            <w:pPr>
              <w:keepNext/>
              <w:keepLines/>
              <w:widowControl w:val="0"/>
              <w:rPr>
                <w:sz w:val="20"/>
                <w:lang w:val="es-ES" w:eastAsia="zh-TW"/>
              </w:rPr>
              <w:pPrChange w:id="1976" w:author="tcs" w:date="2026-02-26T10:56:00Z">
                <w:pPr>
                  <w:widowControl w:val="0"/>
                </w:pPr>
              </w:pPrChange>
            </w:pPr>
          </w:p>
        </w:tc>
        <w:tc>
          <w:tcPr>
            <w:tcW w:w="1610" w:type="dxa"/>
            <w:tcBorders>
              <w:top w:val="single" w:sz="8" w:space="0" w:color="auto"/>
              <w:left w:val="nil"/>
              <w:bottom w:val="single" w:sz="8" w:space="0" w:color="auto"/>
              <w:right w:val="nil"/>
            </w:tcBorders>
            <w:tcMar>
              <w:top w:w="0" w:type="dxa"/>
              <w:left w:w="57" w:type="dxa"/>
              <w:bottom w:w="0" w:type="dxa"/>
              <w:right w:w="57" w:type="dxa"/>
            </w:tcMar>
            <w:vAlign w:val="bottom"/>
          </w:tcPr>
          <w:p w14:paraId="6397F8D4" w14:textId="77777777" w:rsidR="00DC224A" w:rsidRPr="008A106B" w:rsidRDefault="00DC224A">
            <w:pPr>
              <w:keepNext/>
              <w:keepLines/>
              <w:widowControl w:val="0"/>
              <w:spacing w:before="50" w:after="50" w:line="240" w:lineRule="exact"/>
              <w:jc w:val="center"/>
              <w:rPr>
                <w:rFonts w:eastAsia="SimSun"/>
                <w:b/>
                <w:sz w:val="16"/>
                <w:lang w:eastAsia="zh-CN"/>
              </w:rPr>
              <w:pPrChange w:id="1977" w:author="tcs" w:date="2026-02-26T10:56:00Z">
                <w:pPr>
                  <w:widowControl w:val="0"/>
                  <w:spacing w:before="50" w:after="50" w:line="240" w:lineRule="exact"/>
                  <w:jc w:val="center"/>
                </w:pPr>
              </w:pPrChange>
            </w:pPr>
            <w:r w:rsidRPr="008A106B">
              <w:rPr>
                <w:rFonts w:eastAsia="SimSun"/>
                <w:b/>
                <w:sz w:val="16"/>
                <w:lang w:eastAsia="zh-CN"/>
              </w:rPr>
              <w:t>ADA + Placebo (IV)</w:t>
            </w:r>
          </w:p>
          <w:p w14:paraId="5831BCEC" w14:textId="77777777" w:rsidR="00DC224A" w:rsidRPr="008A106B" w:rsidRDefault="00DC224A">
            <w:pPr>
              <w:keepNext/>
              <w:keepLines/>
              <w:widowControl w:val="0"/>
              <w:spacing w:before="50" w:after="50" w:line="240" w:lineRule="exact"/>
              <w:jc w:val="center"/>
              <w:rPr>
                <w:rFonts w:eastAsia="SimSun"/>
                <w:b/>
                <w:sz w:val="16"/>
                <w:lang w:eastAsia="zh-CN"/>
              </w:rPr>
              <w:pPrChange w:id="1978" w:author="tcs" w:date="2026-02-26T10:56:00Z">
                <w:pPr>
                  <w:widowControl w:val="0"/>
                  <w:spacing w:before="50" w:after="50" w:line="240" w:lineRule="exact"/>
                  <w:jc w:val="center"/>
                </w:pPr>
              </w:pPrChange>
            </w:pPr>
            <w:r w:rsidRPr="008A106B">
              <w:rPr>
                <w:rFonts w:eastAsia="SimSun"/>
                <w:b/>
                <w:sz w:val="16"/>
                <w:lang w:eastAsia="zh-CN"/>
              </w:rPr>
              <w:t>N = 162</w:t>
            </w:r>
          </w:p>
        </w:tc>
        <w:tc>
          <w:tcPr>
            <w:tcW w:w="1701" w:type="dxa"/>
            <w:tcBorders>
              <w:top w:val="single" w:sz="8" w:space="0" w:color="auto"/>
              <w:left w:val="nil"/>
              <w:bottom w:val="single" w:sz="8" w:space="0" w:color="auto"/>
              <w:right w:val="nil"/>
            </w:tcBorders>
            <w:tcMar>
              <w:top w:w="0" w:type="dxa"/>
              <w:left w:w="57" w:type="dxa"/>
              <w:bottom w:w="0" w:type="dxa"/>
              <w:right w:w="57" w:type="dxa"/>
            </w:tcMar>
            <w:vAlign w:val="bottom"/>
          </w:tcPr>
          <w:p w14:paraId="072996C2" w14:textId="77777777" w:rsidR="00DC224A" w:rsidRPr="008A106B" w:rsidRDefault="00DC224A">
            <w:pPr>
              <w:keepNext/>
              <w:keepLines/>
              <w:widowControl w:val="0"/>
              <w:spacing w:before="50" w:after="50" w:line="240" w:lineRule="exact"/>
              <w:jc w:val="center"/>
              <w:rPr>
                <w:rFonts w:eastAsia="SimSun"/>
                <w:b/>
                <w:sz w:val="16"/>
                <w:lang w:eastAsia="zh-CN"/>
              </w:rPr>
              <w:pPrChange w:id="1979" w:author="tcs" w:date="2026-02-26T10:56:00Z">
                <w:pPr>
                  <w:widowControl w:val="0"/>
                  <w:spacing w:before="50" w:after="50" w:line="240" w:lineRule="exact"/>
                  <w:jc w:val="center"/>
                </w:pPr>
              </w:pPrChange>
            </w:pPr>
            <w:r w:rsidRPr="008A106B">
              <w:rPr>
                <w:rFonts w:eastAsia="SimSun"/>
                <w:b/>
                <w:sz w:val="16"/>
                <w:lang w:eastAsia="zh-CN"/>
              </w:rPr>
              <w:t>TCZ + Placebo (SC)</w:t>
            </w:r>
          </w:p>
          <w:p w14:paraId="61894EF7" w14:textId="77777777" w:rsidR="00DC224A" w:rsidRPr="008A106B" w:rsidRDefault="00DC224A">
            <w:pPr>
              <w:keepNext/>
              <w:keepLines/>
              <w:widowControl w:val="0"/>
              <w:spacing w:before="50" w:after="50" w:line="240" w:lineRule="exact"/>
              <w:jc w:val="center"/>
              <w:rPr>
                <w:rFonts w:eastAsia="SimSun"/>
                <w:b/>
                <w:sz w:val="16"/>
                <w:lang w:eastAsia="zh-CN"/>
              </w:rPr>
              <w:pPrChange w:id="1980" w:author="tcs" w:date="2026-02-26T10:56:00Z">
                <w:pPr>
                  <w:widowControl w:val="0"/>
                  <w:spacing w:before="50" w:after="50" w:line="240" w:lineRule="exact"/>
                  <w:jc w:val="center"/>
                </w:pPr>
              </w:pPrChange>
            </w:pPr>
            <w:r w:rsidRPr="008A106B">
              <w:rPr>
                <w:rFonts w:eastAsia="SimSun"/>
                <w:b/>
                <w:sz w:val="16"/>
                <w:lang w:eastAsia="zh-CN"/>
              </w:rPr>
              <w:t>N = 163</w:t>
            </w:r>
          </w:p>
        </w:tc>
        <w:tc>
          <w:tcPr>
            <w:tcW w:w="1275" w:type="dxa"/>
            <w:tcBorders>
              <w:top w:val="single" w:sz="8" w:space="0" w:color="auto"/>
              <w:left w:val="nil"/>
              <w:bottom w:val="single" w:sz="8" w:space="0" w:color="auto"/>
              <w:right w:val="single" w:sz="8" w:space="0" w:color="auto"/>
            </w:tcBorders>
            <w:tcMar>
              <w:top w:w="0" w:type="dxa"/>
              <w:left w:w="57" w:type="dxa"/>
              <w:bottom w:w="0" w:type="dxa"/>
              <w:right w:w="57" w:type="dxa"/>
            </w:tcMar>
            <w:vAlign w:val="bottom"/>
          </w:tcPr>
          <w:p w14:paraId="6BA7464D" w14:textId="77777777" w:rsidR="00DC224A" w:rsidRPr="00F30AB8" w:rsidRDefault="00DC224A">
            <w:pPr>
              <w:keepNext/>
              <w:keepLines/>
              <w:widowControl w:val="0"/>
              <w:spacing w:before="50" w:after="50" w:line="240" w:lineRule="exact"/>
              <w:jc w:val="center"/>
              <w:rPr>
                <w:rFonts w:eastAsia="SimSun"/>
                <w:b/>
                <w:bCs/>
                <w:sz w:val="16"/>
                <w:lang w:eastAsia="zh-CN"/>
              </w:rPr>
              <w:pPrChange w:id="1981" w:author="tcs" w:date="2026-02-26T10:56:00Z">
                <w:pPr>
                  <w:widowControl w:val="0"/>
                  <w:spacing w:before="50" w:after="50" w:line="240" w:lineRule="exact"/>
                  <w:jc w:val="center"/>
                </w:pPr>
              </w:pPrChange>
            </w:pPr>
            <w:r w:rsidRPr="00F30AB8">
              <w:rPr>
                <w:rFonts w:eastAsia="SimSun"/>
                <w:b/>
                <w:bCs/>
                <w:sz w:val="16"/>
                <w:lang w:eastAsia="zh-CN"/>
              </w:rPr>
              <w:t>Valor-p</w:t>
            </w:r>
            <w:r w:rsidRPr="008B76A7">
              <w:rPr>
                <w:rFonts w:eastAsia="SimSun"/>
                <w:b/>
                <w:bCs/>
                <w:sz w:val="16"/>
                <w:vertAlign w:val="superscript"/>
                <w:lang w:eastAsia="zh-CN"/>
              </w:rPr>
              <w:t>(a)</w:t>
            </w:r>
          </w:p>
        </w:tc>
      </w:tr>
      <w:tr w:rsidR="00DC224A" w:rsidRPr="00541248" w14:paraId="2297A025" w14:textId="77777777" w:rsidTr="001F7A68">
        <w:trPr>
          <w:cantSplit/>
        </w:trPr>
        <w:tc>
          <w:tcPr>
            <w:tcW w:w="7951" w:type="dxa"/>
            <w:gridSpan w:val="5"/>
            <w:tcBorders>
              <w:top w:val="nil"/>
              <w:left w:val="single" w:sz="4" w:space="0" w:color="auto"/>
              <w:bottom w:val="nil"/>
              <w:right w:val="single" w:sz="8" w:space="0" w:color="auto"/>
            </w:tcBorders>
            <w:tcMar>
              <w:top w:w="0" w:type="dxa"/>
              <w:left w:w="57" w:type="dxa"/>
              <w:bottom w:w="0" w:type="dxa"/>
              <w:right w:w="57" w:type="dxa"/>
            </w:tcMar>
          </w:tcPr>
          <w:p w14:paraId="51E03D2C" w14:textId="6148EB59" w:rsidR="00DC224A" w:rsidRPr="008A106B" w:rsidRDefault="00DC224A">
            <w:pPr>
              <w:keepNext/>
              <w:keepLines/>
              <w:widowControl w:val="0"/>
              <w:spacing w:before="50" w:after="50" w:line="200" w:lineRule="exact"/>
              <w:rPr>
                <w:rFonts w:eastAsia="SimSun"/>
                <w:sz w:val="16"/>
                <w:lang w:val="es-ES" w:eastAsia="zh-CN"/>
              </w:rPr>
              <w:pPrChange w:id="1982" w:author="tcs" w:date="2026-02-26T10:56:00Z">
                <w:pPr>
                  <w:widowControl w:val="0"/>
                  <w:spacing w:before="50" w:after="50" w:line="200" w:lineRule="exact"/>
                </w:pPr>
              </w:pPrChange>
            </w:pPr>
            <w:r w:rsidRPr="008A106B">
              <w:rPr>
                <w:rFonts w:eastAsia="SimSun"/>
                <w:b/>
                <w:sz w:val="16"/>
                <w:lang w:val="es-ES" w:eastAsia="zh-CN"/>
              </w:rPr>
              <w:t xml:space="preserve">Variable </w:t>
            </w:r>
            <w:ins w:id="1983" w:author="AUTHOR">
              <w:r w:rsidR="00613A5B" w:rsidRPr="00613A5B">
                <w:rPr>
                  <w:rFonts w:eastAsia="SimSun"/>
                  <w:b/>
                  <w:sz w:val="16"/>
                  <w:lang w:val="es-ES" w:eastAsia="zh-CN"/>
                </w:rPr>
                <w:t>principal</w:t>
              </w:r>
            </w:ins>
            <w:del w:id="1984" w:author="AUTHOR">
              <w:r w:rsidRPr="008A106B" w:rsidDel="00613A5B">
                <w:rPr>
                  <w:rFonts w:eastAsia="SimSun"/>
                  <w:b/>
                  <w:sz w:val="16"/>
                  <w:lang w:val="es-ES" w:eastAsia="zh-CN"/>
                </w:rPr>
                <w:delText>primaria</w:delText>
              </w:r>
            </w:del>
            <w:r w:rsidRPr="008A106B">
              <w:rPr>
                <w:rFonts w:eastAsia="SimSun"/>
                <w:b/>
                <w:sz w:val="16"/>
                <w:lang w:val="es-ES" w:eastAsia="zh-CN"/>
              </w:rPr>
              <w:t xml:space="preserve"> – </w:t>
            </w:r>
            <w:r w:rsidR="008B76A7">
              <w:rPr>
                <w:rFonts w:eastAsia="SimSun"/>
                <w:b/>
                <w:sz w:val="16"/>
                <w:lang w:val="es-ES" w:eastAsia="zh-CN"/>
              </w:rPr>
              <w:t>m</w:t>
            </w:r>
            <w:r w:rsidR="008B76A7" w:rsidRPr="008A106B">
              <w:rPr>
                <w:rFonts w:eastAsia="SimSun"/>
                <w:b/>
                <w:sz w:val="16"/>
                <w:lang w:val="es-ES" w:eastAsia="zh-CN"/>
              </w:rPr>
              <w:t xml:space="preserve">edia </w:t>
            </w:r>
            <w:r w:rsidRPr="008A106B">
              <w:rPr>
                <w:rFonts w:eastAsia="SimSun"/>
                <w:b/>
                <w:sz w:val="16"/>
                <w:lang w:val="es-ES" w:eastAsia="zh-CN"/>
              </w:rPr>
              <w:t>ajustada desde el valor basal a la semana 24</w:t>
            </w:r>
          </w:p>
        </w:tc>
      </w:tr>
      <w:tr w:rsidR="00DC224A" w:rsidRPr="008A106B" w14:paraId="1C2FCCB4" w14:textId="77777777" w:rsidTr="001F7A68">
        <w:trPr>
          <w:gridAfter w:val="1"/>
          <w:wAfter w:w="14" w:type="dxa"/>
          <w:cantSplit/>
        </w:trPr>
        <w:tc>
          <w:tcPr>
            <w:tcW w:w="3351" w:type="dxa"/>
            <w:tcBorders>
              <w:top w:val="single" w:sz="4" w:space="0" w:color="auto"/>
              <w:left w:val="single" w:sz="4" w:space="0" w:color="auto"/>
              <w:bottom w:val="nil"/>
              <w:right w:val="nil"/>
            </w:tcBorders>
            <w:tcMar>
              <w:top w:w="0" w:type="dxa"/>
              <w:left w:w="57" w:type="dxa"/>
              <w:bottom w:w="0" w:type="dxa"/>
              <w:right w:w="57" w:type="dxa"/>
            </w:tcMar>
          </w:tcPr>
          <w:p w14:paraId="2DE77925" w14:textId="77777777" w:rsidR="00DC224A" w:rsidRPr="008A106B" w:rsidRDefault="00DC224A">
            <w:pPr>
              <w:keepNext/>
              <w:keepLines/>
              <w:widowControl w:val="0"/>
              <w:spacing w:before="50" w:after="50" w:line="220" w:lineRule="exact"/>
              <w:jc w:val="right"/>
              <w:rPr>
                <w:rFonts w:eastAsia="SimSun"/>
                <w:b/>
                <w:sz w:val="16"/>
                <w:lang w:eastAsia="zh-CN"/>
              </w:rPr>
              <w:pPrChange w:id="1985" w:author="tcs" w:date="2026-02-26T10:56:00Z">
                <w:pPr>
                  <w:widowControl w:val="0"/>
                  <w:spacing w:before="50" w:after="50" w:line="220" w:lineRule="exact"/>
                  <w:jc w:val="right"/>
                </w:pPr>
              </w:pPrChange>
            </w:pPr>
            <w:r w:rsidRPr="008A106B">
              <w:rPr>
                <w:rFonts w:eastAsia="SimSun"/>
                <w:b/>
                <w:sz w:val="16"/>
                <w:lang w:eastAsia="zh-CN"/>
              </w:rPr>
              <w:t xml:space="preserve">DAS28 (media ajustada) </w:t>
            </w:r>
          </w:p>
        </w:tc>
        <w:tc>
          <w:tcPr>
            <w:tcW w:w="1610" w:type="dxa"/>
            <w:tcBorders>
              <w:top w:val="single" w:sz="4" w:space="0" w:color="auto"/>
              <w:left w:val="nil"/>
              <w:bottom w:val="nil"/>
              <w:right w:val="nil"/>
            </w:tcBorders>
            <w:tcMar>
              <w:top w:w="0" w:type="dxa"/>
              <w:left w:w="57" w:type="dxa"/>
              <w:bottom w:w="0" w:type="dxa"/>
              <w:right w:w="57" w:type="dxa"/>
            </w:tcMar>
          </w:tcPr>
          <w:p w14:paraId="241F41C8" w14:textId="77777777" w:rsidR="00DC224A" w:rsidRPr="008A106B" w:rsidRDefault="00DC224A">
            <w:pPr>
              <w:keepNext/>
              <w:keepLines/>
              <w:widowControl w:val="0"/>
              <w:spacing w:before="50" w:after="50" w:line="220" w:lineRule="exact"/>
              <w:jc w:val="center"/>
              <w:rPr>
                <w:rFonts w:eastAsia="SimSun"/>
                <w:b/>
                <w:sz w:val="16"/>
                <w:lang w:val="de-CH" w:eastAsia="zh-CN"/>
              </w:rPr>
              <w:pPrChange w:id="1986" w:author="tcs" w:date="2026-02-26T10:56:00Z">
                <w:pPr>
                  <w:widowControl w:val="0"/>
                  <w:spacing w:before="50" w:after="50" w:line="220" w:lineRule="exact"/>
                  <w:jc w:val="center"/>
                </w:pPr>
              </w:pPrChange>
            </w:pPr>
            <w:r w:rsidRPr="008A106B">
              <w:rPr>
                <w:rFonts w:eastAsia="SimSun"/>
                <w:b/>
                <w:sz w:val="16"/>
                <w:lang w:val="de-CH" w:eastAsia="zh-CN"/>
              </w:rPr>
              <w:t>-1</w:t>
            </w:r>
            <w:r w:rsidRPr="009E7727">
              <w:rPr>
                <w:rFonts w:eastAsia="SimSun"/>
                <w:b/>
                <w:sz w:val="16"/>
                <w:lang w:val="de-CH" w:eastAsia="zh-CN"/>
              </w:rPr>
              <w:t>,8</w:t>
            </w:r>
          </w:p>
        </w:tc>
        <w:tc>
          <w:tcPr>
            <w:tcW w:w="1701" w:type="dxa"/>
            <w:tcBorders>
              <w:top w:val="single" w:sz="4" w:space="0" w:color="auto"/>
              <w:left w:val="nil"/>
              <w:bottom w:val="nil"/>
              <w:right w:val="nil"/>
            </w:tcBorders>
            <w:tcMar>
              <w:top w:w="0" w:type="dxa"/>
              <w:left w:w="57" w:type="dxa"/>
              <w:bottom w:w="0" w:type="dxa"/>
              <w:right w:w="57" w:type="dxa"/>
            </w:tcMar>
          </w:tcPr>
          <w:p w14:paraId="5E2B581E" w14:textId="77777777" w:rsidR="00DC224A" w:rsidRPr="008A106B" w:rsidRDefault="00DC224A">
            <w:pPr>
              <w:keepNext/>
              <w:keepLines/>
              <w:widowControl w:val="0"/>
              <w:spacing w:before="50" w:after="50" w:line="220" w:lineRule="exact"/>
              <w:jc w:val="center"/>
              <w:rPr>
                <w:rFonts w:eastAsia="SimSun"/>
                <w:b/>
                <w:sz w:val="16"/>
                <w:lang w:val="de-CH" w:eastAsia="zh-CN"/>
              </w:rPr>
              <w:pPrChange w:id="1987" w:author="tcs" w:date="2026-02-26T10:56:00Z">
                <w:pPr>
                  <w:widowControl w:val="0"/>
                  <w:spacing w:before="50" w:after="50" w:line="220" w:lineRule="exact"/>
                  <w:jc w:val="center"/>
                </w:pPr>
              </w:pPrChange>
            </w:pPr>
            <w:r w:rsidRPr="008A106B">
              <w:rPr>
                <w:rFonts w:eastAsia="SimSun"/>
                <w:b/>
                <w:sz w:val="16"/>
                <w:lang w:val="de-CH" w:eastAsia="zh-CN"/>
              </w:rPr>
              <w:t xml:space="preserve">-3,3 </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3FE05529" w14:textId="77777777" w:rsidR="00DC224A" w:rsidRPr="008A106B" w:rsidRDefault="00DC224A">
            <w:pPr>
              <w:keepNext/>
              <w:keepLines/>
              <w:widowControl w:val="0"/>
              <w:spacing w:before="50" w:after="50" w:line="220" w:lineRule="exact"/>
              <w:jc w:val="center"/>
              <w:rPr>
                <w:rFonts w:eastAsia="SimSun"/>
                <w:b/>
                <w:sz w:val="16"/>
                <w:lang w:val="de-CH" w:eastAsia="zh-CN"/>
              </w:rPr>
              <w:pPrChange w:id="1988" w:author="tcs" w:date="2026-02-26T10:56:00Z">
                <w:pPr>
                  <w:widowControl w:val="0"/>
                  <w:spacing w:before="50" w:after="50" w:line="220" w:lineRule="exact"/>
                  <w:jc w:val="center"/>
                </w:pPr>
              </w:pPrChange>
            </w:pPr>
          </w:p>
        </w:tc>
      </w:tr>
      <w:tr w:rsidR="00DC224A" w:rsidRPr="008A106B" w14:paraId="485BCB67" w14:textId="77777777" w:rsidTr="001F7A68">
        <w:trPr>
          <w:gridAfter w:val="1"/>
          <w:wAfter w:w="14" w:type="dxa"/>
          <w:cantSplit/>
        </w:trPr>
        <w:tc>
          <w:tcPr>
            <w:tcW w:w="3351" w:type="dxa"/>
            <w:tcBorders>
              <w:top w:val="nil"/>
              <w:left w:val="single" w:sz="4" w:space="0" w:color="auto"/>
              <w:bottom w:val="single" w:sz="4" w:space="0" w:color="auto"/>
              <w:right w:val="nil"/>
            </w:tcBorders>
            <w:tcMar>
              <w:top w:w="0" w:type="dxa"/>
              <w:left w:w="57" w:type="dxa"/>
              <w:bottom w:w="0" w:type="dxa"/>
              <w:right w:w="57" w:type="dxa"/>
            </w:tcMar>
          </w:tcPr>
          <w:p w14:paraId="70CCE1D1" w14:textId="77777777" w:rsidR="00DC224A" w:rsidRPr="008A106B" w:rsidRDefault="00DC224A">
            <w:pPr>
              <w:keepNext/>
              <w:keepLines/>
              <w:widowControl w:val="0"/>
              <w:spacing w:before="50" w:after="50" w:line="220" w:lineRule="exact"/>
              <w:jc w:val="right"/>
              <w:rPr>
                <w:rFonts w:eastAsia="SimSun"/>
                <w:b/>
                <w:sz w:val="16"/>
                <w:lang w:val="es-ES" w:eastAsia="zh-CN"/>
              </w:rPr>
              <w:pPrChange w:id="1989" w:author="tcs" w:date="2026-02-26T10:56:00Z">
                <w:pPr>
                  <w:widowControl w:val="0"/>
                  <w:spacing w:before="50" w:after="50" w:line="220" w:lineRule="exact"/>
                  <w:jc w:val="right"/>
                </w:pPr>
              </w:pPrChange>
            </w:pPr>
            <w:r w:rsidRPr="008A106B">
              <w:rPr>
                <w:rFonts w:eastAsia="SimSun"/>
                <w:b/>
                <w:sz w:val="16"/>
                <w:lang w:val="es-ES" w:eastAsia="zh-CN"/>
              </w:rPr>
              <w:t>Diferencia en la media ajustada (95% CI)</w:t>
            </w:r>
          </w:p>
        </w:tc>
        <w:tc>
          <w:tcPr>
            <w:tcW w:w="3311" w:type="dxa"/>
            <w:gridSpan w:val="2"/>
            <w:tcBorders>
              <w:top w:val="nil"/>
              <w:left w:val="nil"/>
              <w:bottom w:val="single" w:sz="4" w:space="0" w:color="auto"/>
              <w:right w:val="nil"/>
            </w:tcBorders>
            <w:tcMar>
              <w:top w:w="0" w:type="dxa"/>
              <w:left w:w="57" w:type="dxa"/>
              <w:bottom w:w="0" w:type="dxa"/>
              <w:right w:w="57" w:type="dxa"/>
            </w:tcMar>
          </w:tcPr>
          <w:p w14:paraId="7EFFF340" w14:textId="77777777" w:rsidR="00DC224A" w:rsidRPr="008A106B" w:rsidRDefault="00DC224A">
            <w:pPr>
              <w:keepNext/>
              <w:keepLines/>
              <w:widowControl w:val="0"/>
              <w:spacing w:before="50" w:after="50" w:line="220" w:lineRule="exact"/>
              <w:jc w:val="center"/>
              <w:rPr>
                <w:rFonts w:eastAsia="SimSun"/>
                <w:b/>
                <w:sz w:val="16"/>
                <w:lang w:eastAsia="zh-CN"/>
              </w:rPr>
              <w:pPrChange w:id="1990" w:author="tcs" w:date="2026-02-26T10:56:00Z">
                <w:pPr>
                  <w:widowControl w:val="0"/>
                  <w:spacing w:before="50" w:after="50" w:line="220" w:lineRule="exact"/>
                  <w:jc w:val="center"/>
                </w:pPr>
              </w:pPrChange>
            </w:pPr>
            <w:r w:rsidRPr="008A106B">
              <w:rPr>
                <w:rFonts w:eastAsia="SimSun"/>
                <w:b/>
                <w:sz w:val="16"/>
                <w:lang w:eastAsia="zh-CN"/>
              </w:rPr>
              <w:t>-1,5 (-1,8; -1,1)</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3C23E6D8" w14:textId="77777777" w:rsidR="00DC224A" w:rsidRPr="008A106B" w:rsidRDefault="00DC224A">
            <w:pPr>
              <w:keepNext/>
              <w:keepLines/>
              <w:widowControl w:val="0"/>
              <w:spacing w:before="50" w:after="50" w:line="220" w:lineRule="exact"/>
              <w:jc w:val="center"/>
              <w:rPr>
                <w:rFonts w:eastAsia="SimSun"/>
                <w:b/>
                <w:sz w:val="16"/>
                <w:lang w:eastAsia="zh-CN"/>
              </w:rPr>
              <w:pPrChange w:id="1991" w:author="tcs" w:date="2026-02-26T10:56:00Z">
                <w:pPr>
                  <w:widowControl w:val="0"/>
                  <w:spacing w:before="50" w:after="50" w:line="220" w:lineRule="exact"/>
                  <w:jc w:val="center"/>
                </w:pPr>
              </w:pPrChange>
            </w:pPr>
            <w:r w:rsidRPr="008A106B">
              <w:rPr>
                <w:rFonts w:eastAsia="SimSun"/>
                <w:b/>
                <w:sz w:val="16"/>
                <w:lang w:eastAsia="zh-CN"/>
              </w:rPr>
              <w:t>&lt;0,0001</w:t>
            </w:r>
          </w:p>
        </w:tc>
      </w:tr>
      <w:tr w:rsidR="00DC224A" w:rsidRPr="00541248" w14:paraId="31F0B478" w14:textId="77777777" w:rsidTr="001F7A68">
        <w:trPr>
          <w:gridAfter w:val="1"/>
          <w:wAfter w:w="14" w:type="dxa"/>
          <w:cantSplit/>
        </w:trPr>
        <w:tc>
          <w:tcPr>
            <w:tcW w:w="7937" w:type="dxa"/>
            <w:gridSpan w:val="4"/>
            <w:tcBorders>
              <w:top w:val="nil"/>
              <w:left w:val="single" w:sz="4" w:space="0" w:color="auto"/>
              <w:bottom w:val="single" w:sz="4" w:space="0" w:color="auto"/>
              <w:right w:val="single" w:sz="8" w:space="0" w:color="auto"/>
            </w:tcBorders>
            <w:tcMar>
              <w:top w:w="0" w:type="dxa"/>
              <w:left w:w="57" w:type="dxa"/>
              <w:bottom w:w="0" w:type="dxa"/>
              <w:right w:w="57" w:type="dxa"/>
            </w:tcMar>
          </w:tcPr>
          <w:p w14:paraId="04970D95" w14:textId="77777777" w:rsidR="00DC224A" w:rsidRPr="008A106B" w:rsidRDefault="00DC224A">
            <w:pPr>
              <w:keepNext/>
              <w:keepLines/>
              <w:widowControl w:val="0"/>
              <w:spacing w:before="50" w:after="50" w:line="200" w:lineRule="exact"/>
              <w:rPr>
                <w:rFonts w:eastAsia="SimSun"/>
                <w:sz w:val="16"/>
                <w:lang w:val="es-ES" w:eastAsia="zh-CN"/>
              </w:rPr>
              <w:pPrChange w:id="1992" w:author="tcs" w:date="2026-02-26T10:56:00Z">
                <w:pPr>
                  <w:widowControl w:val="0"/>
                  <w:spacing w:before="50" w:after="50" w:line="200" w:lineRule="exact"/>
                </w:pPr>
              </w:pPrChange>
            </w:pPr>
            <w:r w:rsidRPr="008A106B">
              <w:rPr>
                <w:rFonts w:eastAsia="SimSun"/>
                <w:b/>
                <w:sz w:val="16"/>
                <w:lang w:val="es-ES" w:eastAsia="zh-CN"/>
              </w:rPr>
              <w:t xml:space="preserve">Variables secundarias - Porcentaje de Respondedores en la semana 24 </w:t>
            </w:r>
            <w:r w:rsidRPr="008A106B">
              <w:rPr>
                <w:rFonts w:eastAsia="SimSun"/>
                <w:b/>
                <w:sz w:val="16"/>
                <w:vertAlign w:val="superscript"/>
                <w:lang w:val="es-ES" w:eastAsia="zh-CN"/>
              </w:rPr>
              <w:t>(b)</w:t>
            </w:r>
          </w:p>
        </w:tc>
      </w:tr>
      <w:tr w:rsidR="00DC224A" w:rsidRPr="008A106B" w14:paraId="489A2B8C" w14:textId="77777777" w:rsidTr="001F7A68">
        <w:trPr>
          <w:gridAfter w:val="1"/>
          <w:wAfter w:w="14" w:type="dxa"/>
          <w:cantSplit/>
        </w:trPr>
        <w:tc>
          <w:tcPr>
            <w:tcW w:w="3351" w:type="dxa"/>
            <w:tcBorders>
              <w:top w:val="single" w:sz="4" w:space="0" w:color="auto"/>
              <w:left w:val="single" w:sz="4" w:space="0" w:color="auto"/>
              <w:bottom w:val="nil"/>
              <w:right w:val="nil"/>
            </w:tcBorders>
            <w:tcMar>
              <w:top w:w="0" w:type="dxa"/>
              <w:left w:w="57" w:type="dxa"/>
              <w:bottom w:w="0" w:type="dxa"/>
              <w:right w:w="57" w:type="dxa"/>
            </w:tcMar>
          </w:tcPr>
          <w:p w14:paraId="7A4820EE" w14:textId="77777777" w:rsidR="00DC224A" w:rsidRPr="008A106B" w:rsidRDefault="00DC224A">
            <w:pPr>
              <w:keepNext/>
              <w:keepLines/>
              <w:widowControl w:val="0"/>
              <w:spacing w:before="50" w:after="50" w:line="240" w:lineRule="exact"/>
              <w:jc w:val="right"/>
              <w:rPr>
                <w:rFonts w:eastAsia="SimSun"/>
                <w:sz w:val="16"/>
                <w:lang w:eastAsia="zh-CN"/>
              </w:rPr>
              <w:pPrChange w:id="1993" w:author="tcs" w:date="2026-02-26T10:56:00Z">
                <w:pPr>
                  <w:widowControl w:val="0"/>
                  <w:spacing w:before="50" w:after="50" w:line="240" w:lineRule="exact"/>
                  <w:jc w:val="right"/>
                </w:pPr>
              </w:pPrChange>
            </w:pPr>
            <w:r w:rsidRPr="008A106B">
              <w:rPr>
                <w:rFonts w:eastAsia="SimSun"/>
                <w:sz w:val="16"/>
                <w:lang w:eastAsia="zh-CN"/>
              </w:rPr>
              <w:t>DAS28 &lt; 2</w:t>
            </w:r>
            <w:proofErr w:type="gramStart"/>
            <w:r w:rsidRPr="008A106B">
              <w:rPr>
                <w:rFonts w:eastAsia="SimSun"/>
                <w:sz w:val="16"/>
                <w:lang w:eastAsia="zh-CN"/>
              </w:rPr>
              <w:t>,6</w:t>
            </w:r>
            <w:proofErr w:type="gramEnd"/>
            <w:r>
              <w:rPr>
                <w:rFonts w:eastAsia="SimSun"/>
                <w:sz w:val="16"/>
                <w:lang w:eastAsia="zh-CN"/>
              </w:rPr>
              <w:t>;</w:t>
            </w:r>
            <w:r w:rsidRPr="008A106B">
              <w:rPr>
                <w:rFonts w:eastAsia="SimSun"/>
                <w:sz w:val="16"/>
                <w:lang w:eastAsia="zh-CN"/>
              </w:rPr>
              <w:t xml:space="preserve"> n (%)</w:t>
            </w:r>
          </w:p>
        </w:tc>
        <w:tc>
          <w:tcPr>
            <w:tcW w:w="1610" w:type="dxa"/>
            <w:tcBorders>
              <w:top w:val="single" w:sz="4" w:space="0" w:color="auto"/>
              <w:left w:val="nil"/>
              <w:bottom w:val="nil"/>
              <w:right w:val="nil"/>
            </w:tcBorders>
            <w:tcMar>
              <w:top w:w="0" w:type="dxa"/>
              <w:left w:w="57" w:type="dxa"/>
              <w:bottom w:w="0" w:type="dxa"/>
              <w:right w:w="57" w:type="dxa"/>
            </w:tcMar>
          </w:tcPr>
          <w:p w14:paraId="3C243349" w14:textId="77777777" w:rsidR="00DC224A" w:rsidRPr="008A106B" w:rsidRDefault="00DC224A">
            <w:pPr>
              <w:keepNext/>
              <w:keepLines/>
              <w:widowControl w:val="0"/>
              <w:spacing w:before="50" w:after="50" w:line="240" w:lineRule="exact"/>
              <w:jc w:val="center"/>
              <w:rPr>
                <w:rFonts w:eastAsia="SimSun"/>
                <w:sz w:val="16"/>
                <w:lang w:eastAsia="zh-CN"/>
              </w:rPr>
              <w:pPrChange w:id="1994" w:author="tcs" w:date="2026-02-26T10:56:00Z">
                <w:pPr>
                  <w:widowControl w:val="0"/>
                  <w:spacing w:before="50" w:after="50" w:line="240" w:lineRule="exact"/>
                  <w:jc w:val="center"/>
                </w:pPr>
              </w:pPrChange>
            </w:pPr>
            <w:r w:rsidRPr="008A106B">
              <w:rPr>
                <w:rFonts w:eastAsia="SimSun"/>
                <w:sz w:val="16"/>
                <w:lang w:eastAsia="zh-CN"/>
              </w:rPr>
              <w:t>17 (10,5)</w:t>
            </w:r>
          </w:p>
        </w:tc>
        <w:tc>
          <w:tcPr>
            <w:tcW w:w="1701" w:type="dxa"/>
            <w:tcBorders>
              <w:top w:val="single" w:sz="4" w:space="0" w:color="auto"/>
              <w:left w:val="nil"/>
              <w:bottom w:val="nil"/>
              <w:right w:val="nil"/>
            </w:tcBorders>
            <w:tcMar>
              <w:top w:w="0" w:type="dxa"/>
              <w:left w:w="57" w:type="dxa"/>
              <w:bottom w:w="0" w:type="dxa"/>
              <w:right w:w="57" w:type="dxa"/>
            </w:tcMar>
          </w:tcPr>
          <w:p w14:paraId="53D055DA" w14:textId="77777777" w:rsidR="00DC224A" w:rsidRPr="008A106B" w:rsidRDefault="00DC224A">
            <w:pPr>
              <w:keepNext/>
              <w:keepLines/>
              <w:widowControl w:val="0"/>
              <w:spacing w:before="50" w:after="50" w:line="240" w:lineRule="exact"/>
              <w:jc w:val="center"/>
              <w:rPr>
                <w:rFonts w:eastAsia="SimSun"/>
                <w:sz w:val="16"/>
                <w:lang w:eastAsia="zh-CN"/>
              </w:rPr>
              <w:pPrChange w:id="1995" w:author="tcs" w:date="2026-02-26T10:56:00Z">
                <w:pPr>
                  <w:widowControl w:val="0"/>
                  <w:spacing w:before="50" w:after="50" w:line="240" w:lineRule="exact"/>
                  <w:jc w:val="center"/>
                </w:pPr>
              </w:pPrChange>
            </w:pPr>
            <w:r w:rsidRPr="008A106B">
              <w:rPr>
                <w:rFonts w:eastAsia="SimSun"/>
                <w:sz w:val="16"/>
                <w:lang w:eastAsia="zh-CN"/>
              </w:rPr>
              <w:t>65 (39,9)</w:t>
            </w:r>
          </w:p>
        </w:tc>
        <w:tc>
          <w:tcPr>
            <w:tcW w:w="1275" w:type="dxa"/>
            <w:tcBorders>
              <w:top w:val="single" w:sz="4" w:space="0" w:color="auto"/>
              <w:left w:val="nil"/>
              <w:bottom w:val="nil"/>
              <w:right w:val="single" w:sz="8" w:space="0" w:color="auto"/>
            </w:tcBorders>
            <w:tcMar>
              <w:top w:w="0" w:type="dxa"/>
              <w:left w:w="57" w:type="dxa"/>
              <w:bottom w:w="0" w:type="dxa"/>
              <w:right w:w="57" w:type="dxa"/>
            </w:tcMar>
          </w:tcPr>
          <w:p w14:paraId="7A7A8055" w14:textId="77777777" w:rsidR="00DC224A" w:rsidRPr="008A106B" w:rsidRDefault="00DC224A">
            <w:pPr>
              <w:keepNext/>
              <w:keepLines/>
              <w:widowControl w:val="0"/>
              <w:spacing w:before="50" w:after="50" w:line="240" w:lineRule="exact"/>
              <w:jc w:val="center"/>
              <w:rPr>
                <w:rFonts w:eastAsia="SimSun"/>
                <w:sz w:val="16"/>
                <w:lang w:eastAsia="zh-CN"/>
              </w:rPr>
              <w:pPrChange w:id="1996" w:author="tcs" w:date="2026-02-26T10:56:00Z">
                <w:pPr>
                  <w:widowControl w:val="0"/>
                  <w:spacing w:before="50" w:after="50" w:line="240" w:lineRule="exact"/>
                  <w:jc w:val="center"/>
                </w:pPr>
              </w:pPrChange>
            </w:pPr>
            <w:r w:rsidRPr="008A106B">
              <w:rPr>
                <w:rFonts w:eastAsia="SimSun"/>
                <w:sz w:val="16"/>
                <w:lang w:eastAsia="zh-CN"/>
              </w:rPr>
              <w:t>&lt;0,0001</w:t>
            </w:r>
          </w:p>
        </w:tc>
      </w:tr>
      <w:tr w:rsidR="00DC224A" w:rsidRPr="008A106B" w14:paraId="0B6F9CDC"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5D857EA3" w14:textId="77777777" w:rsidR="00DC224A" w:rsidRPr="008A106B" w:rsidRDefault="00DC224A">
            <w:pPr>
              <w:keepNext/>
              <w:keepLines/>
              <w:widowControl w:val="0"/>
              <w:spacing w:before="50" w:after="50" w:line="240" w:lineRule="exact"/>
              <w:jc w:val="right"/>
              <w:rPr>
                <w:rFonts w:eastAsia="SimSun"/>
                <w:sz w:val="16"/>
                <w:lang w:eastAsia="zh-CN"/>
              </w:rPr>
              <w:pPrChange w:id="1997" w:author="tcs" w:date="2026-02-26T10:56:00Z">
                <w:pPr>
                  <w:widowControl w:val="0"/>
                  <w:spacing w:before="50" w:after="50" w:line="240" w:lineRule="exact"/>
                  <w:jc w:val="right"/>
                </w:pPr>
              </w:pPrChange>
            </w:pPr>
            <w:r w:rsidRPr="008A106B">
              <w:rPr>
                <w:rFonts w:eastAsia="SimSun"/>
                <w:sz w:val="16"/>
                <w:lang w:eastAsia="zh-CN"/>
              </w:rPr>
              <w:t>DAS28 ≤ 3</w:t>
            </w:r>
            <w:proofErr w:type="gramStart"/>
            <w:r w:rsidRPr="008A106B">
              <w:rPr>
                <w:rFonts w:eastAsia="SimSun"/>
                <w:sz w:val="16"/>
                <w:lang w:eastAsia="zh-CN"/>
              </w:rPr>
              <w:t>,2</w:t>
            </w:r>
            <w:proofErr w:type="gramEnd"/>
            <w:r>
              <w:rPr>
                <w:rFonts w:eastAsia="SimSun"/>
                <w:sz w:val="16"/>
                <w:lang w:eastAsia="zh-CN"/>
              </w:rPr>
              <w:t>;</w:t>
            </w:r>
            <w:r w:rsidRPr="008A106B">
              <w:rPr>
                <w:rFonts w:eastAsia="SimSun"/>
                <w:sz w:val="16"/>
                <w:lang w:eastAsia="zh-CN"/>
              </w:rPr>
              <w:t xml:space="preserve"> n (%) </w:t>
            </w:r>
          </w:p>
        </w:tc>
        <w:tc>
          <w:tcPr>
            <w:tcW w:w="1610" w:type="dxa"/>
            <w:tcMar>
              <w:top w:w="0" w:type="dxa"/>
              <w:left w:w="57" w:type="dxa"/>
              <w:bottom w:w="0" w:type="dxa"/>
              <w:right w:w="57" w:type="dxa"/>
            </w:tcMar>
          </w:tcPr>
          <w:p w14:paraId="655818D1" w14:textId="77777777" w:rsidR="00DC224A" w:rsidRPr="008A106B" w:rsidRDefault="00DC224A">
            <w:pPr>
              <w:keepNext/>
              <w:keepLines/>
              <w:widowControl w:val="0"/>
              <w:spacing w:before="50" w:after="50" w:line="240" w:lineRule="exact"/>
              <w:jc w:val="center"/>
              <w:rPr>
                <w:rFonts w:eastAsia="SimSun"/>
                <w:sz w:val="16"/>
                <w:lang w:eastAsia="zh-CN"/>
              </w:rPr>
              <w:pPrChange w:id="1998" w:author="tcs" w:date="2026-02-26T10:56:00Z">
                <w:pPr>
                  <w:widowControl w:val="0"/>
                  <w:spacing w:before="50" w:after="50" w:line="240" w:lineRule="exact"/>
                  <w:jc w:val="center"/>
                </w:pPr>
              </w:pPrChange>
            </w:pPr>
            <w:r w:rsidRPr="008A106B">
              <w:rPr>
                <w:rFonts w:eastAsia="SimSun"/>
                <w:sz w:val="16"/>
                <w:lang w:eastAsia="zh-CN"/>
              </w:rPr>
              <w:t xml:space="preserve">32 (19,8) </w:t>
            </w:r>
          </w:p>
        </w:tc>
        <w:tc>
          <w:tcPr>
            <w:tcW w:w="1701" w:type="dxa"/>
            <w:tcMar>
              <w:top w:w="0" w:type="dxa"/>
              <w:left w:w="57" w:type="dxa"/>
              <w:bottom w:w="0" w:type="dxa"/>
              <w:right w:w="57" w:type="dxa"/>
            </w:tcMar>
          </w:tcPr>
          <w:p w14:paraId="7FBCEF73" w14:textId="77777777" w:rsidR="00DC224A" w:rsidRPr="008A106B" w:rsidRDefault="00DC224A">
            <w:pPr>
              <w:keepNext/>
              <w:keepLines/>
              <w:widowControl w:val="0"/>
              <w:spacing w:before="50" w:after="50" w:line="240" w:lineRule="exact"/>
              <w:jc w:val="center"/>
              <w:rPr>
                <w:rFonts w:eastAsia="SimSun"/>
                <w:sz w:val="16"/>
                <w:lang w:eastAsia="zh-CN"/>
              </w:rPr>
              <w:pPrChange w:id="1999" w:author="tcs" w:date="2026-02-26T10:56:00Z">
                <w:pPr>
                  <w:widowControl w:val="0"/>
                  <w:spacing w:before="50" w:after="50" w:line="240" w:lineRule="exact"/>
                  <w:jc w:val="center"/>
                </w:pPr>
              </w:pPrChange>
            </w:pPr>
            <w:r w:rsidRPr="008A106B">
              <w:rPr>
                <w:rFonts w:eastAsia="SimSun"/>
                <w:sz w:val="16"/>
                <w:lang w:eastAsia="zh-CN"/>
              </w:rPr>
              <w:t>84 (51,5)</w:t>
            </w:r>
          </w:p>
        </w:tc>
        <w:tc>
          <w:tcPr>
            <w:tcW w:w="1275" w:type="dxa"/>
            <w:tcBorders>
              <w:top w:val="nil"/>
              <w:left w:val="nil"/>
              <w:bottom w:val="nil"/>
              <w:right w:val="single" w:sz="8" w:space="0" w:color="auto"/>
            </w:tcBorders>
            <w:tcMar>
              <w:top w:w="0" w:type="dxa"/>
              <w:left w:w="57" w:type="dxa"/>
              <w:bottom w:w="0" w:type="dxa"/>
              <w:right w:w="57" w:type="dxa"/>
            </w:tcMar>
          </w:tcPr>
          <w:p w14:paraId="0E3B13B4" w14:textId="77777777" w:rsidR="00DC224A" w:rsidRPr="008A106B" w:rsidRDefault="00DC224A">
            <w:pPr>
              <w:keepNext/>
              <w:keepLines/>
              <w:widowControl w:val="0"/>
              <w:spacing w:before="50" w:after="50" w:line="240" w:lineRule="exact"/>
              <w:jc w:val="center"/>
              <w:rPr>
                <w:rFonts w:eastAsia="SimSun"/>
                <w:sz w:val="16"/>
                <w:lang w:eastAsia="zh-CN"/>
              </w:rPr>
              <w:pPrChange w:id="2000" w:author="tcs" w:date="2026-02-26T10:56:00Z">
                <w:pPr>
                  <w:widowControl w:val="0"/>
                  <w:spacing w:before="50" w:after="50" w:line="240" w:lineRule="exact"/>
                  <w:jc w:val="center"/>
                </w:pPr>
              </w:pPrChange>
            </w:pPr>
            <w:r w:rsidRPr="008A106B">
              <w:rPr>
                <w:rFonts w:eastAsia="SimSun"/>
                <w:sz w:val="16"/>
                <w:lang w:eastAsia="zh-CN"/>
              </w:rPr>
              <w:t>&lt;0,0001</w:t>
            </w:r>
          </w:p>
        </w:tc>
      </w:tr>
      <w:tr w:rsidR="00DC224A" w:rsidRPr="008A106B" w14:paraId="33123E4D"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53E16DCD" w14:textId="77777777" w:rsidR="00DC224A" w:rsidRPr="008A106B" w:rsidRDefault="00DC224A">
            <w:pPr>
              <w:keepNext/>
              <w:keepLines/>
              <w:widowControl w:val="0"/>
              <w:spacing w:before="50" w:after="50" w:line="240" w:lineRule="exact"/>
              <w:jc w:val="right"/>
              <w:rPr>
                <w:rFonts w:eastAsia="SimSun"/>
                <w:sz w:val="16"/>
                <w:lang w:eastAsia="zh-CN"/>
              </w:rPr>
              <w:pPrChange w:id="2001" w:author="tcs" w:date="2026-02-26T10:56:00Z">
                <w:pPr>
                  <w:widowControl w:val="0"/>
                  <w:spacing w:before="50" w:after="50" w:line="240" w:lineRule="exact"/>
                  <w:jc w:val="right"/>
                </w:pPr>
              </w:pPrChange>
            </w:pPr>
            <w:r>
              <w:rPr>
                <w:rFonts w:eastAsia="SimSun"/>
                <w:sz w:val="16"/>
                <w:lang w:eastAsia="zh-CN"/>
              </w:rPr>
              <w:t xml:space="preserve">Respuesta </w:t>
            </w:r>
            <w:r w:rsidRPr="008A106B">
              <w:rPr>
                <w:rFonts w:eastAsia="SimSun"/>
                <w:sz w:val="16"/>
                <w:lang w:eastAsia="zh-CN"/>
              </w:rPr>
              <w:t>ACR20</w:t>
            </w:r>
            <w:r>
              <w:rPr>
                <w:rFonts w:eastAsia="SimSun"/>
                <w:sz w:val="16"/>
                <w:lang w:eastAsia="zh-CN"/>
              </w:rPr>
              <w:t>,</w:t>
            </w:r>
            <w:r w:rsidRPr="008A106B">
              <w:rPr>
                <w:rFonts w:eastAsia="SimSun"/>
                <w:sz w:val="16"/>
                <w:lang w:eastAsia="zh-CN"/>
              </w:rPr>
              <w:t xml:space="preserve"> n (%)</w:t>
            </w:r>
          </w:p>
        </w:tc>
        <w:tc>
          <w:tcPr>
            <w:tcW w:w="1610" w:type="dxa"/>
            <w:tcMar>
              <w:top w:w="0" w:type="dxa"/>
              <w:left w:w="57" w:type="dxa"/>
              <w:bottom w:w="0" w:type="dxa"/>
              <w:right w:w="57" w:type="dxa"/>
            </w:tcMar>
          </w:tcPr>
          <w:p w14:paraId="0A3E2F10" w14:textId="77777777" w:rsidR="00DC224A" w:rsidRPr="008A106B" w:rsidRDefault="00DC224A">
            <w:pPr>
              <w:keepNext/>
              <w:keepLines/>
              <w:widowControl w:val="0"/>
              <w:spacing w:before="50" w:after="50" w:line="240" w:lineRule="exact"/>
              <w:jc w:val="center"/>
              <w:rPr>
                <w:rFonts w:eastAsia="SimSun"/>
                <w:sz w:val="16"/>
                <w:lang w:eastAsia="zh-CN"/>
              </w:rPr>
              <w:pPrChange w:id="2002" w:author="tcs" w:date="2026-02-26T10:56:00Z">
                <w:pPr>
                  <w:widowControl w:val="0"/>
                  <w:spacing w:before="50" w:after="50" w:line="240" w:lineRule="exact"/>
                  <w:jc w:val="center"/>
                </w:pPr>
              </w:pPrChange>
            </w:pPr>
            <w:r w:rsidRPr="008A106B">
              <w:rPr>
                <w:rFonts w:eastAsia="SimSun"/>
                <w:sz w:val="16"/>
                <w:lang w:eastAsia="zh-CN"/>
              </w:rPr>
              <w:t>80 (49,4)</w:t>
            </w:r>
          </w:p>
        </w:tc>
        <w:tc>
          <w:tcPr>
            <w:tcW w:w="1701" w:type="dxa"/>
            <w:tcMar>
              <w:top w:w="0" w:type="dxa"/>
              <w:left w:w="57" w:type="dxa"/>
              <w:bottom w:w="0" w:type="dxa"/>
              <w:right w:w="57" w:type="dxa"/>
            </w:tcMar>
          </w:tcPr>
          <w:p w14:paraId="0EA02745" w14:textId="77777777" w:rsidR="00DC224A" w:rsidRPr="008A106B" w:rsidRDefault="00DC224A">
            <w:pPr>
              <w:keepNext/>
              <w:keepLines/>
              <w:widowControl w:val="0"/>
              <w:spacing w:before="50" w:after="50" w:line="240" w:lineRule="exact"/>
              <w:jc w:val="center"/>
              <w:rPr>
                <w:rFonts w:eastAsia="SimSun"/>
                <w:sz w:val="16"/>
                <w:lang w:eastAsia="zh-CN"/>
              </w:rPr>
              <w:pPrChange w:id="2003" w:author="tcs" w:date="2026-02-26T10:56:00Z">
                <w:pPr>
                  <w:widowControl w:val="0"/>
                  <w:spacing w:before="50" w:after="50" w:line="240" w:lineRule="exact"/>
                  <w:jc w:val="center"/>
                </w:pPr>
              </w:pPrChange>
            </w:pPr>
            <w:r w:rsidRPr="008A106B">
              <w:rPr>
                <w:rFonts w:eastAsia="SimSun"/>
                <w:sz w:val="16"/>
                <w:lang w:eastAsia="zh-CN"/>
              </w:rPr>
              <w:t>106 (65,0)</w:t>
            </w:r>
          </w:p>
        </w:tc>
        <w:tc>
          <w:tcPr>
            <w:tcW w:w="1275" w:type="dxa"/>
            <w:tcBorders>
              <w:top w:val="nil"/>
              <w:left w:val="nil"/>
              <w:bottom w:val="nil"/>
              <w:right w:val="single" w:sz="8" w:space="0" w:color="auto"/>
            </w:tcBorders>
            <w:tcMar>
              <w:top w:w="0" w:type="dxa"/>
              <w:left w:w="57" w:type="dxa"/>
              <w:bottom w:w="0" w:type="dxa"/>
              <w:right w:w="57" w:type="dxa"/>
            </w:tcMar>
          </w:tcPr>
          <w:p w14:paraId="310F4D39" w14:textId="77777777" w:rsidR="00DC224A" w:rsidRPr="008A106B" w:rsidRDefault="00DC224A">
            <w:pPr>
              <w:keepNext/>
              <w:keepLines/>
              <w:widowControl w:val="0"/>
              <w:spacing w:before="50" w:after="50" w:line="240" w:lineRule="exact"/>
              <w:jc w:val="center"/>
              <w:rPr>
                <w:rFonts w:eastAsia="SimSun"/>
                <w:sz w:val="16"/>
                <w:lang w:eastAsia="zh-CN"/>
              </w:rPr>
              <w:pPrChange w:id="2004" w:author="tcs" w:date="2026-02-26T10:56:00Z">
                <w:pPr>
                  <w:widowControl w:val="0"/>
                  <w:spacing w:before="50" w:after="50" w:line="240" w:lineRule="exact"/>
                  <w:jc w:val="center"/>
                </w:pPr>
              </w:pPrChange>
            </w:pPr>
            <w:r w:rsidRPr="008A106B">
              <w:rPr>
                <w:rFonts w:eastAsia="SimSun"/>
                <w:sz w:val="16"/>
                <w:lang w:eastAsia="zh-CN"/>
              </w:rPr>
              <w:t>0,0038</w:t>
            </w:r>
          </w:p>
        </w:tc>
      </w:tr>
      <w:tr w:rsidR="00DC224A" w:rsidRPr="008A106B" w14:paraId="54A463C7" w14:textId="77777777" w:rsidTr="001F7A68">
        <w:trPr>
          <w:gridAfter w:val="1"/>
          <w:wAfter w:w="14" w:type="dxa"/>
          <w:cantSplit/>
        </w:trPr>
        <w:tc>
          <w:tcPr>
            <w:tcW w:w="3351" w:type="dxa"/>
            <w:tcBorders>
              <w:top w:val="nil"/>
              <w:left w:val="single" w:sz="4" w:space="0" w:color="auto"/>
              <w:bottom w:val="nil"/>
              <w:right w:val="nil"/>
            </w:tcBorders>
            <w:tcMar>
              <w:top w:w="0" w:type="dxa"/>
              <w:left w:w="57" w:type="dxa"/>
              <w:bottom w:w="0" w:type="dxa"/>
              <w:right w:w="57" w:type="dxa"/>
            </w:tcMar>
          </w:tcPr>
          <w:p w14:paraId="5DECEB75" w14:textId="77777777" w:rsidR="00DC224A" w:rsidRPr="008A106B" w:rsidRDefault="00DC224A">
            <w:pPr>
              <w:keepNext/>
              <w:keepLines/>
              <w:widowControl w:val="0"/>
              <w:spacing w:before="50" w:after="50" w:line="240" w:lineRule="exact"/>
              <w:jc w:val="right"/>
              <w:rPr>
                <w:rFonts w:eastAsia="SimSun"/>
                <w:sz w:val="16"/>
                <w:lang w:eastAsia="zh-CN"/>
              </w:rPr>
              <w:pPrChange w:id="2005" w:author="tcs" w:date="2026-02-26T10:56:00Z">
                <w:pPr>
                  <w:widowControl w:val="0"/>
                  <w:spacing w:before="50" w:after="50" w:line="240" w:lineRule="exact"/>
                  <w:jc w:val="right"/>
                </w:pPr>
              </w:pPrChange>
            </w:pPr>
            <w:r>
              <w:rPr>
                <w:rFonts w:eastAsia="SimSun"/>
                <w:sz w:val="16"/>
                <w:lang w:eastAsia="zh-CN"/>
              </w:rPr>
              <w:t xml:space="preserve">Respuesta </w:t>
            </w:r>
            <w:r w:rsidRPr="008A106B">
              <w:rPr>
                <w:rFonts w:eastAsia="SimSun"/>
                <w:sz w:val="16"/>
                <w:lang w:eastAsia="zh-CN"/>
              </w:rPr>
              <w:t>ACR50, n (%)</w:t>
            </w:r>
          </w:p>
        </w:tc>
        <w:tc>
          <w:tcPr>
            <w:tcW w:w="1610" w:type="dxa"/>
            <w:tcMar>
              <w:top w:w="0" w:type="dxa"/>
              <w:left w:w="57" w:type="dxa"/>
              <w:bottom w:w="0" w:type="dxa"/>
              <w:right w:w="57" w:type="dxa"/>
            </w:tcMar>
          </w:tcPr>
          <w:p w14:paraId="6511DF63" w14:textId="77777777" w:rsidR="00DC224A" w:rsidRPr="008A106B" w:rsidRDefault="00DC224A">
            <w:pPr>
              <w:keepNext/>
              <w:keepLines/>
              <w:widowControl w:val="0"/>
              <w:spacing w:before="50" w:after="50" w:line="240" w:lineRule="exact"/>
              <w:jc w:val="center"/>
              <w:rPr>
                <w:rFonts w:eastAsia="SimSun"/>
                <w:sz w:val="16"/>
                <w:lang w:eastAsia="zh-CN"/>
              </w:rPr>
              <w:pPrChange w:id="2006" w:author="tcs" w:date="2026-02-26T10:56:00Z">
                <w:pPr>
                  <w:widowControl w:val="0"/>
                  <w:spacing w:before="50" w:after="50" w:line="240" w:lineRule="exact"/>
                  <w:jc w:val="center"/>
                </w:pPr>
              </w:pPrChange>
            </w:pPr>
            <w:r w:rsidRPr="008A106B">
              <w:rPr>
                <w:rFonts w:eastAsia="SimSun"/>
                <w:sz w:val="16"/>
                <w:lang w:eastAsia="zh-CN"/>
              </w:rPr>
              <w:t>45 (27,8)</w:t>
            </w:r>
          </w:p>
        </w:tc>
        <w:tc>
          <w:tcPr>
            <w:tcW w:w="1701" w:type="dxa"/>
            <w:tcMar>
              <w:top w:w="0" w:type="dxa"/>
              <w:left w:w="57" w:type="dxa"/>
              <w:bottom w:w="0" w:type="dxa"/>
              <w:right w:w="57" w:type="dxa"/>
            </w:tcMar>
          </w:tcPr>
          <w:p w14:paraId="79B3CAC7" w14:textId="77777777" w:rsidR="00DC224A" w:rsidRPr="008A106B" w:rsidRDefault="00DC224A">
            <w:pPr>
              <w:keepNext/>
              <w:keepLines/>
              <w:widowControl w:val="0"/>
              <w:spacing w:before="50" w:after="50" w:line="240" w:lineRule="exact"/>
              <w:jc w:val="center"/>
              <w:rPr>
                <w:rFonts w:eastAsia="SimSun"/>
                <w:sz w:val="16"/>
                <w:lang w:eastAsia="zh-CN"/>
              </w:rPr>
              <w:pPrChange w:id="2007" w:author="tcs" w:date="2026-02-26T10:56:00Z">
                <w:pPr>
                  <w:widowControl w:val="0"/>
                  <w:spacing w:before="50" w:after="50" w:line="240" w:lineRule="exact"/>
                  <w:jc w:val="center"/>
                </w:pPr>
              </w:pPrChange>
            </w:pPr>
            <w:r w:rsidRPr="008A106B">
              <w:rPr>
                <w:rFonts w:eastAsia="SimSun"/>
                <w:sz w:val="16"/>
                <w:lang w:eastAsia="zh-CN"/>
              </w:rPr>
              <w:t>77 (47,2)</w:t>
            </w:r>
          </w:p>
        </w:tc>
        <w:tc>
          <w:tcPr>
            <w:tcW w:w="1275" w:type="dxa"/>
            <w:tcBorders>
              <w:top w:val="nil"/>
              <w:left w:val="nil"/>
              <w:bottom w:val="nil"/>
              <w:right w:val="single" w:sz="8" w:space="0" w:color="auto"/>
            </w:tcBorders>
            <w:tcMar>
              <w:top w:w="0" w:type="dxa"/>
              <w:left w:w="57" w:type="dxa"/>
              <w:bottom w:w="0" w:type="dxa"/>
              <w:right w:w="57" w:type="dxa"/>
            </w:tcMar>
          </w:tcPr>
          <w:p w14:paraId="01773121" w14:textId="77777777" w:rsidR="00DC224A" w:rsidRPr="008A106B" w:rsidRDefault="00DC224A">
            <w:pPr>
              <w:keepNext/>
              <w:keepLines/>
              <w:widowControl w:val="0"/>
              <w:spacing w:before="50" w:after="50" w:line="240" w:lineRule="exact"/>
              <w:jc w:val="center"/>
              <w:rPr>
                <w:rFonts w:eastAsia="SimSun"/>
                <w:sz w:val="16"/>
                <w:lang w:eastAsia="zh-CN"/>
              </w:rPr>
              <w:pPrChange w:id="2008" w:author="tcs" w:date="2026-02-26T10:56:00Z">
                <w:pPr>
                  <w:widowControl w:val="0"/>
                  <w:spacing w:before="50" w:after="50" w:line="240" w:lineRule="exact"/>
                  <w:jc w:val="center"/>
                </w:pPr>
              </w:pPrChange>
            </w:pPr>
            <w:r w:rsidRPr="008A106B">
              <w:rPr>
                <w:rFonts w:eastAsia="SimSun"/>
                <w:sz w:val="16"/>
                <w:lang w:eastAsia="zh-CN"/>
              </w:rPr>
              <w:t>0,0002</w:t>
            </w:r>
          </w:p>
        </w:tc>
      </w:tr>
      <w:tr w:rsidR="00DC224A" w:rsidRPr="008A106B" w14:paraId="0BDEE668" w14:textId="77777777" w:rsidTr="001F7A68">
        <w:trPr>
          <w:gridAfter w:val="1"/>
          <w:wAfter w:w="14" w:type="dxa"/>
          <w:cantSplit/>
        </w:trPr>
        <w:tc>
          <w:tcPr>
            <w:tcW w:w="3351" w:type="dxa"/>
            <w:tcBorders>
              <w:top w:val="nil"/>
              <w:left w:val="single" w:sz="4" w:space="0" w:color="auto"/>
              <w:bottom w:val="single" w:sz="4" w:space="0" w:color="auto"/>
              <w:right w:val="nil"/>
            </w:tcBorders>
            <w:tcMar>
              <w:top w:w="0" w:type="dxa"/>
              <w:left w:w="57" w:type="dxa"/>
              <w:bottom w:w="0" w:type="dxa"/>
              <w:right w:w="57" w:type="dxa"/>
            </w:tcMar>
          </w:tcPr>
          <w:p w14:paraId="4194AA40" w14:textId="77777777" w:rsidR="00DC224A" w:rsidRPr="008A106B" w:rsidRDefault="00DC224A">
            <w:pPr>
              <w:keepNext/>
              <w:keepLines/>
              <w:widowControl w:val="0"/>
              <w:spacing w:before="50" w:after="50" w:line="240" w:lineRule="exact"/>
              <w:jc w:val="right"/>
              <w:rPr>
                <w:rFonts w:eastAsia="SimSun"/>
                <w:sz w:val="16"/>
                <w:lang w:eastAsia="zh-CN"/>
              </w:rPr>
              <w:pPrChange w:id="2009" w:author="tcs" w:date="2026-02-26T10:56:00Z">
                <w:pPr>
                  <w:widowControl w:val="0"/>
                  <w:spacing w:before="50" w:after="50" w:line="240" w:lineRule="exact"/>
                  <w:jc w:val="right"/>
                </w:pPr>
              </w:pPrChange>
            </w:pPr>
            <w:r>
              <w:rPr>
                <w:rFonts w:eastAsia="SimSun"/>
                <w:sz w:val="16"/>
                <w:lang w:eastAsia="zh-CN"/>
              </w:rPr>
              <w:t xml:space="preserve">Respuesta </w:t>
            </w:r>
            <w:proofErr w:type="gramStart"/>
            <w:r w:rsidRPr="008A106B">
              <w:rPr>
                <w:rFonts w:eastAsia="SimSun"/>
                <w:sz w:val="16"/>
                <w:lang w:eastAsia="zh-CN"/>
              </w:rPr>
              <w:t>ACR70 ,</w:t>
            </w:r>
            <w:proofErr w:type="gramEnd"/>
            <w:r w:rsidRPr="008A106B">
              <w:rPr>
                <w:rFonts w:eastAsia="SimSun"/>
                <w:sz w:val="16"/>
                <w:lang w:eastAsia="zh-CN"/>
              </w:rPr>
              <w:t xml:space="preserve"> n (%)</w:t>
            </w:r>
          </w:p>
        </w:tc>
        <w:tc>
          <w:tcPr>
            <w:tcW w:w="1610" w:type="dxa"/>
            <w:tcBorders>
              <w:top w:val="nil"/>
              <w:left w:val="nil"/>
              <w:bottom w:val="single" w:sz="4" w:space="0" w:color="auto"/>
              <w:right w:val="nil"/>
            </w:tcBorders>
            <w:tcMar>
              <w:top w:w="0" w:type="dxa"/>
              <w:left w:w="57" w:type="dxa"/>
              <w:bottom w:w="0" w:type="dxa"/>
              <w:right w:w="57" w:type="dxa"/>
            </w:tcMar>
          </w:tcPr>
          <w:p w14:paraId="7F544033" w14:textId="77777777" w:rsidR="00DC224A" w:rsidRPr="008A106B" w:rsidRDefault="00DC224A">
            <w:pPr>
              <w:keepNext/>
              <w:keepLines/>
              <w:widowControl w:val="0"/>
              <w:spacing w:before="50" w:after="50" w:line="240" w:lineRule="exact"/>
              <w:jc w:val="center"/>
              <w:rPr>
                <w:rFonts w:eastAsia="SimSun"/>
                <w:sz w:val="16"/>
                <w:lang w:eastAsia="zh-CN"/>
              </w:rPr>
              <w:pPrChange w:id="2010" w:author="tcs" w:date="2026-02-26T10:56:00Z">
                <w:pPr>
                  <w:widowControl w:val="0"/>
                  <w:spacing w:before="50" w:after="50" w:line="240" w:lineRule="exact"/>
                  <w:jc w:val="center"/>
                </w:pPr>
              </w:pPrChange>
            </w:pPr>
            <w:r w:rsidRPr="008A106B">
              <w:rPr>
                <w:rFonts w:eastAsia="SimSun"/>
                <w:sz w:val="16"/>
                <w:lang w:eastAsia="zh-CN"/>
              </w:rPr>
              <w:t>29 (17,9)</w:t>
            </w:r>
          </w:p>
        </w:tc>
        <w:tc>
          <w:tcPr>
            <w:tcW w:w="1701" w:type="dxa"/>
            <w:tcBorders>
              <w:top w:val="nil"/>
              <w:left w:val="nil"/>
              <w:bottom w:val="single" w:sz="4" w:space="0" w:color="auto"/>
              <w:right w:val="nil"/>
            </w:tcBorders>
            <w:tcMar>
              <w:top w:w="0" w:type="dxa"/>
              <w:left w:w="57" w:type="dxa"/>
              <w:bottom w:w="0" w:type="dxa"/>
              <w:right w:w="57" w:type="dxa"/>
            </w:tcMar>
          </w:tcPr>
          <w:p w14:paraId="5E2FD465" w14:textId="77777777" w:rsidR="00DC224A" w:rsidRPr="008A106B" w:rsidRDefault="00DC224A">
            <w:pPr>
              <w:keepNext/>
              <w:keepLines/>
              <w:widowControl w:val="0"/>
              <w:spacing w:before="50" w:after="50" w:line="240" w:lineRule="exact"/>
              <w:jc w:val="center"/>
              <w:rPr>
                <w:rFonts w:eastAsia="SimSun"/>
                <w:sz w:val="16"/>
                <w:lang w:eastAsia="zh-CN"/>
              </w:rPr>
              <w:pPrChange w:id="2011" w:author="tcs" w:date="2026-02-26T10:56:00Z">
                <w:pPr>
                  <w:widowControl w:val="0"/>
                  <w:spacing w:before="50" w:after="50" w:line="240" w:lineRule="exact"/>
                  <w:jc w:val="center"/>
                </w:pPr>
              </w:pPrChange>
            </w:pPr>
            <w:r w:rsidRPr="008A106B">
              <w:rPr>
                <w:rFonts w:eastAsia="SimSun"/>
                <w:sz w:val="16"/>
                <w:lang w:eastAsia="zh-CN"/>
              </w:rPr>
              <w:t>53 (32,5)</w:t>
            </w:r>
          </w:p>
        </w:tc>
        <w:tc>
          <w:tcPr>
            <w:tcW w:w="1275" w:type="dxa"/>
            <w:tcBorders>
              <w:top w:val="nil"/>
              <w:left w:val="nil"/>
              <w:bottom w:val="single" w:sz="4" w:space="0" w:color="auto"/>
              <w:right w:val="single" w:sz="8" w:space="0" w:color="auto"/>
            </w:tcBorders>
            <w:tcMar>
              <w:top w:w="0" w:type="dxa"/>
              <w:left w:w="57" w:type="dxa"/>
              <w:bottom w:w="0" w:type="dxa"/>
              <w:right w:w="57" w:type="dxa"/>
            </w:tcMar>
          </w:tcPr>
          <w:p w14:paraId="6BF407DF" w14:textId="77777777" w:rsidR="00DC224A" w:rsidRPr="008A106B" w:rsidRDefault="00DC224A">
            <w:pPr>
              <w:keepNext/>
              <w:keepLines/>
              <w:widowControl w:val="0"/>
              <w:spacing w:before="50" w:after="50" w:line="240" w:lineRule="exact"/>
              <w:jc w:val="center"/>
              <w:rPr>
                <w:rFonts w:eastAsia="SimSun"/>
                <w:sz w:val="16"/>
                <w:lang w:eastAsia="zh-CN"/>
              </w:rPr>
              <w:pPrChange w:id="2012" w:author="tcs" w:date="2026-02-26T10:56:00Z">
                <w:pPr>
                  <w:widowControl w:val="0"/>
                  <w:spacing w:before="50" w:after="50" w:line="240" w:lineRule="exact"/>
                  <w:jc w:val="center"/>
                </w:pPr>
              </w:pPrChange>
            </w:pPr>
            <w:r w:rsidRPr="008A106B">
              <w:rPr>
                <w:rFonts w:eastAsia="SimSun"/>
                <w:sz w:val="16"/>
                <w:lang w:eastAsia="zh-CN"/>
              </w:rPr>
              <w:t>0,0023</w:t>
            </w:r>
          </w:p>
        </w:tc>
      </w:tr>
    </w:tbl>
    <w:p w14:paraId="0139E8F2" w14:textId="58BC0AD7" w:rsidR="00DC224A" w:rsidRPr="008A106B" w:rsidRDefault="00DC224A">
      <w:pPr>
        <w:keepNext/>
        <w:keepLines/>
        <w:widowControl w:val="0"/>
        <w:rPr>
          <w:rFonts w:eastAsia="SimSun"/>
          <w:bCs/>
          <w:i/>
          <w:sz w:val="18"/>
          <w:szCs w:val="18"/>
          <w:lang w:val="es-ES" w:eastAsia="zh-CN"/>
        </w:rPr>
        <w:pPrChange w:id="2013" w:author="tcs" w:date="2026-02-26T10:56:00Z">
          <w:pPr>
            <w:widowControl w:val="0"/>
          </w:pPr>
        </w:pPrChange>
      </w:pPr>
      <w:r w:rsidRPr="008A106B">
        <w:rPr>
          <w:rFonts w:eastAsia="SimSun"/>
          <w:bCs/>
          <w:i/>
          <w:sz w:val="18"/>
          <w:szCs w:val="18"/>
          <w:vertAlign w:val="superscript"/>
          <w:lang w:val="es-ES" w:eastAsia="zh-CN"/>
        </w:rPr>
        <w:t xml:space="preserve">a </w:t>
      </w:r>
      <w:r w:rsidRPr="008A106B">
        <w:rPr>
          <w:rFonts w:eastAsia="SimSun"/>
          <w:bCs/>
          <w:i/>
          <w:sz w:val="18"/>
          <w:szCs w:val="18"/>
          <w:lang w:val="es-ES" w:eastAsia="zh-CN"/>
        </w:rPr>
        <w:t>El valor de p está ajustado por región y duración de AR para todas las variables</w:t>
      </w:r>
      <w:ins w:id="2014" w:author="AUTHOR">
        <w:r w:rsidR="00771673">
          <w:rPr>
            <w:rFonts w:eastAsia="SimSun"/>
            <w:bCs/>
            <w:i/>
            <w:sz w:val="18"/>
            <w:szCs w:val="18"/>
            <w:lang w:val="es-ES" w:eastAsia="zh-CN"/>
          </w:rPr>
          <w:t xml:space="preserve"> continuas</w:t>
        </w:r>
      </w:ins>
      <w:r w:rsidRPr="008A106B">
        <w:rPr>
          <w:rFonts w:eastAsia="SimSun"/>
          <w:bCs/>
          <w:i/>
          <w:sz w:val="18"/>
          <w:szCs w:val="18"/>
          <w:lang w:val="es-ES" w:eastAsia="zh-CN"/>
        </w:rPr>
        <w:t xml:space="preserve"> y adicionalmente todos los valores basales para todas las variables.</w:t>
      </w:r>
    </w:p>
    <w:p w14:paraId="25AA3221" w14:textId="77777777" w:rsidR="00DC224A" w:rsidRPr="008A106B" w:rsidRDefault="00DC224A">
      <w:pPr>
        <w:keepNext/>
        <w:keepLines/>
        <w:widowControl w:val="0"/>
        <w:rPr>
          <w:rFonts w:eastAsia="SimSun"/>
          <w:bCs/>
          <w:i/>
          <w:sz w:val="18"/>
          <w:szCs w:val="18"/>
          <w:lang w:val="es-ES" w:eastAsia="zh-CN"/>
        </w:rPr>
        <w:pPrChange w:id="2015" w:author="tcs" w:date="2026-02-26T10:56:00Z">
          <w:pPr>
            <w:widowControl w:val="0"/>
          </w:pPr>
        </w:pPrChange>
      </w:pPr>
      <w:r w:rsidRPr="008A106B">
        <w:rPr>
          <w:rFonts w:eastAsia="SimSun"/>
          <w:bCs/>
          <w:i/>
          <w:sz w:val="18"/>
          <w:szCs w:val="18"/>
          <w:vertAlign w:val="superscript"/>
          <w:lang w:val="es-ES" w:eastAsia="zh-CN"/>
        </w:rPr>
        <w:t xml:space="preserve">b </w:t>
      </w:r>
      <w:r w:rsidRPr="008A106B">
        <w:rPr>
          <w:rFonts w:eastAsia="SimSun"/>
          <w:bCs/>
          <w:i/>
          <w:sz w:val="18"/>
          <w:szCs w:val="18"/>
          <w:lang w:val="es-ES" w:eastAsia="zh-CN"/>
        </w:rPr>
        <w:t>Imputación de no respondedores usado para datos que faltan. Multiplicidad controlada usando el procedimiento de Bonferroni-Holm.</w:t>
      </w:r>
    </w:p>
    <w:p w14:paraId="0D51E7E5" w14:textId="77777777" w:rsidR="00F435D3" w:rsidRPr="00F30AB8" w:rsidRDefault="00F435D3">
      <w:pPr>
        <w:pStyle w:val="Standard1"/>
        <w:keepNext/>
        <w:keepLines/>
        <w:widowControl w:val="0"/>
        <w:rPr>
          <w:rFonts w:ascii="Times New Roman" w:eastAsia="SimSun" w:hAnsi="Times New Roman"/>
          <w:bCs/>
          <w:iCs/>
          <w:sz w:val="18"/>
          <w:szCs w:val="18"/>
          <w:lang w:val="es-ES" w:eastAsia="zh-CN"/>
        </w:rPr>
        <w:pPrChange w:id="2016" w:author="tcs" w:date="2026-02-26T10:56:00Z">
          <w:pPr>
            <w:pStyle w:val="Standard1"/>
            <w:widowControl w:val="0"/>
          </w:pPr>
        </w:pPrChange>
      </w:pPr>
      <w:r w:rsidRPr="00F30AB8">
        <w:rPr>
          <w:rFonts w:ascii="Times New Roman" w:eastAsia="SimSun" w:hAnsi="Times New Roman"/>
          <w:bCs/>
          <w:iCs/>
          <w:sz w:val="18"/>
          <w:szCs w:val="18"/>
          <w:lang w:val="es-ES" w:eastAsia="zh-CN"/>
        </w:rPr>
        <w:t>IV = intravenoso</w:t>
      </w:r>
    </w:p>
    <w:p w14:paraId="1A39FB3F" w14:textId="77777777" w:rsidR="00F435D3" w:rsidRPr="00F30AB8" w:rsidRDefault="00F435D3">
      <w:pPr>
        <w:pStyle w:val="Standard1"/>
        <w:keepNext/>
        <w:keepLines/>
        <w:widowControl w:val="0"/>
        <w:rPr>
          <w:rFonts w:ascii="Times New Roman" w:eastAsia="SimSun" w:hAnsi="Times New Roman"/>
          <w:bCs/>
          <w:iCs/>
          <w:sz w:val="18"/>
          <w:szCs w:val="18"/>
          <w:lang w:val="es-ES" w:eastAsia="zh-CN"/>
        </w:rPr>
        <w:pPrChange w:id="2017" w:author="tcs" w:date="2026-02-26T10:56:00Z">
          <w:pPr>
            <w:pStyle w:val="Standard1"/>
            <w:widowControl w:val="0"/>
          </w:pPr>
        </w:pPrChange>
      </w:pPr>
      <w:r w:rsidRPr="00F30AB8">
        <w:rPr>
          <w:rFonts w:ascii="Times New Roman" w:eastAsia="SimSun" w:hAnsi="Times New Roman"/>
          <w:bCs/>
          <w:iCs/>
          <w:sz w:val="18"/>
          <w:szCs w:val="18"/>
          <w:lang w:val="es-ES" w:eastAsia="zh-CN"/>
        </w:rPr>
        <w:t>SC = subcutáneo</w:t>
      </w:r>
    </w:p>
    <w:p w14:paraId="3D6860D0" w14:textId="77777777" w:rsidR="00F435D3" w:rsidRPr="00F30AB8" w:rsidRDefault="00F435D3">
      <w:pPr>
        <w:pStyle w:val="Standard1"/>
        <w:keepNext/>
        <w:keepLines/>
        <w:widowControl w:val="0"/>
        <w:rPr>
          <w:rFonts w:ascii="Times New Roman" w:eastAsia="SimSun" w:hAnsi="Times New Roman"/>
          <w:bCs/>
          <w:iCs/>
          <w:sz w:val="18"/>
          <w:szCs w:val="18"/>
          <w:lang w:val="es-ES" w:eastAsia="zh-CN"/>
        </w:rPr>
        <w:pPrChange w:id="2018" w:author="tcs" w:date="2026-02-26T10:56:00Z">
          <w:pPr>
            <w:pStyle w:val="Standard1"/>
            <w:widowControl w:val="0"/>
          </w:pPr>
        </w:pPrChange>
      </w:pPr>
      <w:r w:rsidRPr="00F30AB8">
        <w:rPr>
          <w:rFonts w:ascii="Times New Roman" w:eastAsia="SimSun" w:hAnsi="Times New Roman"/>
          <w:bCs/>
          <w:iCs/>
          <w:sz w:val="18"/>
          <w:szCs w:val="18"/>
          <w:lang w:val="es-ES" w:eastAsia="zh-CN"/>
        </w:rPr>
        <w:t>ADA = adalimumab</w:t>
      </w:r>
    </w:p>
    <w:p w14:paraId="6856E13E" w14:textId="77777777" w:rsidR="00F435D3" w:rsidRPr="00F30AB8" w:rsidRDefault="00F435D3" w:rsidP="00F30AB8">
      <w:pPr>
        <w:pStyle w:val="Standard1"/>
        <w:widowControl w:val="0"/>
        <w:rPr>
          <w:rFonts w:ascii="Times New Roman" w:eastAsia="SimSun" w:hAnsi="Times New Roman"/>
          <w:bCs/>
          <w:iCs/>
          <w:sz w:val="18"/>
          <w:szCs w:val="18"/>
          <w:lang w:val="es-ES" w:eastAsia="zh-CN"/>
        </w:rPr>
      </w:pPr>
      <w:r w:rsidRPr="00F30AB8">
        <w:rPr>
          <w:rFonts w:ascii="Times New Roman" w:eastAsia="SimSun" w:hAnsi="Times New Roman"/>
          <w:bCs/>
          <w:iCs/>
          <w:sz w:val="18"/>
          <w:szCs w:val="18"/>
          <w:lang w:val="es-ES" w:eastAsia="zh-CN"/>
        </w:rPr>
        <w:t>TCZ = tocilizumab</w:t>
      </w:r>
    </w:p>
    <w:p w14:paraId="680BE93A" w14:textId="77777777" w:rsidR="00DC224A" w:rsidRPr="008A106B" w:rsidRDefault="00DC224A" w:rsidP="00DC224A">
      <w:pPr>
        <w:rPr>
          <w:rFonts w:eastAsia="SimSun"/>
          <w:bCs/>
          <w:i/>
          <w:sz w:val="18"/>
          <w:szCs w:val="18"/>
          <w:lang w:val="es-ES" w:eastAsia="zh-CN"/>
        </w:rPr>
      </w:pPr>
    </w:p>
    <w:p w14:paraId="2BFF50E1" w14:textId="0BB4B62E" w:rsidR="00DC224A" w:rsidRPr="00BC7276" w:rsidRDefault="00DC224A" w:rsidP="00DC224A">
      <w:pPr>
        <w:numPr>
          <w:ilvl w:val="12"/>
          <w:numId w:val="0"/>
        </w:numPr>
        <w:ind w:right="-2"/>
        <w:rPr>
          <w:lang w:val="es-ES"/>
        </w:rPr>
      </w:pPr>
      <w:r w:rsidRPr="00BC7276">
        <w:rPr>
          <w:lang w:val="es-ES"/>
        </w:rPr>
        <w:t xml:space="preserve">El perfil clínico global de acontecimientos adversos fue similar entre </w:t>
      </w:r>
      <w:r w:rsidR="00F435D3" w:rsidRPr="00F30AB8">
        <w:rPr>
          <w:szCs w:val="22"/>
          <w:lang w:val="es-ES"/>
        </w:rPr>
        <w:t>tocilizumab</w:t>
      </w:r>
      <w:r w:rsidRPr="00C555F2">
        <w:rPr>
          <w:lang w:val="es-ES"/>
        </w:rPr>
        <w:t xml:space="preserve"> </w:t>
      </w:r>
      <w:r w:rsidRPr="00BC7276">
        <w:rPr>
          <w:lang w:val="es-ES"/>
        </w:rPr>
        <w:t>y adalimumab. La proporción de pacientes con acontecimientos adversos graves fue equilibrad</w:t>
      </w:r>
      <w:r>
        <w:rPr>
          <w:lang w:val="es-ES"/>
        </w:rPr>
        <w:t>a</w:t>
      </w:r>
      <w:r w:rsidRPr="00BC7276">
        <w:rPr>
          <w:lang w:val="es-ES"/>
        </w:rPr>
        <w:t xml:space="preserve"> entre los grupos de tratamiento (</w:t>
      </w:r>
      <w:r w:rsidR="00F435D3" w:rsidRPr="00F30AB8">
        <w:rPr>
          <w:szCs w:val="22"/>
          <w:lang w:val="es-ES"/>
        </w:rPr>
        <w:t>tocilizumab</w:t>
      </w:r>
      <w:r w:rsidRPr="006868F5">
        <w:rPr>
          <w:szCs w:val="22"/>
          <w:lang w:val="es-ES"/>
        </w:rPr>
        <w:t xml:space="preserve"> </w:t>
      </w:r>
      <w:r w:rsidRPr="00BC7276">
        <w:rPr>
          <w:lang w:val="es-ES"/>
        </w:rPr>
        <w:t>11,7</w:t>
      </w:r>
      <w:r>
        <w:rPr>
          <w:lang w:val="es-ES"/>
        </w:rPr>
        <w:t xml:space="preserve"> </w:t>
      </w:r>
      <w:r w:rsidRPr="00BC7276">
        <w:rPr>
          <w:lang w:val="es-ES"/>
        </w:rPr>
        <w:t>% vs. Adalimumab 9,9</w:t>
      </w:r>
      <w:r>
        <w:rPr>
          <w:lang w:val="es-ES"/>
        </w:rPr>
        <w:t xml:space="preserve"> </w:t>
      </w:r>
      <w:r w:rsidRPr="00BC7276">
        <w:rPr>
          <w:lang w:val="es-ES"/>
        </w:rPr>
        <w:t>%). Las reacciones adversas en el</w:t>
      </w:r>
      <w:r w:rsidRPr="008A106B">
        <w:rPr>
          <w:lang w:val="es-ES"/>
        </w:rPr>
        <w:t xml:space="preserve"> </w:t>
      </w:r>
      <w:del w:id="2019" w:author="AUTHOR">
        <w:r w:rsidRPr="00BC7276" w:rsidDel="004E273B">
          <w:rPr>
            <w:lang w:val="es-ES"/>
          </w:rPr>
          <w:delText>brazo</w:delText>
        </w:r>
      </w:del>
      <w:ins w:id="2020" w:author="AUTHOR">
        <w:r w:rsidR="004E273B">
          <w:rPr>
            <w:lang w:val="es-ES"/>
          </w:rPr>
          <w:t>grupo</w:t>
        </w:r>
      </w:ins>
      <w:r w:rsidRPr="00BC7276">
        <w:rPr>
          <w:lang w:val="es-ES"/>
        </w:rPr>
        <w:t xml:space="preserve"> de </w:t>
      </w:r>
      <w:r w:rsidR="00F435D3" w:rsidRPr="00F30AB8">
        <w:rPr>
          <w:szCs w:val="22"/>
          <w:lang w:val="es-ES"/>
        </w:rPr>
        <w:t>tocilizumab</w:t>
      </w:r>
      <w:r w:rsidRPr="00C555F2">
        <w:rPr>
          <w:lang w:val="es-ES"/>
        </w:rPr>
        <w:t xml:space="preserve"> </w:t>
      </w:r>
      <w:r w:rsidRPr="00BC7276">
        <w:rPr>
          <w:lang w:val="es-ES"/>
        </w:rPr>
        <w:t xml:space="preserve">fueron consistentes con el perfil de seguridad conocido de </w:t>
      </w:r>
      <w:r w:rsidR="00F435D3" w:rsidRPr="00F30AB8">
        <w:rPr>
          <w:szCs w:val="22"/>
          <w:lang w:val="es-ES"/>
        </w:rPr>
        <w:t>tocilizumab</w:t>
      </w:r>
      <w:r w:rsidRPr="006868F5">
        <w:rPr>
          <w:szCs w:val="22"/>
          <w:lang w:val="es-ES"/>
        </w:rPr>
        <w:t xml:space="preserve"> </w:t>
      </w:r>
      <w:r w:rsidRPr="00BC7276">
        <w:rPr>
          <w:lang w:val="es-ES"/>
        </w:rPr>
        <w:t xml:space="preserve">y la frecuencia de las reacciones adversas notificadas fue similar en comparación con la Tabla 1. Se notificó en el </w:t>
      </w:r>
      <w:del w:id="2021" w:author="AUTHOR">
        <w:r w:rsidRPr="00BC7276" w:rsidDel="004E273B">
          <w:rPr>
            <w:lang w:val="es-ES"/>
          </w:rPr>
          <w:delText>brazo</w:delText>
        </w:r>
      </w:del>
      <w:ins w:id="2022" w:author="AUTHOR">
        <w:r w:rsidR="004E273B">
          <w:rPr>
            <w:lang w:val="es-ES"/>
          </w:rPr>
          <w:t>grupo</w:t>
        </w:r>
      </w:ins>
      <w:r w:rsidRPr="00BC7276">
        <w:rPr>
          <w:lang w:val="es-ES"/>
        </w:rPr>
        <w:t xml:space="preserve"> de </w:t>
      </w:r>
      <w:r w:rsidR="00F435D3" w:rsidRPr="00F30AB8">
        <w:rPr>
          <w:szCs w:val="22"/>
          <w:lang w:val="es-ES"/>
        </w:rPr>
        <w:t>tocilizumab</w:t>
      </w:r>
      <w:r w:rsidRPr="006868F5">
        <w:rPr>
          <w:szCs w:val="22"/>
          <w:lang w:val="es-ES"/>
        </w:rPr>
        <w:t xml:space="preserve"> </w:t>
      </w:r>
      <w:r w:rsidRPr="00BC7276">
        <w:rPr>
          <w:lang w:val="es-ES"/>
        </w:rPr>
        <w:t>una mayor incidencia de infecciones e infestaciones (48</w:t>
      </w:r>
      <w:r>
        <w:rPr>
          <w:lang w:val="es-ES"/>
        </w:rPr>
        <w:t xml:space="preserve"> </w:t>
      </w:r>
      <w:r w:rsidRPr="00BC7276">
        <w:rPr>
          <w:lang w:val="es-ES"/>
        </w:rPr>
        <w:t>% vs 42</w:t>
      </w:r>
      <w:r>
        <w:rPr>
          <w:lang w:val="es-ES"/>
        </w:rPr>
        <w:t xml:space="preserve"> </w:t>
      </w:r>
      <w:r w:rsidRPr="00BC7276">
        <w:rPr>
          <w:lang w:val="es-ES"/>
        </w:rPr>
        <w:t>%), sin diferencias en la incidencia de infecciones graves (3,1</w:t>
      </w:r>
      <w:r>
        <w:rPr>
          <w:lang w:val="es-ES"/>
        </w:rPr>
        <w:t xml:space="preserve"> </w:t>
      </w:r>
      <w:r w:rsidRPr="00BC7276">
        <w:rPr>
          <w:lang w:val="es-ES"/>
        </w:rPr>
        <w:t>%). Ambos tratamientos en e</w:t>
      </w:r>
      <w:r>
        <w:rPr>
          <w:lang w:val="es-ES"/>
        </w:rPr>
        <w:t>nsayo</w:t>
      </w:r>
      <w:r w:rsidRPr="00BC7276">
        <w:rPr>
          <w:lang w:val="es-ES"/>
        </w:rPr>
        <w:t xml:space="preserve"> indujeron el mismo patrón de cambios en los parámetros de seguridad del laboratorio (disminución en neutrófilos y recuento de plaquetas, aumento en ALT, AST y lípidos), sin embargo, la magnitud del cambio y la frecuencia de fuertes anomalías fue superior con </w:t>
      </w:r>
      <w:r w:rsidR="00F435D3" w:rsidRPr="00F30AB8">
        <w:rPr>
          <w:szCs w:val="22"/>
          <w:lang w:val="es-ES"/>
        </w:rPr>
        <w:t>tocilizumab</w:t>
      </w:r>
      <w:r w:rsidRPr="006868F5">
        <w:rPr>
          <w:szCs w:val="22"/>
          <w:lang w:val="es-ES"/>
        </w:rPr>
        <w:t xml:space="preserve"> </w:t>
      </w:r>
      <w:r w:rsidRPr="00BC7276">
        <w:rPr>
          <w:lang w:val="es-ES"/>
        </w:rPr>
        <w:t>en comparación con adalimumab. Cuatro pacientes (2,5</w:t>
      </w:r>
      <w:r>
        <w:rPr>
          <w:lang w:val="es-ES"/>
        </w:rPr>
        <w:t xml:space="preserve"> </w:t>
      </w:r>
      <w:r w:rsidRPr="00BC7276">
        <w:rPr>
          <w:lang w:val="es-ES"/>
        </w:rPr>
        <w:t xml:space="preserve">%) en el </w:t>
      </w:r>
      <w:del w:id="2023" w:author="AUTHOR">
        <w:r w:rsidRPr="00BC7276" w:rsidDel="004E273B">
          <w:rPr>
            <w:lang w:val="es-ES"/>
          </w:rPr>
          <w:delText>brazo</w:delText>
        </w:r>
      </w:del>
      <w:ins w:id="2024" w:author="AUTHOR">
        <w:r w:rsidR="004E273B">
          <w:rPr>
            <w:lang w:val="es-ES"/>
          </w:rPr>
          <w:t>grupo</w:t>
        </w:r>
      </w:ins>
      <w:r w:rsidRPr="00BC7276">
        <w:rPr>
          <w:lang w:val="es-ES"/>
        </w:rPr>
        <w:t xml:space="preserve"> de </w:t>
      </w:r>
      <w:r w:rsidR="00F435D3" w:rsidRPr="00F30AB8">
        <w:rPr>
          <w:szCs w:val="22"/>
          <w:lang w:val="es-ES"/>
        </w:rPr>
        <w:t>tocilizumab</w:t>
      </w:r>
      <w:r w:rsidRPr="006868F5">
        <w:rPr>
          <w:szCs w:val="22"/>
          <w:lang w:val="es-ES"/>
        </w:rPr>
        <w:t xml:space="preserve"> </w:t>
      </w:r>
      <w:r w:rsidRPr="00BC7276">
        <w:rPr>
          <w:lang w:val="es-ES"/>
        </w:rPr>
        <w:t>y dos pacientes (1,2</w:t>
      </w:r>
      <w:r>
        <w:rPr>
          <w:lang w:val="es-ES"/>
        </w:rPr>
        <w:t xml:space="preserve"> </w:t>
      </w:r>
      <w:r w:rsidRPr="00BC7276">
        <w:rPr>
          <w:lang w:val="es-ES"/>
        </w:rPr>
        <w:t xml:space="preserve">%) en el </w:t>
      </w:r>
      <w:del w:id="2025" w:author="AUTHOR">
        <w:r w:rsidRPr="00BC7276" w:rsidDel="004E273B">
          <w:rPr>
            <w:lang w:val="es-ES"/>
          </w:rPr>
          <w:delText>brazo</w:delText>
        </w:r>
      </w:del>
      <w:ins w:id="2026" w:author="AUTHOR">
        <w:r w:rsidR="004E273B">
          <w:rPr>
            <w:lang w:val="es-ES"/>
          </w:rPr>
          <w:t>grupo</w:t>
        </w:r>
      </w:ins>
      <w:r w:rsidRPr="00BC7276">
        <w:rPr>
          <w:lang w:val="es-ES"/>
        </w:rPr>
        <w:t xml:space="preserve"> de adalimumab experimentaron una disminución en el recuento de neutrófilos de grado 3 ó 4 según los Criterios </w:t>
      </w:r>
      <w:ins w:id="2027" w:author="AUTHOR">
        <w:r w:rsidR="00EB1877">
          <w:rPr>
            <w:lang w:val="es-ES"/>
          </w:rPr>
          <w:t>Comunes de Toxicidad</w:t>
        </w:r>
      </w:ins>
      <w:del w:id="2028" w:author="AUTHOR">
        <w:r w:rsidRPr="00BC7276" w:rsidDel="00EB1877">
          <w:rPr>
            <w:lang w:val="es-ES"/>
          </w:rPr>
          <w:delText>de Toxicidad Común</w:delText>
        </w:r>
      </w:del>
      <w:r w:rsidRPr="00BC7276">
        <w:rPr>
          <w:lang w:val="es-ES"/>
        </w:rPr>
        <w:t xml:space="preserve"> (CTC). Once pacientes (6,8</w:t>
      </w:r>
      <w:r>
        <w:rPr>
          <w:lang w:val="es-ES"/>
        </w:rPr>
        <w:t xml:space="preserve"> </w:t>
      </w:r>
      <w:r w:rsidRPr="00BC7276">
        <w:rPr>
          <w:lang w:val="es-ES"/>
        </w:rPr>
        <w:t xml:space="preserve">%) en el </w:t>
      </w:r>
      <w:del w:id="2029" w:author="AUTHOR">
        <w:r w:rsidRPr="00BC7276" w:rsidDel="004E273B">
          <w:rPr>
            <w:lang w:val="es-ES"/>
          </w:rPr>
          <w:delText>brazo</w:delText>
        </w:r>
      </w:del>
      <w:ins w:id="2030" w:author="AUTHOR">
        <w:r w:rsidR="004E273B">
          <w:rPr>
            <w:lang w:val="es-ES"/>
          </w:rPr>
          <w:t>grupo</w:t>
        </w:r>
      </w:ins>
      <w:r w:rsidRPr="00BC7276">
        <w:rPr>
          <w:lang w:val="es-ES"/>
        </w:rPr>
        <w:t xml:space="preserve"> de </w:t>
      </w:r>
      <w:r w:rsidR="00F435D3" w:rsidRPr="00F30AB8">
        <w:rPr>
          <w:szCs w:val="22"/>
          <w:lang w:val="es-ES"/>
        </w:rPr>
        <w:t>tocilizumab</w:t>
      </w:r>
      <w:r w:rsidRPr="006868F5">
        <w:rPr>
          <w:szCs w:val="22"/>
          <w:lang w:val="es-ES"/>
        </w:rPr>
        <w:t xml:space="preserve"> </w:t>
      </w:r>
      <w:r w:rsidRPr="00BC7276">
        <w:rPr>
          <w:lang w:val="es-ES"/>
        </w:rPr>
        <w:t>y cinco pacientes (3,1</w:t>
      </w:r>
      <w:r>
        <w:rPr>
          <w:lang w:val="es-ES"/>
        </w:rPr>
        <w:t xml:space="preserve"> </w:t>
      </w:r>
      <w:r w:rsidRPr="00BC7276">
        <w:rPr>
          <w:lang w:val="es-ES"/>
        </w:rPr>
        <w:t xml:space="preserve">%) en el </w:t>
      </w:r>
      <w:del w:id="2031" w:author="AUTHOR">
        <w:r w:rsidRPr="00BC7276" w:rsidDel="004E273B">
          <w:rPr>
            <w:lang w:val="es-ES"/>
          </w:rPr>
          <w:delText>brazo</w:delText>
        </w:r>
      </w:del>
      <w:ins w:id="2032" w:author="AUTHOR">
        <w:r w:rsidR="004E273B">
          <w:rPr>
            <w:lang w:val="es-ES"/>
          </w:rPr>
          <w:t>grupo</w:t>
        </w:r>
      </w:ins>
      <w:r w:rsidRPr="00BC7276">
        <w:rPr>
          <w:lang w:val="es-ES"/>
        </w:rPr>
        <w:t xml:space="preserve"> de adalimumab expe</w:t>
      </w:r>
      <w:r>
        <w:rPr>
          <w:lang w:val="es-ES"/>
        </w:rPr>
        <w:t>rimentaron un incremento de las</w:t>
      </w:r>
      <w:r w:rsidRPr="00BC7276">
        <w:rPr>
          <w:lang w:val="es-ES"/>
        </w:rPr>
        <w:t xml:space="preserve"> ALT de grado 2 o superior según CTC. El incremento medio de LDL desde el valor basal fue 0,64 mmol/</w:t>
      </w:r>
      <w:r>
        <w:rPr>
          <w:lang w:val="es-ES"/>
        </w:rPr>
        <w:t>l</w:t>
      </w:r>
      <w:r w:rsidRPr="00BC7276">
        <w:rPr>
          <w:lang w:val="es-ES"/>
        </w:rPr>
        <w:t xml:space="preserve"> (25 mg/d</w:t>
      </w:r>
      <w:r>
        <w:rPr>
          <w:lang w:val="es-ES"/>
        </w:rPr>
        <w:t>l</w:t>
      </w:r>
      <w:r w:rsidRPr="00BC7276">
        <w:rPr>
          <w:lang w:val="es-ES"/>
        </w:rPr>
        <w:t xml:space="preserve">) para pacientes en el </w:t>
      </w:r>
      <w:del w:id="2033" w:author="AUTHOR">
        <w:r w:rsidRPr="00BC7276" w:rsidDel="004E273B">
          <w:rPr>
            <w:lang w:val="es-ES"/>
          </w:rPr>
          <w:delText>brazo</w:delText>
        </w:r>
      </w:del>
      <w:ins w:id="2034" w:author="AUTHOR">
        <w:r w:rsidR="004E273B">
          <w:rPr>
            <w:lang w:val="es-ES"/>
          </w:rPr>
          <w:t>grupo</w:t>
        </w:r>
      </w:ins>
      <w:r w:rsidRPr="00BC7276">
        <w:rPr>
          <w:lang w:val="es-ES"/>
        </w:rPr>
        <w:t xml:space="preserve"> de </w:t>
      </w:r>
      <w:r w:rsidR="00F435D3" w:rsidRPr="00F30AB8">
        <w:rPr>
          <w:szCs w:val="22"/>
          <w:lang w:val="es-ES"/>
        </w:rPr>
        <w:t>tocilizumab</w:t>
      </w:r>
      <w:r w:rsidRPr="006868F5">
        <w:rPr>
          <w:szCs w:val="22"/>
          <w:lang w:val="es-ES"/>
        </w:rPr>
        <w:t xml:space="preserve"> </w:t>
      </w:r>
      <w:r w:rsidRPr="00BC7276">
        <w:rPr>
          <w:lang w:val="es-ES"/>
        </w:rPr>
        <w:t>y 0,19 mmol/</w:t>
      </w:r>
      <w:r>
        <w:rPr>
          <w:lang w:val="es-ES"/>
        </w:rPr>
        <w:t>l</w:t>
      </w:r>
      <w:r w:rsidRPr="00BC7276">
        <w:rPr>
          <w:lang w:val="es-ES"/>
        </w:rPr>
        <w:t xml:space="preserve"> (7 mg/d</w:t>
      </w:r>
      <w:r>
        <w:rPr>
          <w:lang w:val="es-ES"/>
        </w:rPr>
        <w:t>l</w:t>
      </w:r>
      <w:r w:rsidRPr="00BC7276">
        <w:rPr>
          <w:lang w:val="es-ES"/>
        </w:rPr>
        <w:t xml:space="preserve">) para pacientes en el </w:t>
      </w:r>
      <w:del w:id="2035" w:author="AUTHOR">
        <w:r w:rsidRPr="00BC7276" w:rsidDel="004E273B">
          <w:rPr>
            <w:lang w:val="es-ES"/>
          </w:rPr>
          <w:delText>brazo</w:delText>
        </w:r>
      </w:del>
      <w:ins w:id="2036" w:author="AUTHOR">
        <w:r w:rsidR="004E273B">
          <w:rPr>
            <w:lang w:val="es-ES"/>
          </w:rPr>
          <w:t>grupo</w:t>
        </w:r>
      </w:ins>
      <w:r w:rsidRPr="00BC7276">
        <w:rPr>
          <w:lang w:val="es-ES"/>
        </w:rPr>
        <w:t xml:space="preserve"> de adalimumab. La seguridad observada en el </w:t>
      </w:r>
      <w:del w:id="2037" w:author="AUTHOR">
        <w:r w:rsidRPr="00BC7276" w:rsidDel="004E273B">
          <w:rPr>
            <w:lang w:val="es-ES"/>
          </w:rPr>
          <w:delText>brazo</w:delText>
        </w:r>
      </w:del>
      <w:ins w:id="2038" w:author="AUTHOR">
        <w:r w:rsidR="004E273B">
          <w:rPr>
            <w:lang w:val="es-ES"/>
          </w:rPr>
          <w:t>grupo</w:t>
        </w:r>
      </w:ins>
      <w:r w:rsidRPr="00BC7276">
        <w:rPr>
          <w:lang w:val="es-ES"/>
        </w:rPr>
        <w:t xml:space="preserve"> de </w:t>
      </w:r>
      <w:r w:rsidR="00F435D3" w:rsidRPr="00F30AB8">
        <w:rPr>
          <w:szCs w:val="22"/>
          <w:lang w:val="es-ES"/>
        </w:rPr>
        <w:t>tocilizumab</w:t>
      </w:r>
      <w:r w:rsidRPr="00C555F2">
        <w:rPr>
          <w:lang w:val="es-ES"/>
        </w:rPr>
        <w:t xml:space="preserve"> </w:t>
      </w:r>
      <w:r w:rsidRPr="00BC7276">
        <w:rPr>
          <w:lang w:val="es-ES"/>
        </w:rPr>
        <w:t xml:space="preserve">fue consistente con el perfil de seguridad conocido de </w:t>
      </w:r>
      <w:r w:rsidR="00F435D3" w:rsidRPr="00F30AB8">
        <w:rPr>
          <w:szCs w:val="22"/>
          <w:lang w:val="es-ES"/>
        </w:rPr>
        <w:t>tocilizumab</w:t>
      </w:r>
      <w:r w:rsidRPr="006868F5">
        <w:rPr>
          <w:szCs w:val="22"/>
          <w:lang w:val="es-ES"/>
        </w:rPr>
        <w:t xml:space="preserve"> </w:t>
      </w:r>
      <w:r w:rsidRPr="00BC7276">
        <w:rPr>
          <w:lang w:val="es-ES"/>
        </w:rPr>
        <w:t xml:space="preserve">y no se observaron reacciones adversas nuevas ni inesperadas (ver </w:t>
      </w:r>
      <w:r>
        <w:rPr>
          <w:lang w:val="es-ES"/>
        </w:rPr>
        <w:t>T</w:t>
      </w:r>
      <w:r w:rsidRPr="00BC7276">
        <w:rPr>
          <w:lang w:val="es-ES"/>
        </w:rPr>
        <w:t>abla</w:t>
      </w:r>
      <w:r w:rsidR="006304B2">
        <w:rPr>
          <w:lang w:val="es-ES"/>
        </w:rPr>
        <w:t> </w:t>
      </w:r>
      <w:r w:rsidRPr="00BC7276">
        <w:rPr>
          <w:lang w:val="es-ES"/>
        </w:rPr>
        <w:t>1).</w:t>
      </w:r>
    </w:p>
    <w:p w14:paraId="7CCE9669" w14:textId="77777777" w:rsidR="00DC224A" w:rsidRPr="00C555F2" w:rsidRDefault="00DC224A" w:rsidP="003569D6">
      <w:pPr>
        <w:rPr>
          <w:lang w:val="es-ES"/>
        </w:rPr>
      </w:pPr>
    </w:p>
    <w:p w14:paraId="1C6D2FB6" w14:textId="77777777" w:rsidR="00DC224A" w:rsidRDefault="00DC224A" w:rsidP="003569D6">
      <w:pPr>
        <w:keepNext/>
        <w:keepLines/>
        <w:widowControl w:val="0"/>
        <w:ind w:left="567" w:hanging="567"/>
        <w:outlineLvl w:val="0"/>
        <w:rPr>
          <w:b/>
          <w:bCs/>
          <w:lang w:val="es-ES_tradnl"/>
        </w:rPr>
      </w:pPr>
      <w:r w:rsidRPr="008A106B">
        <w:rPr>
          <w:b/>
          <w:bCs/>
          <w:lang w:val="es-ES"/>
        </w:rPr>
        <w:t>5.2</w:t>
      </w:r>
      <w:r w:rsidRPr="008A106B">
        <w:rPr>
          <w:b/>
          <w:bCs/>
          <w:lang w:val="es-ES"/>
        </w:rPr>
        <w:tab/>
      </w:r>
      <w:r w:rsidRPr="008A106B">
        <w:rPr>
          <w:b/>
          <w:bCs/>
          <w:lang w:val="es-ES_tradnl"/>
        </w:rPr>
        <w:t>Propiedades farmacocinéticas</w:t>
      </w:r>
    </w:p>
    <w:p w14:paraId="23CC0C72" w14:textId="77777777" w:rsidR="00DC224A" w:rsidRDefault="00DC224A" w:rsidP="003569D6">
      <w:pPr>
        <w:keepNext/>
        <w:keepLines/>
        <w:widowControl w:val="0"/>
        <w:ind w:left="567" w:hanging="567"/>
        <w:outlineLvl w:val="0"/>
        <w:rPr>
          <w:b/>
          <w:bCs/>
          <w:lang w:val="es-ES"/>
        </w:rPr>
      </w:pPr>
    </w:p>
    <w:p w14:paraId="66063526" w14:textId="4373D00D" w:rsidR="00DC224A" w:rsidRPr="006868F5" w:rsidRDefault="00DC224A" w:rsidP="003569D6">
      <w:pPr>
        <w:keepNext/>
        <w:keepLines/>
        <w:rPr>
          <w:lang w:val="es-ES" w:eastAsia="de-DE"/>
        </w:rPr>
      </w:pPr>
      <w:r w:rsidRPr="00EC0387">
        <w:rPr>
          <w:lang w:val="es-ES" w:eastAsia="de-DE"/>
        </w:rPr>
        <w:t xml:space="preserve">La farmacocinética de </w:t>
      </w:r>
      <w:r w:rsidR="00F435D3" w:rsidRPr="00F30AB8">
        <w:rPr>
          <w:szCs w:val="22"/>
          <w:lang w:val="es-ES"/>
        </w:rPr>
        <w:t>tocilizumab</w:t>
      </w:r>
      <w:r w:rsidRPr="00EC0387">
        <w:rPr>
          <w:lang w:val="es-ES" w:eastAsia="de-DE"/>
        </w:rPr>
        <w:t xml:space="preserve"> se c</w:t>
      </w:r>
      <w:r w:rsidRPr="002837E4">
        <w:rPr>
          <w:lang w:val="es-ES" w:eastAsia="de-DE"/>
        </w:rPr>
        <w:t>aracteriza por una eliminación no lineal que es una combinaci</w:t>
      </w:r>
      <w:r w:rsidRPr="006C05BA">
        <w:rPr>
          <w:lang w:val="es-ES" w:eastAsia="de-DE"/>
        </w:rPr>
        <w:t xml:space="preserve">ón de eliminación lineal y eliminación de </w:t>
      </w:r>
      <w:r w:rsidRPr="00C22F3F">
        <w:rPr>
          <w:color w:val="000000"/>
          <w:lang w:val="es-ES" w:eastAsia="de-DE"/>
        </w:rPr>
        <w:t>Michaelis-Menten.</w:t>
      </w:r>
      <w:r w:rsidRPr="00C22F3F">
        <w:rPr>
          <w:lang w:val="es-ES" w:eastAsia="de-DE"/>
        </w:rPr>
        <w:t xml:space="preserve"> La parte no lineal de la eliminación de </w:t>
      </w:r>
      <w:r w:rsidR="00F435D3" w:rsidRPr="00F30AB8">
        <w:rPr>
          <w:szCs w:val="22"/>
          <w:lang w:val="es-ES"/>
        </w:rPr>
        <w:t>tocilizumab</w:t>
      </w:r>
      <w:r w:rsidRPr="00C22F3F">
        <w:rPr>
          <w:lang w:val="es-ES" w:eastAsia="de-DE"/>
        </w:rPr>
        <w:t xml:space="preserve"> conduce a un aumento de la exposición que es más que proporcional a la dosis. </w:t>
      </w:r>
      <w:r w:rsidRPr="006868F5">
        <w:rPr>
          <w:color w:val="000000"/>
          <w:lang w:val="es-ES" w:eastAsia="de-DE"/>
        </w:rPr>
        <w:t xml:space="preserve">Los parámetros farmacocinéticos de </w:t>
      </w:r>
      <w:r w:rsidR="00F435D3" w:rsidRPr="00F30AB8">
        <w:rPr>
          <w:szCs w:val="22"/>
          <w:lang w:val="es-ES"/>
        </w:rPr>
        <w:t>tocilizumab</w:t>
      </w:r>
      <w:r w:rsidRPr="006868F5">
        <w:rPr>
          <w:color w:val="000000"/>
          <w:lang w:val="es-ES" w:eastAsia="de-DE"/>
        </w:rPr>
        <w:t xml:space="preserve"> no cambian con el tiempo.</w:t>
      </w:r>
      <w:r w:rsidRPr="00EC0387">
        <w:rPr>
          <w:color w:val="000000"/>
          <w:lang w:val="es-ES" w:eastAsia="de-DE"/>
        </w:rPr>
        <w:t xml:space="preserve"> Debido a la dependencia del aclaramiento to</w:t>
      </w:r>
      <w:r w:rsidRPr="006C05BA">
        <w:rPr>
          <w:color w:val="000000"/>
          <w:lang w:val="es-ES" w:eastAsia="de-DE"/>
        </w:rPr>
        <w:t xml:space="preserve">tal en las concentraciones séricas de </w:t>
      </w:r>
      <w:r w:rsidR="00F435D3" w:rsidRPr="00F30AB8">
        <w:rPr>
          <w:szCs w:val="22"/>
          <w:lang w:val="es-ES"/>
        </w:rPr>
        <w:t>tocilizumab</w:t>
      </w:r>
      <w:r w:rsidRPr="006C05BA">
        <w:rPr>
          <w:color w:val="000000"/>
          <w:lang w:val="es-ES" w:eastAsia="de-DE"/>
        </w:rPr>
        <w:t xml:space="preserve">, la vida media de </w:t>
      </w:r>
      <w:r w:rsidR="00F435D3" w:rsidRPr="00F30AB8">
        <w:rPr>
          <w:szCs w:val="22"/>
          <w:lang w:val="es-ES"/>
        </w:rPr>
        <w:t>tocilizumab</w:t>
      </w:r>
      <w:r w:rsidRPr="006C05BA">
        <w:rPr>
          <w:color w:val="000000"/>
          <w:lang w:val="es-ES" w:eastAsia="de-DE"/>
        </w:rPr>
        <w:t xml:space="preserve"> también depende de la concentración y varía dependiendo del nivel de concentración sérica. Los análisis farmacocinéticos poblacionales en cualquiera</w:t>
      </w:r>
      <w:r w:rsidRPr="00C22F3F">
        <w:rPr>
          <w:color w:val="000000"/>
          <w:lang w:val="es-ES" w:eastAsia="de-DE"/>
        </w:rPr>
        <w:t xml:space="preserve"> de las poblaciones de pacientes </w:t>
      </w:r>
      <w:r w:rsidRPr="006868F5">
        <w:rPr>
          <w:color w:val="000000"/>
          <w:lang w:val="es-ES" w:eastAsia="de-DE"/>
        </w:rPr>
        <w:t>analizada</w:t>
      </w:r>
      <w:r w:rsidRPr="00EC0387">
        <w:rPr>
          <w:color w:val="000000"/>
          <w:lang w:val="es-ES" w:eastAsia="de-DE"/>
        </w:rPr>
        <w:t>s</w:t>
      </w:r>
      <w:r w:rsidRPr="006C05BA">
        <w:rPr>
          <w:color w:val="000000"/>
          <w:lang w:val="es-ES" w:eastAsia="de-DE"/>
        </w:rPr>
        <w:t xml:space="preserve"> hasta ahora</w:t>
      </w:r>
      <w:r>
        <w:rPr>
          <w:color w:val="000000"/>
          <w:lang w:val="es-ES" w:eastAsia="de-DE"/>
        </w:rPr>
        <w:t>,</w:t>
      </w:r>
      <w:r w:rsidRPr="006C05BA">
        <w:rPr>
          <w:color w:val="000000"/>
          <w:lang w:val="es-ES" w:eastAsia="de-DE"/>
        </w:rPr>
        <w:t xml:space="preserve"> indican que no hay relación entre el aclaramiento aparente y la presencia de anticuerpos anti-fármaco.</w:t>
      </w:r>
    </w:p>
    <w:p w14:paraId="1731D470" w14:textId="77777777" w:rsidR="00DC224A" w:rsidRDefault="00DC224A" w:rsidP="00DC224A">
      <w:pPr>
        <w:rPr>
          <w:color w:val="000000"/>
          <w:lang w:val="es-ES" w:eastAsia="de-DE"/>
        </w:rPr>
      </w:pPr>
    </w:p>
    <w:p w14:paraId="37D04388" w14:textId="77777777" w:rsidR="00411076" w:rsidRPr="00467FFD" w:rsidRDefault="00411076" w:rsidP="00411076">
      <w:pPr>
        <w:keepNext/>
        <w:ind w:left="567" w:hanging="567"/>
        <w:outlineLvl w:val="0"/>
        <w:rPr>
          <w:ins w:id="2039" w:author="AUTHOR"/>
          <w:lang w:val="es-ES"/>
          <w:rPrChange w:id="2040" w:author="AUTHOR">
            <w:rPr>
              <w:ins w:id="2041" w:author="AUTHOR"/>
              <w:i/>
              <w:iCs/>
              <w:lang w:val="es-ES"/>
            </w:rPr>
          </w:rPrChange>
        </w:rPr>
      </w:pPr>
      <w:ins w:id="2042" w:author="AUTHOR">
        <w:r w:rsidRPr="00467FFD">
          <w:rPr>
            <w:lang w:val="es-ES"/>
            <w:rPrChange w:id="2043" w:author="AUTHOR">
              <w:rPr>
                <w:i/>
                <w:iCs/>
                <w:lang w:val="es-ES"/>
              </w:rPr>
            </w:rPrChange>
          </w:rPr>
          <w:lastRenderedPageBreak/>
          <w:t>Vía intravenosa</w:t>
        </w:r>
      </w:ins>
    </w:p>
    <w:p w14:paraId="6DAF9A29" w14:textId="77777777" w:rsidR="00DC224A" w:rsidRPr="00467FFD" w:rsidRDefault="00F435D3" w:rsidP="003569D6">
      <w:pPr>
        <w:keepNext/>
        <w:rPr>
          <w:i/>
          <w:iCs/>
          <w:lang w:val="es-ES" w:eastAsia="de-DE"/>
          <w:rPrChange w:id="2044" w:author="AUTHOR">
            <w:rPr>
              <w:u w:val="single"/>
              <w:lang w:val="es-ES" w:eastAsia="de-DE"/>
            </w:rPr>
          </w:rPrChange>
        </w:rPr>
      </w:pPr>
      <w:r w:rsidRPr="00467FFD">
        <w:rPr>
          <w:i/>
          <w:iCs/>
          <w:color w:val="000000"/>
          <w:lang w:val="es-ES" w:eastAsia="de-DE"/>
          <w:rPrChange w:id="2045" w:author="AUTHOR">
            <w:rPr>
              <w:color w:val="000000"/>
              <w:u w:val="single"/>
              <w:lang w:val="es-ES" w:eastAsia="de-DE"/>
            </w:rPr>
          </w:rPrChange>
        </w:rPr>
        <w:t xml:space="preserve">Pacientes con </w:t>
      </w:r>
      <w:r w:rsidR="00DC224A" w:rsidRPr="00467FFD">
        <w:rPr>
          <w:i/>
          <w:iCs/>
          <w:color w:val="000000"/>
          <w:lang w:val="es-ES" w:eastAsia="de-DE"/>
          <w:rPrChange w:id="2046" w:author="AUTHOR">
            <w:rPr>
              <w:color w:val="000000"/>
              <w:u w:val="single"/>
              <w:lang w:val="es-ES" w:eastAsia="de-DE"/>
            </w:rPr>
          </w:rPrChange>
        </w:rPr>
        <w:t>AR</w:t>
      </w:r>
    </w:p>
    <w:p w14:paraId="04BA100F" w14:textId="4BFE5310" w:rsidR="00DC224A" w:rsidRPr="00F30AB8" w:rsidDel="00411076" w:rsidRDefault="00DC224A" w:rsidP="003569D6">
      <w:pPr>
        <w:keepNext/>
        <w:ind w:left="567" w:hanging="567"/>
        <w:outlineLvl w:val="0"/>
        <w:rPr>
          <w:del w:id="2047" w:author="AUTHOR"/>
          <w:i/>
          <w:iCs/>
          <w:lang w:val="es-ES"/>
        </w:rPr>
      </w:pPr>
      <w:del w:id="2048" w:author="AUTHOR">
        <w:r w:rsidRPr="00F30AB8" w:rsidDel="00411076">
          <w:rPr>
            <w:i/>
            <w:iCs/>
            <w:lang w:val="es-ES"/>
          </w:rPr>
          <w:delText>Vía intravenosa</w:delText>
        </w:r>
      </w:del>
    </w:p>
    <w:p w14:paraId="7106B7FC" w14:textId="65A38182" w:rsidR="00DC224A" w:rsidRPr="008A106B" w:rsidRDefault="00DC224A" w:rsidP="00DC224A">
      <w:pPr>
        <w:numPr>
          <w:ilvl w:val="12"/>
          <w:numId w:val="0"/>
        </w:numPr>
        <w:ind w:right="-2"/>
        <w:rPr>
          <w:lang w:val="es-ES"/>
        </w:rPr>
      </w:pPr>
      <w:r w:rsidRPr="008A106B">
        <w:rPr>
          <w:lang w:val="es-ES_tradnl"/>
        </w:rPr>
        <w:t xml:space="preserve">Se determinó la farmacocinética de </w:t>
      </w:r>
      <w:r w:rsidR="00F435D3" w:rsidRPr="00554BAE">
        <w:rPr>
          <w:szCs w:val="22"/>
          <w:lang w:val="es-ES"/>
        </w:rPr>
        <w:t>tocilizumab</w:t>
      </w:r>
      <w:r w:rsidRPr="006868F5">
        <w:rPr>
          <w:iCs/>
          <w:szCs w:val="22"/>
          <w:lang w:val="es-ES"/>
        </w:rPr>
        <w:t xml:space="preserve"> </w:t>
      </w:r>
      <w:r w:rsidRPr="008A106B">
        <w:rPr>
          <w:lang w:val="es-ES_tradnl"/>
        </w:rPr>
        <w:t xml:space="preserve">usando un análisis de farmacocinética de poblaciones en una base de datos compuesta por </w:t>
      </w:r>
      <w:r>
        <w:rPr>
          <w:lang w:val="es-ES_tradnl"/>
        </w:rPr>
        <w:t>3.552</w:t>
      </w:r>
      <w:r w:rsidR="006304B2">
        <w:rPr>
          <w:lang w:val="es-ES_tradnl"/>
        </w:rPr>
        <w:t> </w:t>
      </w:r>
      <w:r w:rsidRPr="008A106B">
        <w:rPr>
          <w:lang w:val="es-ES_tradnl"/>
        </w:rPr>
        <w:t xml:space="preserve">pacientes con artritis reumatoide tratados con una perfusión de una hora de 4 </w:t>
      </w:r>
      <w:r>
        <w:rPr>
          <w:lang w:val="es-ES_tradnl"/>
        </w:rPr>
        <w:t>u</w:t>
      </w:r>
      <w:r w:rsidRPr="008A106B">
        <w:rPr>
          <w:lang w:val="es-ES_tradnl"/>
        </w:rPr>
        <w:t xml:space="preserve"> 8 mg/kg de </w:t>
      </w:r>
      <w:r w:rsidR="00F435D3" w:rsidRPr="00554BAE">
        <w:rPr>
          <w:szCs w:val="22"/>
          <w:lang w:val="es-ES"/>
        </w:rPr>
        <w:t>tocilizumab</w:t>
      </w:r>
      <w:r w:rsidRPr="006868F5">
        <w:rPr>
          <w:iCs/>
          <w:szCs w:val="22"/>
          <w:lang w:val="es-ES"/>
        </w:rPr>
        <w:t xml:space="preserve"> </w:t>
      </w:r>
      <w:r w:rsidRPr="008A106B">
        <w:rPr>
          <w:lang w:val="es-ES_tradnl"/>
        </w:rPr>
        <w:t>cada 4 semanas durante 24 semanas</w:t>
      </w:r>
      <w:r>
        <w:rPr>
          <w:lang w:val="es-ES_tradnl"/>
        </w:rPr>
        <w:t xml:space="preserve"> o con 162 mg de </w:t>
      </w:r>
      <w:r w:rsidR="00F435D3" w:rsidRPr="00554BAE">
        <w:rPr>
          <w:szCs w:val="22"/>
          <w:lang w:val="es-ES"/>
        </w:rPr>
        <w:t>tocilizumab</w:t>
      </w:r>
      <w:r w:rsidRPr="009E1C5A">
        <w:rPr>
          <w:lang w:val="es-ES_tradnl"/>
        </w:rPr>
        <w:t xml:space="preserve"> </w:t>
      </w:r>
      <w:r>
        <w:rPr>
          <w:lang w:val="es-ES_tradnl"/>
        </w:rPr>
        <w:t>administrados por vía subcutánea una vez por semana o cada dos semanas durante 24 semanas</w:t>
      </w:r>
      <w:r w:rsidRPr="008A106B">
        <w:rPr>
          <w:lang w:val="es-ES_tradnl"/>
        </w:rPr>
        <w:t>.</w:t>
      </w:r>
      <w:r w:rsidRPr="008A106B">
        <w:rPr>
          <w:lang w:val="es-ES"/>
        </w:rPr>
        <w:t xml:space="preserve"> </w:t>
      </w:r>
    </w:p>
    <w:p w14:paraId="29CD22A7" w14:textId="77777777" w:rsidR="00DC224A" w:rsidRPr="008A106B" w:rsidRDefault="00DC224A" w:rsidP="00DC224A">
      <w:pPr>
        <w:numPr>
          <w:ilvl w:val="12"/>
          <w:numId w:val="0"/>
        </w:numPr>
        <w:ind w:right="-2"/>
        <w:rPr>
          <w:iCs/>
          <w:lang w:val="es-ES"/>
        </w:rPr>
      </w:pPr>
    </w:p>
    <w:p w14:paraId="3DB72DEB" w14:textId="3F2D898A" w:rsidR="00DC224A" w:rsidRPr="008A106B" w:rsidRDefault="00DC224A" w:rsidP="00DC224A">
      <w:pPr>
        <w:rPr>
          <w:rFonts w:eastAsia="SimSun"/>
          <w:lang w:val="es-ES" w:eastAsia="zh-CN"/>
        </w:rPr>
      </w:pPr>
      <w:r w:rsidRPr="008A106B">
        <w:rPr>
          <w:lang w:val="es-ES_tradnl"/>
        </w:rPr>
        <w:t xml:space="preserve">Los siguientes parámetros son válidos para una dosis de 8 mg/kg de </w:t>
      </w:r>
      <w:r w:rsidR="00F435D3" w:rsidRPr="00554BAE">
        <w:rPr>
          <w:szCs w:val="22"/>
          <w:lang w:val="es-ES"/>
        </w:rPr>
        <w:t>tocilizumab</w:t>
      </w:r>
      <w:r w:rsidRPr="006868F5">
        <w:rPr>
          <w:iCs/>
          <w:szCs w:val="22"/>
          <w:lang w:val="es-ES"/>
        </w:rPr>
        <w:t xml:space="preserve"> </w:t>
      </w:r>
      <w:r w:rsidRPr="008A106B">
        <w:rPr>
          <w:lang w:val="es-ES_tradnl"/>
        </w:rPr>
        <w:t>administrados cada 4 semanas:</w:t>
      </w:r>
      <w:r w:rsidRPr="008A106B">
        <w:rPr>
          <w:lang w:val="es-ES"/>
        </w:rPr>
        <w:t xml:space="preserve"> </w:t>
      </w:r>
      <w:r>
        <w:rPr>
          <w:lang w:val="es-ES"/>
        </w:rPr>
        <w:t>l</w:t>
      </w:r>
      <w:r w:rsidRPr="008A106B">
        <w:rPr>
          <w:lang w:val="es-ES_tradnl"/>
        </w:rPr>
        <w:t>os valores medios previstos (</w:t>
      </w:r>
      <w:r w:rsidR="00D03AFE" w:rsidRPr="00F30AB8">
        <w:rPr>
          <w:szCs w:val="22"/>
          <w:lang w:val="es-ES"/>
        </w:rPr>
        <w:t>±</w:t>
      </w:r>
      <w:r w:rsidRPr="008A106B">
        <w:rPr>
          <w:lang w:val="es-ES_tradnl"/>
        </w:rPr>
        <w:t xml:space="preserve"> DE) en equilibrio fueron </w:t>
      </w:r>
      <w:r>
        <w:rPr>
          <w:lang w:val="es-ES_tradnl"/>
        </w:rPr>
        <w:t>de Área bajo la curva (AUC) =38.000</w:t>
      </w:r>
      <w:r w:rsidRPr="008A106B">
        <w:rPr>
          <w:lang w:val="es-ES_tradnl"/>
        </w:rPr>
        <w:t> </w:t>
      </w:r>
      <w:r w:rsidR="00D03AFE" w:rsidRPr="00F30AB8">
        <w:rPr>
          <w:szCs w:val="22"/>
          <w:lang w:val="es-ES"/>
        </w:rPr>
        <w:t>±</w:t>
      </w:r>
      <w:r>
        <w:rPr>
          <w:lang w:val="es-ES_tradnl"/>
        </w:rPr>
        <w:t> 13.000</w:t>
      </w:r>
      <w:r w:rsidRPr="008A106B">
        <w:rPr>
          <w:lang w:val="es-ES_tradnl"/>
        </w:rPr>
        <w:t> h</w:t>
      </w:r>
      <w:ins w:id="2049" w:author="AUTHOR">
        <w:r w:rsidR="00925EFA" w:rsidRPr="00467FFD">
          <w:rPr>
            <w:szCs w:val="22"/>
            <w:lang w:val="es-ES"/>
            <w:rPrChange w:id="2050" w:author="AUTHOR">
              <w:rPr>
                <w:szCs w:val="22"/>
              </w:rPr>
            </w:rPrChange>
          </w:rPr>
          <w:t>×</w:t>
        </w:r>
      </w:ins>
      <w:del w:id="2051" w:author="AUTHOR">
        <w:r w:rsidRPr="006868F5" w:rsidDel="00925EFA">
          <w:rPr>
            <w:lang w:val="es-ES"/>
          </w:rPr>
          <w:delText>•</w:delText>
        </w:r>
      </w:del>
      <w:r w:rsidRPr="008A106B">
        <w:rPr>
          <w:lang w:val="es-ES_tradnl"/>
        </w:rPr>
        <w:t>µg/ml, Concentración m</w:t>
      </w:r>
      <w:r>
        <w:rPr>
          <w:lang w:val="es-ES_tradnl"/>
        </w:rPr>
        <w:t>í</w:t>
      </w:r>
      <w:r w:rsidRPr="008A106B">
        <w:rPr>
          <w:lang w:val="es-ES_tradnl"/>
        </w:rPr>
        <w:t>nima (C</w:t>
      </w:r>
      <w:r w:rsidRPr="008A106B">
        <w:rPr>
          <w:vertAlign w:val="subscript"/>
          <w:lang w:val="es-ES_tradnl"/>
        </w:rPr>
        <w:t>min</w:t>
      </w:r>
      <w:r w:rsidRPr="00C555F2">
        <w:rPr>
          <w:lang w:val="es-ES_tradnl"/>
        </w:rPr>
        <w:t>)</w:t>
      </w:r>
      <w:r w:rsidRPr="00160382">
        <w:rPr>
          <w:lang w:val="es-ES_tradnl"/>
        </w:rPr>
        <w:t xml:space="preserve"> </w:t>
      </w:r>
      <w:r w:rsidRPr="008A106B">
        <w:rPr>
          <w:lang w:val="es-ES_tradnl"/>
        </w:rPr>
        <w:t xml:space="preserve">= </w:t>
      </w:r>
      <w:r>
        <w:rPr>
          <w:lang w:val="es-ES_tradnl"/>
        </w:rPr>
        <w:t>15,9 </w:t>
      </w:r>
      <w:r w:rsidR="00D03AFE" w:rsidRPr="00F30AB8">
        <w:rPr>
          <w:szCs w:val="22"/>
          <w:lang w:val="es-ES"/>
        </w:rPr>
        <w:t>±</w:t>
      </w:r>
      <w:r w:rsidRPr="008A106B">
        <w:rPr>
          <w:lang w:val="es-ES_tradnl"/>
        </w:rPr>
        <w:t> </w:t>
      </w:r>
      <w:r>
        <w:rPr>
          <w:lang w:val="es-ES_tradnl"/>
        </w:rPr>
        <w:t>13,1 </w:t>
      </w:r>
      <w:r w:rsidR="00D03AFE" w:rsidRPr="00F30AB8">
        <w:rPr>
          <w:szCs w:val="22"/>
          <w:lang w:val="es-ES"/>
        </w:rPr>
        <w:t>µ</w:t>
      </w:r>
      <w:r w:rsidRPr="008A106B">
        <w:rPr>
          <w:lang w:val="es-ES_tradnl"/>
        </w:rPr>
        <w:t>g/ml y Concentración máxima (C</w:t>
      </w:r>
      <w:r w:rsidRPr="008A106B">
        <w:rPr>
          <w:vertAlign w:val="subscript"/>
          <w:lang w:val="es-ES_tradnl"/>
        </w:rPr>
        <w:t>max)</w:t>
      </w:r>
      <w:r w:rsidRPr="008A106B">
        <w:rPr>
          <w:lang w:val="es-ES_tradnl"/>
        </w:rPr>
        <w:t xml:space="preserve"> = </w:t>
      </w:r>
      <w:r>
        <w:rPr>
          <w:lang w:val="es-ES_tradnl"/>
        </w:rPr>
        <w:t>182</w:t>
      </w:r>
      <w:r w:rsidRPr="005A5612">
        <w:rPr>
          <w:lang w:val="es-ES" w:eastAsia="zh-TW"/>
        </w:rPr>
        <w:t> </w:t>
      </w:r>
      <w:r w:rsidR="00D03AFE" w:rsidRPr="00F30AB8">
        <w:rPr>
          <w:szCs w:val="22"/>
          <w:lang w:val="es-ES"/>
        </w:rPr>
        <w:t>±</w:t>
      </w:r>
      <w:r w:rsidRPr="008A106B">
        <w:rPr>
          <w:lang w:val="es-ES_tradnl"/>
        </w:rPr>
        <w:t> </w:t>
      </w:r>
      <w:r>
        <w:rPr>
          <w:lang w:val="es-ES_tradnl" w:eastAsia="zh-TW"/>
        </w:rPr>
        <w:t>50</w:t>
      </w:r>
      <w:r>
        <w:rPr>
          <w:rFonts w:hint="eastAsia"/>
          <w:lang w:val="es-ES_tradnl" w:eastAsia="zh-TW"/>
        </w:rPr>
        <w:t>,</w:t>
      </w:r>
      <w:r>
        <w:rPr>
          <w:lang w:val="es-ES_tradnl" w:eastAsia="zh-TW"/>
        </w:rPr>
        <w:t>4</w:t>
      </w:r>
      <w:r w:rsidRPr="008A106B">
        <w:rPr>
          <w:lang w:val="es-ES_tradnl"/>
        </w:rPr>
        <w:t> µg/ml de tocilizumab.</w:t>
      </w:r>
      <w:r w:rsidRPr="008A106B">
        <w:rPr>
          <w:lang w:val="es-ES"/>
        </w:rPr>
        <w:t xml:space="preserve"> </w:t>
      </w:r>
      <w:r w:rsidRPr="008A106B">
        <w:rPr>
          <w:lang w:val="es-ES_tradnl"/>
        </w:rPr>
        <w:t>Los cocientes de acumulación para AUC y C</w:t>
      </w:r>
      <w:r w:rsidRPr="008A106B">
        <w:rPr>
          <w:vertAlign w:val="subscript"/>
          <w:lang w:val="es-ES_tradnl"/>
        </w:rPr>
        <w:t>máx</w:t>
      </w:r>
      <w:r w:rsidRPr="008A106B">
        <w:rPr>
          <w:lang w:val="es-ES_tradnl"/>
        </w:rPr>
        <w:t xml:space="preserve"> fueron pequeños, de 1,</w:t>
      </w:r>
      <w:r>
        <w:rPr>
          <w:rFonts w:hint="eastAsia"/>
          <w:lang w:val="es-ES_tradnl" w:eastAsia="zh-TW"/>
        </w:rPr>
        <w:t>3</w:t>
      </w:r>
      <w:r>
        <w:rPr>
          <w:lang w:val="es-ES_tradnl" w:eastAsia="zh-TW"/>
        </w:rPr>
        <w:t>2</w:t>
      </w:r>
      <w:r w:rsidRPr="008A106B">
        <w:rPr>
          <w:lang w:val="es-ES_tradnl"/>
        </w:rPr>
        <w:t xml:space="preserve"> y 1,</w:t>
      </w:r>
      <w:r>
        <w:rPr>
          <w:lang w:val="es-ES_tradnl" w:eastAsia="zh-TW"/>
        </w:rPr>
        <w:t>09</w:t>
      </w:r>
      <w:r w:rsidRPr="008A106B">
        <w:rPr>
          <w:lang w:val="es-ES_tradnl"/>
        </w:rPr>
        <w:t>, respectivamente.</w:t>
      </w:r>
      <w:r w:rsidRPr="008A106B">
        <w:rPr>
          <w:lang w:val="es-ES"/>
        </w:rPr>
        <w:t xml:space="preserve"> </w:t>
      </w:r>
      <w:r w:rsidRPr="008A106B">
        <w:rPr>
          <w:lang w:val="es-ES_tradnl"/>
        </w:rPr>
        <w:t>El cociente de acumulación fue mayor para la C</w:t>
      </w:r>
      <w:r w:rsidRPr="008A106B">
        <w:rPr>
          <w:vertAlign w:val="subscript"/>
          <w:lang w:val="es-ES_tradnl"/>
        </w:rPr>
        <w:t>mín</w:t>
      </w:r>
      <w:r w:rsidRPr="008A106B">
        <w:rPr>
          <w:lang w:val="es-ES_tradnl"/>
        </w:rPr>
        <w:t xml:space="preserve"> (2,</w:t>
      </w:r>
      <w:r>
        <w:rPr>
          <w:lang w:val="es-ES_tradnl" w:eastAsia="zh-TW"/>
        </w:rPr>
        <w:t>49</w:t>
      </w:r>
      <w:r w:rsidRPr="008A106B">
        <w:rPr>
          <w:lang w:val="es-ES_tradnl"/>
        </w:rPr>
        <w:t>), lo que era esperado de ac</w:t>
      </w:r>
      <w:r>
        <w:rPr>
          <w:lang w:val="es-ES_tradnl"/>
        </w:rPr>
        <w:t xml:space="preserve">uerdo con la contribución del </w:t>
      </w:r>
      <w:r w:rsidRPr="008A106B">
        <w:rPr>
          <w:lang w:val="es-ES_tradnl"/>
        </w:rPr>
        <w:t>aclaramiento no lineal a concentraciones menores.</w:t>
      </w:r>
      <w:r w:rsidRPr="008A106B">
        <w:rPr>
          <w:lang w:val="es-ES"/>
        </w:rPr>
        <w:t xml:space="preserve"> </w:t>
      </w:r>
      <w:r w:rsidRPr="008A106B">
        <w:rPr>
          <w:lang w:val="es-ES_tradnl"/>
        </w:rPr>
        <w:t>Se alcanzó el equilibrio después de la primera administración para la C</w:t>
      </w:r>
      <w:r w:rsidRPr="008A106B">
        <w:rPr>
          <w:vertAlign w:val="subscript"/>
          <w:lang w:val="es-ES_tradnl"/>
        </w:rPr>
        <w:t>max</w:t>
      </w:r>
      <w:r w:rsidRPr="008A106B">
        <w:rPr>
          <w:lang w:val="es-ES_tradnl"/>
        </w:rPr>
        <w:t xml:space="preserve"> y después de 8 y 20 semanas para el AUC y la C</w:t>
      </w:r>
      <w:r w:rsidRPr="008A106B">
        <w:rPr>
          <w:vertAlign w:val="subscript"/>
          <w:lang w:val="es-ES_tradnl"/>
        </w:rPr>
        <w:t>mín</w:t>
      </w:r>
      <w:r w:rsidRPr="008A106B">
        <w:rPr>
          <w:lang w:val="es-ES_tradnl"/>
        </w:rPr>
        <w:t>, respectivamente.</w:t>
      </w:r>
      <w:r w:rsidRPr="008A106B">
        <w:rPr>
          <w:lang w:val="es-ES"/>
        </w:rPr>
        <w:t xml:space="preserve"> El área bajo la curva (AUC), C</w:t>
      </w:r>
      <w:r w:rsidRPr="008A106B">
        <w:rPr>
          <w:vertAlign w:val="subscript"/>
          <w:lang w:val="es-ES"/>
        </w:rPr>
        <w:t>min</w:t>
      </w:r>
      <w:r w:rsidRPr="008A106B">
        <w:rPr>
          <w:lang w:val="es-ES"/>
        </w:rPr>
        <w:t xml:space="preserve"> y C</w:t>
      </w:r>
      <w:r w:rsidRPr="008A106B">
        <w:rPr>
          <w:vertAlign w:val="subscript"/>
          <w:lang w:val="es-ES"/>
        </w:rPr>
        <w:t xml:space="preserve">max </w:t>
      </w:r>
      <w:r w:rsidRPr="008A106B">
        <w:rPr>
          <w:lang w:val="es-ES"/>
        </w:rPr>
        <w:t xml:space="preserve">de </w:t>
      </w:r>
      <w:r w:rsidR="00D03AFE" w:rsidRPr="00554BAE">
        <w:rPr>
          <w:szCs w:val="22"/>
          <w:lang w:val="es-ES"/>
        </w:rPr>
        <w:t>tocilizumab</w:t>
      </w:r>
      <w:r w:rsidRPr="006868F5">
        <w:rPr>
          <w:iCs/>
          <w:szCs w:val="22"/>
          <w:lang w:val="es-ES"/>
        </w:rPr>
        <w:t xml:space="preserve"> </w:t>
      </w:r>
      <w:r w:rsidRPr="008A106B">
        <w:rPr>
          <w:lang w:val="es-ES"/>
        </w:rPr>
        <w:t>aumentó con el aumento del peso corporal. En un peso corporal ≥ 100 kg,</w:t>
      </w:r>
      <w:r w:rsidRPr="008A106B">
        <w:rPr>
          <w:lang w:val="es-ES" w:eastAsia="zh-CN"/>
        </w:rPr>
        <w:t xml:space="preserve"> los valores medios previstos (± DE) en equilibrio de AUC,</w:t>
      </w:r>
      <w:r w:rsidRPr="008A106B">
        <w:rPr>
          <w:lang w:val="es-ES"/>
        </w:rPr>
        <w:t xml:space="preserve"> C</w:t>
      </w:r>
      <w:r w:rsidRPr="008A106B">
        <w:rPr>
          <w:vertAlign w:val="subscript"/>
          <w:lang w:val="es-ES"/>
        </w:rPr>
        <w:t>min</w:t>
      </w:r>
      <w:r w:rsidRPr="008A106B">
        <w:rPr>
          <w:lang w:val="es-ES"/>
        </w:rPr>
        <w:t xml:space="preserve"> y C</w:t>
      </w:r>
      <w:r w:rsidRPr="008A106B">
        <w:rPr>
          <w:vertAlign w:val="subscript"/>
          <w:lang w:val="es-ES"/>
        </w:rPr>
        <w:t>max</w:t>
      </w:r>
      <w:r w:rsidRPr="008A106B">
        <w:rPr>
          <w:lang w:val="es-ES"/>
        </w:rPr>
        <w:t xml:space="preserve"> de </w:t>
      </w:r>
      <w:r w:rsidR="00D03AFE" w:rsidRPr="00554BAE">
        <w:rPr>
          <w:szCs w:val="22"/>
          <w:lang w:val="es-ES"/>
        </w:rPr>
        <w:t>tocilizumab</w:t>
      </w:r>
      <w:r w:rsidRPr="006868F5">
        <w:rPr>
          <w:iCs/>
          <w:szCs w:val="22"/>
          <w:lang w:val="es-ES"/>
        </w:rPr>
        <w:t xml:space="preserve"> </w:t>
      </w:r>
      <w:r w:rsidRPr="008A106B">
        <w:rPr>
          <w:lang w:val="es-ES"/>
        </w:rPr>
        <w:t xml:space="preserve">fueron </w:t>
      </w:r>
      <w:r>
        <w:rPr>
          <w:rFonts w:hint="eastAsia"/>
          <w:lang w:val="es-ES" w:eastAsia="zh-TW"/>
        </w:rPr>
        <w:t>5</w:t>
      </w:r>
      <w:r>
        <w:rPr>
          <w:lang w:val="es-ES" w:eastAsia="zh-TW"/>
        </w:rPr>
        <w:t>0</w:t>
      </w:r>
      <w:r>
        <w:rPr>
          <w:rFonts w:hint="eastAsia"/>
          <w:lang w:val="es-ES" w:eastAsia="zh-TW"/>
        </w:rPr>
        <w:t>.</w:t>
      </w:r>
      <w:r>
        <w:rPr>
          <w:lang w:val="es-ES" w:eastAsia="zh-TW"/>
        </w:rPr>
        <w:t>0</w:t>
      </w:r>
      <w:r>
        <w:rPr>
          <w:rFonts w:hint="eastAsia"/>
          <w:lang w:val="es-ES" w:eastAsia="zh-TW"/>
        </w:rPr>
        <w:t>00 </w:t>
      </w:r>
      <w:r w:rsidRPr="008A106B">
        <w:rPr>
          <w:lang w:val="es-ES"/>
        </w:rPr>
        <w:t>±</w:t>
      </w:r>
      <w:r>
        <w:rPr>
          <w:lang w:val="es-ES"/>
        </w:rPr>
        <w:t> 16</w:t>
      </w:r>
      <w:r w:rsidRPr="00DD0FF0">
        <w:rPr>
          <w:rFonts w:hint="eastAsia"/>
          <w:lang w:val="es-ES" w:eastAsia="zh-TW"/>
        </w:rPr>
        <w:t>.</w:t>
      </w:r>
      <w:r>
        <w:rPr>
          <w:lang w:val="es-ES" w:eastAsia="zh-TW"/>
        </w:rPr>
        <w:t>8</w:t>
      </w:r>
      <w:r w:rsidRPr="00553B56">
        <w:rPr>
          <w:rFonts w:hint="eastAsia"/>
          <w:lang w:val="es-ES" w:eastAsia="zh-TW"/>
        </w:rPr>
        <w:t>00 </w:t>
      </w:r>
      <w:r w:rsidRPr="008A106B">
        <w:t>μ</w:t>
      </w:r>
      <w:r>
        <w:rPr>
          <w:lang w:val="es-ES"/>
        </w:rPr>
        <w:t>g</w:t>
      </w:r>
      <w:ins w:id="2052" w:author="AUTHOR">
        <w:r w:rsidR="00925EFA" w:rsidRPr="00467FFD">
          <w:rPr>
            <w:szCs w:val="22"/>
            <w:lang w:val="es-ES"/>
            <w:rPrChange w:id="2053" w:author="AUTHOR">
              <w:rPr>
                <w:szCs w:val="22"/>
              </w:rPr>
            </w:rPrChange>
          </w:rPr>
          <w:t>×</w:t>
        </w:r>
      </w:ins>
      <w:del w:id="2054" w:author="AUTHOR">
        <w:r w:rsidDel="00925EFA">
          <w:rPr>
            <w:lang w:val="es-ES"/>
          </w:rPr>
          <w:delText>•</w:delText>
        </w:r>
      </w:del>
      <w:r>
        <w:rPr>
          <w:lang w:val="es-ES"/>
        </w:rPr>
        <w:t>h/ml, 24</w:t>
      </w:r>
      <w:r w:rsidRPr="00DD0FF0">
        <w:rPr>
          <w:rFonts w:hint="eastAsia"/>
          <w:lang w:val="es-ES" w:eastAsia="zh-TW"/>
        </w:rPr>
        <w:t>,</w:t>
      </w:r>
      <w:r>
        <w:rPr>
          <w:lang w:val="es-ES" w:eastAsia="zh-TW"/>
        </w:rPr>
        <w:t>4</w:t>
      </w:r>
      <w:r w:rsidRPr="00553B56">
        <w:rPr>
          <w:rFonts w:hint="eastAsia"/>
          <w:lang w:val="es-ES" w:eastAsia="zh-TW"/>
        </w:rPr>
        <w:t> </w:t>
      </w:r>
      <w:r>
        <w:rPr>
          <w:lang w:val="es-ES"/>
        </w:rPr>
        <w:t>± 17</w:t>
      </w:r>
      <w:r w:rsidRPr="00553B56">
        <w:rPr>
          <w:rFonts w:hint="eastAsia"/>
          <w:lang w:val="es-ES" w:eastAsia="zh-TW"/>
        </w:rPr>
        <w:t>,5 </w:t>
      </w:r>
      <w:r w:rsidRPr="008A106B">
        <w:t>μ</w:t>
      </w:r>
      <w:r w:rsidRPr="008A106B">
        <w:rPr>
          <w:lang w:val="es-ES"/>
        </w:rPr>
        <w:t>g/m</w:t>
      </w:r>
      <w:r>
        <w:rPr>
          <w:lang w:val="es-ES"/>
        </w:rPr>
        <w:t>l</w:t>
      </w:r>
      <w:r w:rsidRPr="008A106B">
        <w:rPr>
          <w:lang w:val="es-ES"/>
        </w:rPr>
        <w:t>, y</w:t>
      </w:r>
      <w:r>
        <w:rPr>
          <w:lang w:val="es-ES"/>
        </w:rPr>
        <w:t xml:space="preserve"> </w:t>
      </w:r>
      <w:r w:rsidRPr="00553B56">
        <w:rPr>
          <w:lang w:val="es-ES"/>
        </w:rPr>
        <w:t>2</w:t>
      </w:r>
      <w:r>
        <w:rPr>
          <w:lang w:val="es-ES" w:eastAsia="zh-TW"/>
        </w:rPr>
        <w:t>26</w:t>
      </w:r>
      <w:r w:rsidRPr="00553B56">
        <w:rPr>
          <w:rFonts w:hint="eastAsia"/>
          <w:lang w:val="es-ES" w:eastAsia="zh-TW"/>
        </w:rPr>
        <w:t> </w:t>
      </w:r>
      <w:r w:rsidRPr="008A106B">
        <w:rPr>
          <w:lang w:val="es-ES"/>
        </w:rPr>
        <w:t>±</w:t>
      </w:r>
      <w:r w:rsidRPr="00553B56">
        <w:rPr>
          <w:lang w:val="es-ES"/>
        </w:rPr>
        <w:t> </w:t>
      </w:r>
      <w:r w:rsidRPr="008A106B">
        <w:rPr>
          <w:lang w:val="es-ES"/>
        </w:rPr>
        <w:t>5</w:t>
      </w:r>
      <w:r>
        <w:rPr>
          <w:lang w:val="es-ES" w:eastAsia="zh-TW"/>
        </w:rPr>
        <w:t>0</w:t>
      </w:r>
      <w:r>
        <w:rPr>
          <w:rFonts w:hint="eastAsia"/>
          <w:lang w:val="es-ES" w:eastAsia="zh-TW"/>
        </w:rPr>
        <w:t>,</w:t>
      </w:r>
      <w:r>
        <w:rPr>
          <w:lang w:val="es-ES" w:eastAsia="zh-TW"/>
        </w:rPr>
        <w:t>3</w:t>
      </w:r>
      <w:r>
        <w:rPr>
          <w:rFonts w:hint="eastAsia"/>
          <w:lang w:val="es-ES" w:eastAsia="zh-TW"/>
        </w:rPr>
        <w:t> </w:t>
      </w:r>
      <w:r w:rsidR="00D03AFE" w:rsidRPr="00F30AB8">
        <w:rPr>
          <w:szCs w:val="22"/>
          <w:lang w:val="es-ES"/>
        </w:rPr>
        <w:t>µ</w:t>
      </w:r>
      <w:r w:rsidRPr="008A106B">
        <w:rPr>
          <w:lang w:val="es-ES"/>
        </w:rPr>
        <w:t>g/m</w:t>
      </w:r>
      <w:r>
        <w:rPr>
          <w:lang w:val="es-ES"/>
        </w:rPr>
        <w:t>l</w:t>
      </w:r>
      <w:r w:rsidRPr="008A106B">
        <w:rPr>
          <w:lang w:val="es-ES"/>
        </w:rPr>
        <w:t>, respectivamente, los cuales son mayores que los valores de exposición media de los pacientes (</w:t>
      </w:r>
      <w:r>
        <w:rPr>
          <w:rFonts w:hint="eastAsia"/>
          <w:lang w:val="es-ES" w:eastAsia="zh-TW"/>
        </w:rPr>
        <w:t>es decir, cualquier peso corporal</w:t>
      </w:r>
      <w:r w:rsidRPr="008A106B">
        <w:rPr>
          <w:lang w:val="es-ES"/>
        </w:rPr>
        <w:t>)</w:t>
      </w:r>
      <w:r>
        <w:rPr>
          <w:rFonts w:hint="eastAsia"/>
          <w:lang w:val="es-ES" w:eastAsia="zh-TW"/>
        </w:rPr>
        <w:t xml:space="preserve"> indicados anteriormente</w:t>
      </w:r>
      <w:r w:rsidRPr="008A106B">
        <w:rPr>
          <w:lang w:val="es-ES"/>
        </w:rPr>
        <w:t xml:space="preserve">. La curva dosis-respuesta para tocilizumab se allana a mayor exposición, resultando en una menor ganancia de eficacia por cada aumento incremental en la concentración, de manera que no se demostraron incrementos de eficacia clínicamente significativos en pacientes tratados con &gt; 800 mg de </w:t>
      </w:r>
      <w:r w:rsidR="004C3770" w:rsidRPr="00554BAE">
        <w:rPr>
          <w:szCs w:val="22"/>
          <w:lang w:val="es-ES"/>
        </w:rPr>
        <w:t>tocilizumab</w:t>
      </w:r>
      <w:r w:rsidRPr="008A106B">
        <w:rPr>
          <w:rFonts w:eastAsia="SimSun"/>
          <w:lang w:val="es-ES" w:eastAsia="zh-CN"/>
        </w:rPr>
        <w:t>. Por lo tanto, no se recomienda dosis superiores a 800</w:t>
      </w:r>
      <w:r>
        <w:rPr>
          <w:rFonts w:eastAsia="SimSun"/>
          <w:lang w:val="es-ES" w:eastAsia="zh-CN"/>
        </w:rPr>
        <w:t> </w:t>
      </w:r>
      <w:r w:rsidRPr="008A106B">
        <w:rPr>
          <w:rFonts w:eastAsia="SimSun"/>
          <w:lang w:val="es-ES" w:eastAsia="zh-CN"/>
        </w:rPr>
        <w:t>mg en perfusión (ver sección</w:t>
      </w:r>
      <w:r w:rsidR="006304B2">
        <w:rPr>
          <w:rFonts w:eastAsia="SimSun"/>
          <w:lang w:val="es-ES" w:eastAsia="zh-CN"/>
        </w:rPr>
        <w:t> </w:t>
      </w:r>
      <w:r w:rsidRPr="008A106B">
        <w:rPr>
          <w:rFonts w:eastAsia="SimSun"/>
          <w:lang w:val="es-ES" w:eastAsia="zh-CN"/>
        </w:rPr>
        <w:t>4.2).</w:t>
      </w:r>
    </w:p>
    <w:p w14:paraId="376974A0" w14:textId="77777777" w:rsidR="00DC224A" w:rsidRPr="008A106B" w:rsidRDefault="00DC224A" w:rsidP="00DC224A">
      <w:pPr>
        <w:numPr>
          <w:ilvl w:val="12"/>
          <w:numId w:val="0"/>
        </w:numPr>
        <w:ind w:right="-2"/>
        <w:rPr>
          <w:iCs/>
          <w:lang w:val="es-ES"/>
        </w:rPr>
      </w:pPr>
    </w:p>
    <w:p w14:paraId="63ABF950" w14:textId="77777777" w:rsidR="00DC224A" w:rsidRPr="00F30AB8" w:rsidRDefault="00DC224A" w:rsidP="00DC224A">
      <w:pPr>
        <w:numPr>
          <w:ilvl w:val="12"/>
          <w:numId w:val="0"/>
        </w:numPr>
        <w:rPr>
          <w:i/>
          <w:iCs/>
          <w:u w:val="single"/>
          <w:lang w:val="es-ES"/>
        </w:rPr>
      </w:pPr>
      <w:r w:rsidRPr="00F30AB8">
        <w:rPr>
          <w:i/>
          <w:iCs/>
          <w:u w:val="single"/>
          <w:lang w:val="es-ES"/>
        </w:rPr>
        <w:t>Distribución</w:t>
      </w:r>
    </w:p>
    <w:p w14:paraId="57884E13" w14:textId="03C05EA8" w:rsidR="00DC224A" w:rsidRPr="008A106B" w:rsidRDefault="00DC224A" w:rsidP="00DC224A">
      <w:pPr>
        <w:numPr>
          <w:ilvl w:val="12"/>
          <w:numId w:val="0"/>
        </w:numPr>
        <w:rPr>
          <w:lang w:val="es-ES"/>
        </w:rPr>
      </w:pPr>
      <w:r w:rsidRPr="008A106B">
        <w:rPr>
          <w:lang w:val="es-ES_tradnl"/>
        </w:rPr>
        <w:t>En pacientes con artritis reumatoide, el volumen central de distribución fue de 3,</w:t>
      </w:r>
      <w:r>
        <w:rPr>
          <w:lang w:val="es-ES_tradnl"/>
        </w:rPr>
        <w:t>72</w:t>
      </w:r>
      <w:ins w:id="2055" w:author="AUTHOR">
        <w:r w:rsidR="00B707BE">
          <w:rPr>
            <w:lang w:val="es-ES_tradnl"/>
          </w:rPr>
          <w:t xml:space="preserve"> l</w:t>
        </w:r>
      </w:ins>
      <w:r w:rsidRPr="008A106B">
        <w:rPr>
          <w:lang w:val="es-ES_tradnl"/>
        </w:rPr>
        <w:t xml:space="preserve">, el volumen periférico de distribución fue de </w:t>
      </w:r>
      <w:r>
        <w:rPr>
          <w:lang w:val="es-ES_tradnl"/>
        </w:rPr>
        <w:t>3,35</w:t>
      </w:r>
      <w:ins w:id="2056" w:author="AUTHOR">
        <w:r w:rsidR="00925EFA">
          <w:rPr>
            <w:lang w:val="es-ES_tradnl"/>
          </w:rPr>
          <w:t xml:space="preserve"> l</w:t>
        </w:r>
      </w:ins>
      <w:r w:rsidRPr="008A106B">
        <w:rPr>
          <w:lang w:val="es-ES_tradnl"/>
        </w:rPr>
        <w:t xml:space="preserve">, lo que da un volumen de distribución en el equilibrio de </w:t>
      </w:r>
      <w:r>
        <w:rPr>
          <w:lang w:val="es-ES_tradnl"/>
        </w:rPr>
        <w:t>7</w:t>
      </w:r>
      <w:r w:rsidRPr="008A106B">
        <w:rPr>
          <w:lang w:val="es-ES_tradnl"/>
        </w:rPr>
        <w:t>,</w:t>
      </w:r>
      <w:r>
        <w:rPr>
          <w:lang w:val="es-ES_tradnl"/>
        </w:rPr>
        <w:t>07</w:t>
      </w:r>
      <w:ins w:id="2057" w:author="AUTHOR">
        <w:r w:rsidR="00B707BE">
          <w:rPr>
            <w:lang w:val="es-ES_tradnl"/>
          </w:rPr>
          <w:t xml:space="preserve"> l</w:t>
        </w:r>
      </w:ins>
      <w:r w:rsidRPr="008A106B">
        <w:rPr>
          <w:lang w:val="es-ES_tradnl"/>
        </w:rPr>
        <w:t>.</w:t>
      </w:r>
      <w:r w:rsidRPr="008A106B">
        <w:rPr>
          <w:lang w:val="es-ES"/>
        </w:rPr>
        <w:t xml:space="preserve"> </w:t>
      </w:r>
    </w:p>
    <w:p w14:paraId="23280AD7" w14:textId="77777777" w:rsidR="00DC224A" w:rsidRPr="008A106B" w:rsidRDefault="00DC224A" w:rsidP="00DC224A">
      <w:pPr>
        <w:numPr>
          <w:ilvl w:val="12"/>
          <w:numId w:val="0"/>
        </w:numPr>
        <w:rPr>
          <w:iCs/>
          <w:lang w:val="es-ES"/>
        </w:rPr>
      </w:pPr>
    </w:p>
    <w:p w14:paraId="5234AF13" w14:textId="77777777" w:rsidR="00DC224A" w:rsidRPr="00F30AB8" w:rsidRDefault="00DC224A" w:rsidP="00DC224A">
      <w:pPr>
        <w:keepNext/>
        <w:numPr>
          <w:ilvl w:val="12"/>
          <w:numId w:val="0"/>
        </w:numPr>
        <w:rPr>
          <w:i/>
          <w:iCs/>
          <w:u w:val="single"/>
          <w:lang w:val="es-ES"/>
        </w:rPr>
      </w:pPr>
      <w:r w:rsidRPr="00F30AB8">
        <w:rPr>
          <w:i/>
          <w:iCs/>
          <w:u w:val="single"/>
          <w:lang w:val="es-ES"/>
        </w:rPr>
        <w:t>Eliminación</w:t>
      </w:r>
    </w:p>
    <w:p w14:paraId="4A2D44FE" w14:textId="68BED590" w:rsidR="00DC224A" w:rsidRDefault="00DC224A" w:rsidP="00DC224A">
      <w:pPr>
        <w:numPr>
          <w:ilvl w:val="12"/>
          <w:numId w:val="0"/>
        </w:numPr>
        <w:ind w:right="-2"/>
        <w:rPr>
          <w:lang w:val="es-ES"/>
        </w:rPr>
      </w:pPr>
      <w:r w:rsidRPr="008A106B">
        <w:rPr>
          <w:lang w:val="es-ES_tradnl"/>
        </w:rPr>
        <w:t xml:space="preserve">Después de la administración intravenosa, </w:t>
      </w:r>
      <w:r w:rsidR="00D03AFE" w:rsidRPr="00F30AB8">
        <w:rPr>
          <w:iCs/>
          <w:szCs w:val="22"/>
          <w:lang w:val="es-ES"/>
        </w:rPr>
        <w:t>tocilizumab</w:t>
      </w:r>
      <w:r w:rsidRPr="006868F5">
        <w:rPr>
          <w:iCs/>
          <w:szCs w:val="22"/>
          <w:lang w:val="es-ES"/>
        </w:rPr>
        <w:t xml:space="preserve"> </w:t>
      </w:r>
      <w:r w:rsidRPr="008A106B">
        <w:rPr>
          <w:lang w:val="es-ES_tradnl"/>
        </w:rPr>
        <w:t>experimenta una eliminación bifásica de la circulación.</w:t>
      </w:r>
      <w:r w:rsidRPr="008A106B" w:rsidDel="00F63298">
        <w:rPr>
          <w:lang w:val="es-ES_tradnl"/>
        </w:rPr>
        <w:t xml:space="preserve"> </w:t>
      </w:r>
      <w:r w:rsidRPr="008A106B">
        <w:rPr>
          <w:lang w:val="es-ES_tradnl"/>
        </w:rPr>
        <w:t xml:space="preserve">El aclaramiento total de </w:t>
      </w:r>
      <w:r w:rsidR="00D03AFE" w:rsidRPr="00F30AB8">
        <w:rPr>
          <w:iCs/>
          <w:szCs w:val="22"/>
          <w:lang w:val="es-ES"/>
        </w:rPr>
        <w:t>tocilizumab</w:t>
      </w:r>
      <w:r w:rsidRPr="006868F5">
        <w:rPr>
          <w:iCs/>
          <w:szCs w:val="22"/>
          <w:lang w:val="es-ES"/>
        </w:rPr>
        <w:t xml:space="preserve"> </w:t>
      </w:r>
      <w:r w:rsidRPr="008A106B">
        <w:rPr>
          <w:lang w:val="es-ES_tradnl"/>
        </w:rPr>
        <w:t>fue dependiente de la concentración y es la suma del aclaramiento lineal y el no lineal.</w:t>
      </w:r>
      <w:r w:rsidRPr="008A106B">
        <w:rPr>
          <w:lang w:val="es-ES"/>
        </w:rPr>
        <w:t xml:space="preserve"> </w:t>
      </w:r>
      <w:r w:rsidRPr="008A106B">
        <w:rPr>
          <w:lang w:val="es-ES_tradnl"/>
        </w:rPr>
        <w:t xml:space="preserve">El aclaramiento lineal se estimó como parámetro en el análisis de farmacocinética de poblaciones y fue de </w:t>
      </w:r>
      <w:r>
        <w:rPr>
          <w:lang w:val="es-ES_tradnl"/>
        </w:rPr>
        <w:t>9</w:t>
      </w:r>
      <w:r w:rsidRPr="008A106B">
        <w:rPr>
          <w:lang w:val="es-ES_tradnl"/>
        </w:rPr>
        <w:t xml:space="preserve">,5 ml/h. El aclaramiento no lineal dependiente de la concentración desempeña un papel importante a concentraciones bajas de </w:t>
      </w:r>
      <w:r w:rsidR="00D03AFE" w:rsidRPr="00F30AB8">
        <w:rPr>
          <w:iCs/>
          <w:szCs w:val="22"/>
          <w:lang w:val="es-ES"/>
        </w:rPr>
        <w:t>tocilizumab</w:t>
      </w:r>
      <w:r w:rsidRPr="008A106B">
        <w:rPr>
          <w:lang w:val="es-ES_tradnl"/>
        </w:rPr>
        <w:t xml:space="preserve">. Una vez saturada la vía de aclaramiento no lineal, a concentraciones mayores de </w:t>
      </w:r>
      <w:r w:rsidR="00D03AFE" w:rsidRPr="00F30AB8">
        <w:rPr>
          <w:iCs/>
          <w:szCs w:val="22"/>
          <w:lang w:val="es-ES"/>
        </w:rPr>
        <w:t>tocilizumab</w:t>
      </w:r>
      <w:r w:rsidRPr="008A106B">
        <w:rPr>
          <w:lang w:val="es-ES_tradnl"/>
        </w:rPr>
        <w:t>, la eliminación viene determinada fundamentalmente por el aclaramiento lineal.</w:t>
      </w:r>
      <w:r w:rsidRPr="008A106B">
        <w:rPr>
          <w:lang w:val="es-ES"/>
        </w:rPr>
        <w:t xml:space="preserve"> </w:t>
      </w:r>
    </w:p>
    <w:p w14:paraId="45BC9CFD" w14:textId="77777777" w:rsidR="00DC224A" w:rsidRPr="008A106B" w:rsidRDefault="00DC224A" w:rsidP="00DC224A">
      <w:pPr>
        <w:numPr>
          <w:ilvl w:val="12"/>
          <w:numId w:val="0"/>
        </w:numPr>
        <w:ind w:right="-2"/>
        <w:rPr>
          <w:lang w:val="es-ES_tradnl"/>
        </w:rPr>
      </w:pPr>
    </w:p>
    <w:p w14:paraId="6FDF7225" w14:textId="5985E283" w:rsidR="00DC224A" w:rsidRPr="008A106B" w:rsidRDefault="00DC224A" w:rsidP="00DC224A">
      <w:pPr>
        <w:numPr>
          <w:ilvl w:val="12"/>
          <w:numId w:val="0"/>
        </w:numPr>
        <w:ind w:right="-2"/>
        <w:rPr>
          <w:lang w:val="es-ES"/>
        </w:rPr>
      </w:pPr>
      <w:r w:rsidRPr="008A106B">
        <w:rPr>
          <w:lang w:val="es-ES_tradnl"/>
        </w:rPr>
        <w:t>La semivida t</w:t>
      </w:r>
      <w:r w:rsidRPr="008A106B">
        <w:rPr>
          <w:vertAlign w:val="subscript"/>
          <w:lang w:val="es-ES_tradnl"/>
        </w:rPr>
        <w:t>1/2</w:t>
      </w:r>
      <w:r w:rsidRPr="008A106B">
        <w:rPr>
          <w:lang w:val="es-ES_tradnl"/>
        </w:rPr>
        <w:t xml:space="preserve"> de </w:t>
      </w:r>
      <w:r w:rsidR="00D03AFE" w:rsidRPr="00F30AB8">
        <w:rPr>
          <w:iCs/>
          <w:szCs w:val="22"/>
          <w:lang w:val="es-ES"/>
        </w:rPr>
        <w:t>tocilizumab</w:t>
      </w:r>
      <w:r w:rsidRPr="006868F5">
        <w:rPr>
          <w:iCs/>
          <w:szCs w:val="22"/>
          <w:lang w:val="es-ES"/>
        </w:rPr>
        <w:t xml:space="preserve"> </w:t>
      </w:r>
      <w:r w:rsidRPr="008A106B">
        <w:rPr>
          <w:lang w:val="es-ES_tradnl"/>
        </w:rPr>
        <w:t>fue dependiente de la concentración.</w:t>
      </w:r>
      <w:r w:rsidRPr="008A106B">
        <w:rPr>
          <w:lang w:val="es-ES"/>
        </w:rPr>
        <w:t xml:space="preserve"> </w:t>
      </w:r>
      <w:r w:rsidRPr="008A106B">
        <w:rPr>
          <w:lang w:val="es-ES_tradnl"/>
        </w:rPr>
        <w:t>En equilibrio, después de una dosis de 8 mg/kg cada 4</w:t>
      </w:r>
      <w:r w:rsidR="00031422" w:rsidRPr="00F30AB8">
        <w:rPr>
          <w:rFonts w:eastAsia="SimSun"/>
          <w:b/>
          <w:szCs w:val="22"/>
          <w:lang w:val="es-ES" w:eastAsia="zh-CN"/>
        </w:rPr>
        <w:t> </w:t>
      </w:r>
      <w:r w:rsidRPr="008A106B">
        <w:rPr>
          <w:lang w:val="es-ES_tradnl"/>
        </w:rPr>
        <w:t>semanas, la t</w:t>
      </w:r>
      <w:r w:rsidRPr="008A106B">
        <w:rPr>
          <w:vertAlign w:val="subscript"/>
          <w:lang w:val="es-ES_tradnl"/>
        </w:rPr>
        <w:t>1/2</w:t>
      </w:r>
      <w:r w:rsidRPr="008A106B">
        <w:rPr>
          <w:lang w:val="es-ES_tradnl"/>
        </w:rPr>
        <w:t xml:space="preserve"> eficaz se redujo con concentraciones descendentes dentro de un intervalo posológico de 1</w:t>
      </w:r>
      <w:r>
        <w:rPr>
          <w:lang w:val="es-ES_tradnl"/>
        </w:rPr>
        <w:t>8</w:t>
      </w:r>
      <w:r w:rsidRPr="008A106B">
        <w:rPr>
          <w:lang w:val="es-ES_tradnl"/>
        </w:rPr>
        <w:t xml:space="preserve"> días a </w:t>
      </w:r>
      <w:r>
        <w:rPr>
          <w:lang w:val="es-ES_tradnl"/>
        </w:rPr>
        <w:t>6</w:t>
      </w:r>
      <w:r w:rsidR="00031422" w:rsidRPr="00F30AB8">
        <w:rPr>
          <w:rFonts w:eastAsia="SimSun"/>
          <w:b/>
          <w:szCs w:val="22"/>
          <w:lang w:val="es-ES" w:eastAsia="zh-CN"/>
        </w:rPr>
        <w:t> </w:t>
      </w:r>
      <w:r w:rsidRPr="008A106B">
        <w:rPr>
          <w:lang w:val="es-ES_tradnl"/>
        </w:rPr>
        <w:t>días.</w:t>
      </w:r>
    </w:p>
    <w:p w14:paraId="6A2AE648" w14:textId="77777777" w:rsidR="00DC224A" w:rsidRPr="008A106B" w:rsidRDefault="00DC224A" w:rsidP="00DC224A">
      <w:pPr>
        <w:ind w:left="567" w:hanging="567"/>
        <w:outlineLvl w:val="0"/>
        <w:rPr>
          <w:lang w:val="es-ES"/>
        </w:rPr>
      </w:pPr>
    </w:p>
    <w:p w14:paraId="0AD14747" w14:textId="77777777" w:rsidR="00DC224A" w:rsidRPr="00F30AB8" w:rsidRDefault="00DC224A" w:rsidP="00DC224A">
      <w:pPr>
        <w:keepNext/>
        <w:ind w:left="562" w:hanging="562"/>
        <w:outlineLvl w:val="0"/>
        <w:rPr>
          <w:i/>
          <w:iCs/>
          <w:u w:val="single"/>
          <w:lang w:val="es-ES_tradnl"/>
        </w:rPr>
      </w:pPr>
      <w:r w:rsidRPr="00F30AB8">
        <w:rPr>
          <w:i/>
          <w:iCs/>
          <w:u w:val="single"/>
          <w:lang w:val="es-ES_tradnl"/>
        </w:rPr>
        <w:t>Linealidad</w:t>
      </w:r>
    </w:p>
    <w:p w14:paraId="19A83095" w14:textId="2BF98518" w:rsidR="00DC224A" w:rsidRPr="008A106B" w:rsidRDefault="00DC224A" w:rsidP="00DC224A">
      <w:pPr>
        <w:numPr>
          <w:ilvl w:val="12"/>
          <w:numId w:val="0"/>
        </w:numPr>
        <w:ind w:right="-2"/>
        <w:rPr>
          <w:lang w:val="es-ES"/>
        </w:rPr>
      </w:pPr>
      <w:r w:rsidRPr="008A106B">
        <w:rPr>
          <w:lang w:val="es-ES_tradnl"/>
        </w:rPr>
        <w:t xml:space="preserve">Los parámetros farmacocinéticos de </w:t>
      </w:r>
      <w:r w:rsidR="00D03AFE" w:rsidRPr="00F30AB8">
        <w:rPr>
          <w:iCs/>
          <w:szCs w:val="22"/>
          <w:lang w:val="es-ES"/>
        </w:rPr>
        <w:t>tocilizumab</w:t>
      </w:r>
      <w:r w:rsidRPr="006868F5">
        <w:rPr>
          <w:iCs/>
          <w:szCs w:val="22"/>
          <w:lang w:val="es-ES"/>
        </w:rPr>
        <w:t xml:space="preserve"> </w:t>
      </w:r>
      <w:r w:rsidRPr="008A106B">
        <w:rPr>
          <w:lang w:val="es-ES_tradnl"/>
        </w:rPr>
        <w:t>no cambiaron con el tiempo.</w:t>
      </w:r>
      <w:r w:rsidRPr="008A106B">
        <w:rPr>
          <w:lang w:val="es-ES"/>
        </w:rPr>
        <w:t xml:space="preserve"> </w:t>
      </w:r>
      <w:r w:rsidRPr="008A106B">
        <w:rPr>
          <w:lang w:val="es-ES_tradnl"/>
        </w:rPr>
        <w:t>Se observó un aumento mayor que el proporcional a la dosis en el área bajo la curva AUC y la concentración m</w:t>
      </w:r>
      <w:r>
        <w:rPr>
          <w:lang w:val="es-ES_tradnl"/>
        </w:rPr>
        <w:t>í</w:t>
      </w:r>
      <w:r w:rsidRPr="008A106B">
        <w:rPr>
          <w:lang w:val="es-ES_tradnl"/>
        </w:rPr>
        <w:t>nima C</w:t>
      </w:r>
      <w:r w:rsidRPr="008A106B">
        <w:rPr>
          <w:vertAlign w:val="subscript"/>
          <w:lang w:val="es-ES_tradnl"/>
        </w:rPr>
        <w:t>mín</w:t>
      </w:r>
      <w:r w:rsidRPr="008A106B">
        <w:rPr>
          <w:lang w:val="es-ES_tradnl"/>
        </w:rPr>
        <w:t xml:space="preserve"> con las dosis de 4 y 8 mg/kg, cada 4 semanas.</w:t>
      </w:r>
      <w:r w:rsidRPr="008A106B">
        <w:rPr>
          <w:lang w:val="es-ES"/>
        </w:rPr>
        <w:t xml:space="preserve"> </w:t>
      </w:r>
      <w:r w:rsidRPr="008A106B">
        <w:rPr>
          <w:lang w:val="es-ES_tradnl"/>
        </w:rPr>
        <w:t>La concentración máxima C</w:t>
      </w:r>
      <w:r w:rsidRPr="008A106B">
        <w:rPr>
          <w:vertAlign w:val="subscript"/>
          <w:lang w:val="es-ES_tradnl"/>
        </w:rPr>
        <w:t>máx</w:t>
      </w:r>
      <w:r w:rsidRPr="008A106B">
        <w:rPr>
          <w:lang w:val="es-ES_tradnl"/>
        </w:rPr>
        <w:t xml:space="preserve"> aumentó de forma proporcional a la dosis.</w:t>
      </w:r>
      <w:r w:rsidRPr="008A106B">
        <w:rPr>
          <w:lang w:val="es-ES"/>
        </w:rPr>
        <w:t xml:space="preserve"> </w:t>
      </w:r>
      <w:r w:rsidRPr="008A106B">
        <w:rPr>
          <w:lang w:val="es-ES_tradnl"/>
        </w:rPr>
        <w:t>En equilibrio, el AUC y la C</w:t>
      </w:r>
      <w:r w:rsidRPr="008A106B">
        <w:rPr>
          <w:vertAlign w:val="subscript"/>
          <w:lang w:val="es-ES_tradnl"/>
        </w:rPr>
        <w:t>mín</w:t>
      </w:r>
      <w:r w:rsidRPr="008A106B">
        <w:rPr>
          <w:lang w:val="es-ES_tradnl"/>
        </w:rPr>
        <w:t xml:space="preserve"> pronosticados fueron </w:t>
      </w:r>
      <w:r>
        <w:rPr>
          <w:lang w:val="es-ES_tradnl"/>
        </w:rPr>
        <w:t>3,2</w:t>
      </w:r>
      <w:r w:rsidRPr="008A106B">
        <w:rPr>
          <w:lang w:val="es-ES_tradnl"/>
        </w:rPr>
        <w:t xml:space="preserve"> y </w:t>
      </w:r>
      <w:r>
        <w:rPr>
          <w:lang w:val="es-ES_tradnl"/>
        </w:rPr>
        <w:t>30</w:t>
      </w:r>
      <w:r w:rsidRPr="008A106B">
        <w:rPr>
          <w:lang w:val="es-ES_tradnl"/>
        </w:rPr>
        <w:t xml:space="preserve"> veces mayores con 8 mg/kg que con 4 mg/kg, respectivamente.</w:t>
      </w:r>
    </w:p>
    <w:p w14:paraId="645C8A09" w14:textId="77777777" w:rsidR="00DC224A" w:rsidRDefault="00DC224A" w:rsidP="00DC224A">
      <w:pPr>
        <w:ind w:left="567" w:hanging="567"/>
        <w:outlineLvl w:val="0"/>
        <w:rPr>
          <w:iCs/>
          <w:u w:val="single"/>
          <w:lang w:val="es-ES_tradnl"/>
        </w:rPr>
      </w:pPr>
    </w:p>
    <w:p w14:paraId="4D28672A" w14:textId="77777777" w:rsidR="00DC224A" w:rsidRPr="00F30AB8" w:rsidRDefault="00DC224A" w:rsidP="00DC224A">
      <w:pPr>
        <w:ind w:left="567" w:hanging="567"/>
        <w:outlineLvl w:val="0"/>
        <w:rPr>
          <w:i/>
          <w:iCs/>
          <w:u w:val="single"/>
          <w:lang w:val="es-ES_tradnl"/>
        </w:rPr>
      </w:pPr>
      <w:r w:rsidRPr="00F30AB8">
        <w:rPr>
          <w:i/>
          <w:iCs/>
          <w:u w:val="single"/>
          <w:lang w:val="es-ES_tradnl"/>
        </w:rPr>
        <w:t>Uso subcutáneo</w:t>
      </w:r>
    </w:p>
    <w:p w14:paraId="220AA5AE" w14:textId="47D8098A" w:rsidR="00DC224A" w:rsidRDefault="00DC224A" w:rsidP="00DC224A">
      <w:pPr>
        <w:outlineLvl w:val="0"/>
        <w:rPr>
          <w:iCs/>
          <w:lang w:val="es-ES_tradnl"/>
        </w:rPr>
      </w:pPr>
      <w:r>
        <w:rPr>
          <w:iCs/>
          <w:lang w:val="es-ES_tradnl"/>
        </w:rPr>
        <w:t xml:space="preserve">La farmacocinética de </w:t>
      </w:r>
      <w:r w:rsidR="00D03AFE" w:rsidRPr="00F30AB8">
        <w:rPr>
          <w:iCs/>
          <w:szCs w:val="22"/>
          <w:lang w:val="es-ES"/>
        </w:rPr>
        <w:t>tocilizumab</w:t>
      </w:r>
      <w:r w:rsidRPr="006868F5">
        <w:rPr>
          <w:iCs/>
          <w:szCs w:val="22"/>
          <w:lang w:val="es-ES"/>
        </w:rPr>
        <w:t xml:space="preserve"> </w:t>
      </w:r>
      <w:r>
        <w:rPr>
          <w:iCs/>
          <w:lang w:val="es-ES_tradnl"/>
        </w:rPr>
        <w:t>se determinó usando un análisis farmacocinético poblacional de una base de datos compuesta de 3.552</w:t>
      </w:r>
      <w:r w:rsidR="00031422" w:rsidRPr="00F30AB8">
        <w:rPr>
          <w:rFonts w:eastAsia="SimSun"/>
          <w:b/>
          <w:szCs w:val="22"/>
          <w:lang w:val="es-ES" w:eastAsia="zh-CN"/>
        </w:rPr>
        <w:t> </w:t>
      </w:r>
      <w:r>
        <w:rPr>
          <w:iCs/>
          <w:lang w:val="es-ES_tradnl"/>
        </w:rPr>
        <w:t>pacientes con AR tratados con 162</w:t>
      </w:r>
      <w:r w:rsidR="00031422" w:rsidRPr="00F30AB8">
        <w:rPr>
          <w:rFonts w:eastAsia="SimSun"/>
          <w:b/>
          <w:szCs w:val="22"/>
          <w:lang w:val="es-ES" w:eastAsia="zh-CN"/>
        </w:rPr>
        <w:t> </w:t>
      </w:r>
      <w:r>
        <w:rPr>
          <w:iCs/>
          <w:lang w:val="es-ES_tradnl"/>
        </w:rPr>
        <w:t>mg vía subcutánea cada semana, 162</w:t>
      </w:r>
      <w:r w:rsidR="00031422" w:rsidRPr="00F30AB8">
        <w:rPr>
          <w:rFonts w:eastAsia="SimSun"/>
          <w:b/>
          <w:szCs w:val="22"/>
          <w:lang w:val="es-ES" w:eastAsia="zh-CN"/>
        </w:rPr>
        <w:t> </w:t>
      </w:r>
      <w:r>
        <w:rPr>
          <w:iCs/>
          <w:lang w:val="es-ES_tradnl"/>
        </w:rPr>
        <w:t>mg vía subcutánea cada dos semanas, y ó 4 u 8 mg/kg vía intravenosa cada 4 semanas durante 24</w:t>
      </w:r>
      <w:r w:rsidR="00031422" w:rsidRPr="00F30AB8">
        <w:rPr>
          <w:rFonts w:eastAsia="SimSun"/>
          <w:b/>
          <w:szCs w:val="22"/>
          <w:lang w:val="es-ES" w:eastAsia="zh-CN"/>
        </w:rPr>
        <w:t> </w:t>
      </w:r>
      <w:r>
        <w:rPr>
          <w:iCs/>
          <w:lang w:val="es-ES_tradnl"/>
        </w:rPr>
        <w:t>semanas.</w:t>
      </w:r>
    </w:p>
    <w:p w14:paraId="0D82BB83" w14:textId="77777777" w:rsidR="00DC224A" w:rsidRDefault="00DC224A" w:rsidP="00DC224A">
      <w:pPr>
        <w:ind w:left="567" w:hanging="567"/>
        <w:outlineLvl w:val="0"/>
        <w:rPr>
          <w:iCs/>
          <w:lang w:val="es-ES_tradnl"/>
        </w:rPr>
      </w:pPr>
    </w:p>
    <w:p w14:paraId="6B604603" w14:textId="7DFB09AB" w:rsidR="00DC224A" w:rsidRPr="00286CDE" w:rsidRDefault="00DC224A" w:rsidP="00DC224A">
      <w:pPr>
        <w:outlineLvl w:val="0"/>
        <w:rPr>
          <w:lang w:val="es-ES_tradnl"/>
        </w:rPr>
      </w:pPr>
      <w:r>
        <w:rPr>
          <w:iCs/>
          <w:lang w:val="es-ES_tradnl"/>
        </w:rPr>
        <w:lastRenderedPageBreak/>
        <w:t xml:space="preserve">Los parámetros farmacocinéticos de </w:t>
      </w:r>
      <w:r w:rsidR="00D03AFE" w:rsidRPr="00F30AB8">
        <w:rPr>
          <w:iCs/>
          <w:szCs w:val="22"/>
          <w:lang w:val="es-ES"/>
        </w:rPr>
        <w:t>tocilizumab</w:t>
      </w:r>
      <w:r w:rsidRPr="006868F5">
        <w:rPr>
          <w:iCs/>
          <w:szCs w:val="22"/>
          <w:lang w:val="es-ES"/>
        </w:rPr>
        <w:t xml:space="preserve"> </w:t>
      </w:r>
      <w:r>
        <w:rPr>
          <w:iCs/>
          <w:lang w:val="es-ES_tradnl"/>
        </w:rPr>
        <w:t xml:space="preserve">no cambiaron con el tiempo. Para la dosis de 162 mg cada semana, </w:t>
      </w:r>
      <w:r>
        <w:rPr>
          <w:lang w:val="es-ES_tradnl"/>
        </w:rPr>
        <w:t>l</w:t>
      </w:r>
      <w:r w:rsidRPr="008A106B">
        <w:rPr>
          <w:lang w:val="es-ES_tradnl"/>
        </w:rPr>
        <w:t>os valores medios previstos (</w:t>
      </w:r>
      <w:r w:rsidRPr="008A106B">
        <w:rPr>
          <w:lang w:val="es-ES_tradnl"/>
        </w:rPr>
        <w:sym w:font="Symbol" w:char="F0B1"/>
      </w:r>
      <w:r w:rsidRPr="008A106B">
        <w:rPr>
          <w:lang w:val="es-ES_tradnl"/>
        </w:rPr>
        <w:t>DE) en</w:t>
      </w:r>
      <w:r>
        <w:rPr>
          <w:lang w:val="es-ES_tradnl"/>
        </w:rPr>
        <w:t xml:space="preserve"> </w:t>
      </w:r>
      <w:r w:rsidRPr="008A106B">
        <w:rPr>
          <w:lang w:val="es-ES_tradnl"/>
        </w:rPr>
        <w:t>equilibrio</w:t>
      </w:r>
      <w:r>
        <w:rPr>
          <w:lang w:val="es-ES_tradnl"/>
        </w:rPr>
        <w:t xml:space="preserve">, del </w:t>
      </w:r>
      <w:r w:rsidRPr="008A106B">
        <w:rPr>
          <w:lang w:val="es-ES_tradnl"/>
        </w:rPr>
        <w:t>área bajo la curva AUC</w:t>
      </w:r>
      <w:r>
        <w:rPr>
          <w:lang w:val="es-ES_tradnl"/>
        </w:rPr>
        <w:t xml:space="preserve"> semana 1, </w:t>
      </w:r>
      <w:r w:rsidRPr="008A106B">
        <w:rPr>
          <w:lang w:val="es-ES_tradnl"/>
        </w:rPr>
        <w:t>C</w:t>
      </w:r>
      <w:r w:rsidRPr="008A106B">
        <w:rPr>
          <w:vertAlign w:val="subscript"/>
          <w:lang w:val="es-ES_tradnl"/>
        </w:rPr>
        <w:t>min</w:t>
      </w:r>
      <w:r>
        <w:rPr>
          <w:vertAlign w:val="subscript"/>
          <w:lang w:val="es-ES_tradnl"/>
        </w:rPr>
        <w:t xml:space="preserve"> </w:t>
      </w:r>
      <w:r w:rsidRPr="008A106B">
        <w:rPr>
          <w:lang w:val="es-ES_tradnl"/>
        </w:rPr>
        <w:t>y C</w:t>
      </w:r>
      <w:r w:rsidRPr="008A106B">
        <w:rPr>
          <w:vertAlign w:val="subscript"/>
          <w:lang w:val="es-ES_tradnl"/>
        </w:rPr>
        <w:t>max</w:t>
      </w:r>
      <w:r>
        <w:rPr>
          <w:vertAlign w:val="subscript"/>
          <w:lang w:val="es-ES_tradnl"/>
        </w:rPr>
        <w:t xml:space="preserve"> </w:t>
      </w:r>
      <w:r w:rsidRPr="00933A32">
        <w:rPr>
          <w:lang w:val="es-ES_tradnl"/>
        </w:rPr>
        <w:t xml:space="preserve">de </w:t>
      </w:r>
      <w:r w:rsidR="00D03AFE" w:rsidRPr="00F30AB8">
        <w:rPr>
          <w:iCs/>
          <w:szCs w:val="22"/>
          <w:lang w:val="es-ES"/>
        </w:rPr>
        <w:t>tocilizumab</w:t>
      </w:r>
      <w:r w:rsidRPr="006868F5">
        <w:rPr>
          <w:iCs/>
          <w:szCs w:val="22"/>
          <w:lang w:val="es-ES"/>
        </w:rPr>
        <w:t xml:space="preserve"> </w:t>
      </w:r>
      <w:r>
        <w:rPr>
          <w:lang w:val="es-ES_tradnl"/>
        </w:rPr>
        <w:t xml:space="preserve">fueron </w:t>
      </w:r>
      <w:r>
        <w:rPr>
          <w:lang w:val="es-ES"/>
        </w:rPr>
        <w:t>7.970 </w:t>
      </w:r>
      <w:r w:rsidRPr="00933A32">
        <w:rPr>
          <w:lang w:val="es-ES"/>
        </w:rPr>
        <w:t xml:space="preserve"> </w:t>
      </w:r>
      <w:r w:rsidRPr="00286CDE">
        <w:rPr>
          <w:lang w:val="es-ES"/>
        </w:rPr>
        <w:t>± 3</w:t>
      </w:r>
      <w:r>
        <w:rPr>
          <w:lang w:val="es-ES"/>
        </w:rPr>
        <w:t>.432 </w:t>
      </w:r>
      <w:r w:rsidRPr="00286CDE">
        <w:rPr>
          <w:lang w:val="es-ES"/>
        </w:rPr>
        <w:t xml:space="preserve"> </w:t>
      </w:r>
      <w:r w:rsidRPr="006868F5">
        <w:rPr>
          <w:iCs/>
          <w:szCs w:val="22"/>
          <w:lang w:val="es-ES"/>
        </w:rPr>
        <w:t>µg</w:t>
      </w:r>
      <w:ins w:id="2058" w:author="AUTHOR">
        <w:r w:rsidR="00925EFA" w:rsidRPr="00467FFD">
          <w:rPr>
            <w:szCs w:val="22"/>
            <w:lang w:val="es-ES"/>
            <w:rPrChange w:id="2059" w:author="AUTHOR">
              <w:rPr>
                <w:szCs w:val="22"/>
              </w:rPr>
            </w:rPrChange>
          </w:rPr>
          <w:t>×</w:t>
        </w:r>
      </w:ins>
      <w:del w:id="2060" w:author="AUTHOR">
        <w:r w:rsidRPr="00286CDE" w:rsidDel="00925EFA">
          <w:rPr>
            <w:lang w:val="es-ES"/>
          </w:rPr>
          <w:delText>•</w:delText>
        </w:r>
      </w:del>
      <w:r w:rsidRPr="00286CDE">
        <w:rPr>
          <w:lang w:val="es-ES"/>
        </w:rPr>
        <w:t>h/m</w:t>
      </w:r>
      <w:r>
        <w:rPr>
          <w:lang w:val="es-ES"/>
        </w:rPr>
        <w:t>l</w:t>
      </w:r>
      <w:r w:rsidRPr="00286CDE">
        <w:rPr>
          <w:lang w:val="es-ES"/>
        </w:rPr>
        <w:t xml:space="preserve">, </w:t>
      </w:r>
      <w:r>
        <w:rPr>
          <w:lang w:val="es-ES"/>
        </w:rPr>
        <w:t>43,0 </w:t>
      </w:r>
      <w:r w:rsidRPr="00286CDE">
        <w:rPr>
          <w:lang w:val="es-ES"/>
        </w:rPr>
        <w:t xml:space="preserve">± </w:t>
      </w:r>
      <w:r>
        <w:rPr>
          <w:lang w:val="es-ES"/>
        </w:rPr>
        <w:t>19,8 </w:t>
      </w:r>
      <w:r w:rsidRPr="006868F5">
        <w:rPr>
          <w:iCs/>
          <w:szCs w:val="22"/>
          <w:lang w:val="es-ES"/>
        </w:rPr>
        <w:t>µg</w:t>
      </w:r>
      <w:r w:rsidRPr="00286CDE">
        <w:rPr>
          <w:lang w:val="es-ES"/>
        </w:rPr>
        <w:t>/m</w:t>
      </w:r>
      <w:r>
        <w:rPr>
          <w:lang w:val="es-ES"/>
        </w:rPr>
        <w:t>l</w:t>
      </w:r>
      <w:r w:rsidRPr="00286CDE">
        <w:rPr>
          <w:lang w:val="es-ES"/>
        </w:rPr>
        <w:t xml:space="preserve">, y </w:t>
      </w:r>
      <w:r>
        <w:rPr>
          <w:lang w:val="es-ES"/>
        </w:rPr>
        <w:t>49,8 </w:t>
      </w:r>
      <w:r w:rsidRPr="00286CDE">
        <w:rPr>
          <w:lang w:val="es-ES"/>
        </w:rPr>
        <w:t>± 21,</w:t>
      </w:r>
      <w:r>
        <w:rPr>
          <w:lang w:val="es-ES"/>
        </w:rPr>
        <w:t>0 </w:t>
      </w:r>
      <w:r w:rsidRPr="006868F5">
        <w:rPr>
          <w:iCs/>
          <w:szCs w:val="22"/>
          <w:lang w:val="es-ES"/>
        </w:rPr>
        <w:t>µg</w:t>
      </w:r>
      <w:r w:rsidRPr="00286CDE">
        <w:rPr>
          <w:lang w:val="es-ES"/>
        </w:rPr>
        <w:t>/m</w:t>
      </w:r>
      <w:r>
        <w:rPr>
          <w:lang w:val="es-ES"/>
        </w:rPr>
        <w:t>l</w:t>
      </w:r>
      <w:r w:rsidRPr="00286CDE">
        <w:rPr>
          <w:lang w:val="es-ES"/>
        </w:rPr>
        <w:t xml:space="preserve">, respectivamente. </w:t>
      </w:r>
      <w:r>
        <w:rPr>
          <w:lang w:val="es-ES"/>
        </w:rPr>
        <w:t xml:space="preserve">El cociente de acumulación para AUC, </w:t>
      </w:r>
      <w:r w:rsidRPr="00286CDE">
        <w:rPr>
          <w:lang w:val="es-ES"/>
        </w:rPr>
        <w:t>C</w:t>
      </w:r>
      <w:r w:rsidRPr="00286CDE">
        <w:rPr>
          <w:vertAlign w:val="subscript"/>
          <w:lang w:val="es-ES"/>
        </w:rPr>
        <w:t>min</w:t>
      </w:r>
      <w:r w:rsidRPr="00286CDE">
        <w:rPr>
          <w:lang w:val="es-ES"/>
        </w:rPr>
        <w:t>, y C</w:t>
      </w:r>
      <w:r w:rsidRPr="00286CDE">
        <w:rPr>
          <w:vertAlign w:val="subscript"/>
          <w:lang w:val="es-ES"/>
        </w:rPr>
        <w:t>max</w:t>
      </w:r>
      <w:r w:rsidRPr="00286CDE">
        <w:rPr>
          <w:lang w:val="es-ES"/>
        </w:rPr>
        <w:t xml:space="preserve"> fueron 6</w:t>
      </w:r>
      <w:r>
        <w:rPr>
          <w:lang w:val="es-ES"/>
        </w:rPr>
        <w:t xml:space="preserve">,32; 6,30; 5,27, respectivamente. </w:t>
      </w:r>
      <w:r w:rsidRPr="00933A32">
        <w:rPr>
          <w:lang w:val="es-ES"/>
        </w:rPr>
        <w:t>El estado estacionario se alcanzó después de 12</w:t>
      </w:r>
      <w:r w:rsidR="00031422" w:rsidRPr="00F30AB8">
        <w:rPr>
          <w:rFonts w:eastAsia="SimSun"/>
          <w:b/>
          <w:szCs w:val="22"/>
          <w:lang w:val="es-ES" w:eastAsia="zh-CN"/>
        </w:rPr>
        <w:t> </w:t>
      </w:r>
      <w:r w:rsidRPr="00933A32">
        <w:rPr>
          <w:lang w:val="es-ES"/>
        </w:rPr>
        <w:t xml:space="preserve">semanas para AUC, </w:t>
      </w:r>
      <w:r w:rsidRPr="00286CDE">
        <w:rPr>
          <w:lang w:val="es-ES"/>
        </w:rPr>
        <w:t>C</w:t>
      </w:r>
      <w:r w:rsidRPr="00286CDE">
        <w:rPr>
          <w:vertAlign w:val="subscript"/>
          <w:lang w:val="es-ES"/>
        </w:rPr>
        <w:t>min</w:t>
      </w:r>
      <w:r w:rsidRPr="00286CDE">
        <w:rPr>
          <w:lang w:val="es-ES"/>
        </w:rPr>
        <w:t xml:space="preserve"> y C</w:t>
      </w:r>
      <w:r w:rsidRPr="00286CDE">
        <w:rPr>
          <w:vertAlign w:val="subscript"/>
          <w:lang w:val="es-ES"/>
        </w:rPr>
        <w:t>max</w:t>
      </w:r>
      <w:r w:rsidRPr="00933A32">
        <w:rPr>
          <w:lang w:val="es-ES"/>
        </w:rPr>
        <w:t>.</w:t>
      </w:r>
    </w:p>
    <w:p w14:paraId="676ACE7C" w14:textId="77777777" w:rsidR="00DC224A" w:rsidRPr="00D37773" w:rsidRDefault="00DC224A" w:rsidP="00DC224A">
      <w:pPr>
        <w:ind w:left="567" w:hanging="567"/>
        <w:outlineLvl w:val="0"/>
        <w:rPr>
          <w:lang w:val="es-ES_tradnl"/>
        </w:rPr>
      </w:pPr>
    </w:p>
    <w:p w14:paraId="07804C62" w14:textId="59E669A9" w:rsidR="00DC224A" w:rsidRPr="00D56944" w:rsidRDefault="00DC224A" w:rsidP="00DC224A">
      <w:pPr>
        <w:outlineLvl w:val="0"/>
        <w:rPr>
          <w:lang w:val="es-ES_tradnl"/>
        </w:rPr>
      </w:pPr>
      <w:r>
        <w:rPr>
          <w:iCs/>
          <w:lang w:val="es-ES"/>
        </w:rPr>
        <w:t>Para la dosis de 162</w:t>
      </w:r>
      <w:r w:rsidR="00D03AFE">
        <w:rPr>
          <w:iCs/>
          <w:lang w:val="es-ES"/>
        </w:rPr>
        <w:t xml:space="preserve"> mg</w:t>
      </w:r>
      <w:r>
        <w:rPr>
          <w:iCs/>
          <w:lang w:val="es-ES"/>
        </w:rPr>
        <w:t xml:space="preserve"> cada dos semanas, </w:t>
      </w:r>
      <w:r>
        <w:rPr>
          <w:lang w:val="es-ES_tradnl"/>
        </w:rPr>
        <w:t>l</w:t>
      </w:r>
      <w:r w:rsidRPr="008A106B">
        <w:rPr>
          <w:lang w:val="es-ES_tradnl"/>
        </w:rPr>
        <w:t>os valores medios previstos (</w:t>
      </w:r>
      <w:r w:rsidRPr="008A106B">
        <w:rPr>
          <w:lang w:val="es-ES_tradnl"/>
        </w:rPr>
        <w:sym w:font="Symbol" w:char="F0B1"/>
      </w:r>
      <w:r>
        <w:rPr>
          <w:lang w:val="es-ES_tradnl"/>
        </w:rPr>
        <w:t xml:space="preserve"> DE) en </w:t>
      </w:r>
      <w:r w:rsidRPr="008A106B">
        <w:rPr>
          <w:lang w:val="es-ES_tradnl"/>
        </w:rPr>
        <w:t>equilibrio</w:t>
      </w:r>
      <w:r>
        <w:rPr>
          <w:lang w:val="es-ES_tradnl"/>
        </w:rPr>
        <w:t xml:space="preserve">, del </w:t>
      </w:r>
      <w:r w:rsidRPr="008A106B">
        <w:rPr>
          <w:lang w:val="es-ES_tradnl"/>
        </w:rPr>
        <w:t>área</w:t>
      </w:r>
      <w:r>
        <w:rPr>
          <w:lang w:val="es-ES_tradnl"/>
        </w:rPr>
        <w:t xml:space="preserve"> </w:t>
      </w:r>
      <w:r w:rsidRPr="008A106B">
        <w:rPr>
          <w:lang w:val="es-ES_tradnl"/>
        </w:rPr>
        <w:t>bajo la curva AUC</w:t>
      </w:r>
      <w:r>
        <w:rPr>
          <w:lang w:val="es-ES_tradnl"/>
        </w:rPr>
        <w:t xml:space="preserve">semana 2, </w:t>
      </w:r>
      <w:r w:rsidRPr="008A106B">
        <w:rPr>
          <w:lang w:val="es-ES_tradnl"/>
        </w:rPr>
        <w:t>C</w:t>
      </w:r>
      <w:r w:rsidRPr="008A106B">
        <w:rPr>
          <w:vertAlign w:val="subscript"/>
          <w:lang w:val="es-ES_tradnl"/>
        </w:rPr>
        <w:t>min</w:t>
      </w:r>
      <w:r>
        <w:rPr>
          <w:vertAlign w:val="subscript"/>
          <w:lang w:val="es-ES_tradnl"/>
        </w:rPr>
        <w:t xml:space="preserve"> </w:t>
      </w:r>
      <w:r w:rsidRPr="008A106B">
        <w:rPr>
          <w:lang w:val="es-ES_tradnl"/>
        </w:rPr>
        <w:t>y C</w:t>
      </w:r>
      <w:r w:rsidRPr="008A106B">
        <w:rPr>
          <w:vertAlign w:val="subscript"/>
          <w:lang w:val="es-ES_tradnl"/>
        </w:rPr>
        <w:t>max</w:t>
      </w:r>
      <w:r>
        <w:rPr>
          <w:vertAlign w:val="subscript"/>
          <w:lang w:val="es-ES_tradnl"/>
        </w:rPr>
        <w:t xml:space="preserve"> </w:t>
      </w:r>
      <w:r w:rsidRPr="002D4EC8">
        <w:rPr>
          <w:lang w:val="es-ES_tradnl"/>
        </w:rPr>
        <w:t xml:space="preserve">de </w:t>
      </w:r>
      <w:r w:rsidR="00D03AFE" w:rsidRPr="00F30AB8">
        <w:rPr>
          <w:iCs/>
          <w:szCs w:val="22"/>
          <w:lang w:val="es-ES"/>
        </w:rPr>
        <w:t>tocilizumab</w:t>
      </w:r>
      <w:r w:rsidRPr="006868F5">
        <w:rPr>
          <w:iCs/>
          <w:szCs w:val="22"/>
          <w:lang w:val="es-ES"/>
        </w:rPr>
        <w:t xml:space="preserve"> </w:t>
      </w:r>
      <w:r>
        <w:rPr>
          <w:lang w:val="es-ES_tradnl"/>
        </w:rPr>
        <w:t xml:space="preserve">fueron </w:t>
      </w:r>
      <w:r w:rsidRPr="00286CDE">
        <w:rPr>
          <w:lang w:val="es-ES_tradnl"/>
        </w:rPr>
        <w:t>3</w:t>
      </w:r>
      <w:r>
        <w:rPr>
          <w:lang w:val="es-ES_tradnl"/>
        </w:rPr>
        <w:t>.430 </w:t>
      </w:r>
      <w:r w:rsidRPr="00286CDE">
        <w:rPr>
          <w:lang w:val="es-ES_tradnl"/>
        </w:rPr>
        <w:t>± 2</w:t>
      </w:r>
      <w:r>
        <w:rPr>
          <w:lang w:val="es-ES_tradnl"/>
        </w:rPr>
        <w:t>.660 </w:t>
      </w:r>
      <w:r w:rsidRPr="006868F5">
        <w:rPr>
          <w:iCs/>
          <w:szCs w:val="22"/>
          <w:lang w:val="es-ES"/>
        </w:rPr>
        <w:t>µg</w:t>
      </w:r>
      <w:ins w:id="2061" w:author="AUTHOR">
        <w:r w:rsidR="00925EFA" w:rsidRPr="00467FFD">
          <w:rPr>
            <w:szCs w:val="22"/>
            <w:lang w:val="es-ES"/>
            <w:rPrChange w:id="2062" w:author="AUTHOR">
              <w:rPr>
                <w:szCs w:val="22"/>
              </w:rPr>
            </w:rPrChange>
          </w:rPr>
          <w:t>×</w:t>
        </w:r>
      </w:ins>
      <w:del w:id="2063" w:author="AUTHOR">
        <w:r w:rsidRPr="00286CDE" w:rsidDel="00925EFA">
          <w:rPr>
            <w:lang w:val="es-ES_tradnl"/>
          </w:rPr>
          <w:delText>•</w:delText>
        </w:r>
      </w:del>
      <w:r w:rsidRPr="00286CDE">
        <w:rPr>
          <w:lang w:val="es-ES_tradnl"/>
        </w:rPr>
        <w:t>h/m</w:t>
      </w:r>
      <w:r>
        <w:rPr>
          <w:lang w:val="es-ES_tradnl"/>
        </w:rPr>
        <w:t>l</w:t>
      </w:r>
      <w:r w:rsidRPr="00286CDE">
        <w:rPr>
          <w:lang w:val="es-ES_tradnl"/>
        </w:rPr>
        <w:t>, 5</w:t>
      </w:r>
      <w:r>
        <w:rPr>
          <w:lang w:val="es-ES_tradnl"/>
        </w:rPr>
        <w:t>,7 </w:t>
      </w:r>
      <w:r w:rsidRPr="00286CDE">
        <w:rPr>
          <w:lang w:val="es-ES_tradnl"/>
        </w:rPr>
        <w:t>±</w:t>
      </w:r>
      <w:r>
        <w:rPr>
          <w:lang w:val="es-ES_tradnl"/>
        </w:rPr>
        <w:t>6,8 </w:t>
      </w:r>
      <w:r w:rsidRPr="006868F5">
        <w:rPr>
          <w:iCs/>
          <w:szCs w:val="22"/>
          <w:lang w:val="es-ES"/>
        </w:rPr>
        <w:t>µg</w:t>
      </w:r>
      <w:r w:rsidRPr="00286CDE">
        <w:rPr>
          <w:lang w:val="es-ES_tradnl"/>
        </w:rPr>
        <w:t>/m</w:t>
      </w:r>
      <w:r>
        <w:rPr>
          <w:lang w:val="es-ES_tradnl"/>
        </w:rPr>
        <w:t>l</w:t>
      </w:r>
      <w:r w:rsidRPr="00286CDE">
        <w:rPr>
          <w:lang w:val="es-ES_tradnl"/>
        </w:rPr>
        <w:t xml:space="preserve">, </w:t>
      </w:r>
      <w:r>
        <w:rPr>
          <w:lang w:val="es-ES_tradnl"/>
        </w:rPr>
        <w:t xml:space="preserve">y </w:t>
      </w:r>
      <w:r w:rsidRPr="00286CDE">
        <w:rPr>
          <w:lang w:val="es-ES_tradnl"/>
        </w:rPr>
        <w:t>1</w:t>
      </w:r>
      <w:r>
        <w:rPr>
          <w:lang w:val="es-ES_tradnl"/>
        </w:rPr>
        <w:t>3,2 </w:t>
      </w:r>
      <w:r w:rsidRPr="00286CDE">
        <w:rPr>
          <w:lang w:val="es-ES_tradnl"/>
        </w:rPr>
        <w:t>± 8</w:t>
      </w:r>
      <w:r>
        <w:rPr>
          <w:lang w:val="es-ES_tradnl"/>
        </w:rPr>
        <w:t>,8 </w:t>
      </w:r>
      <w:r w:rsidRPr="006868F5">
        <w:rPr>
          <w:iCs/>
          <w:szCs w:val="22"/>
          <w:lang w:val="es-ES"/>
        </w:rPr>
        <w:t>µg</w:t>
      </w:r>
      <w:r w:rsidRPr="00286CDE">
        <w:rPr>
          <w:lang w:val="es-ES_tradnl"/>
        </w:rPr>
        <w:t>/m</w:t>
      </w:r>
      <w:r>
        <w:rPr>
          <w:lang w:val="es-ES_tradnl"/>
        </w:rPr>
        <w:t>l respectivamente.</w:t>
      </w:r>
      <w:r w:rsidRPr="003944CC">
        <w:rPr>
          <w:lang w:val="es-ES_tradnl"/>
        </w:rPr>
        <w:t xml:space="preserve"> </w:t>
      </w:r>
      <w:r>
        <w:rPr>
          <w:lang w:val="es-ES_tradnl"/>
        </w:rPr>
        <w:t xml:space="preserve">El cociente </w:t>
      </w:r>
      <w:r w:rsidRPr="002D4EC8">
        <w:rPr>
          <w:lang w:val="es-ES_tradnl"/>
        </w:rPr>
        <w:t>de acumulación para AUC</w:t>
      </w:r>
      <w:r>
        <w:rPr>
          <w:lang w:val="es-ES_tradnl"/>
        </w:rPr>
        <w:t xml:space="preserve">, </w:t>
      </w:r>
      <w:r w:rsidRPr="008A106B">
        <w:rPr>
          <w:lang w:val="es-ES_tradnl"/>
        </w:rPr>
        <w:t>C</w:t>
      </w:r>
      <w:r w:rsidRPr="008A106B">
        <w:rPr>
          <w:vertAlign w:val="subscript"/>
          <w:lang w:val="es-ES_tradnl"/>
        </w:rPr>
        <w:t>min</w:t>
      </w:r>
      <w:r>
        <w:rPr>
          <w:lang w:val="es-ES_tradnl"/>
        </w:rPr>
        <w:t xml:space="preserve"> y </w:t>
      </w:r>
      <w:r w:rsidRPr="008A106B">
        <w:rPr>
          <w:lang w:val="es-ES_tradnl"/>
        </w:rPr>
        <w:t>C</w:t>
      </w:r>
      <w:r w:rsidRPr="008A106B">
        <w:rPr>
          <w:vertAlign w:val="subscript"/>
          <w:lang w:val="es-ES_tradnl"/>
        </w:rPr>
        <w:t>max</w:t>
      </w:r>
      <w:r>
        <w:rPr>
          <w:lang w:val="es-ES_tradnl"/>
        </w:rPr>
        <w:t xml:space="preserve"> fueron</w:t>
      </w:r>
      <w:r w:rsidRPr="00D56944">
        <w:rPr>
          <w:lang w:val="es-ES"/>
        </w:rPr>
        <w:t xml:space="preserve"> 2</w:t>
      </w:r>
      <w:r>
        <w:rPr>
          <w:lang w:val="es-ES"/>
        </w:rPr>
        <w:t>,67;</w:t>
      </w:r>
      <w:r w:rsidRPr="00D56944">
        <w:rPr>
          <w:lang w:val="es-ES"/>
        </w:rPr>
        <w:t xml:space="preserve"> </w:t>
      </w:r>
      <w:r>
        <w:rPr>
          <w:lang w:val="es-ES"/>
        </w:rPr>
        <w:t>6,02</w:t>
      </w:r>
      <w:r w:rsidRPr="00D56944">
        <w:rPr>
          <w:lang w:val="es-ES"/>
        </w:rPr>
        <w:t xml:space="preserve"> </w:t>
      </w:r>
      <w:r>
        <w:rPr>
          <w:lang w:val="es-ES"/>
        </w:rPr>
        <w:t xml:space="preserve">y </w:t>
      </w:r>
      <w:r w:rsidRPr="00D56944">
        <w:rPr>
          <w:lang w:val="es-ES"/>
        </w:rPr>
        <w:t>2</w:t>
      </w:r>
      <w:r>
        <w:rPr>
          <w:lang w:val="es-ES"/>
        </w:rPr>
        <w:t>,</w:t>
      </w:r>
      <w:r w:rsidRPr="00D56944">
        <w:rPr>
          <w:lang w:val="es-ES"/>
        </w:rPr>
        <w:t>12,</w:t>
      </w:r>
      <w:r>
        <w:rPr>
          <w:lang w:val="es-ES"/>
        </w:rPr>
        <w:t xml:space="preserve"> respectivamente.</w:t>
      </w:r>
      <w:r w:rsidRPr="003944CC">
        <w:rPr>
          <w:lang w:val="es-ES"/>
        </w:rPr>
        <w:t xml:space="preserve"> </w:t>
      </w:r>
      <w:r w:rsidRPr="002D4EC8">
        <w:rPr>
          <w:lang w:val="es-ES"/>
        </w:rPr>
        <w:t>El estado estacionario se alcanzó después de 12</w:t>
      </w:r>
      <w:r w:rsidR="00031422" w:rsidRPr="00F30AB8">
        <w:rPr>
          <w:rFonts w:eastAsia="SimSun"/>
          <w:b/>
          <w:szCs w:val="22"/>
          <w:lang w:val="es-ES" w:eastAsia="zh-CN"/>
        </w:rPr>
        <w:t> </w:t>
      </w:r>
      <w:r w:rsidRPr="002D4EC8">
        <w:rPr>
          <w:lang w:val="es-ES"/>
        </w:rPr>
        <w:t xml:space="preserve">semanas para </w:t>
      </w:r>
      <w:r>
        <w:rPr>
          <w:lang w:val="es-ES"/>
        </w:rPr>
        <w:t xml:space="preserve">AUC y </w:t>
      </w:r>
      <w:r w:rsidRPr="008A106B">
        <w:rPr>
          <w:lang w:val="es-ES_tradnl"/>
        </w:rPr>
        <w:t>C</w:t>
      </w:r>
      <w:r w:rsidRPr="008A106B">
        <w:rPr>
          <w:vertAlign w:val="subscript"/>
          <w:lang w:val="es-ES_tradnl"/>
        </w:rPr>
        <w:t>min</w:t>
      </w:r>
      <w:r>
        <w:rPr>
          <w:lang w:val="es-ES"/>
        </w:rPr>
        <w:t>, y después de 10</w:t>
      </w:r>
      <w:r w:rsidR="00031422" w:rsidRPr="00F30AB8">
        <w:rPr>
          <w:rFonts w:eastAsia="SimSun"/>
          <w:b/>
          <w:szCs w:val="22"/>
          <w:lang w:val="es-ES" w:eastAsia="zh-CN"/>
        </w:rPr>
        <w:t> </w:t>
      </w:r>
      <w:r>
        <w:rPr>
          <w:lang w:val="es-ES"/>
        </w:rPr>
        <w:t xml:space="preserve">semanas para </w:t>
      </w:r>
      <w:r w:rsidRPr="008A106B">
        <w:rPr>
          <w:lang w:val="es-ES_tradnl"/>
        </w:rPr>
        <w:t>C</w:t>
      </w:r>
      <w:r w:rsidRPr="008A106B">
        <w:rPr>
          <w:vertAlign w:val="subscript"/>
          <w:lang w:val="es-ES_tradnl"/>
        </w:rPr>
        <w:t>max</w:t>
      </w:r>
      <w:r>
        <w:rPr>
          <w:lang w:val="es-ES"/>
        </w:rPr>
        <w:t>.</w:t>
      </w:r>
    </w:p>
    <w:p w14:paraId="5FFEFD34" w14:textId="77777777" w:rsidR="00DC224A" w:rsidRPr="00286CDE" w:rsidRDefault="00DC224A" w:rsidP="00DC224A">
      <w:pPr>
        <w:ind w:left="567" w:hanging="567"/>
        <w:outlineLvl w:val="0"/>
        <w:rPr>
          <w:iCs/>
          <w:lang w:val="es-ES"/>
        </w:rPr>
      </w:pPr>
    </w:p>
    <w:p w14:paraId="5444972B" w14:textId="77777777" w:rsidR="00DC224A" w:rsidRPr="00F30AB8" w:rsidRDefault="00DC224A" w:rsidP="00DC224A">
      <w:pPr>
        <w:ind w:left="567" w:hanging="567"/>
        <w:outlineLvl w:val="0"/>
        <w:rPr>
          <w:i/>
          <w:iCs/>
          <w:u w:val="single"/>
          <w:lang w:val="es-ES_tradnl"/>
        </w:rPr>
      </w:pPr>
      <w:r w:rsidRPr="00F30AB8">
        <w:rPr>
          <w:i/>
          <w:iCs/>
          <w:u w:val="single"/>
          <w:lang w:val="es-ES_tradnl"/>
        </w:rPr>
        <w:t>Absorción</w:t>
      </w:r>
    </w:p>
    <w:p w14:paraId="6668404F" w14:textId="68C4D73B" w:rsidR="00DC224A" w:rsidRDefault="00DC224A" w:rsidP="00DC224A">
      <w:pPr>
        <w:outlineLvl w:val="0"/>
        <w:rPr>
          <w:iCs/>
          <w:lang w:val="es-ES_tradnl"/>
        </w:rPr>
      </w:pPr>
      <w:r>
        <w:rPr>
          <w:iCs/>
          <w:lang w:val="es-ES_tradnl"/>
        </w:rPr>
        <w:t xml:space="preserve">Después de la dosificación subcutánea en pacientes con AR, el tiempo para alcanzar las concentraciones séricas de </w:t>
      </w:r>
      <w:r w:rsidR="00D03AFE" w:rsidRPr="00F30AB8">
        <w:rPr>
          <w:iCs/>
          <w:szCs w:val="22"/>
          <w:lang w:val="es-ES"/>
        </w:rPr>
        <w:t>tocilizumab</w:t>
      </w:r>
      <w:r w:rsidRPr="006868F5">
        <w:rPr>
          <w:iCs/>
          <w:szCs w:val="22"/>
          <w:lang w:val="es-ES" w:eastAsia="de-DE"/>
        </w:rPr>
        <w:t xml:space="preserve"> </w:t>
      </w:r>
      <w:r w:rsidRPr="00286CDE">
        <w:rPr>
          <w:iCs/>
          <w:szCs w:val="22"/>
          <w:lang w:val="es-ES" w:eastAsia="de-DE"/>
        </w:rPr>
        <w:t>t</w:t>
      </w:r>
      <w:r w:rsidRPr="00286CDE">
        <w:rPr>
          <w:iCs/>
          <w:szCs w:val="22"/>
          <w:vertAlign w:val="subscript"/>
          <w:lang w:val="es-ES" w:eastAsia="de-DE"/>
        </w:rPr>
        <w:t xml:space="preserve">max </w:t>
      </w:r>
      <w:r>
        <w:rPr>
          <w:iCs/>
          <w:lang w:val="es-ES_tradnl"/>
        </w:rPr>
        <w:t>fue de 2,8</w:t>
      </w:r>
      <w:r w:rsidR="00031422" w:rsidRPr="00F30AB8">
        <w:rPr>
          <w:rFonts w:eastAsia="SimSun"/>
          <w:b/>
          <w:szCs w:val="22"/>
          <w:lang w:val="es-ES" w:eastAsia="zh-CN"/>
        </w:rPr>
        <w:t> </w:t>
      </w:r>
      <w:r>
        <w:rPr>
          <w:iCs/>
          <w:lang w:val="es-ES_tradnl"/>
        </w:rPr>
        <w:t>días. La biodisponibilidad para la formulación subcutánea fue 79 %.</w:t>
      </w:r>
    </w:p>
    <w:p w14:paraId="487801EC" w14:textId="77777777" w:rsidR="00DC224A" w:rsidRDefault="00DC224A" w:rsidP="00DC224A">
      <w:pPr>
        <w:ind w:left="567" w:hanging="567"/>
        <w:outlineLvl w:val="0"/>
        <w:rPr>
          <w:iCs/>
          <w:lang w:val="es-ES_tradnl"/>
        </w:rPr>
      </w:pPr>
    </w:p>
    <w:p w14:paraId="3EEE91CD" w14:textId="77777777" w:rsidR="00DC224A" w:rsidRPr="00F30AB8" w:rsidRDefault="00DC224A" w:rsidP="00DC224A">
      <w:pPr>
        <w:ind w:left="567" w:hanging="567"/>
        <w:outlineLvl w:val="0"/>
        <w:rPr>
          <w:i/>
          <w:iCs/>
          <w:u w:val="single"/>
          <w:lang w:val="es-ES_tradnl"/>
        </w:rPr>
      </w:pPr>
      <w:r w:rsidRPr="00F30AB8">
        <w:rPr>
          <w:i/>
          <w:iCs/>
          <w:u w:val="single"/>
          <w:lang w:val="es-ES_tradnl"/>
        </w:rPr>
        <w:t xml:space="preserve">Eliminación </w:t>
      </w:r>
    </w:p>
    <w:p w14:paraId="615C41DC" w14:textId="5375EAD6" w:rsidR="00DC224A" w:rsidRDefault="00DC224A" w:rsidP="00DC224A">
      <w:pPr>
        <w:outlineLvl w:val="0"/>
        <w:rPr>
          <w:ins w:id="2064" w:author="AUTHOR"/>
          <w:iCs/>
          <w:lang w:val="es-ES"/>
        </w:rPr>
      </w:pPr>
      <w:r>
        <w:rPr>
          <w:iCs/>
          <w:lang w:val="es-ES_tradnl"/>
        </w:rPr>
        <w:t>Para la administración subcutánea,</w:t>
      </w:r>
      <w:r w:rsidRPr="00625990">
        <w:rPr>
          <w:lang w:val="es-ES_tradnl"/>
        </w:rPr>
        <w:t xml:space="preserve"> </w:t>
      </w:r>
      <w:r>
        <w:rPr>
          <w:lang w:val="es-ES_tradnl"/>
        </w:rPr>
        <w:t>l</w:t>
      </w:r>
      <w:r w:rsidRPr="008A106B">
        <w:rPr>
          <w:lang w:val="es-ES_tradnl"/>
        </w:rPr>
        <w:t>a semivida (t</w:t>
      </w:r>
      <w:r w:rsidRPr="008A106B">
        <w:rPr>
          <w:vertAlign w:val="subscript"/>
          <w:lang w:val="es-ES_tradnl"/>
        </w:rPr>
        <w:t>1/2</w:t>
      </w:r>
      <w:r w:rsidRPr="008A106B">
        <w:rPr>
          <w:lang w:val="es-ES_tradnl"/>
        </w:rPr>
        <w:t>) de tocilizumab dependiente de la concentración</w:t>
      </w:r>
      <w:r>
        <w:rPr>
          <w:iCs/>
          <w:lang w:val="es-ES_tradnl"/>
        </w:rPr>
        <w:t xml:space="preserve"> aparente es de </w:t>
      </w:r>
      <w:r>
        <w:rPr>
          <w:iCs/>
          <w:lang w:val="es-ES"/>
        </w:rPr>
        <w:t xml:space="preserve">hasta </w:t>
      </w:r>
      <w:del w:id="2065" w:author="AUTHOR">
        <w:r w:rsidDel="00B707BE">
          <w:rPr>
            <w:iCs/>
            <w:lang w:val="es-ES"/>
          </w:rPr>
          <w:delText>12</w:delText>
        </w:r>
        <w:r w:rsidR="00031422" w:rsidRPr="00F30AB8" w:rsidDel="00B707BE">
          <w:rPr>
            <w:rFonts w:eastAsia="SimSun"/>
            <w:b/>
            <w:szCs w:val="22"/>
            <w:lang w:val="es-ES" w:eastAsia="zh-CN"/>
          </w:rPr>
          <w:delText> </w:delText>
        </w:r>
      </w:del>
      <w:ins w:id="2066" w:author="AUTHOR">
        <w:r w:rsidR="00B707BE">
          <w:rPr>
            <w:iCs/>
            <w:lang w:val="es-ES"/>
          </w:rPr>
          <w:t>13</w:t>
        </w:r>
        <w:r w:rsidR="00B707BE" w:rsidRPr="00F30AB8">
          <w:rPr>
            <w:rFonts w:eastAsia="SimSun"/>
            <w:b/>
            <w:szCs w:val="22"/>
            <w:lang w:val="es-ES" w:eastAsia="zh-CN"/>
          </w:rPr>
          <w:t> </w:t>
        </w:r>
      </w:ins>
      <w:r>
        <w:rPr>
          <w:iCs/>
          <w:lang w:val="es-ES"/>
        </w:rPr>
        <w:t>días para 162 mg cada semana y 5</w:t>
      </w:r>
      <w:r w:rsidR="00031422" w:rsidRPr="00F30AB8">
        <w:rPr>
          <w:rFonts w:eastAsia="SimSun"/>
          <w:b/>
          <w:szCs w:val="22"/>
          <w:lang w:val="es-ES" w:eastAsia="zh-CN"/>
        </w:rPr>
        <w:t> </w:t>
      </w:r>
      <w:r>
        <w:rPr>
          <w:iCs/>
          <w:lang w:val="es-ES"/>
        </w:rPr>
        <w:t>días para 162 mg cada dos semanas en pacientes con AR en el estado estacionario.</w:t>
      </w:r>
    </w:p>
    <w:p w14:paraId="0A63A3AB" w14:textId="77777777" w:rsidR="00411076" w:rsidRDefault="00411076" w:rsidP="00DC224A">
      <w:pPr>
        <w:outlineLvl w:val="0"/>
        <w:rPr>
          <w:iCs/>
          <w:lang w:val="es-ES"/>
        </w:rPr>
      </w:pPr>
    </w:p>
    <w:p w14:paraId="7930FEA0" w14:textId="77777777" w:rsidR="00411076" w:rsidRPr="00467FFD" w:rsidRDefault="00411076" w:rsidP="00411076">
      <w:pPr>
        <w:keepNext/>
        <w:keepLines/>
        <w:outlineLvl w:val="0"/>
        <w:rPr>
          <w:moveTo w:id="2067" w:author="AUTHOR"/>
          <w:iCs/>
          <w:u w:val="single"/>
          <w:lang w:val="es-ES"/>
          <w:rPrChange w:id="2068" w:author="AUTHOR">
            <w:rPr>
              <w:moveTo w:id="2069" w:author="AUTHOR"/>
              <w:i/>
              <w:lang w:val="es-ES"/>
            </w:rPr>
          </w:rPrChange>
        </w:rPr>
      </w:pPr>
      <w:moveToRangeStart w:id="2070" w:author="AUTHOR" w:name="move222228204"/>
      <w:moveTo w:id="2071" w:author="AUTHOR">
        <w:r w:rsidRPr="00467FFD">
          <w:rPr>
            <w:iCs/>
            <w:u w:val="single"/>
            <w:lang w:val="es-ES"/>
            <w:rPrChange w:id="2072" w:author="AUTHOR">
              <w:rPr>
                <w:i/>
                <w:lang w:val="es-ES"/>
              </w:rPr>
            </w:rPrChange>
          </w:rPr>
          <w:t>Uso subcutáneo</w:t>
        </w:r>
      </w:moveTo>
    </w:p>
    <w:moveToRangeEnd w:id="2070"/>
    <w:p w14:paraId="2B576D57" w14:textId="098814FA" w:rsidR="00DC224A" w:rsidDel="00411076" w:rsidRDefault="00DC224A" w:rsidP="00DC224A">
      <w:pPr>
        <w:outlineLvl w:val="0"/>
        <w:rPr>
          <w:del w:id="2073" w:author="AUTHOR"/>
          <w:iCs/>
          <w:lang w:val="es-ES"/>
        </w:rPr>
      </w:pPr>
    </w:p>
    <w:p w14:paraId="540A62F8" w14:textId="77777777" w:rsidR="00E610D8" w:rsidRPr="00467FFD" w:rsidRDefault="00D03AFE" w:rsidP="00F30AB8">
      <w:pPr>
        <w:keepNext/>
        <w:keepLines/>
        <w:outlineLvl w:val="0"/>
        <w:rPr>
          <w:i/>
          <w:lang w:val="es-ES"/>
          <w:rPrChange w:id="2074" w:author="AUTHOR">
            <w:rPr>
              <w:iCs/>
              <w:u w:val="single"/>
              <w:lang w:val="es-ES"/>
            </w:rPr>
          </w:rPrChange>
        </w:rPr>
      </w:pPr>
      <w:r w:rsidRPr="00467FFD">
        <w:rPr>
          <w:i/>
          <w:lang w:val="es-ES"/>
          <w:rPrChange w:id="2075" w:author="AUTHOR">
            <w:rPr>
              <w:iCs/>
              <w:u w:val="single"/>
              <w:lang w:val="es-ES"/>
            </w:rPr>
          </w:rPrChange>
        </w:rPr>
        <w:t xml:space="preserve">Pacientes con </w:t>
      </w:r>
      <w:r w:rsidR="00E610D8" w:rsidRPr="00467FFD">
        <w:rPr>
          <w:i/>
          <w:lang w:val="es-ES"/>
          <w:rPrChange w:id="2076" w:author="AUTHOR">
            <w:rPr>
              <w:iCs/>
              <w:u w:val="single"/>
              <w:lang w:val="es-ES"/>
            </w:rPr>
          </w:rPrChange>
        </w:rPr>
        <w:t>AIJs</w:t>
      </w:r>
    </w:p>
    <w:p w14:paraId="2D839F0F" w14:textId="637FB2C8" w:rsidR="00D03AFE" w:rsidDel="00411076" w:rsidRDefault="00D03AFE" w:rsidP="00F30AB8">
      <w:pPr>
        <w:keepNext/>
        <w:keepLines/>
        <w:outlineLvl w:val="0"/>
        <w:rPr>
          <w:del w:id="2077" w:author="AUTHOR"/>
          <w:iCs/>
          <w:u w:val="single"/>
          <w:lang w:val="es-ES"/>
        </w:rPr>
      </w:pPr>
    </w:p>
    <w:p w14:paraId="2D79C98F" w14:textId="3E1C2725" w:rsidR="00E610D8" w:rsidRPr="00F30AB8" w:rsidDel="00411076" w:rsidRDefault="00E610D8" w:rsidP="00F30AB8">
      <w:pPr>
        <w:keepNext/>
        <w:keepLines/>
        <w:outlineLvl w:val="0"/>
        <w:rPr>
          <w:moveFrom w:id="2078" w:author="AUTHOR"/>
          <w:i/>
          <w:lang w:val="es-ES"/>
        </w:rPr>
      </w:pPr>
      <w:moveFromRangeStart w:id="2079" w:author="AUTHOR" w:name="move222228204"/>
      <w:moveFrom w:id="2080" w:author="AUTHOR">
        <w:r w:rsidRPr="00F30AB8" w:rsidDel="00411076">
          <w:rPr>
            <w:i/>
            <w:lang w:val="es-ES"/>
          </w:rPr>
          <w:t>Uso subcutáneo</w:t>
        </w:r>
      </w:moveFrom>
    </w:p>
    <w:moveFromRangeEnd w:id="2079"/>
    <w:p w14:paraId="343634E3" w14:textId="425F0CB2" w:rsidR="00E610D8" w:rsidRDefault="00E610D8" w:rsidP="00E610D8">
      <w:pPr>
        <w:rPr>
          <w:rFonts w:eastAsia="SimSun"/>
          <w:lang w:val="es-ES" w:eastAsia="zh-CN"/>
        </w:rPr>
      </w:pPr>
      <w:r>
        <w:rPr>
          <w:rFonts w:eastAsia="SimSun"/>
          <w:lang w:val="es-ES" w:eastAsia="zh-CN"/>
        </w:rPr>
        <w:t xml:space="preserve">En pacientes con </w:t>
      </w:r>
      <w:r w:rsidRPr="00D367DE">
        <w:rPr>
          <w:rFonts w:eastAsia="SimSun"/>
          <w:lang w:val="es-ES" w:eastAsia="zh-CN"/>
        </w:rPr>
        <w:t>A</w:t>
      </w:r>
      <w:r>
        <w:rPr>
          <w:rFonts w:eastAsia="SimSun"/>
          <w:lang w:val="es-ES" w:eastAsia="zh-CN"/>
        </w:rPr>
        <w:t>IJs</w:t>
      </w:r>
      <w:r w:rsidRPr="00D367DE">
        <w:rPr>
          <w:rFonts w:eastAsia="SimSun"/>
          <w:lang w:val="es-ES" w:eastAsia="zh-CN"/>
        </w:rPr>
        <w:t xml:space="preserve"> </w:t>
      </w:r>
      <w:r>
        <w:rPr>
          <w:rFonts w:eastAsia="SimSun"/>
          <w:lang w:val="es-ES" w:eastAsia="zh-CN"/>
        </w:rPr>
        <w:t>l</w:t>
      </w:r>
      <w:r w:rsidRPr="00D367DE">
        <w:rPr>
          <w:rFonts w:eastAsia="SimSun"/>
          <w:lang w:val="es-ES" w:eastAsia="zh-CN"/>
        </w:rPr>
        <w:t>a farmacocinética d</w:t>
      </w:r>
      <w:r>
        <w:rPr>
          <w:rFonts w:eastAsia="SimSun"/>
          <w:lang w:val="es-ES" w:eastAsia="zh-CN"/>
        </w:rPr>
        <w:t xml:space="preserve">e </w:t>
      </w:r>
      <w:r w:rsidR="00E7158F" w:rsidRPr="00F30AB8">
        <w:rPr>
          <w:szCs w:val="22"/>
          <w:lang w:val="es-ES"/>
        </w:rPr>
        <w:t>tocilizumab</w:t>
      </w:r>
      <w:r>
        <w:rPr>
          <w:rFonts w:eastAsia="SimSun"/>
          <w:lang w:val="es-ES" w:eastAsia="zh-CN"/>
        </w:rPr>
        <w:t xml:space="preserve"> se caracterizó en</w:t>
      </w:r>
      <w:r w:rsidRPr="00D367DE">
        <w:rPr>
          <w:rFonts w:eastAsia="SimSun"/>
          <w:lang w:val="es-ES" w:eastAsia="zh-CN"/>
        </w:rPr>
        <w:t xml:space="preserve"> un análisis farmacociné</w:t>
      </w:r>
      <w:r>
        <w:rPr>
          <w:rFonts w:eastAsia="SimSun"/>
          <w:lang w:val="es-ES" w:eastAsia="zh-CN"/>
        </w:rPr>
        <w:t>tico poblacional que incluyó 140</w:t>
      </w:r>
      <w:r w:rsidR="00031422" w:rsidRPr="00F30AB8">
        <w:rPr>
          <w:rFonts w:eastAsia="SimSun"/>
          <w:b/>
          <w:szCs w:val="22"/>
          <w:lang w:val="es-ES" w:eastAsia="zh-CN"/>
        </w:rPr>
        <w:t> </w:t>
      </w:r>
      <w:r w:rsidRPr="00D367DE">
        <w:rPr>
          <w:rFonts w:eastAsia="SimSun"/>
          <w:lang w:val="es-ES" w:eastAsia="zh-CN"/>
        </w:rPr>
        <w:t>pacientes</w:t>
      </w:r>
      <w:r>
        <w:rPr>
          <w:rFonts w:eastAsia="SimSun"/>
          <w:lang w:val="es-ES" w:eastAsia="zh-CN"/>
        </w:rPr>
        <w:t xml:space="preserve"> que fueron tratados con una dosis de 8</w:t>
      </w:r>
      <w:r w:rsidR="00031422" w:rsidRPr="00F30AB8">
        <w:rPr>
          <w:rFonts w:eastAsia="SimSun"/>
          <w:b/>
          <w:szCs w:val="22"/>
          <w:lang w:val="es-ES" w:eastAsia="zh-CN"/>
        </w:rPr>
        <w:t>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031422">
        <w:rPr>
          <w:rFonts w:eastAsia="SimSun"/>
          <w:lang w:val="es-ES" w:eastAsia="zh-CN"/>
        </w:rPr>
        <w:t xml:space="preserve">intravenosa </w:t>
      </w:r>
      <w:r>
        <w:rPr>
          <w:rFonts w:eastAsia="SimSun"/>
          <w:lang w:val="es-ES" w:eastAsia="zh-CN"/>
        </w:rPr>
        <w:t>cada 2</w:t>
      </w:r>
      <w:r w:rsidR="00031422" w:rsidRPr="00F30AB8">
        <w:rPr>
          <w:rFonts w:eastAsia="SimSun"/>
          <w:b/>
          <w:szCs w:val="22"/>
          <w:lang w:val="es-ES" w:eastAsia="zh-CN"/>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w:t>
      </w:r>
      <w:r>
        <w:rPr>
          <w:rFonts w:eastAsia="SimSun"/>
          <w:lang w:val="es-ES" w:eastAsia="zh-CN"/>
        </w:rPr>
        <w:t>tes con un peso ≥ 30</w:t>
      </w:r>
      <w:r w:rsidR="00031422" w:rsidRPr="00F30AB8">
        <w:rPr>
          <w:rFonts w:eastAsia="SimSun"/>
          <w:b/>
          <w:szCs w:val="22"/>
          <w:lang w:val="es-ES" w:eastAsia="zh-CN"/>
        </w:rPr>
        <w:t> </w:t>
      </w:r>
      <w:r>
        <w:rPr>
          <w:rFonts w:eastAsia="SimSun"/>
          <w:lang w:val="es-ES" w:eastAsia="zh-CN"/>
        </w:rPr>
        <w:t>kg), 12 mg/</w:t>
      </w:r>
      <w:r w:rsidRPr="00D367DE">
        <w:rPr>
          <w:rFonts w:eastAsia="SimSun"/>
          <w:lang w:val="es-ES" w:eastAsia="zh-CN"/>
        </w:rPr>
        <w:t xml:space="preserve">kg </w:t>
      </w:r>
      <w:r>
        <w:rPr>
          <w:rFonts w:eastAsia="SimSun"/>
          <w:lang w:val="es-ES" w:eastAsia="zh-CN"/>
        </w:rPr>
        <w:t xml:space="preserve">por vía </w:t>
      </w:r>
      <w:r w:rsidR="00E7158F">
        <w:rPr>
          <w:rFonts w:eastAsia="SimSun"/>
          <w:lang w:val="es-ES" w:eastAsia="zh-CN"/>
        </w:rPr>
        <w:t xml:space="preserve">intravenosa </w:t>
      </w:r>
      <w:r>
        <w:rPr>
          <w:rFonts w:eastAsia="SimSun"/>
          <w:lang w:val="es-ES" w:eastAsia="zh-CN"/>
        </w:rPr>
        <w:t>cada 2</w:t>
      </w:r>
      <w:r w:rsidR="00031422" w:rsidRPr="00F30AB8">
        <w:rPr>
          <w:rFonts w:eastAsia="SimSun"/>
          <w:b/>
          <w:szCs w:val="22"/>
          <w:lang w:val="es-ES" w:eastAsia="zh-CN"/>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pacientes con un peso inferior a 30</w:t>
      </w:r>
      <w:r w:rsidR="00031422" w:rsidRPr="00F30AB8">
        <w:rPr>
          <w:rFonts w:eastAsia="SimSun"/>
          <w:b/>
          <w:szCs w:val="22"/>
          <w:lang w:val="es-ES" w:eastAsia="zh-CN"/>
        </w:rPr>
        <w:t> </w:t>
      </w:r>
      <w:r w:rsidRPr="00D367DE">
        <w:rPr>
          <w:rFonts w:eastAsia="SimSun"/>
          <w:lang w:val="es-ES" w:eastAsia="zh-CN"/>
        </w:rPr>
        <w:t>kg), 162</w:t>
      </w:r>
      <w:r w:rsidR="00031422" w:rsidRPr="00F30AB8">
        <w:rPr>
          <w:rFonts w:eastAsia="SimSun"/>
          <w:b/>
          <w:szCs w:val="22"/>
          <w:lang w:val="es-ES" w:eastAsia="zh-CN"/>
        </w:rPr>
        <w:t> </w:t>
      </w:r>
      <w:r w:rsidRPr="00D367DE">
        <w:rPr>
          <w:rFonts w:eastAsia="SimSun"/>
          <w:lang w:val="es-ES" w:eastAsia="zh-CN"/>
        </w:rPr>
        <w:t xml:space="preserve">mg </w:t>
      </w:r>
      <w:r>
        <w:rPr>
          <w:rFonts w:eastAsia="SimSun"/>
          <w:lang w:val="es-ES" w:eastAsia="zh-CN"/>
        </w:rPr>
        <w:t xml:space="preserve">por vía </w:t>
      </w:r>
      <w:r w:rsidR="00E7158F">
        <w:rPr>
          <w:rFonts w:eastAsia="SimSun"/>
          <w:lang w:val="es-ES" w:eastAsia="zh-CN"/>
        </w:rPr>
        <w:t>subcutánea</w:t>
      </w:r>
      <w:r w:rsidR="00E7158F" w:rsidRPr="00D367DE">
        <w:rPr>
          <w:rFonts w:eastAsia="SimSun"/>
          <w:lang w:val="es-ES" w:eastAsia="zh-CN"/>
        </w:rPr>
        <w:t xml:space="preserve"> </w:t>
      </w:r>
      <w:r>
        <w:rPr>
          <w:iCs/>
          <w:lang w:val="es-ES"/>
        </w:rPr>
        <w:t xml:space="preserve">cada semana (pacientes con un peso corporal </w:t>
      </w:r>
      <w:r w:rsidRPr="008A106B">
        <w:rPr>
          <w:iCs/>
          <w:lang w:val="es-ES"/>
        </w:rPr>
        <w:t>≥ 30</w:t>
      </w:r>
      <w:r w:rsidR="00031422" w:rsidRPr="00F30AB8">
        <w:rPr>
          <w:rFonts w:eastAsia="SimSun"/>
          <w:b/>
          <w:szCs w:val="22"/>
          <w:lang w:val="es-ES" w:eastAsia="zh-CN"/>
        </w:rPr>
        <w:t> </w:t>
      </w:r>
      <w:r w:rsidRPr="008A106B">
        <w:rPr>
          <w:iCs/>
          <w:lang w:val="es-ES"/>
        </w:rPr>
        <w:t>kg</w:t>
      </w:r>
      <w:r>
        <w:rPr>
          <w:iCs/>
          <w:lang w:val="es-ES"/>
        </w:rPr>
        <w:t>), 162</w:t>
      </w:r>
      <w:r w:rsidR="00031422" w:rsidRPr="00F30AB8">
        <w:rPr>
          <w:rFonts w:eastAsia="SimSun"/>
          <w:b/>
          <w:szCs w:val="22"/>
          <w:lang w:val="es-ES" w:eastAsia="zh-CN"/>
        </w:rPr>
        <w:t> </w:t>
      </w:r>
      <w:r>
        <w:rPr>
          <w:iCs/>
          <w:lang w:val="es-ES"/>
        </w:rPr>
        <w:t xml:space="preserve">mg </w:t>
      </w:r>
      <w:r w:rsidR="00E7158F">
        <w:rPr>
          <w:iCs/>
          <w:lang w:val="es-ES"/>
        </w:rPr>
        <w:t xml:space="preserve">subcutáneo </w:t>
      </w:r>
      <w:r w:rsidRPr="00D367DE">
        <w:rPr>
          <w:rFonts w:eastAsia="SimSun"/>
          <w:lang w:val="es-ES" w:eastAsia="zh-CN"/>
        </w:rPr>
        <w:t>cada</w:t>
      </w:r>
      <w:r>
        <w:rPr>
          <w:rFonts w:eastAsia="SimSun"/>
          <w:lang w:val="es-ES" w:eastAsia="zh-CN"/>
        </w:rPr>
        <w:t xml:space="preserve"> 10</w:t>
      </w:r>
      <w:r w:rsidR="00031422" w:rsidRPr="00F30AB8">
        <w:rPr>
          <w:rFonts w:eastAsia="SimSun"/>
          <w:b/>
          <w:szCs w:val="22"/>
          <w:lang w:val="es-ES" w:eastAsia="zh-CN"/>
        </w:rPr>
        <w:t> </w:t>
      </w:r>
      <w:r>
        <w:rPr>
          <w:rFonts w:eastAsia="SimSun"/>
          <w:lang w:val="es-ES" w:eastAsia="zh-CN"/>
        </w:rPr>
        <w:t>días o cada</w:t>
      </w:r>
      <w:r w:rsidRPr="00D367DE">
        <w:rPr>
          <w:rFonts w:eastAsia="SimSun"/>
          <w:lang w:val="es-ES" w:eastAsia="zh-CN"/>
        </w:rPr>
        <w:t xml:space="preserve"> 2</w:t>
      </w:r>
      <w:r w:rsidR="00031422" w:rsidRPr="00F30AB8">
        <w:rPr>
          <w:rFonts w:eastAsia="SimSun"/>
          <w:b/>
          <w:szCs w:val="22"/>
          <w:lang w:val="es-ES" w:eastAsia="zh-CN"/>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 xml:space="preserve">pacientes </w:t>
      </w:r>
      <w:r>
        <w:rPr>
          <w:rFonts w:eastAsia="SimSun"/>
          <w:lang w:val="es-ES" w:eastAsia="zh-CN"/>
        </w:rPr>
        <w:t>con un peso inferior</w:t>
      </w:r>
      <w:r w:rsidRPr="00D367DE">
        <w:rPr>
          <w:rFonts w:eastAsia="SimSun"/>
          <w:lang w:val="es-ES" w:eastAsia="zh-CN"/>
        </w:rPr>
        <w:t xml:space="preserve"> </w:t>
      </w:r>
      <w:r>
        <w:rPr>
          <w:rFonts w:eastAsia="SimSun"/>
          <w:lang w:val="es-ES" w:eastAsia="zh-CN"/>
        </w:rPr>
        <w:t>a</w:t>
      </w:r>
      <w:r w:rsidRPr="00D367DE">
        <w:rPr>
          <w:rFonts w:eastAsia="SimSun"/>
          <w:lang w:val="es-ES" w:eastAsia="zh-CN"/>
        </w:rPr>
        <w:t xml:space="preserve"> 30</w:t>
      </w:r>
      <w:r w:rsidR="00031422" w:rsidRPr="00F30AB8">
        <w:rPr>
          <w:rFonts w:eastAsia="SimSun"/>
          <w:b/>
          <w:szCs w:val="22"/>
          <w:lang w:val="es-ES" w:eastAsia="zh-CN"/>
        </w:rPr>
        <w:t> </w:t>
      </w:r>
      <w:r w:rsidRPr="00D367DE">
        <w:rPr>
          <w:rFonts w:eastAsia="SimSun"/>
          <w:lang w:val="es-ES" w:eastAsia="zh-CN"/>
        </w:rPr>
        <w:t>kg).</w:t>
      </w:r>
      <w:r>
        <w:rPr>
          <w:rFonts w:eastAsia="SimSun"/>
          <w:lang w:val="es-ES" w:eastAsia="zh-CN"/>
        </w:rPr>
        <w:t xml:space="preserve"> </w:t>
      </w:r>
    </w:p>
    <w:p w14:paraId="1E97BC50" w14:textId="77777777" w:rsidR="00E610D8" w:rsidRDefault="00E610D8" w:rsidP="00E610D8">
      <w:pPr>
        <w:rPr>
          <w:rFonts w:eastAsia="SimSun"/>
          <w:lang w:val="es-ES" w:eastAsia="zh-CN"/>
        </w:rPr>
      </w:pPr>
    </w:p>
    <w:p w14:paraId="3E20065B" w14:textId="522FD20F" w:rsidR="00E610D8" w:rsidRDefault="00E610D8" w:rsidP="00E610D8">
      <w:pPr>
        <w:rPr>
          <w:rFonts w:eastAsia="SimSun"/>
          <w:lang w:val="es-ES" w:eastAsia="zh-CN"/>
        </w:rPr>
      </w:pPr>
      <w:r>
        <w:rPr>
          <w:rFonts w:eastAsia="SimSun"/>
          <w:lang w:val="es-ES" w:eastAsia="zh-CN"/>
        </w:rPr>
        <w:t>No se disponen de datos suficientes</w:t>
      </w:r>
      <w:r w:rsidRPr="00D5589A">
        <w:rPr>
          <w:rFonts w:eastAsia="SimSun"/>
          <w:lang w:val="es-ES" w:eastAsia="zh-CN"/>
        </w:rPr>
        <w:t xml:space="preserve"> sobre las exposiciones posteriores a la administración subcutánea de</w:t>
      </w:r>
      <w:r>
        <w:rPr>
          <w:rFonts w:eastAsia="SimSun"/>
          <w:lang w:val="es-ES" w:eastAsia="zh-CN"/>
        </w:rPr>
        <w:t xml:space="preserve"> </w:t>
      </w:r>
      <w:r w:rsidR="00E7158F" w:rsidRPr="00F30AB8">
        <w:rPr>
          <w:szCs w:val="22"/>
          <w:lang w:val="es-ES"/>
        </w:rPr>
        <w:t>tocilizumab</w:t>
      </w:r>
      <w:r>
        <w:rPr>
          <w:rFonts w:eastAsia="SimSun"/>
          <w:lang w:val="es-ES" w:eastAsia="zh-CN"/>
        </w:rPr>
        <w:t xml:space="preserve"> en pacientes con AIJs</w:t>
      </w:r>
      <w:r w:rsidRPr="00D5589A">
        <w:rPr>
          <w:rFonts w:eastAsia="SimSun"/>
          <w:lang w:val="es-ES" w:eastAsia="zh-CN"/>
        </w:rPr>
        <w:t xml:space="preserve"> menores de 2</w:t>
      </w:r>
      <w:r w:rsidR="00031422" w:rsidRPr="00F30AB8">
        <w:rPr>
          <w:rFonts w:eastAsia="SimSun"/>
          <w:b/>
          <w:szCs w:val="22"/>
          <w:lang w:val="es-ES" w:eastAsia="zh-CN"/>
        </w:rPr>
        <w:t> </w:t>
      </w:r>
      <w:r w:rsidRPr="00D5589A">
        <w:rPr>
          <w:rFonts w:eastAsia="SimSun"/>
          <w:lang w:val="es-ES" w:eastAsia="zh-CN"/>
        </w:rPr>
        <w:t>años de edad con un peso corporal inferior a 10</w:t>
      </w:r>
      <w:r w:rsidR="00031422" w:rsidRPr="00F30AB8">
        <w:rPr>
          <w:rFonts w:eastAsia="SimSun"/>
          <w:b/>
          <w:szCs w:val="22"/>
          <w:lang w:val="es-ES" w:eastAsia="zh-CN"/>
        </w:rPr>
        <w:t> </w:t>
      </w:r>
      <w:r w:rsidRPr="00D5589A">
        <w:rPr>
          <w:rFonts w:eastAsia="SimSun"/>
          <w:lang w:val="es-ES" w:eastAsia="zh-CN"/>
        </w:rPr>
        <w:t xml:space="preserve">kg. </w:t>
      </w:r>
    </w:p>
    <w:p w14:paraId="6DA09ADC" w14:textId="77777777" w:rsidR="00E610D8" w:rsidRDefault="00E610D8" w:rsidP="00E610D8">
      <w:pPr>
        <w:rPr>
          <w:rFonts w:eastAsia="SimSun"/>
          <w:lang w:val="es-ES" w:eastAsia="zh-CN"/>
        </w:rPr>
      </w:pPr>
    </w:p>
    <w:p w14:paraId="4561E6E7" w14:textId="464D8B78" w:rsidR="00E610D8" w:rsidRDefault="00E610D8" w:rsidP="00E610D8">
      <w:pPr>
        <w:rPr>
          <w:rFonts w:eastAsia="SimSun"/>
          <w:lang w:val="es-ES" w:eastAsia="zh-CN"/>
        </w:rPr>
      </w:pPr>
      <w:r w:rsidRPr="00D5589A">
        <w:rPr>
          <w:rFonts w:eastAsia="SimSun"/>
          <w:lang w:val="es-ES" w:eastAsia="zh-CN"/>
        </w:rPr>
        <w:t xml:space="preserve">Los pacientes </w:t>
      </w:r>
      <w:r>
        <w:rPr>
          <w:rFonts w:eastAsia="SimSun"/>
          <w:lang w:val="es-ES" w:eastAsia="zh-CN"/>
        </w:rPr>
        <w:t xml:space="preserve">con AIJs </w:t>
      </w:r>
      <w:r w:rsidRPr="00D5589A">
        <w:rPr>
          <w:rFonts w:eastAsia="SimSun"/>
          <w:lang w:val="es-ES" w:eastAsia="zh-CN"/>
        </w:rPr>
        <w:t>deben tener un peso corporal mínimo de 10</w:t>
      </w:r>
      <w:r w:rsidR="00031422" w:rsidRPr="00F30AB8">
        <w:rPr>
          <w:rFonts w:eastAsia="SimSun"/>
          <w:b/>
          <w:szCs w:val="22"/>
          <w:lang w:val="es-ES" w:eastAsia="zh-CN"/>
        </w:rPr>
        <w:t> </w:t>
      </w:r>
      <w:r w:rsidRPr="00D5589A">
        <w:rPr>
          <w:rFonts w:eastAsia="SimSun"/>
          <w:lang w:val="es-ES" w:eastAsia="zh-CN"/>
        </w:rPr>
        <w:t xml:space="preserve">kg cuando reciben </w:t>
      </w:r>
      <w:r w:rsidR="00E7158F" w:rsidRPr="00F30AB8">
        <w:rPr>
          <w:szCs w:val="22"/>
          <w:lang w:val="es-ES"/>
        </w:rPr>
        <w:t>tocilizumab</w:t>
      </w:r>
      <w:r>
        <w:rPr>
          <w:rFonts w:eastAsia="SimSun"/>
          <w:lang w:val="es-ES" w:eastAsia="zh-CN"/>
        </w:rPr>
        <w:t xml:space="preserve"> subcutánea</w:t>
      </w:r>
      <w:r w:rsidRPr="00D5589A">
        <w:rPr>
          <w:rFonts w:eastAsia="SimSun"/>
          <w:lang w:val="es-ES" w:eastAsia="zh-CN"/>
        </w:rPr>
        <w:t xml:space="preserve"> (ver sección</w:t>
      </w:r>
      <w:r w:rsidR="00031422" w:rsidRPr="00F30AB8">
        <w:rPr>
          <w:rFonts w:eastAsia="SimSun"/>
          <w:b/>
          <w:szCs w:val="22"/>
          <w:lang w:val="es-ES" w:eastAsia="zh-CN"/>
        </w:rPr>
        <w:t> </w:t>
      </w:r>
      <w:r w:rsidRPr="00D5589A">
        <w:rPr>
          <w:rFonts w:eastAsia="SimSun"/>
          <w:lang w:val="es-ES" w:eastAsia="zh-CN"/>
        </w:rPr>
        <w:t>4.2).</w:t>
      </w:r>
    </w:p>
    <w:p w14:paraId="57E404DB" w14:textId="77777777" w:rsidR="00E610D8" w:rsidRDefault="00E610D8" w:rsidP="00E610D8">
      <w:pPr>
        <w:rPr>
          <w:rFonts w:eastAsia="SimSun"/>
          <w:lang w:val="es-ES" w:eastAsia="zh-CN"/>
        </w:rPr>
      </w:pPr>
    </w:p>
    <w:p w14:paraId="619B36B3" w14:textId="27EC649E" w:rsidR="00E610D8" w:rsidRDefault="00E610D8" w:rsidP="00E610D8">
      <w:pPr>
        <w:keepNext/>
        <w:keepLines/>
        <w:numPr>
          <w:ilvl w:val="12"/>
          <w:numId w:val="0"/>
        </w:numPr>
        <w:ind w:right="-2"/>
        <w:rPr>
          <w:bCs/>
          <w:i/>
          <w:szCs w:val="22"/>
          <w:lang w:val="es-ES"/>
        </w:rPr>
      </w:pPr>
      <w:r w:rsidRPr="000D2A86">
        <w:rPr>
          <w:bCs/>
          <w:i/>
          <w:szCs w:val="22"/>
          <w:lang w:val="es-ES"/>
        </w:rPr>
        <w:t>Tabla 8</w:t>
      </w:r>
      <w:r w:rsidRPr="003B58FB">
        <w:rPr>
          <w:bCs/>
          <w:i/>
          <w:szCs w:val="22"/>
          <w:lang w:val="es-ES"/>
        </w:rPr>
        <w:t xml:space="preserve">. Valores medios previstos ± DE de los parámetros </w:t>
      </w:r>
      <w:r w:rsidR="004B007E" w:rsidRPr="00D367DE">
        <w:rPr>
          <w:rFonts w:eastAsia="SimSun"/>
          <w:lang w:val="es-ES" w:eastAsia="zh-CN"/>
        </w:rPr>
        <w:t>farmacocinétic</w:t>
      </w:r>
      <w:r w:rsidR="004B007E">
        <w:rPr>
          <w:rFonts w:eastAsia="SimSun"/>
          <w:lang w:val="es-ES" w:eastAsia="zh-CN"/>
        </w:rPr>
        <w:t>os (PK)</w:t>
      </w:r>
      <w:r w:rsidRPr="003B58FB">
        <w:rPr>
          <w:bCs/>
          <w:i/>
          <w:szCs w:val="22"/>
          <w:lang w:val="es-ES"/>
        </w:rPr>
        <w:t xml:space="preserve"> en estado estacionario después de la administración de la dosis </w:t>
      </w:r>
      <w:r w:rsidR="00E7158F" w:rsidRPr="00F30AB8">
        <w:rPr>
          <w:bCs/>
          <w:i/>
          <w:szCs w:val="22"/>
          <w:lang w:val="es-ES"/>
        </w:rPr>
        <w:t>subcutánea</w:t>
      </w:r>
      <w:r w:rsidRPr="003B58FB">
        <w:rPr>
          <w:bCs/>
          <w:i/>
          <w:szCs w:val="22"/>
          <w:lang w:val="es-ES"/>
        </w:rPr>
        <w:t xml:space="preserve"> en pacientes con AIJ</w:t>
      </w:r>
      <w:r>
        <w:rPr>
          <w:bCs/>
          <w:i/>
          <w:szCs w:val="22"/>
          <w:lang w:val="es-ES"/>
        </w:rPr>
        <w:t>s</w:t>
      </w:r>
    </w:p>
    <w:p w14:paraId="1A8E5582" w14:textId="77777777" w:rsidR="00E610D8" w:rsidRPr="000D2A86" w:rsidRDefault="00E610D8" w:rsidP="00E610D8">
      <w:pPr>
        <w:keepNext/>
        <w:keepLines/>
        <w:numPr>
          <w:ilvl w:val="12"/>
          <w:numId w:val="0"/>
        </w:numPr>
        <w:ind w:right="-2"/>
        <w:rPr>
          <w:bCs/>
          <w:i/>
          <w:szCs w:val="22"/>
          <w:lang w:val="es-ES"/>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977"/>
        <w:gridCol w:w="2977"/>
      </w:tblGrid>
      <w:tr w:rsidR="00E610D8" w:rsidRPr="003B58FB" w14:paraId="56963656" w14:textId="77777777" w:rsidTr="00274059">
        <w:trPr>
          <w:cantSplit/>
          <w:trHeight w:val="452"/>
        </w:trPr>
        <w:tc>
          <w:tcPr>
            <w:tcW w:w="2835" w:type="dxa"/>
            <w:tcBorders>
              <w:top w:val="single" w:sz="4" w:space="0" w:color="auto"/>
              <w:left w:val="single" w:sz="4" w:space="0" w:color="auto"/>
              <w:bottom w:val="single" w:sz="4" w:space="0" w:color="auto"/>
              <w:right w:val="single" w:sz="4" w:space="0" w:color="auto"/>
            </w:tcBorders>
            <w:hideMark/>
          </w:tcPr>
          <w:p w14:paraId="617325F4" w14:textId="32DCDC10" w:rsidR="00E610D8" w:rsidRPr="003B58FB" w:rsidRDefault="00E610D8" w:rsidP="00274059">
            <w:pPr>
              <w:keepNext/>
              <w:spacing w:after="120"/>
              <w:rPr>
                <w:sz w:val="20"/>
                <w:lang w:eastAsia="zh-TW"/>
              </w:rPr>
            </w:pPr>
            <w:r w:rsidRPr="00457985">
              <w:rPr>
                <w:b/>
                <w:sz w:val="20"/>
              </w:rPr>
              <w:t xml:space="preserve">Parámetros </w:t>
            </w:r>
            <w:r>
              <w:rPr>
                <w:b/>
                <w:sz w:val="20"/>
              </w:rPr>
              <w:t>PK</w:t>
            </w:r>
            <w:r w:rsidRPr="00457985">
              <w:rPr>
                <w:b/>
                <w:sz w:val="20"/>
              </w:rPr>
              <w:t xml:space="preserve"> de </w:t>
            </w:r>
            <w:r w:rsidR="00E7158F">
              <w:rPr>
                <w:b/>
                <w:sz w:val="20"/>
              </w:rPr>
              <w:t>T</w:t>
            </w:r>
            <w:r w:rsidR="00E7158F" w:rsidRPr="00E7158F">
              <w:rPr>
                <w:b/>
                <w:sz w:val="20"/>
              </w:rPr>
              <w:t>ocilizumab</w:t>
            </w:r>
          </w:p>
        </w:tc>
        <w:tc>
          <w:tcPr>
            <w:tcW w:w="2977" w:type="dxa"/>
            <w:tcBorders>
              <w:top w:val="single" w:sz="4" w:space="0" w:color="auto"/>
              <w:left w:val="single" w:sz="4" w:space="0" w:color="auto"/>
              <w:bottom w:val="single" w:sz="4" w:space="0" w:color="auto"/>
              <w:right w:val="single" w:sz="4" w:space="0" w:color="auto"/>
            </w:tcBorders>
            <w:hideMark/>
          </w:tcPr>
          <w:p w14:paraId="1983F7A8" w14:textId="5DF32368" w:rsidR="00E610D8" w:rsidRPr="003B58FB" w:rsidRDefault="00E610D8" w:rsidP="00274059">
            <w:pPr>
              <w:keepNext/>
              <w:spacing w:after="120"/>
              <w:jc w:val="center"/>
              <w:rPr>
                <w:b/>
                <w:sz w:val="20"/>
                <w:lang w:eastAsia="zh-TW"/>
              </w:rPr>
            </w:pPr>
            <w:r w:rsidRPr="003B58FB">
              <w:rPr>
                <w:b/>
                <w:sz w:val="20"/>
                <w:lang w:eastAsia="zh-TW"/>
              </w:rPr>
              <w:t>162 mg QW ≥ 30</w:t>
            </w:r>
            <w:r w:rsidR="00031422">
              <w:rPr>
                <w:rFonts w:eastAsia="SimSun"/>
                <w:b/>
                <w:szCs w:val="22"/>
                <w:lang w:val="en-GB" w:eastAsia="zh-CN"/>
              </w:rPr>
              <w:t> </w:t>
            </w:r>
            <w:r w:rsidRPr="003B58FB">
              <w:rPr>
                <w:b/>
                <w:sz w:val="20"/>
                <w:lang w:eastAsia="zh-TW"/>
              </w:rPr>
              <w:t>kg</w:t>
            </w:r>
          </w:p>
        </w:tc>
        <w:tc>
          <w:tcPr>
            <w:tcW w:w="2977" w:type="dxa"/>
            <w:tcBorders>
              <w:top w:val="single" w:sz="4" w:space="0" w:color="auto"/>
              <w:left w:val="single" w:sz="4" w:space="0" w:color="auto"/>
              <w:bottom w:val="single" w:sz="4" w:space="0" w:color="auto"/>
              <w:right w:val="single" w:sz="4" w:space="0" w:color="auto"/>
            </w:tcBorders>
            <w:hideMark/>
          </w:tcPr>
          <w:p w14:paraId="76C09EBA" w14:textId="53A24591" w:rsidR="00E610D8" w:rsidRPr="003B58FB" w:rsidRDefault="00E610D8" w:rsidP="00274059">
            <w:pPr>
              <w:keepNext/>
              <w:spacing w:after="120"/>
              <w:jc w:val="center"/>
              <w:rPr>
                <w:b/>
                <w:sz w:val="20"/>
                <w:lang w:eastAsia="zh-TW"/>
              </w:rPr>
            </w:pPr>
            <w:r w:rsidRPr="003B58FB">
              <w:rPr>
                <w:b/>
                <w:sz w:val="20"/>
                <w:lang w:eastAsia="zh-TW"/>
              </w:rPr>
              <w:t xml:space="preserve">162 mg Q2W </w:t>
            </w:r>
            <w:r>
              <w:rPr>
                <w:b/>
                <w:sz w:val="20"/>
                <w:lang w:eastAsia="zh-TW"/>
              </w:rPr>
              <w:t>inferior a</w:t>
            </w:r>
            <w:r w:rsidRPr="003B58FB">
              <w:rPr>
                <w:b/>
                <w:sz w:val="20"/>
                <w:lang w:eastAsia="zh-TW"/>
              </w:rPr>
              <w:t xml:space="preserve"> 30</w:t>
            </w:r>
            <w:r w:rsidR="00031422">
              <w:rPr>
                <w:rFonts w:eastAsia="SimSun"/>
                <w:b/>
                <w:szCs w:val="22"/>
                <w:lang w:val="en-GB" w:eastAsia="zh-CN"/>
              </w:rPr>
              <w:t> </w:t>
            </w:r>
            <w:r w:rsidRPr="003B58FB">
              <w:rPr>
                <w:b/>
                <w:sz w:val="20"/>
                <w:lang w:eastAsia="zh-TW"/>
              </w:rPr>
              <w:t>kg</w:t>
            </w:r>
          </w:p>
        </w:tc>
      </w:tr>
      <w:tr w:rsidR="00E610D8" w:rsidRPr="003B58FB" w14:paraId="20B4F19D" w14:textId="77777777" w:rsidTr="00274059">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BAF6951" w14:textId="77777777" w:rsidR="00E610D8" w:rsidRPr="003B58FB" w:rsidRDefault="00E610D8" w:rsidP="00274059">
            <w:pPr>
              <w:keepNext/>
              <w:spacing w:after="120"/>
              <w:rPr>
                <w:sz w:val="20"/>
                <w:lang w:eastAsia="zh-TW"/>
              </w:rPr>
            </w:pPr>
            <w:r w:rsidRPr="003B58FB">
              <w:rPr>
                <w:sz w:val="20"/>
                <w:lang w:eastAsia="zh-TW"/>
              </w:rPr>
              <w:t>C</w:t>
            </w:r>
            <w:r w:rsidRPr="003B58FB">
              <w:rPr>
                <w:sz w:val="20"/>
                <w:vertAlign w:val="subscript"/>
                <w:lang w:eastAsia="zh-TW"/>
              </w:rPr>
              <w:t>max</w:t>
            </w:r>
            <w:r w:rsidRPr="003B58FB">
              <w:rPr>
                <w:sz w:val="20"/>
                <w:lang w:eastAsia="zh-TW"/>
              </w:rPr>
              <w:t xml:space="preserve"> (µg/m</w:t>
            </w:r>
            <w:r>
              <w:rPr>
                <w:sz w:val="20"/>
                <w:lang w:eastAsia="zh-TW"/>
              </w:rPr>
              <w:t>l</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hideMark/>
          </w:tcPr>
          <w:p w14:paraId="73682DBA" w14:textId="77777777" w:rsidR="00E610D8" w:rsidRPr="003B58FB" w:rsidRDefault="00E610D8" w:rsidP="00274059">
            <w:pPr>
              <w:keepNext/>
              <w:spacing w:after="120"/>
              <w:jc w:val="center"/>
              <w:rPr>
                <w:sz w:val="20"/>
                <w:lang w:eastAsia="zh-TW"/>
              </w:rPr>
            </w:pPr>
            <w:r w:rsidRPr="003B58FB">
              <w:rPr>
                <w:sz w:val="20"/>
                <w:lang w:val="en-GB" w:eastAsia="zh-TW"/>
              </w:rPr>
              <w:t>99</w:t>
            </w:r>
            <w:r>
              <w:rPr>
                <w:sz w:val="20"/>
                <w:lang w:val="en-GB" w:eastAsia="zh-TW"/>
              </w:rPr>
              <w:t>,</w:t>
            </w:r>
            <w:r w:rsidRPr="003B58FB">
              <w:rPr>
                <w:sz w:val="20"/>
                <w:lang w:val="en-GB" w:eastAsia="zh-TW"/>
              </w:rPr>
              <w:t>8 ± 46</w:t>
            </w:r>
            <w:r>
              <w:rPr>
                <w:sz w:val="20"/>
                <w:lang w:val="en-GB" w:eastAsia="zh-TW"/>
              </w:rPr>
              <w:t>,</w:t>
            </w:r>
            <w:r w:rsidRPr="003B58FB">
              <w:rPr>
                <w:sz w:val="20"/>
                <w:lang w:val="en-GB" w:eastAsia="zh-TW"/>
              </w:rPr>
              <w:t>2</w:t>
            </w:r>
          </w:p>
        </w:tc>
        <w:tc>
          <w:tcPr>
            <w:tcW w:w="2977" w:type="dxa"/>
            <w:tcBorders>
              <w:top w:val="single" w:sz="4" w:space="0" w:color="auto"/>
              <w:left w:val="single" w:sz="4" w:space="0" w:color="auto"/>
              <w:bottom w:val="single" w:sz="4" w:space="0" w:color="auto"/>
              <w:right w:val="single" w:sz="4" w:space="0" w:color="auto"/>
            </w:tcBorders>
            <w:hideMark/>
          </w:tcPr>
          <w:p w14:paraId="7EAF2896" w14:textId="77777777" w:rsidR="00E610D8" w:rsidRPr="003B58FB" w:rsidRDefault="00E610D8" w:rsidP="00274059">
            <w:pPr>
              <w:keepNext/>
              <w:spacing w:after="120"/>
              <w:jc w:val="center"/>
              <w:rPr>
                <w:sz w:val="20"/>
                <w:lang w:eastAsia="zh-TW"/>
              </w:rPr>
            </w:pPr>
            <w:r w:rsidRPr="003B58FB">
              <w:rPr>
                <w:sz w:val="20"/>
                <w:lang w:val="en-GB" w:eastAsia="zh-TW"/>
              </w:rPr>
              <w:t>134 ± 58</w:t>
            </w:r>
            <w:r>
              <w:rPr>
                <w:sz w:val="20"/>
                <w:lang w:val="en-GB" w:eastAsia="zh-TW"/>
              </w:rPr>
              <w:t>,</w:t>
            </w:r>
            <w:r w:rsidRPr="003B58FB">
              <w:rPr>
                <w:sz w:val="20"/>
                <w:lang w:val="en-GB" w:eastAsia="zh-TW"/>
              </w:rPr>
              <w:t>6</w:t>
            </w:r>
          </w:p>
        </w:tc>
      </w:tr>
      <w:tr w:rsidR="00E610D8" w:rsidRPr="003B58FB" w14:paraId="237DA02B" w14:textId="77777777" w:rsidTr="00274059">
        <w:trPr>
          <w:cantSplit/>
          <w:trHeight w:val="195"/>
        </w:trPr>
        <w:tc>
          <w:tcPr>
            <w:tcW w:w="2835" w:type="dxa"/>
            <w:tcBorders>
              <w:top w:val="single" w:sz="4" w:space="0" w:color="auto"/>
              <w:left w:val="single" w:sz="4" w:space="0" w:color="auto"/>
              <w:bottom w:val="single" w:sz="4" w:space="0" w:color="auto"/>
              <w:right w:val="single" w:sz="4" w:space="0" w:color="auto"/>
            </w:tcBorders>
            <w:hideMark/>
          </w:tcPr>
          <w:p w14:paraId="58A5D5E5" w14:textId="77777777" w:rsidR="00E610D8" w:rsidRPr="003B58FB" w:rsidRDefault="00E610D8" w:rsidP="00274059">
            <w:pPr>
              <w:keepNext/>
              <w:spacing w:after="120"/>
              <w:rPr>
                <w:sz w:val="20"/>
                <w:lang w:eastAsia="zh-TW"/>
              </w:rPr>
            </w:pPr>
            <w:r w:rsidRPr="003B58FB">
              <w:rPr>
                <w:sz w:val="20"/>
                <w:lang w:eastAsia="zh-TW"/>
              </w:rPr>
              <w:t>C</w:t>
            </w:r>
            <w:r w:rsidRPr="003B58FB">
              <w:rPr>
                <w:sz w:val="20"/>
                <w:vertAlign w:val="subscript"/>
                <w:lang w:eastAsia="zh-TW"/>
              </w:rPr>
              <w:t>min</w:t>
            </w:r>
            <w:r w:rsidRPr="003B58FB">
              <w:rPr>
                <w:sz w:val="20"/>
                <w:lang w:eastAsia="zh-TW"/>
              </w:rPr>
              <w:t xml:space="preserve"> (µg/m</w:t>
            </w:r>
            <w:r>
              <w:rPr>
                <w:sz w:val="20"/>
                <w:lang w:eastAsia="zh-TW"/>
              </w:rPr>
              <w:t>l</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hideMark/>
          </w:tcPr>
          <w:p w14:paraId="6D0BA56E" w14:textId="77777777" w:rsidR="00E610D8" w:rsidRPr="003B58FB" w:rsidRDefault="00E610D8" w:rsidP="00274059">
            <w:pPr>
              <w:keepNext/>
              <w:spacing w:after="120"/>
              <w:jc w:val="center"/>
              <w:rPr>
                <w:sz w:val="20"/>
                <w:lang w:eastAsia="zh-TW"/>
              </w:rPr>
            </w:pPr>
            <w:r w:rsidRPr="003B58FB">
              <w:rPr>
                <w:sz w:val="20"/>
                <w:lang w:val="en-GB" w:eastAsia="zh-TW"/>
              </w:rPr>
              <w:t>79</w:t>
            </w:r>
            <w:r>
              <w:rPr>
                <w:sz w:val="20"/>
                <w:lang w:val="en-GB" w:eastAsia="zh-TW"/>
              </w:rPr>
              <w:t>,</w:t>
            </w:r>
            <w:r w:rsidRPr="003B58FB">
              <w:rPr>
                <w:sz w:val="20"/>
                <w:lang w:val="en-GB" w:eastAsia="zh-TW"/>
              </w:rPr>
              <w:t>2 ± 35</w:t>
            </w:r>
            <w:r>
              <w:rPr>
                <w:sz w:val="20"/>
                <w:lang w:val="en-GB" w:eastAsia="zh-TW"/>
              </w:rPr>
              <w:t>,</w:t>
            </w:r>
            <w:r w:rsidRPr="003B58FB">
              <w:rPr>
                <w:sz w:val="20"/>
                <w:lang w:val="en-GB" w:eastAsia="zh-TW"/>
              </w:rPr>
              <w:t>6</w:t>
            </w:r>
          </w:p>
        </w:tc>
        <w:tc>
          <w:tcPr>
            <w:tcW w:w="2977" w:type="dxa"/>
            <w:tcBorders>
              <w:top w:val="single" w:sz="4" w:space="0" w:color="auto"/>
              <w:left w:val="single" w:sz="4" w:space="0" w:color="auto"/>
              <w:bottom w:val="single" w:sz="4" w:space="0" w:color="auto"/>
              <w:right w:val="single" w:sz="4" w:space="0" w:color="auto"/>
            </w:tcBorders>
            <w:hideMark/>
          </w:tcPr>
          <w:p w14:paraId="72D654BC" w14:textId="77777777" w:rsidR="00E610D8" w:rsidRPr="003B58FB" w:rsidRDefault="00E610D8" w:rsidP="00274059">
            <w:pPr>
              <w:keepNext/>
              <w:spacing w:after="120"/>
              <w:jc w:val="center"/>
              <w:rPr>
                <w:sz w:val="20"/>
                <w:lang w:eastAsia="zh-TW"/>
              </w:rPr>
            </w:pPr>
            <w:r w:rsidRPr="003B58FB">
              <w:rPr>
                <w:sz w:val="20"/>
                <w:lang w:val="fr-FR" w:eastAsia="zh-TW"/>
              </w:rPr>
              <w:t>65</w:t>
            </w:r>
            <w:r>
              <w:rPr>
                <w:sz w:val="20"/>
                <w:lang w:val="fr-FR" w:eastAsia="zh-TW"/>
              </w:rPr>
              <w:t>,</w:t>
            </w:r>
            <w:r w:rsidRPr="003B58FB">
              <w:rPr>
                <w:sz w:val="20"/>
                <w:lang w:val="fr-FR" w:eastAsia="zh-TW"/>
              </w:rPr>
              <w:t>9 ± 31</w:t>
            </w:r>
            <w:r>
              <w:rPr>
                <w:sz w:val="20"/>
                <w:lang w:val="fr-FR" w:eastAsia="zh-TW"/>
              </w:rPr>
              <w:t>,</w:t>
            </w:r>
            <w:r w:rsidRPr="003B58FB">
              <w:rPr>
                <w:sz w:val="20"/>
                <w:lang w:val="fr-FR" w:eastAsia="zh-TW"/>
              </w:rPr>
              <w:t>3</w:t>
            </w:r>
          </w:p>
        </w:tc>
      </w:tr>
      <w:tr w:rsidR="00E610D8" w:rsidRPr="003B58FB" w14:paraId="5A49D0F5" w14:textId="77777777" w:rsidTr="00274059">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25764C71" w14:textId="77777777" w:rsidR="00E610D8" w:rsidRPr="003B58FB" w:rsidRDefault="00E610D8" w:rsidP="00274059">
            <w:pPr>
              <w:keepNext/>
              <w:spacing w:after="120"/>
              <w:rPr>
                <w:sz w:val="20"/>
                <w:lang w:eastAsia="zh-TW"/>
              </w:rPr>
            </w:pPr>
            <w:r w:rsidRPr="003B58FB">
              <w:rPr>
                <w:sz w:val="20"/>
                <w:lang w:eastAsia="zh-TW"/>
              </w:rPr>
              <w:t>C</w:t>
            </w:r>
            <w:r>
              <w:rPr>
                <w:sz w:val="20"/>
                <w:vertAlign w:val="subscript"/>
                <w:lang w:eastAsia="zh-TW"/>
              </w:rPr>
              <w:t>media</w:t>
            </w:r>
            <w:r w:rsidRPr="003B58FB">
              <w:rPr>
                <w:sz w:val="20"/>
                <w:lang w:eastAsia="zh-TW"/>
              </w:rPr>
              <w:t xml:space="preserve"> (µg/m</w:t>
            </w:r>
            <w:r>
              <w:rPr>
                <w:sz w:val="20"/>
                <w:lang w:eastAsia="zh-TW"/>
              </w:rPr>
              <w:t>l</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hideMark/>
          </w:tcPr>
          <w:p w14:paraId="465F5514" w14:textId="77777777" w:rsidR="00E610D8" w:rsidRPr="003B58FB" w:rsidRDefault="00E610D8" w:rsidP="00274059">
            <w:pPr>
              <w:keepNext/>
              <w:spacing w:after="120"/>
              <w:jc w:val="center"/>
              <w:rPr>
                <w:sz w:val="20"/>
                <w:lang w:eastAsia="zh-TW"/>
              </w:rPr>
            </w:pPr>
            <w:r w:rsidRPr="003B58FB">
              <w:rPr>
                <w:sz w:val="20"/>
                <w:lang w:val="fr-FR" w:eastAsia="zh-TW"/>
              </w:rPr>
              <w:t>91</w:t>
            </w:r>
            <w:r>
              <w:rPr>
                <w:sz w:val="20"/>
                <w:lang w:val="fr-FR" w:eastAsia="zh-TW"/>
              </w:rPr>
              <w:t>,</w:t>
            </w:r>
            <w:r w:rsidRPr="003B58FB">
              <w:rPr>
                <w:sz w:val="20"/>
                <w:lang w:val="fr-FR" w:eastAsia="zh-TW"/>
              </w:rPr>
              <w:t>3 ± 40</w:t>
            </w:r>
            <w:r>
              <w:rPr>
                <w:sz w:val="20"/>
                <w:lang w:val="fr-FR" w:eastAsia="zh-TW"/>
              </w:rPr>
              <w:t>,</w:t>
            </w:r>
            <w:r w:rsidRPr="003B58FB">
              <w:rPr>
                <w:sz w:val="20"/>
                <w:lang w:val="fr-FR" w:eastAsia="zh-TW"/>
              </w:rPr>
              <w:t>4</w:t>
            </w:r>
          </w:p>
        </w:tc>
        <w:tc>
          <w:tcPr>
            <w:tcW w:w="2977" w:type="dxa"/>
            <w:tcBorders>
              <w:top w:val="single" w:sz="4" w:space="0" w:color="auto"/>
              <w:left w:val="single" w:sz="4" w:space="0" w:color="auto"/>
              <w:bottom w:val="single" w:sz="4" w:space="0" w:color="auto"/>
              <w:right w:val="single" w:sz="4" w:space="0" w:color="auto"/>
            </w:tcBorders>
            <w:hideMark/>
          </w:tcPr>
          <w:p w14:paraId="524FCBC9" w14:textId="77777777" w:rsidR="00E610D8" w:rsidRPr="003B58FB" w:rsidRDefault="00E610D8" w:rsidP="00274059">
            <w:pPr>
              <w:keepNext/>
              <w:spacing w:after="120"/>
              <w:jc w:val="center"/>
              <w:rPr>
                <w:sz w:val="20"/>
                <w:lang w:eastAsia="zh-TW"/>
              </w:rPr>
            </w:pPr>
            <w:r w:rsidRPr="003B58FB">
              <w:rPr>
                <w:sz w:val="20"/>
                <w:lang w:val="fr-FR" w:eastAsia="zh-TW"/>
              </w:rPr>
              <w:t>101 ± 43</w:t>
            </w:r>
            <w:r>
              <w:rPr>
                <w:sz w:val="20"/>
                <w:lang w:val="fr-FR" w:eastAsia="zh-TW"/>
              </w:rPr>
              <w:t>,</w:t>
            </w:r>
            <w:r w:rsidRPr="003B58FB">
              <w:rPr>
                <w:sz w:val="20"/>
                <w:lang w:val="fr-FR" w:eastAsia="zh-TW"/>
              </w:rPr>
              <w:t>2</w:t>
            </w:r>
          </w:p>
        </w:tc>
      </w:tr>
      <w:tr w:rsidR="00E610D8" w:rsidRPr="003B58FB" w14:paraId="3576C1FF" w14:textId="77777777" w:rsidTr="00274059">
        <w:trPr>
          <w:cantSplit/>
          <w:trHeight w:val="324"/>
        </w:trPr>
        <w:tc>
          <w:tcPr>
            <w:tcW w:w="2835" w:type="dxa"/>
            <w:tcBorders>
              <w:top w:val="single" w:sz="4" w:space="0" w:color="auto"/>
              <w:left w:val="single" w:sz="4" w:space="0" w:color="auto"/>
              <w:bottom w:val="single" w:sz="4" w:space="0" w:color="auto"/>
              <w:right w:val="single" w:sz="4" w:space="0" w:color="auto"/>
            </w:tcBorders>
            <w:hideMark/>
          </w:tcPr>
          <w:p w14:paraId="5CE23945" w14:textId="77777777" w:rsidR="00E610D8" w:rsidRPr="003B58FB" w:rsidRDefault="00E610D8" w:rsidP="00274059">
            <w:pPr>
              <w:keepNext/>
              <w:spacing w:after="120"/>
              <w:rPr>
                <w:sz w:val="20"/>
                <w:lang w:eastAsia="zh-TW"/>
              </w:rPr>
            </w:pPr>
            <w:r w:rsidRPr="003B58FB">
              <w:rPr>
                <w:sz w:val="20"/>
                <w:lang w:eastAsia="zh-TW"/>
              </w:rPr>
              <w:t>C</w:t>
            </w:r>
            <w:r w:rsidRPr="003B58FB">
              <w:rPr>
                <w:sz w:val="20"/>
                <w:vertAlign w:val="subscript"/>
                <w:lang w:eastAsia="zh-TW"/>
              </w:rPr>
              <w:t>max</w:t>
            </w:r>
            <w:r>
              <w:rPr>
                <w:sz w:val="20"/>
                <w:vertAlign w:val="subscript"/>
                <w:lang w:eastAsia="zh-TW"/>
              </w:rPr>
              <w:t xml:space="preserve">  </w:t>
            </w:r>
            <w:r>
              <w:rPr>
                <w:sz w:val="20"/>
                <w:lang w:eastAsia="zh-TW"/>
              </w:rPr>
              <w:t>Acumulada</w:t>
            </w:r>
          </w:p>
        </w:tc>
        <w:tc>
          <w:tcPr>
            <w:tcW w:w="2977" w:type="dxa"/>
            <w:tcBorders>
              <w:top w:val="single" w:sz="4" w:space="0" w:color="auto"/>
              <w:left w:val="single" w:sz="4" w:space="0" w:color="auto"/>
              <w:bottom w:val="single" w:sz="4" w:space="0" w:color="auto"/>
              <w:right w:val="single" w:sz="4" w:space="0" w:color="auto"/>
            </w:tcBorders>
          </w:tcPr>
          <w:p w14:paraId="6DBBE5FA" w14:textId="77777777" w:rsidR="00E610D8" w:rsidRPr="003B58FB" w:rsidRDefault="00E610D8" w:rsidP="00274059">
            <w:pPr>
              <w:keepNext/>
              <w:spacing w:after="120"/>
              <w:jc w:val="center"/>
              <w:rPr>
                <w:sz w:val="20"/>
                <w:lang w:eastAsia="zh-TW"/>
              </w:rPr>
            </w:pPr>
            <w:r w:rsidRPr="003B58FB">
              <w:rPr>
                <w:sz w:val="20"/>
                <w:lang w:val="fr-FR" w:eastAsia="zh-TW"/>
              </w:rPr>
              <w:t>3</w:t>
            </w:r>
            <w:r>
              <w:rPr>
                <w:sz w:val="20"/>
                <w:lang w:val="fr-FR" w:eastAsia="zh-TW"/>
              </w:rPr>
              <w:t>,</w:t>
            </w:r>
            <w:r w:rsidRPr="003B58FB">
              <w:rPr>
                <w:sz w:val="20"/>
                <w:lang w:val="fr-FR" w:eastAsia="zh-TW"/>
              </w:rPr>
              <w:t>66</w:t>
            </w:r>
          </w:p>
        </w:tc>
        <w:tc>
          <w:tcPr>
            <w:tcW w:w="2977" w:type="dxa"/>
            <w:tcBorders>
              <w:top w:val="single" w:sz="4" w:space="0" w:color="auto"/>
              <w:left w:val="single" w:sz="4" w:space="0" w:color="auto"/>
              <w:bottom w:val="single" w:sz="4" w:space="0" w:color="auto"/>
              <w:right w:val="single" w:sz="4" w:space="0" w:color="auto"/>
            </w:tcBorders>
          </w:tcPr>
          <w:p w14:paraId="5C72A6D3" w14:textId="77777777" w:rsidR="00E610D8" w:rsidRPr="003B58FB" w:rsidRDefault="00E610D8" w:rsidP="00274059">
            <w:pPr>
              <w:keepNext/>
              <w:spacing w:after="120"/>
              <w:jc w:val="center"/>
              <w:rPr>
                <w:sz w:val="20"/>
                <w:lang w:eastAsia="zh-TW"/>
              </w:rPr>
            </w:pPr>
            <w:r w:rsidRPr="003B58FB">
              <w:rPr>
                <w:sz w:val="20"/>
                <w:lang w:val="fr-FR" w:eastAsia="zh-TW"/>
              </w:rPr>
              <w:t>1</w:t>
            </w:r>
            <w:r>
              <w:rPr>
                <w:sz w:val="20"/>
                <w:lang w:val="fr-FR" w:eastAsia="zh-TW"/>
              </w:rPr>
              <w:t>,</w:t>
            </w:r>
            <w:r w:rsidRPr="003B58FB">
              <w:rPr>
                <w:sz w:val="20"/>
                <w:lang w:val="fr-FR" w:eastAsia="zh-TW"/>
              </w:rPr>
              <w:t>88</w:t>
            </w:r>
          </w:p>
        </w:tc>
      </w:tr>
      <w:tr w:rsidR="00E610D8" w:rsidRPr="003B58FB" w14:paraId="6136936C" w14:textId="77777777" w:rsidTr="00274059">
        <w:trPr>
          <w:cantSplit/>
          <w:trHeight w:val="331"/>
        </w:trPr>
        <w:tc>
          <w:tcPr>
            <w:tcW w:w="2835" w:type="dxa"/>
            <w:tcBorders>
              <w:top w:val="single" w:sz="4" w:space="0" w:color="auto"/>
              <w:left w:val="single" w:sz="4" w:space="0" w:color="auto"/>
              <w:bottom w:val="single" w:sz="4" w:space="0" w:color="auto"/>
              <w:right w:val="single" w:sz="4" w:space="0" w:color="auto"/>
            </w:tcBorders>
            <w:hideMark/>
          </w:tcPr>
          <w:p w14:paraId="27FD2935" w14:textId="77777777" w:rsidR="00E610D8" w:rsidRPr="003B58FB" w:rsidRDefault="00E610D8" w:rsidP="00274059">
            <w:pPr>
              <w:keepNext/>
              <w:spacing w:after="120"/>
              <w:rPr>
                <w:sz w:val="20"/>
                <w:lang w:eastAsia="zh-TW"/>
              </w:rPr>
            </w:pPr>
            <w:r w:rsidRPr="003B58FB">
              <w:rPr>
                <w:sz w:val="20"/>
                <w:lang w:eastAsia="zh-TW"/>
              </w:rPr>
              <w:t>C</w:t>
            </w:r>
            <w:r w:rsidRPr="003B58FB">
              <w:rPr>
                <w:sz w:val="20"/>
                <w:vertAlign w:val="subscript"/>
                <w:lang w:eastAsia="zh-TW"/>
              </w:rPr>
              <w:t>min</w:t>
            </w:r>
            <w:r>
              <w:rPr>
                <w:sz w:val="20"/>
                <w:vertAlign w:val="subscript"/>
                <w:lang w:eastAsia="zh-TW"/>
              </w:rPr>
              <w:t xml:space="preserve">  </w:t>
            </w:r>
            <w:r>
              <w:rPr>
                <w:sz w:val="20"/>
                <w:lang w:eastAsia="zh-TW"/>
              </w:rPr>
              <w:t>Acumulada</w:t>
            </w:r>
          </w:p>
        </w:tc>
        <w:tc>
          <w:tcPr>
            <w:tcW w:w="2977" w:type="dxa"/>
            <w:tcBorders>
              <w:top w:val="single" w:sz="4" w:space="0" w:color="auto"/>
              <w:left w:val="single" w:sz="4" w:space="0" w:color="auto"/>
              <w:bottom w:val="single" w:sz="4" w:space="0" w:color="auto"/>
              <w:right w:val="single" w:sz="4" w:space="0" w:color="auto"/>
            </w:tcBorders>
          </w:tcPr>
          <w:p w14:paraId="36229A5D" w14:textId="77777777" w:rsidR="00E610D8" w:rsidRPr="003B58FB" w:rsidRDefault="00E610D8" w:rsidP="00274059">
            <w:pPr>
              <w:keepNext/>
              <w:spacing w:after="120"/>
              <w:jc w:val="center"/>
              <w:rPr>
                <w:sz w:val="20"/>
                <w:lang w:eastAsia="zh-TW"/>
              </w:rPr>
            </w:pPr>
            <w:r w:rsidRPr="003B58FB">
              <w:rPr>
                <w:sz w:val="20"/>
                <w:lang w:eastAsia="zh-TW"/>
              </w:rPr>
              <w:t>4</w:t>
            </w:r>
            <w:r>
              <w:rPr>
                <w:sz w:val="20"/>
                <w:lang w:eastAsia="zh-TW"/>
              </w:rPr>
              <w:t>,</w:t>
            </w:r>
            <w:r w:rsidRPr="003B58FB">
              <w:rPr>
                <w:sz w:val="20"/>
                <w:lang w:eastAsia="zh-TW"/>
              </w:rPr>
              <w:t>39</w:t>
            </w:r>
          </w:p>
        </w:tc>
        <w:tc>
          <w:tcPr>
            <w:tcW w:w="2977" w:type="dxa"/>
            <w:tcBorders>
              <w:top w:val="single" w:sz="4" w:space="0" w:color="auto"/>
              <w:left w:val="single" w:sz="4" w:space="0" w:color="auto"/>
              <w:bottom w:val="single" w:sz="4" w:space="0" w:color="auto"/>
              <w:right w:val="single" w:sz="4" w:space="0" w:color="auto"/>
            </w:tcBorders>
          </w:tcPr>
          <w:p w14:paraId="6888BFE5" w14:textId="77777777" w:rsidR="00E610D8" w:rsidRPr="003B58FB" w:rsidRDefault="00E610D8" w:rsidP="00274059">
            <w:pPr>
              <w:keepNext/>
              <w:spacing w:after="120"/>
              <w:jc w:val="center"/>
              <w:rPr>
                <w:sz w:val="20"/>
                <w:lang w:eastAsia="zh-TW"/>
              </w:rPr>
            </w:pPr>
            <w:r w:rsidRPr="003B58FB">
              <w:rPr>
                <w:sz w:val="20"/>
                <w:lang w:eastAsia="zh-TW"/>
              </w:rPr>
              <w:t>3</w:t>
            </w:r>
            <w:r>
              <w:rPr>
                <w:sz w:val="20"/>
                <w:lang w:eastAsia="zh-TW"/>
              </w:rPr>
              <w:t>,</w:t>
            </w:r>
            <w:r w:rsidRPr="003B58FB">
              <w:rPr>
                <w:sz w:val="20"/>
                <w:lang w:eastAsia="zh-TW"/>
              </w:rPr>
              <w:t>21</w:t>
            </w:r>
          </w:p>
        </w:tc>
      </w:tr>
      <w:tr w:rsidR="00E610D8" w:rsidRPr="003B58FB" w14:paraId="53400DCC" w14:textId="77777777" w:rsidTr="00274059">
        <w:trPr>
          <w:cantSplit/>
          <w:trHeight w:val="331"/>
        </w:trPr>
        <w:tc>
          <w:tcPr>
            <w:tcW w:w="2835" w:type="dxa"/>
            <w:tcBorders>
              <w:top w:val="single" w:sz="4" w:space="0" w:color="auto"/>
              <w:left w:val="single" w:sz="4" w:space="0" w:color="auto"/>
              <w:bottom w:val="single" w:sz="4" w:space="0" w:color="auto"/>
              <w:right w:val="single" w:sz="4" w:space="0" w:color="auto"/>
            </w:tcBorders>
          </w:tcPr>
          <w:p w14:paraId="05C29145" w14:textId="77777777" w:rsidR="00E610D8" w:rsidRPr="003B58FB" w:rsidRDefault="00E610D8" w:rsidP="00274059">
            <w:pPr>
              <w:keepNext/>
              <w:spacing w:after="120"/>
              <w:rPr>
                <w:sz w:val="20"/>
                <w:lang w:eastAsia="zh-TW"/>
              </w:rPr>
            </w:pPr>
            <w:r w:rsidRPr="003B58FB">
              <w:rPr>
                <w:sz w:val="20"/>
                <w:lang w:eastAsia="zh-TW"/>
              </w:rPr>
              <w:t>C</w:t>
            </w:r>
            <w:r>
              <w:rPr>
                <w:sz w:val="20"/>
                <w:vertAlign w:val="subscript"/>
                <w:lang w:eastAsia="zh-TW"/>
              </w:rPr>
              <w:t>media</w:t>
            </w:r>
            <w:r>
              <w:rPr>
                <w:sz w:val="20"/>
                <w:lang w:eastAsia="zh-TW"/>
              </w:rPr>
              <w:t xml:space="preserve"> Acumulada o</w:t>
            </w:r>
            <w:r w:rsidRPr="003B58FB">
              <w:rPr>
                <w:sz w:val="20"/>
                <w:lang w:eastAsia="zh-TW"/>
              </w:rPr>
              <w:t xml:space="preserve"> AUC</w:t>
            </w:r>
            <w:r w:rsidRPr="003B58FB">
              <w:rPr>
                <w:sz w:val="20"/>
                <w:vertAlign w:val="subscript"/>
                <w:lang w:eastAsia="zh-TW"/>
              </w:rPr>
              <w:t>τ</w:t>
            </w:r>
            <w:r w:rsidRPr="003B58FB">
              <w:rPr>
                <w:sz w:val="20"/>
                <w:lang w:eastAsia="zh-TW"/>
              </w:rPr>
              <w:t>*</w:t>
            </w:r>
          </w:p>
        </w:tc>
        <w:tc>
          <w:tcPr>
            <w:tcW w:w="2977" w:type="dxa"/>
            <w:tcBorders>
              <w:top w:val="single" w:sz="4" w:space="0" w:color="auto"/>
              <w:left w:val="single" w:sz="4" w:space="0" w:color="auto"/>
              <w:bottom w:val="single" w:sz="4" w:space="0" w:color="auto"/>
              <w:right w:val="single" w:sz="4" w:space="0" w:color="auto"/>
            </w:tcBorders>
          </w:tcPr>
          <w:p w14:paraId="144BC149" w14:textId="77777777" w:rsidR="00E610D8" w:rsidRPr="003B58FB" w:rsidRDefault="00E610D8" w:rsidP="00274059">
            <w:pPr>
              <w:keepNext/>
              <w:spacing w:after="120"/>
              <w:jc w:val="center"/>
              <w:rPr>
                <w:sz w:val="20"/>
                <w:lang w:val="en-GB" w:eastAsia="zh-TW"/>
              </w:rPr>
            </w:pPr>
            <w:r w:rsidRPr="003B58FB">
              <w:rPr>
                <w:sz w:val="20"/>
                <w:lang w:val="en-GB" w:eastAsia="zh-TW"/>
              </w:rPr>
              <w:t>4</w:t>
            </w:r>
            <w:r>
              <w:rPr>
                <w:sz w:val="20"/>
                <w:lang w:val="en-GB" w:eastAsia="zh-TW"/>
              </w:rPr>
              <w:t>,</w:t>
            </w:r>
            <w:r w:rsidRPr="003B58FB">
              <w:rPr>
                <w:sz w:val="20"/>
                <w:lang w:val="en-GB" w:eastAsia="zh-TW"/>
              </w:rPr>
              <w:t>28</w:t>
            </w:r>
          </w:p>
        </w:tc>
        <w:tc>
          <w:tcPr>
            <w:tcW w:w="2977" w:type="dxa"/>
            <w:tcBorders>
              <w:top w:val="single" w:sz="4" w:space="0" w:color="auto"/>
              <w:left w:val="single" w:sz="4" w:space="0" w:color="auto"/>
              <w:bottom w:val="single" w:sz="4" w:space="0" w:color="auto"/>
              <w:right w:val="single" w:sz="4" w:space="0" w:color="auto"/>
            </w:tcBorders>
          </w:tcPr>
          <w:p w14:paraId="3942D05B" w14:textId="77777777" w:rsidR="00E610D8" w:rsidRPr="003B58FB" w:rsidRDefault="00E610D8" w:rsidP="00274059">
            <w:pPr>
              <w:keepNext/>
              <w:spacing w:after="120"/>
              <w:jc w:val="center"/>
              <w:rPr>
                <w:sz w:val="20"/>
                <w:lang w:val="en-GB" w:eastAsia="zh-TW"/>
              </w:rPr>
            </w:pPr>
            <w:r w:rsidRPr="003B58FB">
              <w:rPr>
                <w:sz w:val="20"/>
                <w:lang w:val="en-GB" w:eastAsia="zh-TW"/>
              </w:rPr>
              <w:t>2</w:t>
            </w:r>
            <w:r>
              <w:rPr>
                <w:sz w:val="20"/>
                <w:lang w:val="en-GB" w:eastAsia="zh-TW"/>
              </w:rPr>
              <w:t>,</w:t>
            </w:r>
            <w:r w:rsidRPr="003B58FB">
              <w:rPr>
                <w:sz w:val="20"/>
                <w:lang w:val="en-GB" w:eastAsia="zh-TW"/>
              </w:rPr>
              <w:t>27</w:t>
            </w:r>
          </w:p>
        </w:tc>
      </w:tr>
    </w:tbl>
    <w:p w14:paraId="5B5E23AC" w14:textId="566500A1" w:rsidR="00E610D8" w:rsidRDefault="00E610D8" w:rsidP="00E610D8">
      <w:pPr>
        <w:jc w:val="both"/>
        <w:rPr>
          <w:sz w:val="18"/>
          <w:szCs w:val="18"/>
          <w:lang w:val="es-ES" w:eastAsia="en-US"/>
        </w:rPr>
      </w:pPr>
      <w:r w:rsidRPr="00E576A0">
        <w:rPr>
          <w:sz w:val="18"/>
          <w:szCs w:val="18"/>
          <w:lang w:val="es-ES" w:eastAsia="en-US"/>
        </w:rPr>
        <w:t>*</w:t>
      </w:r>
      <w:r w:rsidRPr="003B58FB">
        <w:rPr>
          <w:sz w:val="18"/>
          <w:szCs w:val="18"/>
          <w:lang w:val="en-GB" w:eastAsia="en-US"/>
        </w:rPr>
        <w:t>τ</w:t>
      </w:r>
      <w:r w:rsidRPr="00E576A0">
        <w:rPr>
          <w:sz w:val="18"/>
          <w:szCs w:val="18"/>
          <w:lang w:val="es-ES" w:eastAsia="en-US"/>
        </w:rPr>
        <w:t xml:space="preserve"> = 1</w:t>
      </w:r>
      <w:r w:rsidR="00031422" w:rsidRPr="00F30AB8">
        <w:rPr>
          <w:sz w:val="18"/>
          <w:szCs w:val="18"/>
          <w:lang w:val="es-ES" w:eastAsia="en-US"/>
        </w:rPr>
        <w:t> </w:t>
      </w:r>
      <w:r w:rsidRPr="00E576A0">
        <w:rPr>
          <w:sz w:val="18"/>
          <w:szCs w:val="18"/>
          <w:lang w:val="es-ES" w:eastAsia="en-US"/>
        </w:rPr>
        <w:t>semana o 2</w:t>
      </w:r>
      <w:r w:rsidR="00031422" w:rsidRPr="00F30AB8">
        <w:rPr>
          <w:sz w:val="18"/>
          <w:szCs w:val="18"/>
          <w:lang w:val="es-ES" w:eastAsia="en-US"/>
        </w:rPr>
        <w:t> </w:t>
      </w:r>
      <w:r w:rsidRPr="00E576A0">
        <w:rPr>
          <w:sz w:val="18"/>
          <w:szCs w:val="18"/>
          <w:lang w:val="es-ES" w:eastAsia="en-US"/>
        </w:rPr>
        <w:t>semanas para los dos</w:t>
      </w:r>
      <w:ins w:id="2081" w:author="AUTHOR">
        <w:r w:rsidR="00B707BE" w:rsidRPr="00B707BE">
          <w:rPr>
            <w:sz w:val="18"/>
            <w:szCs w:val="18"/>
            <w:lang w:val="es-ES"/>
          </w:rPr>
          <w:t xml:space="preserve"> </w:t>
        </w:r>
        <w:r w:rsidR="00B707BE">
          <w:rPr>
            <w:sz w:val="18"/>
            <w:szCs w:val="18"/>
            <w:lang w:val="es-ES"/>
          </w:rPr>
          <w:t>pautas posológicas</w:t>
        </w:r>
      </w:ins>
      <w:del w:id="2082" w:author="AUTHOR">
        <w:r w:rsidRPr="00E576A0" w:rsidDel="00B707BE">
          <w:rPr>
            <w:sz w:val="18"/>
            <w:szCs w:val="18"/>
            <w:lang w:val="es-ES" w:eastAsia="en-US"/>
          </w:rPr>
          <w:delText xml:space="preserve"> regímenes</w:delText>
        </w:r>
      </w:del>
      <w:r w:rsidRPr="00E576A0">
        <w:rPr>
          <w:sz w:val="18"/>
          <w:szCs w:val="18"/>
          <w:lang w:val="es-ES" w:eastAsia="en-US"/>
        </w:rPr>
        <w:t xml:space="preserve"> </w:t>
      </w:r>
      <w:del w:id="2083" w:author="AUTHOR">
        <w:r w:rsidRPr="00E576A0" w:rsidDel="00B707BE">
          <w:rPr>
            <w:sz w:val="18"/>
            <w:szCs w:val="18"/>
            <w:lang w:val="es-ES" w:eastAsia="en-US"/>
          </w:rPr>
          <w:delText>SC</w:delText>
        </w:r>
      </w:del>
      <w:ins w:id="2084" w:author="AUTHOR">
        <w:r w:rsidR="00B707BE">
          <w:rPr>
            <w:sz w:val="18"/>
            <w:szCs w:val="18"/>
            <w:lang w:val="es-ES" w:eastAsia="en-US"/>
          </w:rPr>
          <w:t>subcutáneas</w:t>
        </w:r>
      </w:ins>
    </w:p>
    <w:p w14:paraId="458B7226" w14:textId="77777777" w:rsidR="00E610D8" w:rsidRPr="00E576A0" w:rsidRDefault="00E610D8" w:rsidP="00E610D8">
      <w:pPr>
        <w:jc w:val="both"/>
        <w:rPr>
          <w:sz w:val="18"/>
          <w:szCs w:val="18"/>
          <w:lang w:val="es-ES" w:eastAsia="en-US"/>
        </w:rPr>
      </w:pPr>
    </w:p>
    <w:p w14:paraId="11A6EE87" w14:textId="6B1EFD90" w:rsidR="00E610D8" w:rsidRDefault="00E610D8" w:rsidP="00E610D8">
      <w:pPr>
        <w:rPr>
          <w:rFonts w:eastAsia="SimSun"/>
          <w:lang w:val="es-ES" w:eastAsia="zh-CN"/>
        </w:rPr>
      </w:pPr>
      <w:r w:rsidRPr="00D367DE">
        <w:rPr>
          <w:rFonts w:eastAsia="SimSun"/>
          <w:lang w:val="es-ES" w:eastAsia="zh-CN"/>
        </w:rPr>
        <w:lastRenderedPageBreak/>
        <w:t xml:space="preserve">Después de la dosificación </w:t>
      </w:r>
      <w:r w:rsidR="00E7158F" w:rsidRPr="00E7158F">
        <w:rPr>
          <w:rFonts w:eastAsia="SimSun"/>
          <w:lang w:val="es-ES" w:eastAsia="zh-CN"/>
        </w:rPr>
        <w:t>subcutánea</w:t>
      </w:r>
      <w:r w:rsidRPr="00D367DE">
        <w:rPr>
          <w:rFonts w:eastAsia="SimSun"/>
          <w:lang w:val="es-ES" w:eastAsia="zh-CN"/>
        </w:rPr>
        <w:t>, aproximadamente el 90% del estado esta</w:t>
      </w:r>
      <w:r>
        <w:rPr>
          <w:rFonts w:eastAsia="SimSun"/>
          <w:lang w:val="es-ES" w:eastAsia="zh-CN"/>
        </w:rPr>
        <w:t>cionario</w:t>
      </w:r>
      <w:r w:rsidRPr="00D367DE">
        <w:rPr>
          <w:rFonts w:eastAsia="SimSun"/>
          <w:lang w:val="es-ES" w:eastAsia="zh-CN"/>
        </w:rPr>
        <w:t xml:space="preserve"> se alcanzó en la </w:t>
      </w:r>
      <w:proofErr w:type="gramStart"/>
      <w:r w:rsidRPr="00D367DE">
        <w:rPr>
          <w:rFonts w:eastAsia="SimSun"/>
          <w:lang w:val="es-ES" w:eastAsia="zh-CN"/>
        </w:rPr>
        <w:t>semana</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12</w:t>
      </w:r>
      <w:proofErr w:type="gramEnd"/>
      <w:r w:rsidRPr="00D367DE">
        <w:rPr>
          <w:rFonts w:eastAsia="SimSun"/>
          <w:lang w:val="es-ES" w:eastAsia="zh-CN"/>
        </w:rPr>
        <w:t xml:space="preserve"> para ambos regímenes </w:t>
      </w:r>
      <w:r>
        <w:rPr>
          <w:rFonts w:eastAsia="SimSun"/>
          <w:lang w:val="es-ES" w:eastAsia="zh-CN"/>
        </w:rPr>
        <w:t>QW y Q2</w:t>
      </w:r>
      <w:r w:rsidRPr="00D367DE">
        <w:rPr>
          <w:rFonts w:eastAsia="SimSun"/>
          <w:lang w:val="es-ES" w:eastAsia="zh-CN"/>
        </w:rPr>
        <w:t>W</w:t>
      </w:r>
      <w:r>
        <w:rPr>
          <w:rFonts w:eastAsia="SimSun"/>
          <w:lang w:val="es-ES" w:eastAsia="zh-CN"/>
        </w:rPr>
        <w:t xml:space="preserve"> de </w:t>
      </w:r>
      <w:r w:rsidRPr="00D367DE">
        <w:rPr>
          <w:rFonts w:eastAsia="SimSun"/>
          <w:lang w:val="es-ES" w:eastAsia="zh-CN"/>
        </w:rPr>
        <w:t>162</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mg</w:t>
      </w:r>
      <w:r>
        <w:rPr>
          <w:rFonts w:eastAsia="SimSun"/>
          <w:lang w:val="es-ES" w:eastAsia="zh-CN"/>
        </w:rPr>
        <w:t>.</w:t>
      </w:r>
    </w:p>
    <w:p w14:paraId="4C1978E6" w14:textId="77777777" w:rsidR="00E610D8" w:rsidRDefault="00E610D8" w:rsidP="00E610D8">
      <w:pPr>
        <w:rPr>
          <w:rFonts w:eastAsia="SimSun"/>
          <w:lang w:val="es-ES" w:eastAsia="zh-CN"/>
        </w:rPr>
      </w:pPr>
    </w:p>
    <w:p w14:paraId="083FF0D1" w14:textId="77777777" w:rsidR="00E610D8" w:rsidRPr="00F30AB8" w:rsidRDefault="00E610D8" w:rsidP="003569D6">
      <w:pPr>
        <w:keepNext/>
        <w:rPr>
          <w:rFonts w:eastAsia="SimSun"/>
          <w:i/>
          <w:u w:val="single"/>
          <w:lang w:val="es-ES" w:eastAsia="zh-CN"/>
        </w:rPr>
      </w:pPr>
      <w:r w:rsidRPr="00F30AB8">
        <w:rPr>
          <w:rFonts w:eastAsia="SimSun"/>
          <w:i/>
          <w:u w:val="single"/>
          <w:lang w:val="es-ES" w:eastAsia="zh-CN"/>
        </w:rPr>
        <w:t>Absorción</w:t>
      </w:r>
    </w:p>
    <w:p w14:paraId="18062C90" w14:textId="2BEA5887" w:rsidR="00E610D8" w:rsidRDefault="00E610D8" w:rsidP="00E610D8">
      <w:pPr>
        <w:outlineLvl w:val="0"/>
        <w:rPr>
          <w:iCs/>
          <w:lang w:val="es-ES_tradnl"/>
        </w:rPr>
      </w:pPr>
      <w:r>
        <w:rPr>
          <w:iCs/>
          <w:lang w:val="es-ES_tradnl"/>
        </w:rPr>
        <w:t xml:space="preserve">En pacientes con AIJs después de la administración de la dosis </w:t>
      </w:r>
      <w:r w:rsidR="00E7158F">
        <w:rPr>
          <w:rFonts w:eastAsia="SimSun"/>
          <w:lang w:val="es-ES" w:eastAsia="zh-CN"/>
        </w:rPr>
        <w:t>subcutánea</w:t>
      </w:r>
      <w:r w:rsidRPr="00D367DE">
        <w:rPr>
          <w:iCs/>
          <w:lang w:val="es-ES_tradnl"/>
        </w:rPr>
        <w:t>, la vida medi</w:t>
      </w:r>
      <w:r>
        <w:rPr>
          <w:iCs/>
          <w:lang w:val="es-ES_tradnl"/>
        </w:rPr>
        <w:t>a de absorción fue de aproximadamente</w:t>
      </w:r>
      <w:r w:rsidRPr="00D367DE">
        <w:rPr>
          <w:iCs/>
          <w:lang w:val="es-ES_tradnl"/>
        </w:rPr>
        <w:t xml:space="preserve"> </w:t>
      </w:r>
      <w:proofErr w:type="gramStart"/>
      <w:r w:rsidRPr="00D367DE">
        <w:rPr>
          <w:iCs/>
          <w:lang w:val="es-ES_tradnl"/>
        </w:rPr>
        <w:t>2</w:t>
      </w:r>
      <w:r w:rsidR="00031422" w:rsidRPr="00F30AB8">
        <w:rPr>
          <w:szCs w:val="22"/>
          <w:lang w:val="es-ES"/>
        </w:rPr>
        <w:t> </w:t>
      </w:r>
      <w:r w:rsidR="00031422" w:rsidRPr="00D367DE" w:rsidDel="00031422">
        <w:rPr>
          <w:iCs/>
          <w:lang w:val="es-ES_tradnl"/>
        </w:rPr>
        <w:t xml:space="preserve"> </w:t>
      </w:r>
      <w:r w:rsidRPr="00D367DE">
        <w:rPr>
          <w:iCs/>
          <w:lang w:val="es-ES_tradnl"/>
        </w:rPr>
        <w:t>días</w:t>
      </w:r>
      <w:proofErr w:type="gramEnd"/>
      <w:r w:rsidRPr="00D367DE">
        <w:rPr>
          <w:iCs/>
          <w:lang w:val="es-ES_tradnl"/>
        </w:rPr>
        <w:t xml:space="preserve">, y la biodisponibilidad </w:t>
      </w:r>
      <w:r>
        <w:rPr>
          <w:iCs/>
          <w:lang w:val="es-ES_tradnl"/>
        </w:rPr>
        <w:t>en</w:t>
      </w:r>
      <w:r w:rsidRPr="00D367DE">
        <w:rPr>
          <w:iCs/>
          <w:lang w:val="es-ES_tradnl"/>
        </w:rPr>
        <w:t xml:space="preserve"> la for</w:t>
      </w:r>
      <w:r>
        <w:rPr>
          <w:iCs/>
          <w:lang w:val="es-ES_tradnl"/>
        </w:rPr>
        <w:t xml:space="preserve">mulación </w:t>
      </w:r>
      <w:r w:rsidR="00E7158F">
        <w:rPr>
          <w:rFonts w:eastAsia="SimSun"/>
          <w:lang w:val="es-ES" w:eastAsia="zh-CN"/>
        </w:rPr>
        <w:t>subcutánea</w:t>
      </w:r>
      <w:r>
        <w:rPr>
          <w:iCs/>
          <w:lang w:val="es-ES_tradnl"/>
        </w:rPr>
        <w:t xml:space="preserve"> en pacientes con </w:t>
      </w:r>
      <w:r w:rsidRPr="00D367DE">
        <w:rPr>
          <w:iCs/>
          <w:lang w:val="es-ES_tradnl"/>
        </w:rPr>
        <w:t>A</w:t>
      </w:r>
      <w:r>
        <w:rPr>
          <w:iCs/>
          <w:lang w:val="es-ES_tradnl"/>
        </w:rPr>
        <w:t>IJs fue del 95</w:t>
      </w:r>
      <w:r w:rsidRPr="00D367DE">
        <w:rPr>
          <w:iCs/>
          <w:lang w:val="es-ES_tradnl"/>
        </w:rPr>
        <w:t>%.</w:t>
      </w:r>
    </w:p>
    <w:p w14:paraId="3FE8515A" w14:textId="77777777" w:rsidR="00E610D8" w:rsidRPr="000D2A86" w:rsidRDefault="00E610D8" w:rsidP="00E610D8">
      <w:pPr>
        <w:outlineLvl w:val="0"/>
        <w:rPr>
          <w:iCs/>
          <w:lang w:val="es-ES_tradnl"/>
        </w:rPr>
      </w:pPr>
    </w:p>
    <w:p w14:paraId="4E85B6A5" w14:textId="77777777" w:rsidR="00E610D8" w:rsidRPr="00F30AB8" w:rsidRDefault="00E610D8" w:rsidP="00FF2AFA">
      <w:pPr>
        <w:keepNext/>
        <w:keepLines/>
        <w:rPr>
          <w:rFonts w:eastAsia="SimSun"/>
          <w:i/>
          <w:u w:val="single"/>
          <w:lang w:val="es-ES" w:eastAsia="zh-CN"/>
        </w:rPr>
      </w:pPr>
      <w:r w:rsidRPr="00F30AB8">
        <w:rPr>
          <w:rFonts w:eastAsia="SimSun"/>
          <w:i/>
          <w:u w:val="single"/>
          <w:lang w:val="es-ES" w:eastAsia="zh-CN"/>
        </w:rPr>
        <w:t>Distribución</w:t>
      </w:r>
    </w:p>
    <w:p w14:paraId="7ABCC6AF" w14:textId="335E5F12" w:rsidR="00E610D8" w:rsidRPr="000D2A86" w:rsidRDefault="00E610D8" w:rsidP="00FF2AFA">
      <w:pPr>
        <w:keepNext/>
        <w:keepLines/>
        <w:outlineLvl w:val="0"/>
        <w:rPr>
          <w:iCs/>
          <w:lang w:val="es-ES_tradnl"/>
        </w:rPr>
      </w:pPr>
      <w:r>
        <w:rPr>
          <w:iCs/>
          <w:lang w:val="es-ES_tradnl"/>
        </w:rPr>
        <w:t>En pacientes pediátricos con AIJs, el volumen central de distribución fue de 1,</w:t>
      </w:r>
      <w:proofErr w:type="gramStart"/>
      <w:r>
        <w:rPr>
          <w:iCs/>
          <w:lang w:val="es-ES_tradnl"/>
        </w:rPr>
        <w:t>87</w:t>
      </w:r>
      <w:r w:rsidR="00031422" w:rsidRPr="00F30AB8">
        <w:rPr>
          <w:szCs w:val="22"/>
          <w:lang w:val="es-ES"/>
        </w:rPr>
        <w:t> </w:t>
      </w:r>
      <w:r w:rsidR="00031422" w:rsidDel="00031422">
        <w:rPr>
          <w:iCs/>
          <w:lang w:val="es-ES_tradnl"/>
        </w:rPr>
        <w:t xml:space="preserve"> </w:t>
      </w:r>
      <w:r>
        <w:rPr>
          <w:iCs/>
          <w:lang w:val="es-ES_tradnl"/>
        </w:rPr>
        <w:t>l</w:t>
      </w:r>
      <w:proofErr w:type="gramEnd"/>
      <w:r>
        <w:rPr>
          <w:iCs/>
          <w:lang w:val="es-ES_tradnl"/>
        </w:rPr>
        <w:t>, el volumen periférico de distribución fue de 2,14</w:t>
      </w:r>
      <w:r w:rsidR="00031422" w:rsidRPr="00F30AB8">
        <w:rPr>
          <w:szCs w:val="22"/>
          <w:lang w:val="es-ES"/>
        </w:rPr>
        <w:t> </w:t>
      </w:r>
      <w:r w:rsidR="00031422" w:rsidDel="00031422">
        <w:rPr>
          <w:iCs/>
          <w:lang w:val="es-ES_tradnl"/>
        </w:rPr>
        <w:t xml:space="preserve"> </w:t>
      </w:r>
      <w:r>
        <w:rPr>
          <w:iCs/>
          <w:lang w:val="es-ES_tradnl"/>
        </w:rPr>
        <w:t>l, resultando en un volumen de distribución en estado estacionario de 4,01</w:t>
      </w:r>
      <w:r w:rsidR="00031422" w:rsidRPr="00F30AB8">
        <w:rPr>
          <w:szCs w:val="22"/>
          <w:lang w:val="es-ES"/>
        </w:rPr>
        <w:t> </w:t>
      </w:r>
      <w:r w:rsidR="00031422" w:rsidDel="00031422">
        <w:rPr>
          <w:iCs/>
          <w:lang w:val="es-ES_tradnl"/>
        </w:rPr>
        <w:t xml:space="preserve"> </w:t>
      </w:r>
      <w:r>
        <w:rPr>
          <w:iCs/>
          <w:lang w:val="es-ES_tradnl"/>
        </w:rPr>
        <w:t>l.</w:t>
      </w:r>
    </w:p>
    <w:p w14:paraId="371F133F" w14:textId="77777777" w:rsidR="00E610D8" w:rsidRPr="000D2A86" w:rsidRDefault="00E610D8" w:rsidP="00E610D8">
      <w:pPr>
        <w:rPr>
          <w:rFonts w:eastAsia="SimSun"/>
          <w:lang w:val="es-ES_tradnl" w:eastAsia="zh-CN"/>
        </w:rPr>
      </w:pPr>
    </w:p>
    <w:p w14:paraId="3E32327A" w14:textId="77777777" w:rsidR="00E610D8" w:rsidRPr="00F30AB8" w:rsidRDefault="00E610D8" w:rsidP="00E610D8">
      <w:pPr>
        <w:rPr>
          <w:rFonts w:eastAsia="SimSun"/>
          <w:i/>
          <w:u w:val="single"/>
          <w:lang w:val="es-ES" w:eastAsia="zh-CN"/>
        </w:rPr>
      </w:pPr>
      <w:r w:rsidRPr="00F30AB8">
        <w:rPr>
          <w:rFonts w:eastAsia="SimSun"/>
          <w:i/>
          <w:u w:val="single"/>
          <w:lang w:val="es-ES" w:eastAsia="zh-CN"/>
        </w:rPr>
        <w:t>Eliminación</w:t>
      </w:r>
    </w:p>
    <w:p w14:paraId="26C73CF3" w14:textId="567D65BD" w:rsidR="00E610D8" w:rsidRDefault="00E610D8" w:rsidP="00E610D8">
      <w:pPr>
        <w:outlineLvl w:val="0"/>
        <w:rPr>
          <w:lang w:val="es-ES_tradnl"/>
        </w:rPr>
      </w:pPr>
      <w:r w:rsidRPr="00FA0A14">
        <w:rPr>
          <w:lang w:val="es-ES_tradnl"/>
        </w:rPr>
        <w:t>El aclaramiento total de tocilizumab fue dependiente de la concentración y es la suma del aclaramiento lineal y el no lineal.</w:t>
      </w:r>
      <w:r w:rsidRPr="001A33F0">
        <w:rPr>
          <w:lang w:val="es-ES"/>
        </w:rPr>
        <w:t xml:space="preserve"> </w:t>
      </w:r>
      <w:r w:rsidRPr="001A33F0">
        <w:rPr>
          <w:lang w:val="es-ES_tradnl"/>
        </w:rPr>
        <w:t>El aclaramiento lineal se estimó como parámetro en el análisis farmacocinétic</w:t>
      </w:r>
      <w:r>
        <w:rPr>
          <w:lang w:val="es-ES_tradnl"/>
        </w:rPr>
        <w:t>o</w:t>
      </w:r>
      <w:r w:rsidRPr="001A33F0">
        <w:rPr>
          <w:lang w:val="es-ES_tradnl"/>
        </w:rPr>
        <w:t xml:space="preserve"> de poblaciones y fue de </w:t>
      </w:r>
      <w:r>
        <w:rPr>
          <w:lang w:val="es-ES_tradnl"/>
        </w:rPr>
        <w:t>5,7</w:t>
      </w:r>
      <w:r w:rsidRPr="00546572">
        <w:rPr>
          <w:lang w:val="es-ES_tradnl"/>
        </w:rPr>
        <w:t> ml/h</w:t>
      </w:r>
      <w:r>
        <w:rPr>
          <w:lang w:val="es-ES_tradnl"/>
        </w:rPr>
        <w:t xml:space="preserve"> en pacientes pediátricos con artritis idiopática juvenil sistémica. Después de la administración subcutánea, l</w:t>
      </w:r>
      <w:r>
        <w:rPr>
          <w:iCs/>
          <w:lang w:val="es-ES"/>
        </w:rPr>
        <w:t xml:space="preserve">a </w:t>
      </w:r>
      <w:r w:rsidRPr="00B13740">
        <w:rPr>
          <w:lang w:val="es-ES"/>
        </w:rPr>
        <w:t>t</w:t>
      </w:r>
      <w:r w:rsidRPr="00B13740">
        <w:rPr>
          <w:vertAlign w:val="subscript"/>
          <w:lang w:val="es-ES"/>
        </w:rPr>
        <w:t>1/2</w:t>
      </w:r>
      <w:r>
        <w:rPr>
          <w:lang w:val="es-ES"/>
        </w:rPr>
        <w:t xml:space="preserve"> efectiva de </w:t>
      </w:r>
      <w:r w:rsidR="00E7158F">
        <w:rPr>
          <w:lang w:val="es-ES"/>
        </w:rPr>
        <w:t xml:space="preserve">tocilizumab </w:t>
      </w:r>
      <w:r>
        <w:rPr>
          <w:lang w:val="es-ES"/>
        </w:rPr>
        <w:t xml:space="preserve">en pacientes con AIJs es de hasta </w:t>
      </w:r>
      <w:proofErr w:type="gramStart"/>
      <w:r>
        <w:rPr>
          <w:lang w:val="es-ES"/>
        </w:rPr>
        <w:t>14</w:t>
      </w:r>
      <w:r w:rsidR="00031422" w:rsidRPr="00F30AB8">
        <w:rPr>
          <w:szCs w:val="22"/>
          <w:lang w:val="es-ES"/>
        </w:rPr>
        <w:t> </w:t>
      </w:r>
      <w:r w:rsidR="00031422" w:rsidDel="00031422">
        <w:rPr>
          <w:lang w:val="es-ES"/>
        </w:rPr>
        <w:t xml:space="preserve"> </w:t>
      </w:r>
      <w:r>
        <w:rPr>
          <w:lang w:val="es-ES"/>
        </w:rPr>
        <w:t>días</w:t>
      </w:r>
      <w:proofErr w:type="gramEnd"/>
      <w:r>
        <w:rPr>
          <w:lang w:val="es-ES"/>
        </w:rPr>
        <w:t xml:space="preserve"> para ambos regímenes QW y Q2Q de 162</w:t>
      </w:r>
      <w:r w:rsidR="00031422" w:rsidRPr="00F30AB8">
        <w:rPr>
          <w:szCs w:val="22"/>
          <w:lang w:val="es-ES"/>
        </w:rPr>
        <w:t> </w:t>
      </w:r>
      <w:r w:rsidR="00031422" w:rsidDel="00031422">
        <w:rPr>
          <w:lang w:val="es-ES"/>
        </w:rPr>
        <w:t xml:space="preserve"> </w:t>
      </w:r>
      <w:r>
        <w:rPr>
          <w:lang w:val="es-ES"/>
        </w:rPr>
        <w:t>mg</w:t>
      </w:r>
      <w:r>
        <w:rPr>
          <w:iCs/>
          <w:lang w:val="es-ES"/>
        </w:rPr>
        <w:t xml:space="preserve"> </w:t>
      </w:r>
      <w:r w:rsidRPr="009847A8">
        <w:rPr>
          <w:lang w:val="es-ES"/>
        </w:rPr>
        <w:t>durante un intervalo de dosis en estado estacionario</w:t>
      </w:r>
      <w:r>
        <w:rPr>
          <w:lang w:val="es-ES"/>
        </w:rPr>
        <w:t>.</w:t>
      </w:r>
    </w:p>
    <w:p w14:paraId="447A0CD2" w14:textId="77777777" w:rsidR="00E610D8" w:rsidRPr="006D15E3" w:rsidRDefault="00E610D8" w:rsidP="00E610D8">
      <w:pPr>
        <w:rPr>
          <w:rFonts w:eastAsia="SimSun"/>
          <w:lang w:val="es-ES" w:eastAsia="zh-CN"/>
        </w:rPr>
      </w:pPr>
    </w:p>
    <w:p w14:paraId="532C3EAB" w14:textId="77777777" w:rsidR="00411076" w:rsidRPr="00467FFD" w:rsidRDefault="00411076" w:rsidP="00411076">
      <w:pPr>
        <w:outlineLvl w:val="0"/>
        <w:rPr>
          <w:ins w:id="2085" w:author="AUTHOR"/>
          <w:iCs/>
          <w:u w:val="single"/>
          <w:lang w:val="es-ES"/>
          <w:rPrChange w:id="2086" w:author="AUTHOR">
            <w:rPr>
              <w:ins w:id="2087" w:author="AUTHOR"/>
              <w:i/>
              <w:lang w:val="es-ES"/>
            </w:rPr>
          </w:rPrChange>
        </w:rPr>
      </w:pPr>
      <w:ins w:id="2088" w:author="AUTHOR">
        <w:r w:rsidRPr="00467FFD">
          <w:rPr>
            <w:iCs/>
            <w:u w:val="single"/>
            <w:lang w:val="es-ES"/>
            <w:rPrChange w:id="2089" w:author="AUTHOR">
              <w:rPr>
                <w:i/>
                <w:lang w:val="es-ES"/>
              </w:rPr>
            </w:rPrChange>
          </w:rPr>
          <w:t>Uso subcutáneo</w:t>
        </w:r>
      </w:ins>
    </w:p>
    <w:p w14:paraId="194AA643" w14:textId="77777777" w:rsidR="00E610D8" w:rsidRPr="00467FFD" w:rsidRDefault="00E7158F" w:rsidP="00E610D8">
      <w:pPr>
        <w:outlineLvl w:val="0"/>
        <w:rPr>
          <w:i/>
          <w:lang w:val="es-ES"/>
          <w:rPrChange w:id="2090" w:author="AUTHOR">
            <w:rPr>
              <w:iCs/>
              <w:u w:val="single"/>
              <w:lang w:val="es-ES"/>
            </w:rPr>
          </w:rPrChange>
        </w:rPr>
      </w:pPr>
      <w:r w:rsidRPr="00467FFD">
        <w:rPr>
          <w:i/>
          <w:lang w:val="es-ES"/>
          <w:rPrChange w:id="2091" w:author="AUTHOR">
            <w:rPr>
              <w:iCs/>
              <w:u w:val="single"/>
              <w:lang w:val="es-ES"/>
            </w:rPr>
          </w:rPrChange>
        </w:rPr>
        <w:t xml:space="preserve">Pacientes con </w:t>
      </w:r>
      <w:r w:rsidR="00E610D8" w:rsidRPr="00467FFD">
        <w:rPr>
          <w:i/>
          <w:lang w:val="es-ES"/>
          <w:rPrChange w:id="2092" w:author="AUTHOR">
            <w:rPr>
              <w:iCs/>
              <w:u w:val="single"/>
              <w:lang w:val="es-ES"/>
            </w:rPr>
          </w:rPrChange>
        </w:rPr>
        <w:t>AIJp</w:t>
      </w:r>
    </w:p>
    <w:p w14:paraId="5FD9273D" w14:textId="4BD3861A" w:rsidR="00E7158F" w:rsidDel="00411076" w:rsidRDefault="00E7158F" w:rsidP="00E610D8">
      <w:pPr>
        <w:outlineLvl w:val="0"/>
        <w:rPr>
          <w:del w:id="2093" w:author="AUTHOR"/>
          <w:iCs/>
          <w:u w:val="single"/>
          <w:lang w:val="es-ES"/>
        </w:rPr>
      </w:pPr>
    </w:p>
    <w:p w14:paraId="28C33344" w14:textId="1CD0B56E" w:rsidR="00E610D8" w:rsidRPr="00F30AB8" w:rsidDel="00411076" w:rsidRDefault="00E610D8" w:rsidP="00E610D8">
      <w:pPr>
        <w:outlineLvl w:val="0"/>
        <w:rPr>
          <w:del w:id="2094" w:author="AUTHOR"/>
          <w:i/>
          <w:lang w:val="es-ES"/>
        </w:rPr>
      </w:pPr>
      <w:del w:id="2095" w:author="AUTHOR">
        <w:r w:rsidRPr="00F30AB8" w:rsidDel="00411076">
          <w:rPr>
            <w:i/>
            <w:lang w:val="es-ES"/>
          </w:rPr>
          <w:delText>Uso subcutáneo</w:delText>
        </w:r>
      </w:del>
    </w:p>
    <w:p w14:paraId="639284F4" w14:textId="24E1F73D" w:rsidR="00E610D8" w:rsidRDefault="00E610D8" w:rsidP="00E610D8">
      <w:pPr>
        <w:rPr>
          <w:rFonts w:eastAsia="SimSun"/>
          <w:lang w:val="es-ES" w:eastAsia="zh-CN"/>
        </w:rPr>
      </w:pPr>
      <w:r>
        <w:rPr>
          <w:rFonts w:eastAsia="SimSun"/>
          <w:lang w:val="es-ES" w:eastAsia="zh-CN"/>
        </w:rPr>
        <w:t xml:space="preserve">En pacientes con </w:t>
      </w:r>
      <w:r w:rsidRPr="00D367DE">
        <w:rPr>
          <w:rFonts w:eastAsia="SimSun"/>
          <w:lang w:val="es-ES" w:eastAsia="zh-CN"/>
        </w:rPr>
        <w:t>A</w:t>
      </w:r>
      <w:r>
        <w:rPr>
          <w:rFonts w:eastAsia="SimSun"/>
          <w:lang w:val="es-ES" w:eastAsia="zh-CN"/>
        </w:rPr>
        <w:t>IJp</w:t>
      </w:r>
      <w:r w:rsidRPr="00D367DE">
        <w:rPr>
          <w:rFonts w:eastAsia="SimSun"/>
          <w:lang w:val="es-ES" w:eastAsia="zh-CN"/>
        </w:rPr>
        <w:t xml:space="preserve"> </w:t>
      </w:r>
      <w:r>
        <w:rPr>
          <w:rFonts w:eastAsia="SimSun"/>
          <w:lang w:val="es-ES" w:eastAsia="zh-CN"/>
        </w:rPr>
        <w:t>l</w:t>
      </w:r>
      <w:r w:rsidRPr="00D367DE">
        <w:rPr>
          <w:rFonts w:eastAsia="SimSun"/>
          <w:lang w:val="es-ES" w:eastAsia="zh-CN"/>
        </w:rPr>
        <w:t>a farmacocinética d</w:t>
      </w:r>
      <w:r>
        <w:rPr>
          <w:rFonts w:eastAsia="SimSun"/>
          <w:lang w:val="es-ES" w:eastAsia="zh-CN"/>
        </w:rPr>
        <w:t xml:space="preserve">e </w:t>
      </w:r>
      <w:r w:rsidR="00E7158F" w:rsidRPr="00F30AB8">
        <w:rPr>
          <w:szCs w:val="22"/>
          <w:lang w:val="es-ES"/>
        </w:rPr>
        <w:t>tocilizumab</w:t>
      </w:r>
      <w:r>
        <w:rPr>
          <w:rFonts w:eastAsia="SimSun"/>
          <w:lang w:val="es-ES" w:eastAsia="zh-CN"/>
        </w:rPr>
        <w:t xml:space="preserve"> se caracterizó en</w:t>
      </w:r>
      <w:r w:rsidRPr="00D367DE">
        <w:rPr>
          <w:rFonts w:eastAsia="SimSun"/>
          <w:lang w:val="es-ES" w:eastAsia="zh-CN"/>
        </w:rPr>
        <w:t xml:space="preserve"> un análisis farmacocinético poblacional que incluyó 237</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pacientes</w:t>
      </w:r>
      <w:r>
        <w:rPr>
          <w:rFonts w:eastAsia="SimSun"/>
          <w:lang w:val="es-ES" w:eastAsia="zh-CN"/>
        </w:rPr>
        <w:t xml:space="preserve"> que fueron tratados con una dosis de 8</w:t>
      </w:r>
      <w:r w:rsidR="00031422" w:rsidRPr="00F30AB8">
        <w:rPr>
          <w:szCs w:val="22"/>
          <w:lang w:val="es-ES"/>
        </w:rPr>
        <w:t> </w:t>
      </w:r>
      <w:r w:rsidR="00031422" w:rsidDel="00031422">
        <w:rPr>
          <w:rFonts w:eastAsia="SimSun"/>
          <w:lang w:val="es-ES" w:eastAsia="zh-CN"/>
        </w:rPr>
        <w:t xml:space="preserve">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E7158F">
        <w:rPr>
          <w:rFonts w:eastAsia="SimSun"/>
          <w:lang w:val="es-ES" w:eastAsia="zh-CN"/>
        </w:rPr>
        <w:t>intravenosa</w:t>
      </w:r>
      <w:r w:rsidRPr="00D367DE">
        <w:rPr>
          <w:rFonts w:eastAsia="SimSun"/>
          <w:lang w:val="es-ES" w:eastAsia="zh-CN"/>
        </w:rPr>
        <w:t xml:space="preserve"> cada 4</w:t>
      </w:r>
      <w:r w:rsidR="00D91776">
        <w:rPr>
          <w:rFonts w:eastAsia="SimSun"/>
          <w:lang w:val="es-ES" w:eastAsia="zh-CN"/>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w:t>
      </w:r>
      <w:r>
        <w:rPr>
          <w:rFonts w:eastAsia="SimSun"/>
          <w:lang w:val="es-ES" w:eastAsia="zh-CN"/>
        </w:rPr>
        <w:t>tes con un peso ≥ 30</w:t>
      </w:r>
      <w:r w:rsidR="00031422" w:rsidRPr="00F30AB8">
        <w:rPr>
          <w:szCs w:val="22"/>
          <w:lang w:val="es-ES"/>
        </w:rPr>
        <w:t> </w:t>
      </w:r>
      <w:r w:rsidR="00031422" w:rsidDel="00031422">
        <w:rPr>
          <w:rFonts w:eastAsia="SimSun"/>
          <w:lang w:val="es-ES" w:eastAsia="zh-CN"/>
        </w:rPr>
        <w:t xml:space="preserve"> </w:t>
      </w:r>
      <w:r>
        <w:rPr>
          <w:rFonts w:eastAsia="SimSun"/>
          <w:lang w:val="es-ES" w:eastAsia="zh-CN"/>
        </w:rPr>
        <w:t>kg), 10</w:t>
      </w:r>
      <w:r w:rsidR="00031422" w:rsidRPr="00F30AB8">
        <w:rPr>
          <w:szCs w:val="22"/>
          <w:lang w:val="es-ES"/>
        </w:rPr>
        <w:t> </w:t>
      </w:r>
      <w:r w:rsidR="00031422" w:rsidDel="00031422">
        <w:rPr>
          <w:rFonts w:eastAsia="SimSun"/>
          <w:lang w:val="es-ES" w:eastAsia="zh-CN"/>
        </w:rPr>
        <w:t xml:space="preserve"> </w:t>
      </w:r>
      <w:r>
        <w:rPr>
          <w:rFonts w:eastAsia="SimSun"/>
          <w:lang w:val="es-ES" w:eastAsia="zh-CN"/>
        </w:rPr>
        <w:t>mg/</w:t>
      </w:r>
      <w:r w:rsidRPr="00D367DE">
        <w:rPr>
          <w:rFonts w:eastAsia="SimSun"/>
          <w:lang w:val="es-ES" w:eastAsia="zh-CN"/>
        </w:rPr>
        <w:t xml:space="preserve">kg </w:t>
      </w:r>
      <w:r>
        <w:rPr>
          <w:rFonts w:eastAsia="SimSun"/>
          <w:lang w:val="es-ES" w:eastAsia="zh-CN"/>
        </w:rPr>
        <w:t xml:space="preserve">por vía </w:t>
      </w:r>
      <w:r w:rsidR="00E7158F">
        <w:rPr>
          <w:rFonts w:eastAsia="SimSun"/>
          <w:lang w:val="es-ES" w:eastAsia="zh-CN"/>
        </w:rPr>
        <w:t>intravenosa</w:t>
      </w:r>
      <w:r w:rsidR="00E7158F" w:rsidRPr="00D367DE">
        <w:rPr>
          <w:rFonts w:eastAsia="SimSun"/>
          <w:lang w:val="es-ES" w:eastAsia="zh-CN"/>
        </w:rPr>
        <w:t xml:space="preserve"> </w:t>
      </w:r>
      <w:r w:rsidRPr="00D367DE">
        <w:rPr>
          <w:rFonts w:eastAsia="SimSun"/>
          <w:lang w:val="es-ES" w:eastAsia="zh-CN"/>
        </w:rPr>
        <w:t>cada 4</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pacientes con un peso inferior a 30</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kg), 162</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 xml:space="preserve">mg </w:t>
      </w:r>
      <w:r>
        <w:rPr>
          <w:rFonts w:eastAsia="SimSun"/>
          <w:lang w:val="es-ES" w:eastAsia="zh-CN"/>
        </w:rPr>
        <w:t xml:space="preserve">por vía </w:t>
      </w:r>
      <w:r w:rsidR="00E7158F" w:rsidRPr="00E7158F">
        <w:rPr>
          <w:rFonts w:eastAsia="SimSun"/>
          <w:lang w:val="es-ES" w:eastAsia="zh-CN"/>
        </w:rPr>
        <w:t>subcutánea</w:t>
      </w:r>
      <w:r w:rsidRPr="00D367DE">
        <w:rPr>
          <w:rFonts w:eastAsia="SimSun"/>
          <w:lang w:val="es-ES" w:eastAsia="zh-CN"/>
        </w:rPr>
        <w:t xml:space="preserve"> cada 2</w:t>
      </w:r>
      <w:r w:rsidR="00D91776">
        <w:rPr>
          <w:rFonts w:eastAsia="SimSun"/>
          <w:lang w:val="es-ES" w:eastAsia="zh-CN"/>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 xml:space="preserve">pacientes </w:t>
      </w:r>
      <w:r>
        <w:rPr>
          <w:rFonts w:eastAsia="SimSun"/>
          <w:lang w:val="es-ES" w:eastAsia="zh-CN"/>
        </w:rPr>
        <w:t>con un peso</w:t>
      </w:r>
      <w:r w:rsidRPr="00D367DE">
        <w:rPr>
          <w:rFonts w:eastAsia="SimSun"/>
          <w:lang w:val="es-ES" w:eastAsia="zh-CN"/>
        </w:rPr>
        <w:t xml:space="preserve"> ≥ 30</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kg) o 162</w:t>
      </w:r>
      <w:r w:rsidR="00D91776">
        <w:rPr>
          <w:rFonts w:eastAsia="SimSun"/>
          <w:lang w:val="es-ES" w:eastAsia="zh-CN"/>
        </w:rPr>
        <w:t> </w:t>
      </w:r>
      <w:r w:rsidRPr="00D367DE">
        <w:rPr>
          <w:rFonts w:eastAsia="SimSun"/>
          <w:lang w:val="es-ES" w:eastAsia="zh-CN"/>
        </w:rPr>
        <w:t xml:space="preserve">mg </w:t>
      </w:r>
      <w:r>
        <w:rPr>
          <w:rFonts w:eastAsia="SimSun"/>
          <w:lang w:val="es-ES" w:eastAsia="zh-CN"/>
        </w:rPr>
        <w:t xml:space="preserve">por vía </w:t>
      </w:r>
      <w:r w:rsidR="00E7158F" w:rsidRPr="00E7158F">
        <w:rPr>
          <w:rFonts w:eastAsia="SimSun"/>
          <w:lang w:val="es-ES" w:eastAsia="zh-CN"/>
        </w:rPr>
        <w:t>subcutánea</w:t>
      </w:r>
      <w:r w:rsidRPr="00D367DE">
        <w:rPr>
          <w:rFonts w:eastAsia="SimSun"/>
          <w:lang w:val="es-ES" w:eastAsia="zh-CN"/>
        </w:rPr>
        <w:t xml:space="preserve"> cada 3</w:t>
      </w:r>
      <w:r w:rsidR="00D91776">
        <w:rPr>
          <w:rFonts w:eastAsia="SimSun"/>
          <w:lang w:val="es-ES" w:eastAsia="zh-CN"/>
        </w:rPr>
        <w:t> </w:t>
      </w:r>
      <w:r w:rsidRPr="00D367DE">
        <w:rPr>
          <w:rFonts w:eastAsia="SimSun"/>
          <w:lang w:val="es-ES" w:eastAsia="zh-CN"/>
        </w:rPr>
        <w:t>semanas (</w:t>
      </w:r>
      <w:r>
        <w:rPr>
          <w:rFonts w:eastAsia="SimSun"/>
          <w:lang w:val="es-ES" w:eastAsia="zh-CN"/>
        </w:rPr>
        <w:t xml:space="preserve">en </w:t>
      </w:r>
      <w:r w:rsidRPr="00D367DE">
        <w:rPr>
          <w:rFonts w:eastAsia="SimSun"/>
          <w:lang w:val="es-ES" w:eastAsia="zh-CN"/>
        </w:rPr>
        <w:t xml:space="preserve">pacientes </w:t>
      </w:r>
      <w:r>
        <w:rPr>
          <w:rFonts w:eastAsia="SimSun"/>
          <w:lang w:val="es-ES" w:eastAsia="zh-CN"/>
        </w:rPr>
        <w:t>con un peso inferior</w:t>
      </w:r>
      <w:r w:rsidRPr="00D367DE">
        <w:rPr>
          <w:rFonts w:eastAsia="SimSun"/>
          <w:lang w:val="es-ES" w:eastAsia="zh-CN"/>
        </w:rPr>
        <w:t xml:space="preserve"> </w:t>
      </w:r>
      <w:r>
        <w:rPr>
          <w:rFonts w:eastAsia="SimSun"/>
          <w:lang w:val="es-ES" w:eastAsia="zh-CN"/>
        </w:rPr>
        <w:t>a</w:t>
      </w:r>
      <w:r w:rsidRPr="00D367DE">
        <w:rPr>
          <w:rFonts w:eastAsia="SimSun"/>
          <w:lang w:val="es-ES" w:eastAsia="zh-CN"/>
        </w:rPr>
        <w:t xml:space="preserve"> 30</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kg).</w:t>
      </w:r>
    </w:p>
    <w:p w14:paraId="070368E6" w14:textId="77777777" w:rsidR="00E610D8" w:rsidRPr="00D367DE" w:rsidRDefault="00E610D8" w:rsidP="00E610D8">
      <w:pPr>
        <w:rPr>
          <w:rFonts w:eastAsia="SimSun"/>
          <w:lang w:val="es-ES" w:eastAsia="zh-CN"/>
        </w:rPr>
      </w:pPr>
    </w:p>
    <w:p w14:paraId="28DBF462" w14:textId="0BD695C9" w:rsidR="00E610D8" w:rsidRDefault="00E610D8" w:rsidP="003569D6">
      <w:pPr>
        <w:keepNext/>
        <w:keepLines/>
        <w:rPr>
          <w:rFonts w:eastAsia="SimSun"/>
          <w:i/>
          <w:lang w:val="es-ES" w:eastAsia="zh-CN"/>
        </w:rPr>
      </w:pPr>
      <w:r w:rsidRPr="00E576A0">
        <w:rPr>
          <w:rFonts w:eastAsia="SimSun"/>
          <w:i/>
          <w:lang w:val="es-ES" w:eastAsia="zh-CN"/>
        </w:rPr>
        <w:t xml:space="preserve">Tabla 9. Valores medios previstos ± DE de los parámetros PK en estado estacionario después de la administración de la dosis </w:t>
      </w:r>
      <w:r w:rsidR="00E7158F">
        <w:rPr>
          <w:rFonts w:eastAsia="SimSun"/>
          <w:i/>
          <w:lang w:val="es-ES" w:eastAsia="zh-CN"/>
        </w:rPr>
        <w:t>subcutánea</w:t>
      </w:r>
      <w:r w:rsidR="00E7158F" w:rsidRPr="00E576A0">
        <w:rPr>
          <w:rFonts w:eastAsia="SimSun"/>
          <w:i/>
          <w:lang w:val="es-ES" w:eastAsia="zh-CN"/>
        </w:rPr>
        <w:t xml:space="preserve"> </w:t>
      </w:r>
      <w:r w:rsidRPr="00E576A0">
        <w:rPr>
          <w:rFonts w:eastAsia="SimSun"/>
          <w:i/>
          <w:lang w:val="es-ES" w:eastAsia="zh-CN"/>
        </w:rPr>
        <w:t>en pacientes con AIJp</w:t>
      </w:r>
    </w:p>
    <w:p w14:paraId="193B0941" w14:textId="77777777" w:rsidR="006C555D" w:rsidRDefault="006C555D" w:rsidP="003569D6">
      <w:pPr>
        <w:keepNext/>
        <w:keepLines/>
        <w:rPr>
          <w:rFonts w:eastAsia="SimSun"/>
          <w:lang w:val="es-ES" w:eastAsia="zh-CN"/>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3260"/>
        <w:gridCol w:w="3402"/>
      </w:tblGrid>
      <w:tr w:rsidR="00E610D8" w:rsidRPr="00FC7261" w14:paraId="2714BDAE" w14:textId="77777777" w:rsidTr="00274059">
        <w:trPr>
          <w:cantSplit/>
          <w:trHeight w:val="452"/>
        </w:trPr>
        <w:tc>
          <w:tcPr>
            <w:tcW w:w="2518" w:type="dxa"/>
            <w:tcBorders>
              <w:top w:val="single" w:sz="4" w:space="0" w:color="auto"/>
              <w:left w:val="single" w:sz="4" w:space="0" w:color="auto"/>
              <w:bottom w:val="single" w:sz="4" w:space="0" w:color="auto"/>
              <w:right w:val="single" w:sz="4" w:space="0" w:color="auto"/>
            </w:tcBorders>
            <w:hideMark/>
          </w:tcPr>
          <w:p w14:paraId="08DEB831" w14:textId="423D0375"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b/>
                <w:sz w:val="20"/>
                <w:szCs w:val="20"/>
              </w:rPr>
              <w:t xml:space="preserve">Parámetros </w:t>
            </w:r>
            <w:r>
              <w:rPr>
                <w:rFonts w:ascii="Times New Roman" w:hAnsi="Times New Roman"/>
                <w:b/>
                <w:sz w:val="20"/>
                <w:szCs w:val="20"/>
              </w:rPr>
              <w:t>PK</w:t>
            </w:r>
            <w:r w:rsidRPr="006616E4">
              <w:rPr>
                <w:rFonts w:ascii="Times New Roman" w:hAnsi="Times New Roman"/>
                <w:b/>
                <w:sz w:val="20"/>
                <w:szCs w:val="20"/>
              </w:rPr>
              <w:t xml:space="preserve"> de </w:t>
            </w:r>
            <w:r w:rsidR="00E7158F">
              <w:rPr>
                <w:rFonts w:ascii="Times New Roman" w:hAnsi="Times New Roman"/>
                <w:b/>
                <w:sz w:val="20"/>
                <w:szCs w:val="20"/>
              </w:rPr>
              <w:t>T</w:t>
            </w:r>
            <w:r w:rsidR="00E7158F" w:rsidRPr="00F30AB8">
              <w:rPr>
                <w:rFonts w:ascii="Times New Roman" w:hAnsi="Times New Roman"/>
                <w:b/>
                <w:sz w:val="20"/>
                <w:szCs w:val="20"/>
              </w:rPr>
              <w:t>ocilizumab</w:t>
            </w:r>
            <w:r w:rsidRPr="006616E4">
              <w:rPr>
                <w:rFonts w:ascii="Times New Roman" w:hAnsi="Times New Roman"/>
                <w:b/>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634CDE68" w14:textId="39BA6543" w:rsidR="00E610D8" w:rsidRPr="006616E4" w:rsidRDefault="00E610D8" w:rsidP="003569D6">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162</w:t>
            </w:r>
            <w:r w:rsidR="00D91776">
              <w:rPr>
                <w:rFonts w:ascii="Times New Roman" w:hAnsi="Times New Roman"/>
                <w:b/>
                <w:sz w:val="20"/>
                <w:szCs w:val="20"/>
              </w:rPr>
              <w:t> </w:t>
            </w:r>
            <w:r w:rsidRPr="006616E4">
              <w:rPr>
                <w:rFonts w:ascii="Times New Roman" w:hAnsi="Times New Roman"/>
                <w:b/>
                <w:sz w:val="20"/>
                <w:szCs w:val="20"/>
              </w:rPr>
              <w:t>mg Q2W</w:t>
            </w:r>
          </w:p>
          <w:p w14:paraId="16FD14E0" w14:textId="77777777" w:rsidR="00E610D8" w:rsidRPr="006616E4" w:rsidRDefault="00E610D8" w:rsidP="003569D6">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 30 kg</w:t>
            </w:r>
          </w:p>
        </w:tc>
        <w:tc>
          <w:tcPr>
            <w:tcW w:w="3402" w:type="dxa"/>
            <w:tcBorders>
              <w:top w:val="single" w:sz="4" w:space="0" w:color="auto"/>
              <w:left w:val="single" w:sz="4" w:space="0" w:color="auto"/>
              <w:bottom w:val="single" w:sz="4" w:space="0" w:color="auto"/>
              <w:right w:val="single" w:sz="4" w:space="0" w:color="auto"/>
            </w:tcBorders>
            <w:hideMark/>
          </w:tcPr>
          <w:p w14:paraId="061687BB" w14:textId="3ECB994D" w:rsidR="00E610D8" w:rsidRPr="006616E4" w:rsidRDefault="00E610D8" w:rsidP="003569D6">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162</w:t>
            </w:r>
            <w:r w:rsidR="00D91776">
              <w:rPr>
                <w:rFonts w:ascii="Times New Roman" w:hAnsi="Times New Roman"/>
                <w:b/>
                <w:sz w:val="20"/>
                <w:szCs w:val="20"/>
              </w:rPr>
              <w:t> </w:t>
            </w:r>
            <w:r w:rsidRPr="006616E4">
              <w:rPr>
                <w:rFonts w:ascii="Times New Roman" w:hAnsi="Times New Roman"/>
                <w:b/>
                <w:sz w:val="20"/>
                <w:szCs w:val="20"/>
              </w:rPr>
              <w:t>mg Q3W</w:t>
            </w:r>
          </w:p>
          <w:p w14:paraId="2961C6CF" w14:textId="77777777" w:rsidR="00E610D8" w:rsidRPr="006616E4" w:rsidRDefault="00E610D8" w:rsidP="003569D6">
            <w:pPr>
              <w:pStyle w:val="TextTi9"/>
              <w:keepNext/>
              <w:keepLines/>
              <w:spacing w:after="120"/>
              <w:jc w:val="center"/>
              <w:rPr>
                <w:rFonts w:ascii="Times New Roman" w:hAnsi="Times New Roman"/>
                <w:b/>
                <w:sz w:val="20"/>
                <w:szCs w:val="20"/>
              </w:rPr>
            </w:pPr>
            <w:r w:rsidRPr="006616E4">
              <w:rPr>
                <w:rFonts w:ascii="Times New Roman" w:hAnsi="Times New Roman"/>
                <w:b/>
                <w:sz w:val="20"/>
                <w:szCs w:val="20"/>
              </w:rPr>
              <w:t>inferior a 30 kg</w:t>
            </w:r>
          </w:p>
        </w:tc>
      </w:tr>
      <w:tr w:rsidR="00E610D8" w:rsidRPr="00FC7261" w14:paraId="2E424338" w14:textId="77777777" w:rsidTr="00274059">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61BD84D1" w14:textId="77777777"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max</w:t>
            </w:r>
            <w:r w:rsidRPr="006616E4">
              <w:rPr>
                <w:rFonts w:ascii="Times New Roman" w:hAnsi="Times New Roman"/>
                <w:sz w:val="20"/>
                <w:szCs w:val="20"/>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3E9D2024"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29,4 ± 13,5</w:t>
            </w:r>
          </w:p>
        </w:tc>
        <w:tc>
          <w:tcPr>
            <w:tcW w:w="3402" w:type="dxa"/>
            <w:tcBorders>
              <w:top w:val="single" w:sz="4" w:space="0" w:color="auto"/>
              <w:left w:val="single" w:sz="4" w:space="0" w:color="auto"/>
              <w:bottom w:val="single" w:sz="4" w:space="0" w:color="auto"/>
              <w:right w:val="single" w:sz="4" w:space="0" w:color="auto"/>
            </w:tcBorders>
            <w:hideMark/>
          </w:tcPr>
          <w:p w14:paraId="2CE6D33B"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75,5 ± 24,1</w:t>
            </w:r>
          </w:p>
        </w:tc>
      </w:tr>
      <w:tr w:rsidR="00E610D8" w:rsidRPr="00FC7261" w14:paraId="0B362329" w14:textId="77777777" w:rsidTr="00274059">
        <w:trPr>
          <w:cantSplit/>
          <w:trHeight w:val="195"/>
        </w:trPr>
        <w:tc>
          <w:tcPr>
            <w:tcW w:w="2518" w:type="dxa"/>
            <w:tcBorders>
              <w:top w:val="single" w:sz="4" w:space="0" w:color="auto"/>
              <w:left w:val="single" w:sz="4" w:space="0" w:color="auto"/>
              <w:bottom w:val="single" w:sz="4" w:space="0" w:color="auto"/>
              <w:right w:val="single" w:sz="4" w:space="0" w:color="auto"/>
            </w:tcBorders>
            <w:hideMark/>
          </w:tcPr>
          <w:p w14:paraId="3F198B71" w14:textId="77777777"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sz w:val="20"/>
                <w:szCs w:val="20"/>
              </w:rPr>
              <w:t>C</w:t>
            </w:r>
            <w:r>
              <w:rPr>
                <w:rFonts w:ascii="Times New Roman" w:hAnsi="Times New Roman"/>
                <w:sz w:val="20"/>
                <w:szCs w:val="20"/>
                <w:vertAlign w:val="subscript"/>
              </w:rPr>
              <w:t>min</w:t>
            </w:r>
            <w:r w:rsidRPr="006616E4">
              <w:rPr>
                <w:rFonts w:ascii="Times New Roman" w:hAnsi="Times New Roman"/>
                <w:sz w:val="20"/>
                <w:szCs w:val="20"/>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52074E8F"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11,8 ± 7,08</w:t>
            </w:r>
          </w:p>
        </w:tc>
        <w:tc>
          <w:tcPr>
            <w:tcW w:w="3402" w:type="dxa"/>
            <w:tcBorders>
              <w:top w:val="single" w:sz="4" w:space="0" w:color="auto"/>
              <w:left w:val="single" w:sz="4" w:space="0" w:color="auto"/>
              <w:bottom w:val="single" w:sz="4" w:space="0" w:color="auto"/>
              <w:right w:val="single" w:sz="4" w:space="0" w:color="auto"/>
            </w:tcBorders>
            <w:hideMark/>
          </w:tcPr>
          <w:p w14:paraId="7D5D9BFD"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18,4 ± 12,9</w:t>
            </w:r>
          </w:p>
        </w:tc>
      </w:tr>
      <w:tr w:rsidR="00E610D8" w:rsidRPr="00FC7261" w14:paraId="7335BBA9" w14:textId="77777777" w:rsidTr="00274059">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36EFA540" w14:textId="77777777"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media</w:t>
            </w:r>
            <w:r w:rsidRPr="006616E4">
              <w:rPr>
                <w:rFonts w:ascii="Times New Roman" w:hAnsi="Times New Roman"/>
                <w:sz w:val="20"/>
                <w:szCs w:val="20"/>
              </w:rPr>
              <w:t xml:space="preserve"> (µg/ml)</w:t>
            </w:r>
          </w:p>
        </w:tc>
        <w:tc>
          <w:tcPr>
            <w:tcW w:w="3260" w:type="dxa"/>
            <w:tcBorders>
              <w:top w:val="single" w:sz="4" w:space="0" w:color="auto"/>
              <w:left w:val="single" w:sz="4" w:space="0" w:color="auto"/>
              <w:bottom w:val="single" w:sz="4" w:space="0" w:color="auto"/>
              <w:right w:val="single" w:sz="4" w:space="0" w:color="auto"/>
            </w:tcBorders>
            <w:hideMark/>
          </w:tcPr>
          <w:p w14:paraId="22A35B6C"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21,7 ± 10,4</w:t>
            </w:r>
          </w:p>
        </w:tc>
        <w:tc>
          <w:tcPr>
            <w:tcW w:w="3402" w:type="dxa"/>
            <w:tcBorders>
              <w:top w:val="single" w:sz="4" w:space="0" w:color="auto"/>
              <w:left w:val="single" w:sz="4" w:space="0" w:color="auto"/>
              <w:bottom w:val="single" w:sz="4" w:space="0" w:color="auto"/>
              <w:right w:val="single" w:sz="4" w:space="0" w:color="auto"/>
            </w:tcBorders>
            <w:hideMark/>
          </w:tcPr>
          <w:p w14:paraId="6FF70989"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lang w:val="en-GB"/>
              </w:rPr>
              <w:t>45,5 ± 19,8</w:t>
            </w:r>
          </w:p>
        </w:tc>
      </w:tr>
      <w:tr w:rsidR="00E610D8" w:rsidRPr="00FC7261" w14:paraId="3B7FC882" w14:textId="77777777" w:rsidTr="00274059">
        <w:trPr>
          <w:cantSplit/>
          <w:trHeight w:val="324"/>
        </w:trPr>
        <w:tc>
          <w:tcPr>
            <w:tcW w:w="2518" w:type="dxa"/>
            <w:tcBorders>
              <w:top w:val="single" w:sz="4" w:space="0" w:color="auto"/>
              <w:left w:val="single" w:sz="4" w:space="0" w:color="auto"/>
              <w:bottom w:val="single" w:sz="4" w:space="0" w:color="auto"/>
              <w:right w:val="single" w:sz="4" w:space="0" w:color="auto"/>
            </w:tcBorders>
            <w:hideMark/>
          </w:tcPr>
          <w:p w14:paraId="6F6D3C00" w14:textId="77777777"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 xml:space="preserve">max </w:t>
            </w:r>
            <w:r w:rsidRPr="006616E4">
              <w:rPr>
                <w:rFonts w:ascii="Times New Roman" w:hAnsi="Times New Roman"/>
                <w:sz w:val="20"/>
                <w:szCs w:val="20"/>
              </w:rPr>
              <w:t>acumulada</w:t>
            </w:r>
          </w:p>
        </w:tc>
        <w:tc>
          <w:tcPr>
            <w:tcW w:w="3260" w:type="dxa"/>
            <w:tcBorders>
              <w:top w:val="single" w:sz="4" w:space="0" w:color="auto"/>
              <w:left w:val="single" w:sz="4" w:space="0" w:color="auto"/>
              <w:bottom w:val="single" w:sz="4" w:space="0" w:color="auto"/>
              <w:right w:val="single" w:sz="4" w:space="0" w:color="auto"/>
            </w:tcBorders>
          </w:tcPr>
          <w:p w14:paraId="4CA3C4B6"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1,72</w:t>
            </w:r>
          </w:p>
        </w:tc>
        <w:tc>
          <w:tcPr>
            <w:tcW w:w="3402" w:type="dxa"/>
            <w:tcBorders>
              <w:top w:val="single" w:sz="4" w:space="0" w:color="auto"/>
              <w:left w:val="single" w:sz="4" w:space="0" w:color="auto"/>
              <w:bottom w:val="single" w:sz="4" w:space="0" w:color="auto"/>
              <w:right w:val="single" w:sz="4" w:space="0" w:color="auto"/>
            </w:tcBorders>
          </w:tcPr>
          <w:p w14:paraId="41BE4592"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1,32</w:t>
            </w:r>
          </w:p>
        </w:tc>
      </w:tr>
      <w:tr w:rsidR="00E610D8" w:rsidRPr="00FC7261" w14:paraId="790B6CC8" w14:textId="77777777" w:rsidTr="00274059">
        <w:trPr>
          <w:cantSplit/>
          <w:trHeight w:val="331"/>
        </w:trPr>
        <w:tc>
          <w:tcPr>
            <w:tcW w:w="2518" w:type="dxa"/>
            <w:tcBorders>
              <w:top w:val="single" w:sz="4" w:space="0" w:color="auto"/>
              <w:left w:val="single" w:sz="4" w:space="0" w:color="auto"/>
              <w:bottom w:val="single" w:sz="4" w:space="0" w:color="auto"/>
              <w:right w:val="single" w:sz="4" w:space="0" w:color="auto"/>
            </w:tcBorders>
            <w:hideMark/>
          </w:tcPr>
          <w:p w14:paraId="303BEE3B" w14:textId="77777777"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0D2A86">
              <w:rPr>
                <w:rFonts w:ascii="Times New Roman" w:hAnsi="Times New Roman"/>
                <w:sz w:val="20"/>
                <w:szCs w:val="20"/>
                <w:vertAlign w:val="subscript"/>
              </w:rPr>
              <w:t>min</w:t>
            </w:r>
            <w:r w:rsidRPr="006616E4">
              <w:rPr>
                <w:rFonts w:ascii="Times New Roman" w:hAnsi="Times New Roman"/>
                <w:sz w:val="20"/>
                <w:szCs w:val="20"/>
                <w:vertAlign w:val="subscript"/>
              </w:rPr>
              <w:t xml:space="preserve"> </w:t>
            </w:r>
            <w:r w:rsidRPr="006616E4">
              <w:rPr>
                <w:rFonts w:ascii="Times New Roman" w:hAnsi="Times New Roman"/>
                <w:sz w:val="20"/>
                <w:szCs w:val="20"/>
              </w:rPr>
              <w:t>acumulada</w:t>
            </w:r>
          </w:p>
        </w:tc>
        <w:tc>
          <w:tcPr>
            <w:tcW w:w="3260" w:type="dxa"/>
            <w:tcBorders>
              <w:top w:val="single" w:sz="4" w:space="0" w:color="auto"/>
              <w:left w:val="single" w:sz="4" w:space="0" w:color="auto"/>
              <w:bottom w:val="single" w:sz="4" w:space="0" w:color="auto"/>
              <w:right w:val="single" w:sz="4" w:space="0" w:color="auto"/>
            </w:tcBorders>
          </w:tcPr>
          <w:p w14:paraId="062F2075"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3,58</w:t>
            </w:r>
          </w:p>
        </w:tc>
        <w:tc>
          <w:tcPr>
            <w:tcW w:w="3402" w:type="dxa"/>
            <w:tcBorders>
              <w:top w:val="single" w:sz="4" w:space="0" w:color="auto"/>
              <w:left w:val="single" w:sz="4" w:space="0" w:color="auto"/>
              <w:bottom w:val="single" w:sz="4" w:space="0" w:color="auto"/>
              <w:right w:val="single" w:sz="4" w:space="0" w:color="auto"/>
            </w:tcBorders>
          </w:tcPr>
          <w:p w14:paraId="58FCE5DE" w14:textId="77777777" w:rsidR="00E610D8" w:rsidRPr="006616E4" w:rsidRDefault="00E610D8" w:rsidP="003569D6">
            <w:pPr>
              <w:pStyle w:val="TextTi9"/>
              <w:keepNext/>
              <w:keepLines/>
              <w:spacing w:after="120"/>
              <w:jc w:val="center"/>
              <w:rPr>
                <w:rFonts w:ascii="Times New Roman" w:hAnsi="Times New Roman"/>
                <w:sz w:val="20"/>
                <w:szCs w:val="20"/>
              </w:rPr>
            </w:pPr>
            <w:r w:rsidRPr="006616E4">
              <w:rPr>
                <w:rFonts w:ascii="Times New Roman" w:hAnsi="Times New Roman"/>
                <w:sz w:val="20"/>
                <w:szCs w:val="20"/>
              </w:rPr>
              <w:t>2,08</w:t>
            </w:r>
          </w:p>
        </w:tc>
      </w:tr>
      <w:tr w:rsidR="00E610D8" w:rsidRPr="00FC7261" w14:paraId="739AD9EA" w14:textId="77777777" w:rsidTr="00274059">
        <w:trPr>
          <w:cantSplit/>
          <w:trHeight w:val="331"/>
        </w:trPr>
        <w:tc>
          <w:tcPr>
            <w:tcW w:w="2518" w:type="dxa"/>
            <w:tcBorders>
              <w:top w:val="single" w:sz="4" w:space="0" w:color="auto"/>
              <w:left w:val="single" w:sz="4" w:space="0" w:color="auto"/>
              <w:bottom w:val="single" w:sz="4" w:space="0" w:color="auto"/>
              <w:right w:val="single" w:sz="4" w:space="0" w:color="auto"/>
            </w:tcBorders>
          </w:tcPr>
          <w:p w14:paraId="46592D84" w14:textId="77777777" w:rsidR="00E610D8" w:rsidRPr="006616E4" w:rsidRDefault="00E610D8" w:rsidP="003569D6">
            <w:pPr>
              <w:pStyle w:val="TextTi9"/>
              <w:keepNext/>
              <w:keepLines/>
              <w:spacing w:after="120"/>
              <w:rPr>
                <w:rFonts w:ascii="Times New Roman" w:hAnsi="Times New Roman"/>
                <w:sz w:val="20"/>
                <w:szCs w:val="20"/>
              </w:rPr>
            </w:pPr>
            <w:r w:rsidRPr="006616E4">
              <w:rPr>
                <w:rFonts w:ascii="Times New Roman" w:hAnsi="Times New Roman"/>
                <w:sz w:val="20"/>
                <w:szCs w:val="20"/>
              </w:rPr>
              <w:t>C</w:t>
            </w:r>
            <w:r w:rsidRPr="006616E4">
              <w:rPr>
                <w:rFonts w:ascii="Times New Roman" w:hAnsi="Times New Roman"/>
                <w:sz w:val="20"/>
                <w:szCs w:val="20"/>
                <w:vertAlign w:val="subscript"/>
              </w:rPr>
              <w:t>media</w:t>
            </w:r>
            <w:r w:rsidRPr="006616E4">
              <w:rPr>
                <w:rFonts w:ascii="Times New Roman" w:hAnsi="Times New Roman"/>
                <w:sz w:val="20"/>
                <w:szCs w:val="20"/>
              </w:rPr>
              <w:t xml:space="preserve"> acumulada o AUC</w:t>
            </w:r>
            <w:r w:rsidRPr="006616E4">
              <w:rPr>
                <w:rFonts w:ascii="Times New Roman" w:hAnsi="Times New Roman"/>
                <w:sz w:val="20"/>
                <w:szCs w:val="20"/>
                <w:vertAlign w:val="subscript"/>
              </w:rPr>
              <w:t>τ</w:t>
            </w:r>
            <w:r w:rsidRPr="006616E4">
              <w:rPr>
                <w:rFonts w:ascii="Times New Roman" w:hAnsi="Times New Roman"/>
                <w:sz w:val="20"/>
                <w:szCs w:val="20"/>
              </w:rPr>
              <w:t xml:space="preserve"> *</w:t>
            </w:r>
          </w:p>
        </w:tc>
        <w:tc>
          <w:tcPr>
            <w:tcW w:w="3260" w:type="dxa"/>
            <w:tcBorders>
              <w:top w:val="single" w:sz="4" w:space="0" w:color="auto"/>
              <w:left w:val="single" w:sz="4" w:space="0" w:color="auto"/>
              <w:bottom w:val="single" w:sz="4" w:space="0" w:color="auto"/>
              <w:right w:val="single" w:sz="4" w:space="0" w:color="auto"/>
            </w:tcBorders>
          </w:tcPr>
          <w:p w14:paraId="6633FA57" w14:textId="77777777" w:rsidR="00E610D8" w:rsidRPr="006616E4" w:rsidRDefault="00E610D8" w:rsidP="003569D6">
            <w:pPr>
              <w:pStyle w:val="TextTi9"/>
              <w:keepNext/>
              <w:keepLines/>
              <w:spacing w:after="120"/>
              <w:jc w:val="center"/>
              <w:rPr>
                <w:rFonts w:ascii="Times New Roman" w:hAnsi="Times New Roman"/>
                <w:sz w:val="20"/>
                <w:szCs w:val="20"/>
                <w:lang w:val="en-GB"/>
              </w:rPr>
            </w:pPr>
            <w:r w:rsidRPr="006616E4">
              <w:rPr>
                <w:rFonts w:ascii="Times New Roman" w:hAnsi="Times New Roman"/>
                <w:sz w:val="20"/>
                <w:szCs w:val="20"/>
                <w:lang w:val="en-GB"/>
              </w:rPr>
              <w:t>2,04</w:t>
            </w:r>
          </w:p>
        </w:tc>
        <w:tc>
          <w:tcPr>
            <w:tcW w:w="3402" w:type="dxa"/>
            <w:tcBorders>
              <w:top w:val="single" w:sz="4" w:space="0" w:color="auto"/>
              <w:left w:val="single" w:sz="4" w:space="0" w:color="auto"/>
              <w:bottom w:val="single" w:sz="4" w:space="0" w:color="auto"/>
              <w:right w:val="single" w:sz="4" w:space="0" w:color="auto"/>
            </w:tcBorders>
          </w:tcPr>
          <w:p w14:paraId="7317D031" w14:textId="77777777" w:rsidR="00E610D8" w:rsidRPr="006616E4" w:rsidRDefault="00E610D8" w:rsidP="003569D6">
            <w:pPr>
              <w:pStyle w:val="TextTi9"/>
              <w:keepNext/>
              <w:keepLines/>
              <w:spacing w:after="120"/>
              <w:jc w:val="center"/>
              <w:rPr>
                <w:rFonts w:ascii="Times New Roman" w:hAnsi="Times New Roman"/>
                <w:sz w:val="20"/>
                <w:szCs w:val="20"/>
                <w:lang w:val="en-GB"/>
              </w:rPr>
            </w:pPr>
            <w:r w:rsidRPr="006616E4">
              <w:rPr>
                <w:rFonts w:ascii="Times New Roman" w:hAnsi="Times New Roman"/>
                <w:sz w:val="20"/>
                <w:szCs w:val="20"/>
                <w:lang w:val="en-GB"/>
              </w:rPr>
              <w:t>1,46</w:t>
            </w:r>
          </w:p>
        </w:tc>
      </w:tr>
    </w:tbl>
    <w:p w14:paraId="16A6D86D" w14:textId="23C4F046" w:rsidR="00E610D8" w:rsidRDefault="00E610D8" w:rsidP="003569D6">
      <w:pPr>
        <w:keepNext/>
        <w:keepLines/>
        <w:rPr>
          <w:sz w:val="18"/>
          <w:szCs w:val="18"/>
          <w:lang w:val="es-ES"/>
        </w:rPr>
      </w:pPr>
      <w:r w:rsidRPr="006616E4">
        <w:rPr>
          <w:sz w:val="18"/>
          <w:szCs w:val="18"/>
          <w:lang w:val="es-ES"/>
        </w:rPr>
        <w:t xml:space="preserve">* </w:t>
      </w:r>
      <w:r w:rsidRPr="006616E4">
        <w:rPr>
          <w:sz w:val="18"/>
          <w:szCs w:val="18"/>
          <w:lang w:val="en-GB"/>
        </w:rPr>
        <w:t>τ</w:t>
      </w:r>
      <w:r w:rsidRPr="006616E4">
        <w:rPr>
          <w:sz w:val="18"/>
          <w:szCs w:val="18"/>
          <w:lang w:val="es-ES"/>
        </w:rPr>
        <w:t xml:space="preserve"> = 2 semanas o 3 semanas para l</w:t>
      </w:r>
      <w:r>
        <w:rPr>
          <w:sz w:val="18"/>
          <w:szCs w:val="18"/>
          <w:lang w:val="es-ES"/>
        </w:rPr>
        <w:t>a</w:t>
      </w:r>
      <w:r w:rsidRPr="006616E4">
        <w:rPr>
          <w:sz w:val="18"/>
          <w:szCs w:val="18"/>
          <w:lang w:val="es-ES"/>
        </w:rPr>
        <w:t xml:space="preserve">s dos </w:t>
      </w:r>
      <w:r>
        <w:rPr>
          <w:sz w:val="18"/>
          <w:szCs w:val="18"/>
          <w:lang w:val="es-ES"/>
        </w:rPr>
        <w:t>pautas posológicas</w:t>
      </w:r>
      <w:r w:rsidRPr="006616E4">
        <w:rPr>
          <w:sz w:val="18"/>
          <w:szCs w:val="18"/>
          <w:lang w:val="es-ES"/>
        </w:rPr>
        <w:t xml:space="preserve"> </w:t>
      </w:r>
      <w:r w:rsidR="00E7158F">
        <w:rPr>
          <w:sz w:val="18"/>
          <w:szCs w:val="18"/>
          <w:lang w:val="es-ES"/>
        </w:rPr>
        <w:t>subcutáneas</w:t>
      </w:r>
      <w:r w:rsidRPr="006616E4">
        <w:rPr>
          <w:sz w:val="18"/>
          <w:szCs w:val="18"/>
          <w:lang w:val="es-ES"/>
        </w:rPr>
        <w:t>, respectivamente</w:t>
      </w:r>
    </w:p>
    <w:p w14:paraId="19C98F2A" w14:textId="77777777" w:rsidR="00E610D8" w:rsidRDefault="00E610D8" w:rsidP="00E610D8">
      <w:pPr>
        <w:rPr>
          <w:rFonts w:eastAsia="SimSun"/>
          <w:lang w:val="es-ES" w:eastAsia="zh-CN"/>
        </w:rPr>
      </w:pPr>
    </w:p>
    <w:p w14:paraId="6485EF42" w14:textId="492FBD1B" w:rsidR="00E610D8" w:rsidRDefault="00E610D8" w:rsidP="00E610D8">
      <w:pPr>
        <w:rPr>
          <w:rFonts w:eastAsia="SimSun"/>
          <w:lang w:val="es-ES" w:eastAsia="zh-CN"/>
        </w:rPr>
      </w:pPr>
      <w:r>
        <w:rPr>
          <w:rFonts w:eastAsia="SimSun"/>
          <w:lang w:val="es-ES" w:eastAsia="zh-CN"/>
        </w:rPr>
        <w:t>Después de la administración de la dosis</w:t>
      </w:r>
      <w:r w:rsidRPr="00D367DE">
        <w:rPr>
          <w:rFonts w:eastAsia="SimSun"/>
          <w:lang w:val="es-ES" w:eastAsia="zh-CN"/>
        </w:rPr>
        <w:t xml:space="preserve"> </w:t>
      </w:r>
      <w:r w:rsidR="00E7158F">
        <w:rPr>
          <w:rFonts w:eastAsia="SimSun"/>
          <w:lang w:val="es-ES" w:eastAsia="zh-CN"/>
        </w:rPr>
        <w:t xml:space="preserve">intravenosa </w:t>
      </w:r>
      <w:r>
        <w:rPr>
          <w:rFonts w:eastAsia="SimSun"/>
          <w:lang w:val="es-ES" w:eastAsia="zh-CN"/>
        </w:rPr>
        <w:t>de 10 mg/kg (</w:t>
      </w:r>
      <w:r w:rsidR="00E7158F">
        <w:rPr>
          <w:rFonts w:eastAsia="SimSun"/>
          <w:lang w:val="es-ES" w:eastAsia="zh-CN"/>
        </w:rPr>
        <w:t xml:space="preserve">peso corporal </w:t>
      </w:r>
      <w:r w:rsidRPr="00D367DE">
        <w:rPr>
          <w:rFonts w:eastAsia="SimSun"/>
          <w:lang w:val="es-ES" w:eastAsia="zh-CN"/>
        </w:rPr>
        <w:t>&lt;</w:t>
      </w:r>
      <w:proofErr w:type="gramStart"/>
      <w:r w:rsidRPr="00D367DE">
        <w:rPr>
          <w:rFonts w:eastAsia="SimSun"/>
          <w:lang w:val="es-ES" w:eastAsia="zh-CN"/>
        </w:rPr>
        <w:t>30</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kg</w:t>
      </w:r>
      <w:proofErr w:type="gramEnd"/>
      <w:r>
        <w:rPr>
          <w:rFonts w:eastAsia="SimSun"/>
          <w:lang w:val="es-ES" w:eastAsia="zh-CN"/>
        </w:rPr>
        <w:t>)</w:t>
      </w:r>
      <w:r w:rsidRPr="00D367DE">
        <w:rPr>
          <w:rFonts w:eastAsia="SimSun"/>
          <w:lang w:val="es-ES" w:eastAsia="zh-CN"/>
        </w:rPr>
        <w:t>, aproximadamente el 90% del estado esta</w:t>
      </w:r>
      <w:r>
        <w:rPr>
          <w:rFonts w:eastAsia="SimSun"/>
          <w:lang w:val="es-ES" w:eastAsia="zh-CN"/>
        </w:rPr>
        <w:t>cionario</w:t>
      </w:r>
      <w:r w:rsidRPr="00D367DE">
        <w:rPr>
          <w:rFonts w:eastAsia="SimSun"/>
          <w:lang w:val="es-ES" w:eastAsia="zh-CN"/>
        </w:rPr>
        <w:t xml:space="preserve"> se alcanzó en </w:t>
      </w:r>
      <w:r>
        <w:rPr>
          <w:rFonts w:eastAsia="SimSun"/>
          <w:lang w:val="es-ES" w:eastAsia="zh-CN"/>
        </w:rPr>
        <w:t>la semana</w:t>
      </w:r>
      <w:r w:rsidR="00031422" w:rsidRPr="00F30AB8">
        <w:rPr>
          <w:szCs w:val="22"/>
          <w:lang w:val="es-ES"/>
        </w:rPr>
        <w:t> </w:t>
      </w:r>
      <w:r w:rsidR="00031422" w:rsidDel="00031422">
        <w:rPr>
          <w:rFonts w:eastAsia="SimSun"/>
          <w:lang w:val="es-ES" w:eastAsia="zh-CN"/>
        </w:rPr>
        <w:t xml:space="preserve"> </w:t>
      </w:r>
      <w:r>
        <w:rPr>
          <w:rFonts w:eastAsia="SimSun"/>
          <w:lang w:val="es-ES" w:eastAsia="zh-CN"/>
        </w:rPr>
        <w:t xml:space="preserve">12 </w:t>
      </w:r>
      <w:r w:rsidRPr="00D367DE">
        <w:rPr>
          <w:rFonts w:eastAsia="SimSun"/>
          <w:lang w:val="es-ES" w:eastAsia="zh-CN"/>
        </w:rPr>
        <w:t xml:space="preserve">y en la </w:t>
      </w:r>
      <w:r>
        <w:rPr>
          <w:rFonts w:eastAsia="SimSun"/>
          <w:lang w:val="es-ES" w:eastAsia="zh-CN"/>
        </w:rPr>
        <w:t>semana</w:t>
      </w:r>
      <w:r w:rsidR="00031422" w:rsidRPr="00F30AB8">
        <w:rPr>
          <w:szCs w:val="22"/>
          <w:lang w:val="es-ES"/>
        </w:rPr>
        <w:t> </w:t>
      </w:r>
      <w:r w:rsidR="00031422" w:rsidDel="00031422">
        <w:rPr>
          <w:rFonts w:eastAsia="SimSun"/>
          <w:lang w:val="es-ES" w:eastAsia="zh-CN"/>
        </w:rPr>
        <w:t xml:space="preserve"> </w:t>
      </w:r>
      <w:r>
        <w:rPr>
          <w:rFonts w:eastAsia="SimSun"/>
          <w:lang w:val="es-ES" w:eastAsia="zh-CN"/>
        </w:rPr>
        <w:t>16 para la dosis de 8</w:t>
      </w:r>
      <w:r w:rsidR="00031422" w:rsidRPr="00F30AB8">
        <w:rPr>
          <w:szCs w:val="22"/>
          <w:lang w:val="es-ES"/>
        </w:rPr>
        <w:t> </w:t>
      </w:r>
      <w:r w:rsidR="00031422" w:rsidDel="00031422">
        <w:rPr>
          <w:rFonts w:eastAsia="SimSun"/>
          <w:lang w:val="es-ES" w:eastAsia="zh-CN"/>
        </w:rPr>
        <w:t xml:space="preserve"> </w:t>
      </w:r>
      <w:r>
        <w:rPr>
          <w:rFonts w:eastAsia="SimSun"/>
          <w:lang w:val="es-ES" w:eastAsia="zh-CN"/>
        </w:rPr>
        <w:t>mg/kg (</w:t>
      </w:r>
      <w:r w:rsidR="00E7158F">
        <w:rPr>
          <w:rFonts w:eastAsia="SimSun"/>
          <w:lang w:val="es-ES" w:eastAsia="zh-CN"/>
        </w:rPr>
        <w:t>peso corporal</w:t>
      </w:r>
      <w:r w:rsidRPr="00D367DE">
        <w:rPr>
          <w:rFonts w:eastAsia="SimSun"/>
          <w:lang w:val="es-ES" w:eastAsia="zh-CN"/>
        </w:rPr>
        <w:t xml:space="preserve"> ≥ 30</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 xml:space="preserve">kg). Después de la dosificación </w:t>
      </w:r>
      <w:r w:rsidR="00E7158F">
        <w:rPr>
          <w:rFonts w:eastAsia="SimSun"/>
          <w:lang w:val="es-ES" w:eastAsia="zh-CN"/>
        </w:rPr>
        <w:t>subcutánea</w:t>
      </w:r>
      <w:r w:rsidRPr="00D367DE">
        <w:rPr>
          <w:rFonts w:eastAsia="SimSun"/>
          <w:lang w:val="es-ES" w:eastAsia="zh-CN"/>
        </w:rPr>
        <w:t>, aproximadamente el 90% del estado esta</w:t>
      </w:r>
      <w:r>
        <w:rPr>
          <w:rFonts w:eastAsia="SimSun"/>
          <w:lang w:val="es-ES" w:eastAsia="zh-CN"/>
        </w:rPr>
        <w:t>cionario</w:t>
      </w:r>
      <w:r w:rsidRPr="00D367DE">
        <w:rPr>
          <w:rFonts w:eastAsia="SimSun"/>
          <w:lang w:val="es-ES" w:eastAsia="zh-CN"/>
        </w:rPr>
        <w:t xml:space="preserve"> se alcanzó en la </w:t>
      </w:r>
      <w:proofErr w:type="gramStart"/>
      <w:r w:rsidRPr="00D367DE">
        <w:rPr>
          <w:rFonts w:eastAsia="SimSun"/>
          <w:lang w:val="es-ES" w:eastAsia="zh-CN"/>
        </w:rPr>
        <w:t>semana</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12</w:t>
      </w:r>
      <w:proofErr w:type="gramEnd"/>
      <w:r w:rsidRPr="00D367DE">
        <w:rPr>
          <w:rFonts w:eastAsia="SimSun"/>
          <w:lang w:val="es-ES" w:eastAsia="zh-CN"/>
        </w:rPr>
        <w:t xml:space="preserve"> para amb</w:t>
      </w:r>
      <w:r>
        <w:rPr>
          <w:rFonts w:eastAsia="SimSun"/>
          <w:lang w:val="es-ES" w:eastAsia="zh-CN"/>
        </w:rPr>
        <w:t>a</w:t>
      </w:r>
      <w:r w:rsidRPr="00D367DE">
        <w:rPr>
          <w:rFonts w:eastAsia="SimSun"/>
          <w:lang w:val="es-ES" w:eastAsia="zh-CN"/>
        </w:rPr>
        <w:t xml:space="preserve">s </w:t>
      </w:r>
      <w:r>
        <w:rPr>
          <w:rFonts w:eastAsia="SimSun"/>
          <w:lang w:val="es-ES" w:eastAsia="zh-CN"/>
        </w:rPr>
        <w:t>pautas posológicas</w:t>
      </w:r>
      <w:r w:rsidRPr="00D367DE">
        <w:rPr>
          <w:rFonts w:eastAsia="SimSun"/>
          <w:lang w:val="es-ES" w:eastAsia="zh-CN"/>
        </w:rPr>
        <w:t xml:space="preserve"> Q2W y Q3W</w:t>
      </w:r>
      <w:r>
        <w:rPr>
          <w:rFonts w:eastAsia="SimSun"/>
          <w:lang w:val="es-ES" w:eastAsia="zh-CN"/>
        </w:rPr>
        <w:t xml:space="preserve"> de </w:t>
      </w:r>
      <w:r w:rsidRPr="00D367DE">
        <w:rPr>
          <w:rFonts w:eastAsia="SimSun"/>
          <w:lang w:val="es-ES" w:eastAsia="zh-CN"/>
        </w:rPr>
        <w:t>162</w:t>
      </w:r>
      <w:r w:rsidR="00031422" w:rsidRPr="00F30AB8">
        <w:rPr>
          <w:szCs w:val="22"/>
          <w:lang w:val="es-ES"/>
        </w:rPr>
        <w:t> </w:t>
      </w:r>
      <w:r w:rsidR="00031422" w:rsidRPr="00D367DE" w:rsidDel="00031422">
        <w:rPr>
          <w:rFonts w:eastAsia="SimSun"/>
          <w:lang w:val="es-ES" w:eastAsia="zh-CN"/>
        </w:rPr>
        <w:t xml:space="preserve"> </w:t>
      </w:r>
      <w:r w:rsidRPr="00D367DE">
        <w:rPr>
          <w:rFonts w:eastAsia="SimSun"/>
          <w:lang w:val="es-ES" w:eastAsia="zh-CN"/>
        </w:rPr>
        <w:t xml:space="preserve">mg </w:t>
      </w:r>
      <w:r w:rsidR="00E7158F">
        <w:rPr>
          <w:rFonts w:eastAsia="SimSun"/>
          <w:lang w:val="es-ES" w:eastAsia="zh-CN"/>
        </w:rPr>
        <w:t>subcutáneos</w:t>
      </w:r>
      <w:r w:rsidRPr="00D367DE">
        <w:rPr>
          <w:rFonts w:eastAsia="SimSun"/>
          <w:lang w:val="es-ES" w:eastAsia="zh-CN"/>
        </w:rPr>
        <w:t>.</w:t>
      </w:r>
    </w:p>
    <w:p w14:paraId="0138AF3E" w14:textId="77777777" w:rsidR="00E610D8" w:rsidRDefault="00E610D8" w:rsidP="00E610D8">
      <w:pPr>
        <w:rPr>
          <w:rFonts w:eastAsia="SimSun"/>
          <w:lang w:val="es-ES" w:eastAsia="zh-CN"/>
        </w:rPr>
      </w:pPr>
    </w:p>
    <w:p w14:paraId="76A77F17" w14:textId="77777777" w:rsidR="00E610D8" w:rsidRPr="00F30AB8" w:rsidRDefault="00E610D8" w:rsidP="00E610D8">
      <w:pPr>
        <w:rPr>
          <w:rFonts w:eastAsia="SimSun"/>
          <w:i/>
          <w:u w:val="single"/>
          <w:lang w:val="es-ES" w:eastAsia="zh-CN"/>
        </w:rPr>
      </w:pPr>
      <w:r w:rsidRPr="00F30AB8">
        <w:rPr>
          <w:rFonts w:eastAsia="SimSun"/>
          <w:i/>
          <w:u w:val="single"/>
          <w:lang w:val="es-ES" w:eastAsia="zh-CN"/>
        </w:rPr>
        <w:t>Absorción</w:t>
      </w:r>
    </w:p>
    <w:p w14:paraId="12C37D96" w14:textId="277873B4" w:rsidR="00E610D8" w:rsidRDefault="00E610D8" w:rsidP="00E610D8">
      <w:pPr>
        <w:outlineLvl w:val="0"/>
        <w:rPr>
          <w:iCs/>
          <w:lang w:val="es-ES_tradnl"/>
        </w:rPr>
      </w:pPr>
      <w:r>
        <w:rPr>
          <w:iCs/>
          <w:lang w:val="es-ES_tradnl"/>
        </w:rPr>
        <w:lastRenderedPageBreak/>
        <w:t xml:space="preserve">En pacientes con AIJp después de la administración de la dosis </w:t>
      </w:r>
      <w:r w:rsidR="00E7158F">
        <w:rPr>
          <w:rFonts w:eastAsia="SimSun"/>
          <w:lang w:val="es-ES" w:eastAsia="zh-CN"/>
        </w:rPr>
        <w:t>subcutánea</w:t>
      </w:r>
      <w:r w:rsidRPr="00D367DE">
        <w:rPr>
          <w:iCs/>
          <w:lang w:val="es-ES_tradnl"/>
        </w:rPr>
        <w:t>, la vida medi</w:t>
      </w:r>
      <w:r>
        <w:rPr>
          <w:iCs/>
          <w:lang w:val="es-ES_tradnl"/>
        </w:rPr>
        <w:t>a de absorción fue de aproximadamente</w:t>
      </w:r>
      <w:r w:rsidRPr="00D367DE">
        <w:rPr>
          <w:iCs/>
          <w:lang w:val="es-ES_tradnl"/>
        </w:rPr>
        <w:t xml:space="preserve"> </w:t>
      </w:r>
      <w:proofErr w:type="gramStart"/>
      <w:r w:rsidRPr="00D367DE">
        <w:rPr>
          <w:iCs/>
          <w:lang w:val="es-ES_tradnl"/>
        </w:rPr>
        <w:t>2</w:t>
      </w:r>
      <w:r w:rsidR="00031422" w:rsidRPr="00F30AB8">
        <w:rPr>
          <w:szCs w:val="22"/>
          <w:lang w:val="es-ES"/>
        </w:rPr>
        <w:t> </w:t>
      </w:r>
      <w:r w:rsidR="00031422" w:rsidRPr="00D367DE" w:rsidDel="00031422">
        <w:rPr>
          <w:iCs/>
          <w:lang w:val="es-ES_tradnl"/>
        </w:rPr>
        <w:t xml:space="preserve"> </w:t>
      </w:r>
      <w:r w:rsidRPr="00D367DE">
        <w:rPr>
          <w:iCs/>
          <w:lang w:val="es-ES_tradnl"/>
        </w:rPr>
        <w:t>días</w:t>
      </w:r>
      <w:proofErr w:type="gramEnd"/>
      <w:r w:rsidRPr="00D367DE">
        <w:rPr>
          <w:iCs/>
          <w:lang w:val="es-ES_tradnl"/>
        </w:rPr>
        <w:t xml:space="preserve">, y la biodisponibilidad </w:t>
      </w:r>
      <w:r>
        <w:rPr>
          <w:iCs/>
          <w:lang w:val="es-ES_tradnl"/>
        </w:rPr>
        <w:t>en</w:t>
      </w:r>
      <w:r w:rsidRPr="00D367DE">
        <w:rPr>
          <w:iCs/>
          <w:lang w:val="es-ES_tradnl"/>
        </w:rPr>
        <w:t xml:space="preserve"> la for</w:t>
      </w:r>
      <w:r>
        <w:rPr>
          <w:iCs/>
          <w:lang w:val="es-ES_tradnl"/>
        </w:rPr>
        <w:t xml:space="preserve">mulación </w:t>
      </w:r>
      <w:r w:rsidR="00E7158F">
        <w:rPr>
          <w:rFonts w:eastAsia="SimSun"/>
          <w:lang w:val="es-ES" w:eastAsia="zh-CN"/>
        </w:rPr>
        <w:t>subcutánea</w:t>
      </w:r>
      <w:r>
        <w:rPr>
          <w:iCs/>
          <w:lang w:val="es-ES_tradnl"/>
        </w:rPr>
        <w:t xml:space="preserve"> en pacientes con </w:t>
      </w:r>
      <w:r w:rsidRPr="00D367DE">
        <w:rPr>
          <w:iCs/>
          <w:lang w:val="es-ES_tradnl"/>
        </w:rPr>
        <w:t>A</w:t>
      </w:r>
      <w:r>
        <w:rPr>
          <w:iCs/>
          <w:lang w:val="es-ES_tradnl"/>
        </w:rPr>
        <w:t>IJp</w:t>
      </w:r>
      <w:r w:rsidRPr="00D367DE">
        <w:rPr>
          <w:iCs/>
          <w:lang w:val="es-ES_tradnl"/>
        </w:rPr>
        <w:t xml:space="preserve"> fue del 96%.</w:t>
      </w:r>
    </w:p>
    <w:p w14:paraId="70B5959E" w14:textId="77777777" w:rsidR="00E610D8" w:rsidRPr="000D2A86" w:rsidRDefault="00E610D8" w:rsidP="00E610D8">
      <w:pPr>
        <w:rPr>
          <w:rFonts w:eastAsia="SimSun"/>
          <w:lang w:val="es-ES_tradnl" w:eastAsia="zh-CN"/>
        </w:rPr>
      </w:pPr>
    </w:p>
    <w:p w14:paraId="0139BC19" w14:textId="77777777" w:rsidR="00E610D8" w:rsidRPr="00F30AB8" w:rsidRDefault="00E610D8" w:rsidP="00FF2AFA">
      <w:pPr>
        <w:keepNext/>
        <w:rPr>
          <w:rFonts w:eastAsia="SimSun"/>
          <w:i/>
          <w:u w:val="single"/>
          <w:lang w:val="es-ES" w:eastAsia="zh-CN"/>
        </w:rPr>
      </w:pPr>
      <w:r w:rsidRPr="00F30AB8">
        <w:rPr>
          <w:rFonts w:eastAsia="SimSun"/>
          <w:i/>
          <w:u w:val="single"/>
          <w:lang w:val="es-ES" w:eastAsia="zh-CN"/>
        </w:rPr>
        <w:t>Distribución</w:t>
      </w:r>
    </w:p>
    <w:p w14:paraId="1EF1BB90" w14:textId="583961A4" w:rsidR="00E610D8" w:rsidRPr="00FC7261" w:rsidRDefault="00E610D8" w:rsidP="00E610D8">
      <w:pPr>
        <w:outlineLvl w:val="0"/>
        <w:rPr>
          <w:iCs/>
          <w:lang w:val="es-ES_tradnl"/>
        </w:rPr>
      </w:pPr>
      <w:r>
        <w:rPr>
          <w:iCs/>
          <w:lang w:val="es-ES_tradnl"/>
        </w:rPr>
        <w:t>En pacientes pediátricos con AIJp, el volumen central de distribución fue de 1,</w:t>
      </w:r>
      <w:proofErr w:type="gramStart"/>
      <w:r>
        <w:rPr>
          <w:iCs/>
          <w:lang w:val="es-ES_tradnl"/>
        </w:rPr>
        <w:t>97</w:t>
      </w:r>
      <w:r w:rsidR="00031422" w:rsidRPr="00F30AB8">
        <w:rPr>
          <w:szCs w:val="22"/>
          <w:lang w:val="es-ES"/>
        </w:rPr>
        <w:t> </w:t>
      </w:r>
      <w:r w:rsidR="00031422" w:rsidDel="00031422">
        <w:rPr>
          <w:iCs/>
          <w:lang w:val="es-ES_tradnl"/>
        </w:rPr>
        <w:t xml:space="preserve"> </w:t>
      </w:r>
      <w:r>
        <w:rPr>
          <w:iCs/>
          <w:lang w:val="es-ES_tradnl"/>
        </w:rPr>
        <w:t>l</w:t>
      </w:r>
      <w:proofErr w:type="gramEnd"/>
      <w:r>
        <w:rPr>
          <w:iCs/>
          <w:lang w:val="es-ES_tradnl"/>
        </w:rPr>
        <w:t>, el volumen periférico de distribución fue de 2,03</w:t>
      </w:r>
      <w:r w:rsidR="00031422" w:rsidRPr="00F30AB8">
        <w:rPr>
          <w:szCs w:val="22"/>
          <w:lang w:val="es-ES"/>
        </w:rPr>
        <w:t> </w:t>
      </w:r>
      <w:r w:rsidR="00031422" w:rsidDel="00031422">
        <w:rPr>
          <w:iCs/>
          <w:lang w:val="es-ES_tradnl"/>
        </w:rPr>
        <w:t xml:space="preserve"> </w:t>
      </w:r>
      <w:r>
        <w:rPr>
          <w:iCs/>
          <w:lang w:val="es-ES_tradnl"/>
        </w:rPr>
        <w:t>l, resultando en un volumen de distribución en estado estacionario de 4,0</w:t>
      </w:r>
      <w:r w:rsidR="00031422" w:rsidRPr="00F30AB8">
        <w:rPr>
          <w:szCs w:val="22"/>
          <w:lang w:val="es-ES"/>
        </w:rPr>
        <w:t> </w:t>
      </w:r>
      <w:r w:rsidR="00031422" w:rsidDel="00031422">
        <w:rPr>
          <w:iCs/>
          <w:lang w:val="es-ES_tradnl"/>
        </w:rPr>
        <w:t xml:space="preserve"> </w:t>
      </w:r>
      <w:r>
        <w:rPr>
          <w:iCs/>
          <w:lang w:val="es-ES_tradnl"/>
        </w:rPr>
        <w:t>l.</w:t>
      </w:r>
    </w:p>
    <w:p w14:paraId="3AB54ACC" w14:textId="77777777" w:rsidR="00E610D8" w:rsidRPr="000D2A86" w:rsidRDefault="00E610D8" w:rsidP="00E610D8">
      <w:pPr>
        <w:rPr>
          <w:rFonts w:eastAsia="SimSun"/>
          <w:lang w:val="es-ES_tradnl" w:eastAsia="zh-CN"/>
        </w:rPr>
      </w:pPr>
    </w:p>
    <w:p w14:paraId="58033E06" w14:textId="77777777" w:rsidR="00E610D8" w:rsidRPr="00F30AB8" w:rsidRDefault="00E610D8" w:rsidP="003569D6">
      <w:pPr>
        <w:keepNext/>
        <w:rPr>
          <w:rFonts w:eastAsia="SimSun"/>
          <w:i/>
          <w:u w:val="single"/>
          <w:lang w:val="es-ES" w:eastAsia="zh-CN"/>
        </w:rPr>
      </w:pPr>
      <w:r w:rsidRPr="00F30AB8">
        <w:rPr>
          <w:rFonts w:eastAsia="SimSun"/>
          <w:i/>
          <w:u w:val="single"/>
          <w:lang w:val="es-ES" w:eastAsia="zh-CN"/>
        </w:rPr>
        <w:t>Eliminación</w:t>
      </w:r>
    </w:p>
    <w:p w14:paraId="0F6F6079" w14:textId="2C63B3DC" w:rsidR="00E610D8" w:rsidRDefault="00E610D8" w:rsidP="00E610D8">
      <w:pPr>
        <w:outlineLvl w:val="0"/>
        <w:rPr>
          <w:iCs/>
          <w:lang w:val="es-ES"/>
        </w:rPr>
      </w:pPr>
      <w:r w:rsidRPr="00BA7893">
        <w:rPr>
          <w:lang w:val="es-ES_tradnl"/>
        </w:rPr>
        <w:t>Los resultados de</w:t>
      </w:r>
      <w:r>
        <w:rPr>
          <w:lang w:val="es-ES_tradnl"/>
        </w:rPr>
        <w:t xml:space="preserve">l análisis PK poblacional en pacientes con </w:t>
      </w:r>
      <w:r w:rsidRPr="00BA7893">
        <w:rPr>
          <w:lang w:val="es-ES_tradnl"/>
        </w:rPr>
        <w:t>A</w:t>
      </w:r>
      <w:r>
        <w:rPr>
          <w:lang w:val="es-ES_tradnl"/>
        </w:rPr>
        <w:t>IJp</w:t>
      </w:r>
      <w:r w:rsidRPr="00BA7893">
        <w:rPr>
          <w:lang w:val="es-ES_tradnl"/>
        </w:rPr>
        <w:t xml:space="preserve"> confi</w:t>
      </w:r>
      <w:r>
        <w:rPr>
          <w:lang w:val="es-ES_tradnl"/>
        </w:rPr>
        <w:t xml:space="preserve">rmaron que el tamaño corporal impacta en el aclaramiento lineal, por lo que debe tenerse en cuenta la dosificación en base al peso corporal </w:t>
      </w:r>
      <w:r w:rsidRPr="009F0106">
        <w:rPr>
          <w:lang w:val="es-ES"/>
        </w:rPr>
        <w:t>(ver Tabla</w:t>
      </w:r>
      <w:r w:rsidR="00D91776">
        <w:rPr>
          <w:lang w:val="es-ES"/>
        </w:rPr>
        <w:t> </w:t>
      </w:r>
      <w:r>
        <w:rPr>
          <w:lang w:val="es-ES"/>
        </w:rPr>
        <w:t>9).</w:t>
      </w:r>
    </w:p>
    <w:p w14:paraId="3ED4B1D6" w14:textId="77777777" w:rsidR="00E610D8" w:rsidRDefault="00E610D8" w:rsidP="00E610D8">
      <w:pPr>
        <w:outlineLvl w:val="0"/>
        <w:rPr>
          <w:iCs/>
          <w:lang w:val="es-ES"/>
        </w:rPr>
      </w:pPr>
    </w:p>
    <w:p w14:paraId="00B73B35" w14:textId="5DD33028" w:rsidR="00E610D8" w:rsidRDefault="00E610D8" w:rsidP="00E610D8">
      <w:pPr>
        <w:outlineLvl w:val="0"/>
        <w:rPr>
          <w:lang w:val="es-ES"/>
        </w:rPr>
      </w:pPr>
      <w:r>
        <w:rPr>
          <w:iCs/>
          <w:lang w:val="es-ES"/>
        </w:rPr>
        <w:t xml:space="preserve">La </w:t>
      </w:r>
      <w:r w:rsidRPr="00B13740">
        <w:rPr>
          <w:lang w:val="es-ES"/>
        </w:rPr>
        <w:t>t</w:t>
      </w:r>
      <w:r w:rsidRPr="00B13740">
        <w:rPr>
          <w:vertAlign w:val="subscript"/>
          <w:lang w:val="es-ES"/>
        </w:rPr>
        <w:t>1/2</w:t>
      </w:r>
      <w:r>
        <w:rPr>
          <w:lang w:val="es-ES"/>
        </w:rPr>
        <w:t xml:space="preserve"> efectiva de </w:t>
      </w:r>
      <w:r w:rsidR="00E7158F" w:rsidRPr="00F30AB8">
        <w:rPr>
          <w:szCs w:val="22"/>
          <w:lang w:val="es-ES"/>
        </w:rPr>
        <w:t>tocilizumab</w:t>
      </w:r>
      <w:r>
        <w:rPr>
          <w:lang w:val="es-ES"/>
        </w:rPr>
        <w:t xml:space="preserve"> </w:t>
      </w:r>
      <w:r>
        <w:rPr>
          <w:iCs/>
          <w:lang w:val="es-ES"/>
        </w:rPr>
        <w:t>después de la administración subcutánea</w:t>
      </w:r>
      <w:r>
        <w:rPr>
          <w:lang w:val="es-ES"/>
        </w:rPr>
        <w:t xml:space="preserve"> en pacientes con AIJp</w:t>
      </w:r>
      <w:r>
        <w:rPr>
          <w:iCs/>
          <w:lang w:val="es-ES"/>
        </w:rPr>
        <w:t xml:space="preserve"> </w:t>
      </w:r>
      <w:r>
        <w:rPr>
          <w:lang w:val="es-ES"/>
        </w:rPr>
        <w:t>es de hasta 10 días para pacientes &lt;</w:t>
      </w:r>
      <w:proofErr w:type="gramStart"/>
      <w:r>
        <w:rPr>
          <w:lang w:val="es-ES"/>
        </w:rPr>
        <w:t>30</w:t>
      </w:r>
      <w:r w:rsidR="00763107" w:rsidRPr="00F30AB8">
        <w:rPr>
          <w:szCs w:val="22"/>
          <w:lang w:val="es-ES"/>
        </w:rPr>
        <w:t> </w:t>
      </w:r>
      <w:r w:rsidR="00763107">
        <w:rPr>
          <w:lang w:val="es-ES"/>
        </w:rPr>
        <w:t xml:space="preserve"> </w:t>
      </w:r>
      <w:r>
        <w:rPr>
          <w:lang w:val="es-ES"/>
        </w:rPr>
        <w:t>kg</w:t>
      </w:r>
      <w:proofErr w:type="gramEnd"/>
      <w:r>
        <w:rPr>
          <w:lang w:val="es-ES"/>
        </w:rPr>
        <w:t xml:space="preserve"> (</w:t>
      </w:r>
      <w:r w:rsidRPr="006616E4">
        <w:rPr>
          <w:color w:val="000000"/>
          <w:szCs w:val="22"/>
          <w:shd w:val="clear" w:color="auto" w:fill="FFFFFF"/>
          <w:lang w:val="es-ES"/>
        </w:rPr>
        <w:t>162</w:t>
      </w:r>
      <w:r w:rsidR="00763107" w:rsidRPr="00F30AB8">
        <w:rPr>
          <w:szCs w:val="22"/>
          <w:lang w:val="es-ES"/>
        </w:rPr>
        <w:t> </w:t>
      </w:r>
      <w:r w:rsidR="00763107" w:rsidRPr="006616E4" w:rsidDel="00763107">
        <w:rPr>
          <w:color w:val="000000"/>
          <w:szCs w:val="22"/>
          <w:shd w:val="clear" w:color="auto" w:fill="FFFFFF"/>
          <w:lang w:val="es-ES"/>
        </w:rPr>
        <w:t xml:space="preserve"> </w:t>
      </w:r>
      <w:r w:rsidRPr="006616E4">
        <w:rPr>
          <w:color w:val="000000"/>
          <w:szCs w:val="22"/>
          <w:shd w:val="clear" w:color="auto" w:fill="FFFFFF"/>
          <w:lang w:val="es-ES"/>
        </w:rPr>
        <w:t xml:space="preserve">mg </w:t>
      </w:r>
      <w:r w:rsidR="00E7158F">
        <w:rPr>
          <w:color w:val="000000"/>
          <w:szCs w:val="22"/>
          <w:shd w:val="clear" w:color="auto" w:fill="FFFFFF"/>
          <w:lang w:val="es-ES"/>
        </w:rPr>
        <w:t>subcutáneos</w:t>
      </w:r>
      <w:r w:rsidRPr="006616E4">
        <w:rPr>
          <w:color w:val="000000"/>
          <w:szCs w:val="22"/>
          <w:shd w:val="clear" w:color="auto" w:fill="FFFFFF"/>
          <w:lang w:val="es-ES"/>
        </w:rPr>
        <w:t xml:space="preserve"> Q3W) y hasta 7</w:t>
      </w:r>
      <w:r w:rsidR="00763107" w:rsidRPr="00F30AB8">
        <w:rPr>
          <w:szCs w:val="22"/>
          <w:lang w:val="es-ES"/>
        </w:rPr>
        <w:t> </w:t>
      </w:r>
      <w:r w:rsidR="00763107" w:rsidRPr="006616E4" w:rsidDel="00763107">
        <w:rPr>
          <w:color w:val="000000"/>
          <w:szCs w:val="22"/>
          <w:shd w:val="clear" w:color="auto" w:fill="FFFFFF"/>
          <w:lang w:val="es-ES"/>
        </w:rPr>
        <w:t xml:space="preserve"> </w:t>
      </w:r>
      <w:r w:rsidRPr="006616E4">
        <w:rPr>
          <w:color w:val="000000"/>
          <w:szCs w:val="22"/>
          <w:shd w:val="clear" w:color="auto" w:fill="FFFFFF"/>
          <w:lang w:val="es-ES"/>
        </w:rPr>
        <w:t>d</w:t>
      </w:r>
      <w:r>
        <w:rPr>
          <w:color w:val="000000"/>
          <w:szCs w:val="22"/>
          <w:shd w:val="clear" w:color="auto" w:fill="FFFFFF"/>
          <w:lang w:val="es-ES"/>
        </w:rPr>
        <w:t xml:space="preserve">ías para los pacientes </w:t>
      </w:r>
      <w:r w:rsidRPr="00590FA3">
        <w:rPr>
          <w:lang w:val="es-ES"/>
        </w:rPr>
        <w:t>≥</w:t>
      </w:r>
      <w:r>
        <w:rPr>
          <w:lang w:val="es-ES"/>
        </w:rPr>
        <w:t>30</w:t>
      </w:r>
      <w:r w:rsidR="00763107" w:rsidRPr="00F30AB8">
        <w:rPr>
          <w:szCs w:val="22"/>
          <w:lang w:val="es-ES"/>
        </w:rPr>
        <w:t> </w:t>
      </w:r>
      <w:r w:rsidR="00763107" w:rsidDel="00763107">
        <w:rPr>
          <w:lang w:val="es-ES"/>
        </w:rPr>
        <w:t xml:space="preserve"> </w:t>
      </w:r>
      <w:r>
        <w:rPr>
          <w:lang w:val="es-ES"/>
        </w:rPr>
        <w:t>kg</w:t>
      </w:r>
      <w:r>
        <w:rPr>
          <w:color w:val="000000"/>
          <w:szCs w:val="22"/>
          <w:shd w:val="clear" w:color="auto" w:fill="FFFFFF"/>
          <w:lang w:val="es-ES"/>
        </w:rPr>
        <w:t xml:space="preserve"> (</w:t>
      </w:r>
      <w:r w:rsidRPr="006616E4">
        <w:rPr>
          <w:color w:val="000000"/>
          <w:szCs w:val="22"/>
          <w:shd w:val="clear" w:color="auto" w:fill="FFFFFF"/>
          <w:lang w:val="es-ES"/>
        </w:rPr>
        <w:t xml:space="preserve">162 mg </w:t>
      </w:r>
      <w:r w:rsidR="00E7158F">
        <w:rPr>
          <w:color w:val="000000"/>
          <w:szCs w:val="22"/>
          <w:shd w:val="clear" w:color="auto" w:fill="FFFFFF"/>
          <w:lang w:val="es-ES"/>
        </w:rPr>
        <w:t>subcutáneos</w:t>
      </w:r>
      <w:r w:rsidRPr="006616E4">
        <w:rPr>
          <w:color w:val="000000"/>
          <w:szCs w:val="22"/>
          <w:shd w:val="clear" w:color="auto" w:fill="FFFFFF"/>
          <w:lang w:val="es-ES"/>
        </w:rPr>
        <w:t xml:space="preserve"> Q2W</w:t>
      </w:r>
      <w:r>
        <w:rPr>
          <w:lang w:val="es-ES"/>
        </w:rPr>
        <w:t>)</w:t>
      </w:r>
      <w:r w:rsidRPr="009646B1">
        <w:rPr>
          <w:lang w:val="es-ES"/>
        </w:rPr>
        <w:t xml:space="preserve"> </w:t>
      </w:r>
      <w:r w:rsidRPr="009847A8">
        <w:rPr>
          <w:lang w:val="es-ES"/>
        </w:rPr>
        <w:t>durante un intervalo de dosis en estado estacionario.</w:t>
      </w:r>
      <w:r>
        <w:rPr>
          <w:lang w:val="es-ES"/>
        </w:rPr>
        <w:t xml:space="preserve"> </w:t>
      </w:r>
      <w:r w:rsidRPr="00546572">
        <w:rPr>
          <w:lang w:val="es-ES_tradnl"/>
        </w:rPr>
        <w:t>Después de la administración intravenosa, tocilizumab experimenta una eliminación bifásica de la circulación.</w:t>
      </w:r>
      <w:r w:rsidRPr="00FA0A14">
        <w:rPr>
          <w:lang w:val="es-ES_tradnl"/>
        </w:rPr>
        <w:t xml:space="preserve"> El aclaramiento total de tocilizumab fue dependiente de la concentración y es la suma del aclaramiento lineal y el no lineal.</w:t>
      </w:r>
      <w:r w:rsidRPr="001A33F0">
        <w:rPr>
          <w:lang w:val="es-ES"/>
        </w:rPr>
        <w:t xml:space="preserve"> </w:t>
      </w:r>
      <w:r w:rsidRPr="001A33F0">
        <w:rPr>
          <w:lang w:val="es-ES_tradnl"/>
        </w:rPr>
        <w:t>El aclaramiento lineal se estimó como parámetro en el análisis farmacocinétic</w:t>
      </w:r>
      <w:r>
        <w:rPr>
          <w:lang w:val="es-ES_tradnl"/>
        </w:rPr>
        <w:t>o</w:t>
      </w:r>
      <w:r w:rsidRPr="001A33F0">
        <w:rPr>
          <w:lang w:val="es-ES_tradnl"/>
        </w:rPr>
        <w:t xml:space="preserve"> de poblaciones y fue de </w:t>
      </w:r>
      <w:r w:rsidRPr="006616E4">
        <w:rPr>
          <w:lang w:val="es-ES_tradnl"/>
        </w:rPr>
        <w:t>6,2</w:t>
      </w:r>
      <w:r w:rsidRPr="00546572">
        <w:rPr>
          <w:lang w:val="es-ES_tradnl"/>
        </w:rPr>
        <w:t>5 ml/h. El aclaramiento no lineal dependiente de la concentración desempeña un papel importante a concentraciones bajas de tocilizumab. Una vez saturada la vía de aclaramiento no lineal, a concentracione</w:t>
      </w:r>
      <w:r w:rsidRPr="00FA0A14">
        <w:rPr>
          <w:lang w:val="es-ES_tradnl"/>
        </w:rPr>
        <w:t>s mayores de tocilizumab, la eliminación viene determinada fundamentalmente por el aclaramiento lineal.</w:t>
      </w:r>
      <w:r w:rsidRPr="008A106B">
        <w:rPr>
          <w:lang w:val="es-ES"/>
        </w:rPr>
        <w:t xml:space="preserve"> </w:t>
      </w:r>
    </w:p>
    <w:p w14:paraId="10671947" w14:textId="77777777" w:rsidR="00E610D8" w:rsidRDefault="00E610D8" w:rsidP="00E610D8">
      <w:pPr>
        <w:outlineLvl w:val="0"/>
        <w:rPr>
          <w:iCs/>
          <w:lang w:val="es-ES"/>
        </w:rPr>
      </w:pPr>
    </w:p>
    <w:p w14:paraId="18EF282C" w14:textId="77777777" w:rsidR="00411076" w:rsidRPr="00467FFD" w:rsidRDefault="00411076" w:rsidP="00411076">
      <w:pPr>
        <w:keepNext/>
        <w:keepLines/>
        <w:outlineLvl w:val="0"/>
        <w:rPr>
          <w:ins w:id="2096" w:author="AUTHOR"/>
          <w:iCs/>
          <w:u w:val="single"/>
          <w:lang w:val="es-ES"/>
          <w:rPrChange w:id="2097" w:author="AUTHOR">
            <w:rPr>
              <w:ins w:id="2098" w:author="AUTHOR"/>
              <w:i/>
              <w:lang w:val="es-ES"/>
            </w:rPr>
          </w:rPrChange>
        </w:rPr>
      </w:pPr>
      <w:ins w:id="2099" w:author="AUTHOR">
        <w:r w:rsidRPr="00467FFD">
          <w:rPr>
            <w:iCs/>
            <w:u w:val="single"/>
            <w:lang w:val="es-ES"/>
            <w:rPrChange w:id="2100" w:author="AUTHOR">
              <w:rPr>
                <w:i/>
                <w:lang w:val="es-ES"/>
              </w:rPr>
            </w:rPrChange>
          </w:rPr>
          <w:t>Vía subcutánea</w:t>
        </w:r>
      </w:ins>
    </w:p>
    <w:p w14:paraId="5E417509" w14:textId="77777777" w:rsidR="00DC224A" w:rsidRPr="00467FFD" w:rsidRDefault="00E7158F" w:rsidP="00F30AB8">
      <w:pPr>
        <w:keepNext/>
        <w:keepLines/>
        <w:outlineLvl w:val="0"/>
        <w:rPr>
          <w:i/>
          <w:lang w:val="es-ES"/>
          <w:rPrChange w:id="2101" w:author="AUTHOR">
            <w:rPr>
              <w:iCs/>
              <w:u w:val="single"/>
              <w:lang w:val="es-ES"/>
            </w:rPr>
          </w:rPrChange>
        </w:rPr>
      </w:pPr>
      <w:r w:rsidRPr="00467FFD">
        <w:rPr>
          <w:i/>
          <w:lang w:val="es-ES"/>
          <w:rPrChange w:id="2102" w:author="AUTHOR">
            <w:rPr>
              <w:iCs/>
              <w:u w:val="single"/>
              <w:lang w:val="es-ES"/>
            </w:rPr>
          </w:rPrChange>
        </w:rPr>
        <w:t xml:space="preserve">Pacientes con </w:t>
      </w:r>
      <w:r w:rsidR="00DC224A" w:rsidRPr="00467FFD">
        <w:rPr>
          <w:i/>
          <w:lang w:val="es-ES"/>
          <w:rPrChange w:id="2103" w:author="AUTHOR">
            <w:rPr>
              <w:iCs/>
              <w:u w:val="single"/>
              <w:lang w:val="es-ES"/>
            </w:rPr>
          </w:rPrChange>
        </w:rPr>
        <w:t>ACG</w:t>
      </w:r>
    </w:p>
    <w:p w14:paraId="1033C11D" w14:textId="17A99035" w:rsidR="00D91776" w:rsidRPr="00E576A0" w:rsidDel="00411076" w:rsidRDefault="00D91776" w:rsidP="00F30AB8">
      <w:pPr>
        <w:keepNext/>
        <w:keepLines/>
        <w:outlineLvl w:val="0"/>
        <w:rPr>
          <w:del w:id="2104" w:author="AUTHOR"/>
          <w:iCs/>
          <w:u w:val="single"/>
          <w:lang w:val="es-ES"/>
        </w:rPr>
      </w:pPr>
    </w:p>
    <w:p w14:paraId="2C842172" w14:textId="7BC5A0E8" w:rsidR="00A267E7" w:rsidRPr="008533D0" w:rsidDel="00411076" w:rsidRDefault="00DC224A" w:rsidP="00F30AB8">
      <w:pPr>
        <w:keepNext/>
        <w:keepLines/>
        <w:outlineLvl w:val="0"/>
        <w:rPr>
          <w:del w:id="2105" w:author="AUTHOR"/>
          <w:i/>
          <w:lang w:val="es-ES"/>
        </w:rPr>
      </w:pPr>
      <w:del w:id="2106" w:author="AUTHOR">
        <w:r w:rsidRPr="00F30AB8" w:rsidDel="00411076">
          <w:rPr>
            <w:i/>
            <w:lang w:val="es-ES"/>
          </w:rPr>
          <w:delText>Vía sub</w:delText>
        </w:r>
        <w:r w:rsidR="008533D0" w:rsidDel="00411076">
          <w:rPr>
            <w:i/>
            <w:lang w:val="es-ES"/>
          </w:rPr>
          <w:delText>cutánea</w:delText>
        </w:r>
      </w:del>
    </w:p>
    <w:p w14:paraId="1929BC2F" w14:textId="24159080" w:rsidR="00DC224A" w:rsidRPr="00C22F3F" w:rsidRDefault="00DC224A" w:rsidP="00DC224A">
      <w:pPr>
        <w:outlineLvl w:val="0"/>
        <w:rPr>
          <w:iCs/>
          <w:lang w:val="es-ES"/>
        </w:rPr>
      </w:pPr>
      <w:r w:rsidRPr="006C05BA">
        <w:rPr>
          <w:iCs/>
          <w:lang w:val="es-ES"/>
        </w:rPr>
        <w:t xml:space="preserve">La </w:t>
      </w:r>
      <w:r w:rsidR="005C50FB">
        <w:rPr>
          <w:iCs/>
          <w:lang w:val="es-ES"/>
        </w:rPr>
        <w:t>PK</w:t>
      </w:r>
      <w:r w:rsidRPr="00C22F3F">
        <w:rPr>
          <w:iCs/>
          <w:lang w:val="es-ES"/>
        </w:rPr>
        <w:t xml:space="preserve"> de </w:t>
      </w:r>
      <w:r w:rsidR="00E7158F" w:rsidRPr="00F30AB8">
        <w:rPr>
          <w:szCs w:val="22"/>
          <w:lang w:val="es-ES" w:eastAsia="de-DE"/>
        </w:rPr>
        <w:t>tocilizumab</w:t>
      </w:r>
      <w:r w:rsidRPr="00C22F3F">
        <w:rPr>
          <w:iCs/>
          <w:lang w:val="es-ES"/>
        </w:rPr>
        <w:t xml:space="preserve"> en pacientes con ACG se determinó usando un modelo </w:t>
      </w:r>
      <w:r w:rsidR="00921FEA">
        <w:rPr>
          <w:iCs/>
          <w:lang w:val="es-ES"/>
        </w:rPr>
        <w:t>PK</w:t>
      </w:r>
      <w:r w:rsidRPr="00C22F3F">
        <w:rPr>
          <w:iCs/>
          <w:lang w:val="es-ES"/>
        </w:rPr>
        <w:t xml:space="preserve"> de población a partir de un conjunto de datos de análisis compuesto por 149 pacientes con ACG tratados con una dosis de 162 mg por vía subcutánea cada semana o con una dosis de 162 mg por vía subcutánea cada dos semanas. El modelo desarrollado tenía la misma estructura que el modelo de población </w:t>
      </w:r>
      <w:r w:rsidR="00921FEA">
        <w:rPr>
          <w:iCs/>
          <w:lang w:val="es-ES"/>
        </w:rPr>
        <w:t>PK</w:t>
      </w:r>
      <w:r w:rsidRPr="00C22F3F">
        <w:rPr>
          <w:iCs/>
          <w:lang w:val="es-ES"/>
        </w:rPr>
        <w:t xml:space="preserve"> desarrollado anteriormente basado en datos de pacientes con AR (ver </w:t>
      </w:r>
      <w:proofErr w:type="gramStart"/>
      <w:r w:rsidRPr="00C22F3F">
        <w:rPr>
          <w:iCs/>
          <w:lang w:val="es-ES"/>
        </w:rPr>
        <w:t>Tabla</w:t>
      </w:r>
      <w:r w:rsidR="00763107" w:rsidRPr="00F30AB8">
        <w:rPr>
          <w:szCs w:val="22"/>
          <w:lang w:val="es-ES"/>
        </w:rPr>
        <w:t> </w:t>
      </w:r>
      <w:r w:rsidR="00763107" w:rsidRPr="00C22F3F" w:rsidDel="00763107">
        <w:rPr>
          <w:iCs/>
          <w:lang w:val="es-ES"/>
        </w:rPr>
        <w:t xml:space="preserve"> </w:t>
      </w:r>
      <w:r w:rsidR="00E610D8">
        <w:rPr>
          <w:iCs/>
          <w:lang w:val="es-ES"/>
        </w:rPr>
        <w:t>10</w:t>
      </w:r>
      <w:proofErr w:type="gramEnd"/>
      <w:r w:rsidRPr="00C22F3F">
        <w:rPr>
          <w:iCs/>
          <w:lang w:val="es-ES"/>
        </w:rPr>
        <w:t>).</w:t>
      </w:r>
    </w:p>
    <w:p w14:paraId="712506E1" w14:textId="77777777" w:rsidR="00DC224A" w:rsidRPr="00C22F3F" w:rsidRDefault="00DC224A" w:rsidP="003569D6">
      <w:pPr>
        <w:outlineLvl w:val="0"/>
        <w:rPr>
          <w:iCs/>
          <w:lang w:val="es-ES"/>
        </w:rPr>
      </w:pPr>
    </w:p>
    <w:p w14:paraId="3485D23C" w14:textId="77777777" w:rsidR="00DC224A" w:rsidRDefault="00DC224A" w:rsidP="00A50280">
      <w:pPr>
        <w:keepNext/>
        <w:keepLines/>
        <w:outlineLvl w:val="0"/>
        <w:rPr>
          <w:i/>
          <w:iCs/>
          <w:lang w:val="es-ES"/>
        </w:rPr>
      </w:pPr>
      <w:r w:rsidRPr="00C22F3F">
        <w:rPr>
          <w:i/>
          <w:iCs/>
          <w:lang w:val="es-ES"/>
        </w:rPr>
        <w:t>Tabla</w:t>
      </w:r>
      <w:r w:rsidR="00E610D8">
        <w:rPr>
          <w:i/>
          <w:iCs/>
          <w:lang w:val="es-ES"/>
        </w:rPr>
        <w:t xml:space="preserve"> 10</w:t>
      </w:r>
      <w:r w:rsidRPr="00C22F3F">
        <w:rPr>
          <w:i/>
          <w:iCs/>
          <w:lang w:val="es-ES"/>
        </w:rPr>
        <w:t xml:space="preserve">. Parámetros medios predictivos </w:t>
      </w:r>
      <w:r w:rsidR="00921FEA">
        <w:rPr>
          <w:i/>
          <w:iCs/>
          <w:lang w:val="es-ES"/>
        </w:rPr>
        <w:t>PK</w:t>
      </w:r>
      <w:r w:rsidRPr="00C22F3F">
        <w:rPr>
          <w:i/>
          <w:iCs/>
          <w:lang w:val="es-ES"/>
        </w:rPr>
        <w:t xml:space="preserve"> en estado estacionario </w:t>
      </w:r>
      <w:r w:rsidRPr="006868F5">
        <w:rPr>
          <w:rFonts w:eastAsia="SimSun"/>
          <w:i/>
          <w:szCs w:val="22"/>
          <w:lang w:val="es-ES" w:eastAsia="de-DE"/>
        </w:rPr>
        <w:t>± DE</w:t>
      </w:r>
      <w:r w:rsidRPr="002837E4">
        <w:rPr>
          <w:i/>
          <w:iCs/>
          <w:lang w:val="es-ES"/>
        </w:rPr>
        <w:t xml:space="preserve"> después de la dosificación </w:t>
      </w:r>
      <w:r w:rsidRPr="006C05BA">
        <w:rPr>
          <w:i/>
          <w:iCs/>
          <w:lang w:val="es-ES"/>
        </w:rPr>
        <w:t xml:space="preserve">por vía subcutánea en </w:t>
      </w:r>
      <w:r w:rsidRPr="00C22F3F">
        <w:rPr>
          <w:i/>
          <w:iCs/>
          <w:lang w:val="es-ES"/>
        </w:rPr>
        <w:t>ACG</w:t>
      </w:r>
    </w:p>
    <w:p w14:paraId="0CDF223D" w14:textId="77777777" w:rsidR="00DC224A" w:rsidRDefault="00DC224A" w:rsidP="00A50280">
      <w:pPr>
        <w:keepNext/>
        <w:keepLines/>
        <w:outlineLvl w:val="0"/>
        <w:rPr>
          <w:i/>
          <w:iCs/>
          <w:lang w:val="es-ES"/>
        </w:rPr>
      </w:pP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35"/>
        <w:gridCol w:w="1483"/>
        <w:gridCol w:w="2601"/>
      </w:tblGrid>
      <w:tr w:rsidR="00DC224A" w:rsidRPr="00002ECA" w14:paraId="608BBD67" w14:textId="77777777" w:rsidTr="0072377D">
        <w:trPr>
          <w:cantSplit/>
          <w:trHeight w:val="128"/>
          <w:jc w:val="center"/>
        </w:trPr>
        <w:tc>
          <w:tcPr>
            <w:tcW w:w="4735" w:type="dxa"/>
            <w:tcBorders>
              <w:top w:val="single" w:sz="4" w:space="0" w:color="auto"/>
              <w:left w:val="single" w:sz="4" w:space="0" w:color="auto"/>
              <w:bottom w:val="single" w:sz="4" w:space="0" w:color="auto"/>
              <w:right w:val="single" w:sz="4" w:space="0" w:color="auto"/>
            </w:tcBorders>
          </w:tcPr>
          <w:p w14:paraId="67313ADA" w14:textId="77777777" w:rsidR="00DC224A" w:rsidRPr="006868F5" w:rsidRDefault="00DC224A" w:rsidP="0072377D">
            <w:pPr>
              <w:keepNext/>
              <w:spacing w:before="113" w:after="57" w:line="280" w:lineRule="atLeast"/>
              <w:ind w:left="1701" w:hanging="1701"/>
              <w:outlineLvl w:val="6"/>
              <w:rPr>
                <w:rFonts w:eastAsia="MS Mincho"/>
                <w:b/>
                <w:sz w:val="20"/>
                <w:lang w:val="es-ES"/>
              </w:rPr>
            </w:pPr>
          </w:p>
        </w:tc>
        <w:tc>
          <w:tcPr>
            <w:tcW w:w="4084" w:type="dxa"/>
            <w:gridSpan w:val="2"/>
            <w:tcBorders>
              <w:top w:val="single" w:sz="4" w:space="0" w:color="auto"/>
              <w:left w:val="single" w:sz="4" w:space="0" w:color="auto"/>
              <w:bottom w:val="single" w:sz="4" w:space="0" w:color="auto"/>
              <w:right w:val="single" w:sz="4" w:space="0" w:color="auto"/>
            </w:tcBorders>
          </w:tcPr>
          <w:p w14:paraId="66AB9BFA" w14:textId="77777777" w:rsidR="00DC224A" w:rsidRPr="00002ECA" w:rsidRDefault="00DC224A" w:rsidP="0072377D">
            <w:pPr>
              <w:keepNext/>
              <w:spacing w:after="200"/>
              <w:jc w:val="center"/>
              <w:rPr>
                <w:b/>
                <w:sz w:val="20"/>
                <w:lang w:eastAsia="zh-TW"/>
              </w:rPr>
            </w:pPr>
            <w:r>
              <w:rPr>
                <w:b/>
                <w:sz w:val="20"/>
                <w:lang w:eastAsia="zh-TW"/>
              </w:rPr>
              <w:t xml:space="preserve">Vía </w:t>
            </w:r>
            <w:r w:rsidRPr="00002ECA">
              <w:rPr>
                <w:b/>
                <w:sz w:val="20"/>
                <w:lang w:eastAsia="zh-TW"/>
              </w:rPr>
              <w:t>S</w:t>
            </w:r>
            <w:r>
              <w:rPr>
                <w:b/>
                <w:sz w:val="20"/>
                <w:lang w:eastAsia="zh-TW"/>
              </w:rPr>
              <w:t>ubcutánea</w:t>
            </w:r>
          </w:p>
        </w:tc>
      </w:tr>
      <w:tr w:rsidR="00DC224A" w:rsidRPr="00002ECA" w14:paraId="08A263E8" w14:textId="77777777" w:rsidTr="0072377D">
        <w:trPr>
          <w:cantSplit/>
          <w:trHeight w:val="452"/>
          <w:jc w:val="center"/>
        </w:trPr>
        <w:tc>
          <w:tcPr>
            <w:tcW w:w="4735" w:type="dxa"/>
            <w:tcBorders>
              <w:top w:val="single" w:sz="4" w:space="0" w:color="auto"/>
              <w:left w:val="single" w:sz="4" w:space="0" w:color="auto"/>
              <w:bottom w:val="single" w:sz="4" w:space="0" w:color="auto"/>
              <w:right w:val="single" w:sz="4" w:space="0" w:color="auto"/>
            </w:tcBorders>
          </w:tcPr>
          <w:p w14:paraId="6BEE14B9" w14:textId="77777777" w:rsidR="00DC224A" w:rsidRPr="006868F5" w:rsidRDefault="00DC224A" w:rsidP="0072377D">
            <w:pPr>
              <w:keepNext/>
              <w:spacing w:after="120"/>
              <w:rPr>
                <w:sz w:val="20"/>
                <w:lang w:val="es-ES" w:eastAsia="zh-TW"/>
              </w:rPr>
            </w:pPr>
            <w:r w:rsidRPr="00460403">
              <w:rPr>
                <w:b/>
                <w:sz w:val="20"/>
                <w:lang w:val="es-ES" w:eastAsia="zh-TW"/>
              </w:rPr>
              <w:t xml:space="preserve">Parámetros </w:t>
            </w:r>
            <w:r w:rsidR="00921FEA">
              <w:rPr>
                <w:b/>
                <w:sz w:val="20"/>
                <w:lang w:val="es-ES" w:eastAsia="zh-TW"/>
              </w:rPr>
              <w:t>PK</w:t>
            </w:r>
            <w:r w:rsidRPr="006868F5">
              <w:rPr>
                <w:b/>
                <w:sz w:val="20"/>
                <w:lang w:val="es-ES" w:eastAsia="zh-TW"/>
              </w:rPr>
              <w:t xml:space="preserve"> tocilizumab</w:t>
            </w:r>
          </w:p>
        </w:tc>
        <w:tc>
          <w:tcPr>
            <w:tcW w:w="1483" w:type="dxa"/>
            <w:tcBorders>
              <w:top w:val="single" w:sz="4" w:space="0" w:color="auto"/>
              <w:left w:val="single" w:sz="4" w:space="0" w:color="auto"/>
              <w:bottom w:val="single" w:sz="4" w:space="0" w:color="auto"/>
              <w:right w:val="single" w:sz="4" w:space="0" w:color="auto"/>
            </w:tcBorders>
          </w:tcPr>
          <w:p w14:paraId="279DE429" w14:textId="6A553BCA" w:rsidR="00DC224A" w:rsidRPr="00002ECA" w:rsidRDefault="00DC224A" w:rsidP="0072377D">
            <w:pPr>
              <w:keepNext/>
              <w:spacing w:after="120"/>
              <w:jc w:val="center"/>
              <w:rPr>
                <w:b/>
                <w:sz w:val="20"/>
                <w:lang w:eastAsia="zh-TW"/>
              </w:rPr>
            </w:pPr>
            <w:r w:rsidRPr="00002ECA">
              <w:rPr>
                <w:b/>
                <w:sz w:val="20"/>
                <w:lang w:eastAsia="zh-TW"/>
              </w:rPr>
              <w:t>162</w:t>
            </w:r>
            <w:r w:rsidR="00763107" w:rsidRPr="00F30AB8">
              <w:rPr>
                <w:sz w:val="20"/>
                <w:lang w:val="en-GB"/>
              </w:rPr>
              <w:t> </w:t>
            </w:r>
            <w:r w:rsidR="00763107" w:rsidRPr="00002ECA" w:rsidDel="00763107">
              <w:rPr>
                <w:b/>
                <w:sz w:val="20"/>
                <w:lang w:eastAsia="zh-TW"/>
              </w:rPr>
              <w:t xml:space="preserve"> </w:t>
            </w:r>
            <w:r w:rsidRPr="00002ECA">
              <w:rPr>
                <w:b/>
                <w:sz w:val="20"/>
                <w:lang w:eastAsia="zh-TW"/>
              </w:rPr>
              <w:t xml:space="preserve">mg </w:t>
            </w:r>
            <w:r>
              <w:rPr>
                <w:b/>
                <w:sz w:val="20"/>
                <w:lang w:eastAsia="zh-TW"/>
              </w:rPr>
              <w:t>cada dos semanas</w:t>
            </w:r>
          </w:p>
        </w:tc>
        <w:tc>
          <w:tcPr>
            <w:tcW w:w="2601" w:type="dxa"/>
            <w:tcBorders>
              <w:top w:val="single" w:sz="4" w:space="0" w:color="auto"/>
              <w:left w:val="single" w:sz="4" w:space="0" w:color="auto"/>
              <w:bottom w:val="single" w:sz="4" w:space="0" w:color="auto"/>
              <w:right w:val="single" w:sz="4" w:space="0" w:color="auto"/>
            </w:tcBorders>
          </w:tcPr>
          <w:p w14:paraId="6F46C28C" w14:textId="62E3A48C" w:rsidR="00DC224A" w:rsidRPr="00002ECA" w:rsidRDefault="00DC224A" w:rsidP="0072377D">
            <w:pPr>
              <w:keepNext/>
              <w:spacing w:after="120"/>
              <w:jc w:val="center"/>
              <w:rPr>
                <w:b/>
                <w:sz w:val="20"/>
                <w:lang w:eastAsia="zh-TW"/>
              </w:rPr>
            </w:pPr>
            <w:r w:rsidRPr="00002ECA">
              <w:rPr>
                <w:b/>
                <w:sz w:val="20"/>
                <w:lang w:eastAsia="zh-TW"/>
              </w:rPr>
              <w:t>162</w:t>
            </w:r>
            <w:r w:rsidR="00763107" w:rsidRPr="00F30AB8">
              <w:rPr>
                <w:sz w:val="20"/>
                <w:lang w:val="en-GB"/>
              </w:rPr>
              <w:t> </w:t>
            </w:r>
            <w:r w:rsidR="00763107" w:rsidRPr="00002ECA" w:rsidDel="00763107">
              <w:rPr>
                <w:b/>
                <w:sz w:val="20"/>
                <w:lang w:eastAsia="zh-TW"/>
              </w:rPr>
              <w:t xml:space="preserve"> </w:t>
            </w:r>
            <w:r w:rsidRPr="00002ECA">
              <w:rPr>
                <w:b/>
                <w:sz w:val="20"/>
                <w:lang w:eastAsia="zh-TW"/>
              </w:rPr>
              <w:t xml:space="preserve">mg </w:t>
            </w:r>
            <w:r>
              <w:rPr>
                <w:b/>
                <w:sz w:val="20"/>
                <w:lang w:eastAsia="zh-TW"/>
              </w:rPr>
              <w:t>semanales</w:t>
            </w:r>
          </w:p>
        </w:tc>
      </w:tr>
      <w:tr w:rsidR="00DC224A" w:rsidRPr="006868F5" w14:paraId="4CC749AA" w14:textId="77777777" w:rsidTr="0072377D">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58DF7640" w14:textId="77777777" w:rsidR="00DC224A" w:rsidRPr="00002ECA" w:rsidRDefault="00DC224A" w:rsidP="0072377D">
            <w:pPr>
              <w:keepNext/>
              <w:spacing w:after="120"/>
              <w:rPr>
                <w:sz w:val="20"/>
                <w:lang w:eastAsia="zh-TW"/>
              </w:rPr>
            </w:pPr>
            <w:r w:rsidRPr="00002ECA">
              <w:rPr>
                <w:sz w:val="20"/>
                <w:lang w:eastAsia="zh-TW"/>
              </w:rPr>
              <w:t>C</w:t>
            </w:r>
            <w:r w:rsidRPr="00002ECA">
              <w:rPr>
                <w:sz w:val="20"/>
                <w:vertAlign w:val="subscript"/>
                <w:lang w:eastAsia="zh-TW"/>
              </w:rPr>
              <w:t>max</w:t>
            </w:r>
            <w:r w:rsidRPr="00002ECA">
              <w:rPr>
                <w:sz w:val="20"/>
                <w:lang w:eastAsia="zh-TW"/>
              </w:rPr>
              <w:t xml:space="preserve"> (</w:t>
            </w:r>
            <w:r>
              <w:rPr>
                <w:sz w:val="20"/>
                <w:lang w:eastAsia="zh-TW"/>
              </w:rPr>
              <w:t>µg</w:t>
            </w:r>
            <w:r w:rsidRPr="00002ECA">
              <w:rPr>
                <w:sz w:val="20"/>
                <w:lang w:eastAsia="zh-TW"/>
              </w:rPr>
              <w:t>/</w:t>
            </w:r>
            <w:r>
              <w:rPr>
                <w:sz w:val="20"/>
                <w:lang w:eastAsia="zh-TW"/>
              </w:rPr>
              <w:t>ml</w:t>
            </w:r>
            <w:r w:rsidRPr="00002ECA">
              <w:rPr>
                <w:sz w:val="20"/>
                <w:lang w:eastAsia="zh-TW"/>
              </w:rPr>
              <w:t>)</w:t>
            </w:r>
          </w:p>
        </w:tc>
        <w:tc>
          <w:tcPr>
            <w:tcW w:w="1483" w:type="dxa"/>
            <w:tcBorders>
              <w:top w:val="single" w:sz="4" w:space="0" w:color="auto"/>
              <w:left w:val="single" w:sz="4" w:space="0" w:color="auto"/>
              <w:bottom w:val="single" w:sz="4" w:space="0" w:color="auto"/>
              <w:right w:val="single" w:sz="4" w:space="0" w:color="auto"/>
            </w:tcBorders>
          </w:tcPr>
          <w:p w14:paraId="0FC84D38" w14:textId="77777777" w:rsidR="00DC224A" w:rsidRPr="00002ECA" w:rsidRDefault="00DC224A" w:rsidP="0072377D">
            <w:pPr>
              <w:keepNext/>
              <w:spacing w:after="120"/>
              <w:jc w:val="center"/>
              <w:rPr>
                <w:sz w:val="20"/>
                <w:lang w:eastAsia="zh-TW"/>
              </w:rPr>
            </w:pPr>
            <w:r>
              <w:rPr>
                <w:rFonts w:eastAsia="SimSun"/>
                <w:sz w:val="20"/>
                <w:lang w:val="en-GB" w:eastAsia="zh-TW"/>
              </w:rPr>
              <w:t>19,3 ± 12,</w:t>
            </w:r>
            <w:r w:rsidRPr="00002ECA">
              <w:rPr>
                <w:rFonts w:eastAsia="SimSun"/>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12471A43" w14:textId="77777777" w:rsidR="00DC224A" w:rsidRPr="00002ECA" w:rsidRDefault="00DC224A" w:rsidP="0072377D">
            <w:pPr>
              <w:keepNext/>
              <w:spacing w:after="120"/>
              <w:jc w:val="center"/>
              <w:rPr>
                <w:sz w:val="20"/>
                <w:lang w:eastAsia="zh-TW"/>
              </w:rPr>
            </w:pPr>
            <w:r>
              <w:rPr>
                <w:sz w:val="20"/>
                <w:lang w:val="en-GB" w:eastAsia="zh-TW"/>
              </w:rPr>
              <w:t>73 ± 30,</w:t>
            </w:r>
            <w:r w:rsidRPr="00002ECA">
              <w:rPr>
                <w:sz w:val="20"/>
                <w:lang w:val="en-GB" w:eastAsia="zh-TW"/>
              </w:rPr>
              <w:t>4</w:t>
            </w:r>
          </w:p>
        </w:tc>
      </w:tr>
      <w:tr w:rsidR="00DC224A" w:rsidRPr="00002ECA" w14:paraId="5C91ADA1" w14:textId="77777777" w:rsidTr="0072377D">
        <w:trPr>
          <w:cantSplit/>
          <w:trHeight w:val="195"/>
          <w:jc w:val="center"/>
        </w:trPr>
        <w:tc>
          <w:tcPr>
            <w:tcW w:w="4735" w:type="dxa"/>
            <w:tcBorders>
              <w:top w:val="single" w:sz="4" w:space="0" w:color="auto"/>
              <w:left w:val="single" w:sz="4" w:space="0" w:color="auto"/>
              <w:bottom w:val="single" w:sz="4" w:space="0" w:color="auto"/>
              <w:right w:val="single" w:sz="4" w:space="0" w:color="auto"/>
            </w:tcBorders>
          </w:tcPr>
          <w:p w14:paraId="1461E9FC" w14:textId="77777777" w:rsidR="00DC224A" w:rsidRPr="00002ECA" w:rsidRDefault="00DC224A" w:rsidP="0072377D">
            <w:pPr>
              <w:keepNext/>
              <w:spacing w:after="120"/>
              <w:rPr>
                <w:sz w:val="20"/>
                <w:lang w:eastAsia="zh-TW"/>
              </w:rPr>
            </w:pPr>
            <w:r w:rsidRPr="006868F5">
              <w:rPr>
                <w:sz w:val="20"/>
                <w:lang w:eastAsia="zh-TW"/>
              </w:rPr>
              <w:t>C</w:t>
            </w:r>
            <w:r w:rsidRPr="006868F5">
              <w:rPr>
                <w:sz w:val="20"/>
                <w:vertAlign w:val="subscript"/>
                <w:lang w:eastAsia="zh-TW"/>
              </w:rPr>
              <w:t>valle</w:t>
            </w:r>
            <w:r w:rsidRPr="00002ECA">
              <w:rPr>
                <w:sz w:val="20"/>
                <w:lang w:eastAsia="zh-TW"/>
              </w:rPr>
              <w:t xml:space="preserve"> (</w:t>
            </w:r>
            <w:r>
              <w:rPr>
                <w:sz w:val="20"/>
                <w:lang w:eastAsia="zh-TW"/>
              </w:rPr>
              <w:t>µg</w:t>
            </w:r>
            <w:r w:rsidRPr="00002ECA">
              <w:rPr>
                <w:sz w:val="20"/>
                <w:lang w:eastAsia="zh-TW"/>
              </w:rPr>
              <w:t>/</w:t>
            </w:r>
            <w:r>
              <w:rPr>
                <w:sz w:val="20"/>
                <w:lang w:eastAsia="zh-TW"/>
              </w:rPr>
              <w:t>ml</w:t>
            </w:r>
            <w:r w:rsidRPr="00002ECA">
              <w:rPr>
                <w:sz w:val="20"/>
                <w:lang w:eastAsia="zh-TW"/>
              </w:rPr>
              <w:t>)</w:t>
            </w:r>
          </w:p>
        </w:tc>
        <w:tc>
          <w:tcPr>
            <w:tcW w:w="1483" w:type="dxa"/>
            <w:tcBorders>
              <w:top w:val="single" w:sz="4" w:space="0" w:color="auto"/>
              <w:left w:val="single" w:sz="4" w:space="0" w:color="auto"/>
              <w:bottom w:val="single" w:sz="4" w:space="0" w:color="auto"/>
              <w:right w:val="single" w:sz="4" w:space="0" w:color="auto"/>
            </w:tcBorders>
          </w:tcPr>
          <w:p w14:paraId="0B5A1941" w14:textId="77777777" w:rsidR="00DC224A" w:rsidRPr="00002ECA" w:rsidRDefault="00DC224A" w:rsidP="0072377D">
            <w:pPr>
              <w:keepNext/>
              <w:spacing w:after="120"/>
              <w:jc w:val="center"/>
              <w:rPr>
                <w:sz w:val="20"/>
                <w:lang w:eastAsia="zh-TW"/>
              </w:rPr>
            </w:pPr>
            <w:r>
              <w:rPr>
                <w:rFonts w:eastAsia="SimSun"/>
                <w:sz w:val="20"/>
                <w:lang w:val="en-GB" w:eastAsia="zh-TW"/>
              </w:rPr>
              <w:t>11,1 ± 10,</w:t>
            </w:r>
            <w:r w:rsidRPr="00002ECA">
              <w:rPr>
                <w:rFonts w:eastAsia="SimSun"/>
                <w:sz w:val="20"/>
                <w:lang w:val="en-GB" w:eastAsia="zh-TW"/>
              </w:rPr>
              <w:t>3</w:t>
            </w:r>
          </w:p>
        </w:tc>
        <w:tc>
          <w:tcPr>
            <w:tcW w:w="2601" w:type="dxa"/>
            <w:tcBorders>
              <w:top w:val="single" w:sz="4" w:space="0" w:color="auto"/>
              <w:left w:val="single" w:sz="4" w:space="0" w:color="auto"/>
              <w:bottom w:val="single" w:sz="4" w:space="0" w:color="auto"/>
              <w:right w:val="single" w:sz="4" w:space="0" w:color="auto"/>
            </w:tcBorders>
          </w:tcPr>
          <w:p w14:paraId="1A8788A4" w14:textId="77777777" w:rsidR="00DC224A" w:rsidRPr="00002ECA" w:rsidRDefault="00DC224A" w:rsidP="0072377D">
            <w:pPr>
              <w:keepNext/>
              <w:spacing w:after="120"/>
              <w:jc w:val="center"/>
              <w:rPr>
                <w:sz w:val="20"/>
                <w:lang w:eastAsia="zh-TW"/>
              </w:rPr>
            </w:pPr>
            <w:r>
              <w:rPr>
                <w:sz w:val="20"/>
                <w:lang w:val="en-GB" w:eastAsia="zh-TW"/>
              </w:rPr>
              <w:t>68,1± 29,</w:t>
            </w:r>
            <w:r w:rsidRPr="00002ECA">
              <w:rPr>
                <w:sz w:val="20"/>
                <w:lang w:val="en-GB" w:eastAsia="zh-TW"/>
              </w:rPr>
              <w:t>5</w:t>
            </w:r>
          </w:p>
        </w:tc>
      </w:tr>
      <w:tr w:rsidR="00DC224A" w:rsidRPr="00002ECA" w14:paraId="0B82DF1F" w14:textId="77777777" w:rsidTr="0072377D">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5BBEE037" w14:textId="77777777" w:rsidR="00DC224A" w:rsidRPr="00002ECA" w:rsidRDefault="00DC224A" w:rsidP="0072377D">
            <w:pPr>
              <w:keepNext/>
              <w:spacing w:after="120"/>
              <w:rPr>
                <w:sz w:val="20"/>
                <w:lang w:eastAsia="zh-TW"/>
              </w:rPr>
            </w:pPr>
            <w:r w:rsidRPr="00002ECA">
              <w:rPr>
                <w:sz w:val="20"/>
                <w:lang w:eastAsia="zh-TW"/>
              </w:rPr>
              <w:t>C</w:t>
            </w:r>
            <w:r w:rsidRPr="00002ECA">
              <w:rPr>
                <w:sz w:val="20"/>
                <w:vertAlign w:val="subscript"/>
                <w:lang w:eastAsia="zh-TW"/>
              </w:rPr>
              <w:t>me</w:t>
            </w:r>
            <w:r>
              <w:rPr>
                <w:sz w:val="20"/>
                <w:vertAlign w:val="subscript"/>
                <w:lang w:eastAsia="zh-TW"/>
              </w:rPr>
              <w:t>dia</w:t>
            </w:r>
            <w:r w:rsidRPr="00002ECA">
              <w:rPr>
                <w:sz w:val="20"/>
                <w:lang w:eastAsia="zh-TW"/>
              </w:rPr>
              <w:t xml:space="preserve"> (</w:t>
            </w:r>
            <w:r>
              <w:rPr>
                <w:sz w:val="20"/>
                <w:lang w:eastAsia="zh-TW"/>
              </w:rPr>
              <w:t>µg</w:t>
            </w:r>
            <w:r w:rsidRPr="00002ECA">
              <w:rPr>
                <w:sz w:val="20"/>
                <w:lang w:eastAsia="zh-TW"/>
              </w:rPr>
              <w:t>/</w:t>
            </w:r>
            <w:r>
              <w:rPr>
                <w:sz w:val="20"/>
                <w:lang w:eastAsia="zh-TW"/>
              </w:rPr>
              <w:t>ml</w:t>
            </w:r>
            <w:r w:rsidRPr="00002ECA">
              <w:rPr>
                <w:sz w:val="20"/>
                <w:lang w:eastAsia="zh-TW"/>
              </w:rPr>
              <w:t>)</w:t>
            </w:r>
          </w:p>
        </w:tc>
        <w:tc>
          <w:tcPr>
            <w:tcW w:w="1483" w:type="dxa"/>
            <w:tcBorders>
              <w:top w:val="single" w:sz="4" w:space="0" w:color="auto"/>
              <w:left w:val="single" w:sz="4" w:space="0" w:color="auto"/>
              <w:bottom w:val="single" w:sz="4" w:space="0" w:color="auto"/>
              <w:right w:val="single" w:sz="4" w:space="0" w:color="auto"/>
            </w:tcBorders>
          </w:tcPr>
          <w:p w14:paraId="44AC78F2" w14:textId="77777777" w:rsidR="00DC224A" w:rsidRPr="00002ECA" w:rsidRDefault="00DC224A" w:rsidP="0072377D">
            <w:pPr>
              <w:keepNext/>
              <w:spacing w:after="120"/>
              <w:jc w:val="center"/>
              <w:rPr>
                <w:sz w:val="20"/>
                <w:lang w:eastAsia="zh-TW"/>
              </w:rPr>
            </w:pPr>
            <w:r>
              <w:rPr>
                <w:sz w:val="20"/>
                <w:lang w:val="en-GB" w:eastAsia="zh-TW"/>
              </w:rPr>
              <w:t xml:space="preserve"> 16,2 ± 11,</w:t>
            </w:r>
            <w:r w:rsidRPr="00002ECA">
              <w:rPr>
                <w:sz w:val="20"/>
                <w:lang w:val="en-GB" w:eastAsia="zh-TW"/>
              </w:rPr>
              <w:t>8</w:t>
            </w:r>
          </w:p>
        </w:tc>
        <w:tc>
          <w:tcPr>
            <w:tcW w:w="2601" w:type="dxa"/>
            <w:tcBorders>
              <w:top w:val="single" w:sz="4" w:space="0" w:color="auto"/>
              <w:left w:val="single" w:sz="4" w:space="0" w:color="auto"/>
              <w:bottom w:val="single" w:sz="4" w:space="0" w:color="auto"/>
              <w:right w:val="single" w:sz="4" w:space="0" w:color="auto"/>
            </w:tcBorders>
          </w:tcPr>
          <w:p w14:paraId="27A8A306" w14:textId="77777777" w:rsidR="00DC224A" w:rsidRPr="00002ECA" w:rsidRDefault="00DC224A" w:rsidP="0072377D">
            <w:pPr>
              <w:keepNext/>
              <w:spacing w:after="120"/>
              <w:jc w:val="center"/>
              <w:rPr>
                <w:sz w:val="20"/>
                <w:lang w:eastAsia="zh-TW"/>
              </w:rPr>
            </w:pPr>
            <w:r>
              <w:rPr>
                <w:sz w:val="20"/>
                <w:lang w:val="en-GB" w:eastAsia="zh-TW"/>
              </w:rPr>
              <w:t>71,3 ± 30,</w:t>
            </w:r>
            <w:r w:rsidRPr="00002ECA">
              <w:rPr>
                <w:sz w:val="20"/>
                <w:lang w:val="en-GB" w:eastAsia="zh-TW"/>
              </w:rPr>
              <w:t>1</w:t>
            </w:r>
          </w:p>
        </w:tc>
      </w:tr>
      <w:tr w:rsidR="00DC224A" w:rsidRPr="00002ECA" w14:paraId="50569E12" w14:textId="77777777" w:rsidTr="0072377D">
        <w:trPr>
          <w:cantSplit/>
          <w:trHeight w:val="324"/>
          <w:jc w:val="center"/>
        </w:trPr>
        <w:tc>
          <w:tcPr>
            <w:tcW w:w="4735" w:type="dxa"/>
            <w:tcBorders>
              <w:top w:val="single" w:sz="4" w:space="0" w:color="auto"/>
              <w:left w:val="single" w:sz="4" w:space="0" w:color="auto"/>
              <w:bottom w:val="single" w:sz="4" w:space="0" w:color="auto"/>
              <w:right w:val="single" w:sz="4" w:space="0" w:color="auto"/>
            </w:tcBorders>
          </w:tcPr>
          <w:p w14:paraId="36B655BE" w14:textId="77777777" w:rsidR="00DC224A" w:rsidRPr="00002ECA" w:rsidRDefault="00DC224A" w:rsidP="0072377D">
            <w:pPr>
              <w:spacing w:after="120"/>
              <w:rPr>
                <w:sz w:val="20"/>
                <w:lang w:eastAsia="zh-TW"/>
              </w:rPr>
            </w:pPr>
            <w:r w:rsidRPr="00002ECA">
              <w:rPr>
                <w:sz w:val="20"/>
                <w:lang w:eastAsia="zh-TW"/>
              </w:rPr>
              <w:t>C</w:t>
            </w:r>
            <w:r w:rsidRPr="00002ECA">
              <w:rPr>
                <w:sz w:val="20"/>
                <w:vertAlign w:val="subscript"/>
                <w:lang w:eastAsia="zh-TW"/>
              </w:rPr>
              <w:t>max</w:t>
            </w:r>
            <w:r>
              <w:rPr>
                <w:sz w:val="20"/>
                <w:vertAlign w:val="subscript"/>
                <w:lang w:eastAsia="zh-TW"/>
              </w:rPr>
              <w:t xml:space="preserve"> </w:t>
            </w:r>
            <w:r w:rsidRPr="006868F5">
              <w:rPr>
                <w:sz w:val="20"/>
                <w:lang w:eastAsia="zh-TW"/>
              </w:rPr>
              <w:t>acumulada</w:t>
            </w:r>
          </w:p>
        </w:tc>
        <w:tc>
          <w:tcPr>
            <w:tcW w:w="1483" w:type="dxa"/>
            <w:tcBorders>
              <w:top w:val="single" w:sz="4" w:space="0" w:color="auto"/>
              <w:left w:val="single" w:sz="4" w:space="0" w:color="auto"/>
              <w:bottom w:val="single" w:sz="4" w:space="0" w:color="auto"/>
              <w:right w:val="single" w:sz="4" w:space="0" w:color="auto"/>
            </w:tcBorders>
          </w:tcPr>
          <w:p w14:paraId="0C043DAE" w14:textId="77777777" w:rsidR="00DC224A" w:rsidRPr="00002ECA" w:rsidRDefault="00DC224A" w:rsidP="0072377D">
            <w:pPr>
              <w:spacing w:after="120"/>
              <w:jc w:val="center"/>
              <w:rPr>
                <w:sz w:val="20"/>
                <w:lang w:eastAsia="zh-TW"/>
              </w:rPr>
            </w:pPr>
            <w:r>
              <w:rPr>
                <w:sz w:val="20"/>
                <w:lang w:eastAsia="zh-TW"/>
              </w:rPr>
              <w:t>2,18</w:t>
            </w:r>
          </w:p>
        </w:tc>
        <w:tc>
          <w:tcPr>
            <w:tcW w:w="2601" w:type="dxa"/>
            <w:tcBorders>
              <w:top w:val="single" w:sz="4" w:space="0" w:color="auto"/>
              <w:left w:val="single" w:sz="4" w:space="0" w:color="auto"/>
              <w:bottom w:val="single" w:sz="4" w:space="0" w:color="auto"/>
              <w:right w:val="single" w:sz="4" w:space="0" w:color="auto"/>
            </w:tcBorders>
          </w:tcPr>
          <w:p w14:paraId="19BF0605" w14:textId="77777777" w:rsidR="00DC224A" w:rsidRPr="00002ECA" w:rsidRDefault="00DC224A" w:rsidP="0072377D">
            <w:pPr>
              <w:spacing w:after="120"/>
              <w:jc w:val="center"/>
              <w:rPr>
                <w:sz w:val="20"/>
                <w:lang w:eastAsia="zh-TW"/>
              </w:rPr>
            </w:pPr>
            <w:r w:rsidRPr="00002ECA">
              <w:rPr>
                <w:sz w:val="20"/>
                <w:lang w:val="en-GB" w:eastAsia="zh-TW"/>
              </w:rPr>
              <w:t xml:space="preserve"> </w:t>
            </w:r>
            <w:r>
              <w:rPr>
                <w:sz w:val="20"/>
                <w:lang w:val="en-GB" w:eastAsia="zh-TW"/>
              </w:rPr>
              <w:t>8,88</w:t>
            </w:r>
          </w:p>
        </w:tc>
      </w:tr>
      <w:tr w:rsidR="00DC224A" w:rsidRPr="00002ECA" w14:paraId="4BCEFD10" w14:textId="77777777" w:rsidTr="0072377D">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25FAF17B" w14:textId="77777777" w:rsidR="00DC224A" w:rsidRPr="006868F5" w:rsidRDefault="00DC224A" w:rsidP="0072377D">
            <w:pPr>
              <w:spacing w:after="120"/>
              <w:rPr>
                <w:sz w:val="20"/>
                <w:vertAlign w:val="subscript"/>
                <w:lang w:eastAsia="zh-TW"/>
              </w:rPr>
            </w:pPr>
            <w:r w:rsidRPr="00002ECA">
              <w:rPr>
                <w:sz w:val="20"/>
                <w:lang w:eastAsia="zh-TW"/>
              </w:rPr>
              <w:t>C</w:t>
            </w:r>
            <w:r>
              <w:rPr>
                <w:sz w:val="20"/>
                <w:vertAlign w:val="subscript"/>
                <w:lang w:eastAsia="zh-TW"/>
              </w:rPr>
              <w:t xml:space="preserve">valle </w:t>
            </w:r>
            <w:r w:rsidRPr="006868F5">
              <w:rPr>
                <w:sz w:val="20"/>
                <w:lang w:eastAsia="zh-TW"/>
              </w:rPr>
              <w:t>acumulada</w:t>
            </w:r>
          </w:p>
        </w:tc>
        <w:tc>
          <w:tcPr>
            <w:tcW w:w="1483" w:type="dxa"/>
            <w:tcBorders>
              <w:top w:val="single" w:sz="4" w:space="0" w:color="auto"/>
              <w:left w:val="single" w:sz="4" w:space="0" w:color="auto"/>
              <w:bottom w:val="single" w:sz="4" w:space="0" w:color="auto"/>
              <w:right w:val="single" w:sz="4" w:space="0" w:color="auto"/>
            </w:tcBorders>
          </w:tcPr>
          <w:p w14:paraId="270EC677" w14:textId="77777777" w:rsidR="00DC224A" w:rsidRPr="00002ECA" w:rsidRDefault="00DC224A" w:rsidP="0072377D">
            <w:pPr>
              <w:spacing w:after="120"/>
              <w:jc w:val="center"/>
              <w:rPr>
                <w:sz w:val="20"/>
                <w:lang w:eastAsia="zh-TW"/>
              </w:rPr>
            </w:pPr>
            <w:r>
              <w:rPr>
                <w:sz w:val="20"/>
                <w:lang w:val="en-GB" w:eastAsia="zh-TW"/>
              </w:rPr>
              <w:t>5,61</w:t>
            </w:r>
          </w:p>
        </w:tc>
        <w:tc>
          <w:tcPr>
            <w:tcW w:w="2601" w:type="dxa"/>
            <w:tcBorders>
              <w:top w:val="single" w:sz="4" w:space="0" w:color="auto"/>
              <w:left w:val="single" w:sz="4" w:space="0" w:color="auto"/>
              <w:bottom w:val="single" w:sz="4" w:space="0" w:color="auto"/>
              <w:right w:val="single" w:sz="4" w:space="0" w:color="auto"/>
            </w:tcBorders>
          </w:tcPr>
          <w:p w14:paraId="7CE08158" w14:textId="77777777" w:rsidR="00DC224A" w:rsidRPr="00002ECA" w:rsidRDefault="00DC224A" w:rsidP="0072377D">
            <w:pPr>
              <w:spacing w:after="120"/>
              <w:jc w:val="center"/>
              <w:rPr>
                <w:sz w:val="20"/>
                <w:lang w:eastAsia="zh-TW"/>
              </w:rPr>
            </w:pPr>
            <w:r>
              <w:rPr>
                <w:sz w:val="20"/>
                <w:lang w:val="en-GB" w:eastAsia="zh-TW"/>
              </w:rPr>
              <w:t>9,59</w:t>
            </w:r>
          </w:p>
        </w:tc>
      </w:tr>
      <w:tr w:rsidR="00DC224A" w:rsidRPr="00002ECA" w14:paraId="1D15E34A" w14:textId="77777777" w:rsidTr="0072377D">
        <w:trPr>
          <w:cantSplit/>
          <w:trHeight w:val="331"/>
          <w:jc w:val="center"/>
        </w:trPr>
        <w:tc>
          <w:tcPr>
            <w:tcW w:w="4735" w:type="dxa"/>
            <w:tcBorders>
              <w:top w:val="single" w:sz="4" w:space="0" w:color="auto"/>
              <w:left w:val="single" w:sz="4" w:space="0" w:color="auto"/>
              <w:bottom w:val="single" w:sz="4" w:space="0" w:color="auto"/>
              <w:right w:val="single" w:sz="4" w:space="0" w:color="auto"/>
            </w:tcBorders>
          </w:tcPr>
          <w:p w14:paraId="5ECF1E76" w14:textId="77777777" w:rsidR="00DC224A" w:rsidRPr="00002ECA" w:rsidRDefault="00DC224A" w:rsidP="0072377D">
            <w:pPr>
              <w:spacing w:after="120"/>
              <w:rPr>
                <w:sz w:val="20"/>
                <w:lang w:eastAsia="zh-TW"/>
              </w:rPr>
            </w:pPr>
            <w:r w:rsidRPr="00324884">
              <w:rPr>
                <w:sz w:val="20"/>
              </w:rPr>
              <w:t>C</w:t>
            </w:r>
            <w:r w:rsidRPr="00324884">
              <w:rPr>
                <w:sz w:val="20"/>
                <w:vertAlign w:val="subscript"/>
              </w:rPr>
              <w:t>me</w:t>
            </w:r>
            <w:r>
              <w:rPr>
                <w:sz w:val="20"/>
                <w:vertAlign w:val="subscript"/>
              </w:rPr>
              <w:t>dia</w:t>
            </w:r>
            <w:r>
              <w:rPr>
                <w:sz w:val="20"/>
              </w:rPr>
              <w:t xml:space="preserve"> acumulada o</w:t>
            </w:r>
            <w:r w:rsidRPr="00324884">
              <w:rPr>
                <w:sz w:val="20"/>
              </w:rPr>
              <w:t xml:space="preserve"> AUC</w:t>
            </w:r>
            <w:r w:rsidRPr="00324884">
              <w:rPr>
                <w:sz w:val="20"/>
                <w:vertAlign w:val="subscript"/>
              </w:rPr>
              <w:t>τ</w:t>
            </w:r>
            <w:r w:rsidRPr="00324884">
              <w:rPr>
                <w:sz w:val="20"/>
              </w:rPr>
              <w:t xml:space="preserve"> </w:t>
            </w:r>
            <w:r w:rsidR="003F3604">
              <w:rPr>
                <w:iCs/>
                <w:lang w:val="es-ES"/>
              </w:rPr>
              <w:t>*</w:t>
            </w:r>
          </w:p>
        </w:tc>
        <w:tc>
          <w:tcPr>
            <w:tcW w:w="1483" w:type="dxa"/>
            <w:tcBorders>
              <w:top w:val="single" w:sz="4" w:space="0" w:color="auto"/>
              <w:left w:val="single" w:sz="4" w:space="0" w:color="auto"/>
              <w:bottom w:val="single" w:sz="4" w:space="0" w:color="auto"/>
              <w:right w:val="single" w:sz="4" w:space="0" w:color="auto"/>
            </w:tcBorders>
          </w:tcPr>
          <w:p w14:paraId="4AD071EE" w14:textId="77777777" w:rsidR="00DC224A" w:rsidRPr="00002ECA" w:rsidRDefault="00DC224A" w:rsidP="0072377D">
            <w:pPr>
              <w:spacing w:after="120"/>
              <w:jc w:val="center"/>
              <w:rPr>
                <w:sz w:val="20"/>
                <w:lang w:val="en-GB" w:eastAsia="zh-TW"/>
              </w:rPr>
            </w:pPr>
            <w:r>
              <w:rPr>
                <w:sz w:val="20"/>
                <w:lang w:val="en-GB" w:eastAsia="zh-TW"/>
              </w:rPr>
              <w:t>2,81</w:t>
            </w:r>
          </w:p>
        </w:tc>
        <w:tc>
          <w:tcPr>
            <w:tcW w:w="2601" w:type="dxa"/>
            <w:tcBorders>
              <w:top w:val="single" w:sz="4" w:space="0" w:color="auto"/>
              <w:left w:val="single" w:sz="4" w:space="0" w:color="auto"/>
              <w:bottom w:val="single" w:sz="4" w:space="0" w:color="auto"/>
              <w:right w:val="single" w:sz="4" w:space="0" w:color="auto"/>
            </w:tcBorders>
          </w:tcPr>
          <w:p w14:paraId="39AF81DE" w14:textId="77777777" w:rsidR="00DC224A" w:rsidRPr="00002ECA" w:rsidRDefault="00DC224A" w:rsidP="0072377D">
            <w:pPr>
              <w:spacing w:after="120"/>
              <w:jc w:val="center"/>
              <w:rPr>
                <w:sz w:val="20"/>
                <w:lang w:val="en-GB" w:eastAsia="zh-TW"/>
              </w:rPr>
            </w:pPr>
            <w:r>
              <w:rPr>
                <w:sz w:val="20"/>
                <w:lang w:val="en-GB" w:eastAsia="zh-TW"/>
              </w:rPr>
              <w:t>10,91</w:t>
            </w:r>
          </w:p>
        </w:tc>
      </w:tr>
    </w:tbl>
    <w:p w14:paraId="6BBD45DA" w14:textId="34BA27BE" w:rsidR="000B447D" w:rsidRDefault="000B447D" w:rsidP="000B447D">
      <w:pPr>
        <w:outlineLvl w:val="0"/>
        <w:rPr>
          <w:sz w:val="20"/>
          <w:lang w:val="es-ES"/>
        </w:rPr>
      </w:pPr>
      <w:r>
        <w:rPr>
          <w:iCs/>
          <w:lang w:val="es-ES"/>
        </w:rPr>
        <w:t xml:space="preserve">   *</w:t>
      </w:r>
      <w:r w:rsidRPr="00E576A0">
        <w:rPr>
          <w:sz w:val="20"/>
        </w:rPr>
        <w:t>τ</w:t>
      </w:r>
      <w:r w:rsidRPr="00E576A0">
        <w:rPr>
          <w:sz w:val="20"/>
          <w:vertAlign w:val="subscript"/>
          <w:lang w:val="es-ES"/>
        </w:rPr>
        <w:t xml:space="preserve"> </w:t>
      </w:r>
      <w:r w:rsidRPr="00E576A0">
        <w:rPr>
          <w:sz w:val="20"/>
          <w:lang w:val="es-ES"/>
        </w:rPr>
        <w:t xml:space="preserve">= 2 semanas o 1 semana para los dos </w:t>
      </w:r>
      <w:ins w:id="2107" w:author="AUTHOR">
        <w:r w:rsidR="00B707BE" w:rsidRPr="00B707BE">
          <w:rPr>
            <w:sz w:val="20"/>
            <w:lang w:val="es-ES"/>
          </w:rPr>
          <w:t>pautas posológicas</w:t>
        </w:r>
      </w:ins>
      <w:del w:id="2108" w:author="AUTHOR">
        <w:r w:rsidRPr="00E576A0" w:rsidDel="00B707BE">
          <w:rPr>
            <w:sz w:val="20"/>
            <w:lang w:val="es-ES"/>
          </w:rPr>
          <w:delText>reg</w:delText>
        </w:r>
        <w:r w:rsidDel="00B707BE">
          <w:rPr>
            <w:sz w:val="20"/>
            <w:lang w:val="es-ES"/>
          </w:rPr>
          <w:delText>ímenes</w:delText>
        </w:r>
      </w:del>
      <w:r>
        <w:rPr>
          <w:sz w:val="20"/>
          <w:lang w:val="es-ES"/>
        </w:rPr>
        <w:t xml:space="preserve"> </w:t>
      </w:r>
      <w:r w:rsidR="00E7158F">
        <w:rPr>
          <w:sz w:val="20"/>
          <w:lang w:val="es-ES"/>
        </w:rPr>
        <w:t>subcutáne</w:t>
      </w:r>
      <w:ins w:id="2109" w:author="AUTHOR">
        <w:r w:rsidR="00B707BE">
          <w:rPr>
            <w:sz w:val="20"/>
            <w:lang w:val="es-ES"/>
          </w:rPr>
          <w:t>a</w:t>
        </w:r>
      </w:ins>
      <w:del w:id="2110" w:author="AUTHOR">
        <w:r w:rsidR="00E7158F" w:rsidDel="00B707BE">
          <w:rPr>
            <w:sz w:val="20"/>
            <w:lang w:val="es-ES"/>
          </w:rPr>
          <w:delText>o</w:delText>
        </w:r>
      </w:del>
      <w:r w:rsidR="00E7158F">
        <w:rPr>
          <w:sz w:val="20"/>
          <w:lang w:val="es-ES"/>
        </w:rPr>
        <w:t>s</w:t>
      </w:r>
    </w:p>
    <w:p w14:paraId="572DB055" w14:textId="77777777" w:rsidR="00DC224A" w:rsidRDefault="00DC224A" w:rsidP="00DC224A">
      <w:pPr>
        <w:outlineLvl w:val="0"/>
        <w:rPr>
          <w:iCs/>
          <w:lang w:val="es-ES"/>
        </w:rPr>
      </w:pPr>
    </w:p>
    <w:p w14:paraId="0ED29BB4" w14:textId="1DD5A1BA" w:rsidR="00DC224A" w:rsidRPr="00C22F3F" w:rsidRDefault="00DC224A" w:rsidP="00DC224A">
      <w:pPr>
        <w:outlineLvl w:val="0"/>
        <w:rPr>
          <w:iCs/>
          <w:lang w:val="es-ES"/>
        </w:rPr>
      </w:pPr>
      <w:r w:rsidRPr="002837E4">
        <w:rPr>
          <w:iCs/>
          <w:lang w:val="es-ES"/>
        </w:rPr>
        <w:t>El perfil del</w:t>
      </w:r>
      <w:r w:rsidRPr="006C05BA">
        <w:rPr>
          <w:iCs/>
          <w:lang w:val="es-ES"/>
        </w:rPr>
        <w:t xml:space="preserve"> estado estacionario fue casi plano </w:t>
      </w:r>
      <w:r w:rsidRPr="00C22F3F">
        <w:rPr>
          <w:iCs/>
          <w:lang w:val="es-ES"/>
        </w:rPr>
        <w:t xml:space="preserve">después de la dosis semanal de </w:t>
      </w:r>
      <w:r w:rsidR="00E7158F" w:rsidRPr="00F30AB8">
        <w:rPr>
          <w:szCs w:val="22"/>
          <w:lang w:val="es-ES" w:eastAsia="de-DE"/>
        </w:rPr>
        <w:t>tocilizumab</w:t>
      </w:r>
      <w:r w:rsidRPr="00C22F3F">
        <w:rPr>
          <w:iCs/>
          <w:lang w:val="es-ES"/>
        </w:rPr>
        <w:t xml:space="preserve">, con muy pocas fluctuaciones en los valores entre pico y </w:t>
      </w:r>
      <w:del w:id="2111" w:author="AUTHOR">
        <w:r w:rsidRPr="00C22F3F" w:rsidDel="009F37B4">
          <w:rPr>
            <w:iCs/>
            <w:lang w:val="es-ES"/>
          </w:rPr>
          <w:delText>pico</w:delText>
        </w:r>
      </w:del>
      <w:ins w:id="2112" w:author="AUTHOR">
        <w:r w:rsidR="009F37B4">
          <w:rPr>
            <w:iCs/>
            <w:lang w:val="es-ES"/>
          </w:rPr>
          <w:t>valle</w:t>
        </w:r>
      </w:ins>
      <w:r w:rsidRPr="00C22F3F">
        <w:rPr>
          <w:iCs/>
          <w:lang w:val="es-ES"/>
        </w:rPr>
        <w:t xml:space="preserve">, mientras que hubo fluctuaciones sustanciales en la administración </w:t>
      </w:r>
      <w:ins w:id="2113" w:author="AUTHOR">
        <w:r w:rsidR="00B707BE">
          <w:rPr>
            <w:iCs/>
            <w:lang w:val="es-ES"/>
          </w:rPr>
          <w:t xml:space="preserve">de tocilizumab </w:t>
        </w:r>
      </w:ins>
      <w:r w:rsidRPr="00C22F3F">
        <w:rPr>
          <w:iCs/>
          <w:lang w:val="es-ES"/>
        </w:rPr>
        <w:t>cada dos semanas. Aproximadamente el 90</w:t>
      </w:r>
      <w:r>
        <w:rPr>
          <w:iCs/>
          <w:lang w:val="es-ES"/>
        </w:rPr>
        <w:t xml:space="preserve"> </w:t>
      </w:r>
      <w:r w:rsidRPr="00C22F3F">
        <w:rPr>
          <w:iCs/>
          <w:lang w:val="es-ES"/>
        </w:rPr>
        <w:t xml:space="preserve">% del estado </w:t>
      </w:r>
      <w:r w:rsidRPr="00C22F3F">
        <w:rPr>
          <w:iCs/>
          <w:lang w:val="es-ES"/>
        </w:rPr>
        <w:lastRenderedPageBreak/>
        <w:t xml:space="preserve">estacionario (AUCτ) fue alcanzado en la </w:t>
      </w:r>
      <w:proofErr w:type="gramStart"/>
      <w:r w:rsidRPr="00C22F3F">
        <w:rPr>
          <w:iCs/>
          <w:lang w:val="es-ES"/>
        </w:rPr>
        <w:t>semana</w:t>
      </w:r>
      <w:r w:rsidR="00763107" w:rsidRPr="00F30AB8">
        <w:rPr>
          <w:szCs w:val="22"/>
          <w:lang w:val="es-ES"/>
        </w:rPr>
        <w:t> </w:t>
      </w:r>
      <w:r w:rsidR="00763107" w:rsidRPr="00C22F3F" w:rsidDel="00763107">
        <w:rPr>
          <w:iCs/>
          <w:lang w:val="es-ES"/>
        </w:rPr>
        <w:t xml:space="preserve"> </w:t>
      </w:r>
      <w:r w:rsidRPr="00C22F3F">
        <w:rPr>
          <w:iCs/>
          <w:lang w:val="es-ES"/>
        </w:rPr>
        <w:t>14</w:t>
      </w:r>
      <w:proofErr w:type="gramEnd"/>
      <w:r w:rsidRPr="00C22F3F">
        <w:rPr>
          <w:iCs/>
          <w:lang w:val="es-ES"/>
        </w:rPr>
        <w:t xml:space="preserve"> en el grupo de administración de cada dos semanas y en la semana</w:t>
      </w:r>
      <w:r w:rsidR="00763107" w:rsidRPr="00F30AB8">
        <w:rPr>
          <w:szCs w:val="22"/>
          <w:lang w:val="es-ES"/>
        </w:rPr>
        <w:t> </w:t>
      </w:r>
      <w:r w:rsidR="00763107" w:rsidRPr="00C22F3F" w:rsidDel="00763107">
        <w:rPr>
          <w:iCs/>
          <w:lang w:val="es-ES"/>
        </w:rPr>
        <w:t xml:space="preserve"> </w:t>
      </w:r>
      <w:r w:rsidRPr="00C22F3F">
        <w:rPr>
          <w:iCs/>
          <w:lang w:val="es-ES"/>
        </w:rPr>
        <w:t xml:space="preserve">17 en el grupo de administración semanal. </w:t>
      </w:r>
    </w:p>
    <w:p w14:paraId="40ABEE4E" w14:textId="77777777" w:rsidR="00DC224A" w:rsidRPr="006868F5" w:rsidRDefault="00DC224A" w:rsidP="00DC224A">
      <w:pPr>
        <w:outlineLvl w:val="0"/>
        <w:rPr>
          <w:iCs/>
          <w:highlight w:val="yellow"/>
          <w:lang w:val="es-ES"/>
        </w:rPr>
      </w:pPr>
    </w:p>
    <w:p w14:paraId="1EE1FCBB" w14:textId="541EADE5" w:rsidR="00DC224A" w:rsidRPr="00C22F3F" w:rsidRDefault="00DC224A" w:rsidP="00DC224A">
      <w:pPr>
        <w:outlineLvl w:val="0"/>
        <w:rPr>
          <w:iCs/>
          <w:lang w:val="es-ES"/>
        </w:rPr>
      </w:pPr>
      <w:r w:rsidRPr="002837E4">
        <w:rPr>
          <w:iCs/>
          <w:lang w:val="es-ES"/>
        </w:rPr>
        <w:t xml:space="preserve">Basándose en la caracterización actual de la </w:t>
      </w:r>
      <w:r w:rsidR="00921FEA">
        <w:rPr>
          <w:iCs/>
          <w:lang w:val="es-ES"/>
        </w:rPr>
        <w:t>PK</w:t>
      </w:r>
      <w:r w:rsidRPr="002837E4">
        <w:rPr>
          <w:iCs/>
          <w:lang w:val="es-ES"/>
        </w:rPr>
        <w:t>, se observa</w:t>
      </w:r>
      <w:r w:rsidRPr="006C05BA">
        <w:rPr>
          <w:iCs/>
          <w:lang w:val="es-ES"/>
        </w:rPr>
        <w:t xml:space="preserve">ron concentraciones valle de </w:t>
      </w:r>
      <w:r w:rsidR="00E7158F" w:rsidRPr="00F30AB8">
        <w:rPr>
          <w:szCs w:val="22"/>
          <w:lang w:val="es-ES" w:eastAsia="de-DE"/>
        </w:rPr>
        <w:t>tocilizumab</w:t>
      </w:r>
      <w:r w:rsidRPr="006C05BA">
        <w:rPr>
          <w:iCs/>
          <w:lang w:val="es-ES"/>
        </w:rPr>
        <w:t xml:space="preserve"> en el estado estacionario un </w:t>
      </w:r>
      <w:r w:rsidRPr="00C22F3F">
        <w:rPr>
          <w:iCs/>
          <w:lang w:val="es-ES"/>
        </w:rPr>
        <w:t>50</w:t>
      </w:r>
      <w:r>
        <w:rPr>
          <w:iCs/>
          <w:lang w:val="es-ES"/>
        </w:rPr>
        <w:t xml:space="preserve"> </w:t>
      </w:r>
      <w:r w:rsidRPr="00C22F3F">
        <w:rPr>
          <w:iCs/>
          <w:lang w:val="es-ES"/>
        </w:rPr>
        <w:t>%</w:t>
      </w:r>
      <w:r w:rsidRPr="006868F5">
        <w:rPr>
          <w:iCs/>
          <w:lang w:val="es-ES"/>
        </w:rPr>
        <w:t xml:space="preserve"> </w:t>
      </w:r>
      <w:r w:rsidRPr="002837E4">
        <w:rPr>
          <w:iCs/>
          <w:lang w:val="es-ES"/>
        </w:rPr>
        <w:t xml:space="preserve">más altas en esta población en relación con las concentraciones medias en un conjunto </w:t>
      </w:r>
      <w:r w:rsidRPr="006C05BA">
        <w:rPr>
          <w:iCs/>
          <w:lang w:val="es-ES"/>
        </w:rPr>
        <w:t>grande de datos de la población con</w:t>
      </w:r>
      <w:r w:rsidRPr="00C22F3F">
        <w:rPr>
          <w:iCs/>
          <w:lang w:val="es-ES"/>
        </w:rPr>
        <w:t xml:space="preserve"> AR. Estas diferencias se producen por razones desconocidas. Las diferencias</w:t>
      </w:r>
      <w:r>
        <w:rPr>
          <w:iCs/>
          <w:lang w:val="es-ES"/>
        </w:rPr>
        <w:t xml:space="preserve"> en la</w:t>
      </w:r>
      <w:r w:rsidRPr="00C22F3F">
        <w:rPr>
          <w:iCs/>
          <w:lang w:val="es-ES"/>
        </w:rPr>
        <w:t xml:space="preserve"> </w:t>
      </w:r>
      <w:r w:rsidR="00921FEA">
        <w:rPr>
          <w:iCs/>
          <w:lang w:val="es-ES"/>
        </w:rPr>
        <w:t>PK</w:t>
      </w:r>
      <w:r w:rsidRPr="00C22F3F">
        <w:rPr>
          <w:iCs/>
          <w:lang w:val="es-ES"/>
        </w:rPr>
        <w:t xml:space="preserve"> no se acompañan de diferencias importantes en los parámetros de </w:t>
      </w:r>
      <w:r w:rsidR="00921FEA">
        <w:rPr>
          <w:iCs/>
          <w:lang w:val="es-ES"/>
        </w:rPr>
        <w:t>PD</w:t>
      </w:r>
      <w:r w:rsidRPr="00C22F3F">
        <w:rPr>
          <w:iCs/>
          <w:lang w:val="es-ES"/>
        </w:rPr>
        <w:t>, por lo que la relevancia clínica es desconocida.</w:t>
      </w:r>
    </w:p>
    <w:p w14:paraId="5EA955F8" w14:textId="77777777" w:rsidR="00DC224A" w:rsidRPr="006868F5" w:rsidRDefault="00DC224A" w:rsidP="00DC224A">
      <w:pPr>
        <w:outlineLvl w:val="0"/>
        <w:rPr>
          <w:iCs/>
          <w:highlight w:val="yellow"/>
          <w:lang w:val="es-ES"/>
        </w:rPr>
      </w:pPr>
    </w:p>
    <w:p w14:paraId="2153E23D" w14:textId="7259D293" w:rsidR="00DC224A" w:rsidRPr="00C22F3F" w:rsidRDefault="00DC224A" w:rsidP="00DC224A">
      <w:pPr>
        <w:outlineLvl w:val="0"/>
        <w:rPr>
          <w:iCs/>
          <w:lang w:val="es-ES"/>
        </w:rPr>
      </w:pPr>
      <w:r w:rsidRPr="002837E4">
        <w:rPr>
          <w:iCs/>
          <w:lang w:val="es-ES"/>
        </w:rPr>
        <w:t xml:space="preserve">En pacientes con ACG, se observó una mayor exposición en pacientes con menor peso corporal. </w:t>
      </w:r>
      <w:r w:rsidRPr="006C05BA">
        <w:rPr>
          <w:iCs/>
          <w:lang w:val="es-ES"/>
        </w:rPr>
        <w:t xml:space="preserve">Para </w:t>
      </w:r>
      <w:r w:rsidR="005C50FB">
        <w:rPr>
          <w:iCs/>
          <w:lang w:val="es-ES"/>
        </w:rPr>
        <w:t>la pauta posológica</w:t>
      </w:r>
      <w:r w:rsidRPr="00C22F3F">
        <w:rPr>
          <w:iCs/>
          <w:lang w:val="es-ES"/>
        </w:rPr>
        <w:t xml:space="preserve"> de </w:t>
      </w:r>
      <w:proofErr w:type="gramStart"/>
      <w:r w:rsidRPr="00C22F3F">
        <w:rPr>
          <w:iCs/>
          <w:lang w:val="es-ES"/>
        </w:rPr>
        <w:t>162</w:t>
      </w:r>
      <w:r w:rsidR="00763107" w:rsidRPr="00F30AB8">
        <w:rPr>
          <w:szCs w:val="22"/>
          <w:lang w:val="es-ES"/>
        </w:rPr>
        <w:t> </w:t>
      </w:r>
      <w:r w:rsidR="00763107" w:rsidRPr="00C22F3F" w:rsidDel="00763107">
        <w:rPr>
          <w:iCs/>
          <w:lang w:val="es-ES"/>
        </w:rPr>
        <w:t xml:space="preserve"> </w:t>
      </w:r>
      <w:r w:rsidRPr="00C22F3F">
        <w:rPr>
          <w:iCs/>
          <w:lang w:val="es-ES"/>
        </w:rPr>
        <w:t>mg</w:t>
      </w:r>
      <w:proofErr w:type="gramEnd"/>
      <w:r w:rsidRPr="00C22F3F">
        <w:rPr>
          <w:iCs/>
          <w:lang w:val="es-ES"/>
        </w:rPr>
        <w:t xml:space="preserve"> semanal</w:t>
      </w:r>
      <w:r>
        <w:rPr>
          <w:iCs/>
          <w:lang w:val="es-ES"/>
        </w:rPr>
        <w:t>es</w:t>
      </w:r>
      <w:r w:rsidRPr="00C22F3F">
        <w:rPr>
          <w:iCs/>
          <w:lang w:val="es-ES"/>
        </w:rPr>
        <w:t xml:space="preserve">, </w:t>
      </w:r>
      <w:r w:rsidRPr="006868F5">
        <w:rPr>
          <w:iCs/>
          <w:color w:val="000000"/>
          <w:lang w:val="es-ES"/>
        </w:rPr>
        <w:t>la C</w:t>
      </w:r>
      <w:r w:rsidRPr="006868F5">
        <w:rPr>
          <w:iCs/>
          <w:color w:val="000000"/>
          <w:shd w:val="clear" w:color="auto" w:fill="FFFFFF"/>
          <w:lang w:val="es-ES"/>
        </w:rPr>
        <w:t>media</w:t>
      </w:r>
      <w:r w:rsidRPr="006868F5">
        <w:rPr>
          <w:iCs/>
          <w:color w:val="000000"/>
          <w:lang w:val="es-ES"/>
        </w:rPr>
        <w:t xml:space="preserve"> en el estado estacionario fue un 51 % más alta en pacientes con peso corporal inferior a 60</w:t>
      </w:r>
      <w:r w:rsidR="00763107" w:rsidRPr="00F30AB8">
        <w:rPr>
          <w:szCs w:val="22"/>
          <w:lang w:val="es-ES"/>
        </w:rPr>
        <w:t> </w:t>
      </w:r>
      <w:r w:rsidR="00763107" w:rsidRPr="006868F5" w:rsidDel="00763107">
        <w:rPr>
          <w:iCs/>
          <w:color w:val="000000"/>
          <w:lang w:val="es-ES"/>
        </w:rPr>
        <w:t xml:space="preserve"> </w:t>
      </w:r>
      <w:r w:rsidRPr="006868F5">
        <w:rPr>
          <w:iCs/>
          <w:color w:val="000000"/>
          <w:lang w:val="es-ES"/>
        </w:rPr>
        <w:t>kg en comparación con pacientes que pesaban entre 60 y 100</w:t>
      </w:r>
      <w:r w:rsidR="00763107" w:rsidRPr="00F30AB8">
        <w:rPr>
          <w:szCs w:val="22"/>
          <w:lang w:val="es-ES"/>
        </w:rPr>
        <w:t> </w:t>
      </w:r>
      <w:r w:rsidR="00763107" w:rsidRPr="006868F5" w:rsidDel="00763107">
        <w:rPr>
          <w:iCs/>
          <w:color w:val="000000"/>
          <w:lang w:val="es-ES"/>
        </w:rPr>
        <w:t xml:space="preserve"> </w:t>
      </w:r>
      <w:r w:rsidRPr="006868F5">
        <w:rPr>
          <w:iCs/>
          <w:color w:val="000000"/>
          <w:lang w:val="es-ES"/>
        </w:rPr>
        <w:t xml:space="preserve">kg. Para </w:t>
      </w:r>
      <w:r w:rsidR="005C50FB">
        <w:rPr>
          <w:iCs/>
          <w:color w:val="000000"/>
          <w:lang w:val="es-ES"/>
        </w:rPr>
        <w:t xml:space="preserve">la pauta posológica </w:t>
      </w:r>
      <w:r w:rsidRPr="006868F5">
        <w:rPr>
          <w:iCs/>
          <w:color w:val="000000"/>
          <w:lang w:val="es-ES"/>
        </w:rPr>
        <w:t>de 162</w:t>
      </w:r>
      <w:r w:rsidR="00763107" w:rsidRPr="00F30AB8">
        <w:rPr>
          <w:szCs w:val="22"/>
          <w:lang w:val="es-ES"/>
        </w:rPr>
        <w:t> </w:t>
      </w:r>
      <w:r w:rsidR="00763107" w:rsidRPr="006868F5" w:rsidDel="00763107">
        <w:rPr>
          <w:iCs/>
          <w:color w:val="000000"/>
          <w:lang w:val="es-ES"/>
        </w:rPr>
        <w:t xml:space="preserve"> </w:t>
      </w:r>
      <w:r w:rsidRPr="006868F5">
        <w:rPr>
          <w:iCs/>
          <w:color w:val="000000"/>
          <w:lang w:val="es-ES"/>
        </w:rPr>
        <w:t xml:space="preserve">mg </w:t>
      </w:r>
      <w:del w:id="2114" w:author="AUTHOR">
        <w:r w:rsidRPr="006868F5" w:rsidDel="009F26E0">
          <w:rPr>
            <w:iCs/>
            <w:color w:val="000000"/>
            <w:lang w:val="es-ES"/>
          </w:rPr>
          <w:delText>bisemanal</w:delText>
        </w:r>
      </w:del>
      <w:ins w:id="2115" w:author="AUTHOR">
        <w:r w:rsidR="009F26E0">
          <w:rPr>
            <w:iCs/>
            <w:color w:val="000000"/>
            <w:lang w:val="es-ES"/>
          </w:rPr>
          <w:t>cada dos semanas</w:t>
        </w:r>
      </w:ins>
      <w:r w:rsidRPr="006868F5">
        <w:rPr>
          <w:iCs/>
          <w:color w:val="000000"/>
          <w:lang w:val="es-ES"/>
        </w:rPr>
        <w:t>, la C</w:t>
      </w:r>
      <w:r w:rsidRPr="006868F5">
        <w:rPr>
          <w:iCs/>
          <w:color w:val="000000"/>
          <w:shd w:val="clear" w:color="auto" w:fill="FFFFFF"/>
          <w:lang w:val="es-ES"/>
        </w:rPr>
        <w:t>media</w:t>
      </w:r>
      <w:r w:rsidRPr="00C22F3F">
        <w:rPr>
          <w:iCs/>
          <w:lang w:val="es-ES"/>
        </w:rPr>
        <w:t xml:space="preserve"> en el estado estacionario fue un 129</w:t>
      </w:r>
      <w:r>
        <w:rPr>
          <w:iCs/>
          <w:lang w:val="es-ES"/>
        </w:rPr>
        <w:t xml:space="preserve"> </w:t>
      </w:r>
      <w:r w:rsidRPr="00C22F3F">
        <w:rPr>
          <w:iCs/>
          <w:lang w:val="es-ES"/>
        </w:rPr>
        <w:t>% más alta en pacientes con peso corporal inferior a 60</w:t>
      </w:r>
      <w:r w:rsidR="00763107" w:rsidRPr="00F30AB8">
        <w:rPr>
          <w:szCs w:val="22"/>
          <w:lang w:val="es-ES"/>
        </w:rPr>
        <w:t> </w:t>
      </w:r>
      <w:r w:rsidR="00763107" w:rsidRPr="00C22F3F" w:rsidDel="00763107">
        <w:rPr>
          <w:iCs/>
          <w:lang w:val="es-ES"/>
        </w:rPr>
        <w:t xml:space="preserve"> </w:t>
      </w:r>
      <w:r w:rsidRPr="00C22F3F">
        <w:rPr>
          <w:iCs/>
          <w:lang w:val="es-ES"/>
        </w:rPr>
        <w:t>kg en comparación con pacientes que pesaban entre 60 y 100</w:t>
      </w:r>
      <w:r w:rsidR="00763107" w:rsidRPr="00F30AB8">
        <w:rPr>
          <w:szCs w:val="22"/>
          <w:lang w:val="es-ES"/>
        </w:rPr>
        <w:t> </w:t>
      </w:r>
      <w:r w:rsidR="00763107" w:rsidRPr="00C22F3F" w:rsidDel="00763107">
        <w:rPr>
          <w:iCs/>
          <w:lang w:val="es-ES"/>
        </w:rPr>
        <w:t xml:space="preserve"> </w:t>
      </w:r>
      <w:r w:rsidRPr="00C22F3F">
        <w:rPr>
          <w:iCs/>
          <w:lang w:val="es-ES"/>
        </w:rPr>
        <w:t xml:space="preserve">kg. Los datos son limitados para pacientes de más de </w:t>
      </w:r>
      <w:proofErr w:type="gramStart"/>
      <w:r w:rsidRPr="00C22F3F">
        <w:rPr>
          <w:iCs/>
          <w:lang w:val="es-ES"/>
        </w:rPr>
        <w:t>100</w:t>
      </w:r>
      <w:r w:rsidR="00763107" w:rsidRPr="00F30AB8">
        <w:rPr>
          <w:szCs w:val="22"/>
          <w:lang w:val="es-ES"/>
        </w:rPr>
        <w:t> </w:t>
      </w:r>
      <w:r w:rsidR="00763107" w:rsidRPr="00C22F3F" w:rsidDel="00763107">
        <w:rPr>
          <w:iCs/>
          <w:lang w:val="es-ES"/>
        </w:rPr>
        <w:t xml:space="preserve"> </w:t>
      </w:r>
      <w:r w:rsidRPr="00C22F3F">
        <w:rPr>
          <w:iCs/>
          <w:lang w:val="es-ES"/>
        </w:rPr>
        <w:t>kg</w:t>
      </w:r>
      <w:proofErr w:type="gramEnd"/>
      <w:r w:rsidRPr="00C22F3F">
        <w:rPr>
          <w:iCs/>
          <w:lang w:val="es-ES"/>
        </w:rPr>
        <w:t xml:space="preserve"> (n=7).</w:t>
      </w:r>
    </w:p>
    <w:p w14:paraId="2A1AFB27" w14:textId="77777777" w:rsidR="00DC224A" w:rsidRPr="006868F5" w:rsidRDefault="00DC224A" w:rsidP="00DC224A">
      <w:pPr>
        <w:outlineLvl w:val="0"/>
        <w:rPr>
          <w:iCs/>
          <w:highlight w:val="yellow"/>
          <w:lang w:val="es-ES"/>
        </w:rPr>
      </w:pPr>
    </w:p>
    <w:p w14:paraId="6821DB76" w14:textId="77777777" w:rsidR="00DC224A" w:rsidRPr="00E576A0" w:rsidRDefault="00DC224A" w:rsidP="00FF2AFA">
      <w:pPr>
        <w:keepNext/>
        <w:keepLines/>
        <w:outlineLvl w:val="0"/>
        <w:rPr>
          <w:iCs/>
          <w:u w:val="single"/>
          <w:lang w:val="es-ES"/>
        </w:rPr>
      </w:pPr>
      <w:r w:rsidRPr="00E576A0">
        <w:rPr>
          <w:iCs/>
          <w:u w:val="single"/>
          <w:lang w:val="es-ES"/>
        </w:rPr>
        <w:t>Absorción</w:t>
      </w:r>
    </w:p>
    <w:p w14:paraId="75ED24F7" w14:textId="77777777" w:rsidR="00DC224A" w:rsidRPr="006C05BA" w:rsidRDefault="00DC224A" w:rsidP="00FF2AFA">
      <w:pPr>
        <w:keepNext/>
        <w:keepLines/>
        <w:outlineLvl w:val="0"/>
        <w:rPr>
          <w:iCs/>
          <w:lang w:val="es-ES"/>
        </w:rPr>
      </w:pPr>
    </w:p>
    <w:p w14:paraId="25B01589" w14:textId="73F2DB75" w:rsidR="00DC224A" w:rsidRPr="00C22F3F" w:rsidRDefault="00DC224A" w:rsidP="00DC224A">
      <w:pPr>
        <w:outlineLvl w:val="0"/>
        <w:rPr>
          <w:iCs/>
          <w:lang w:val="es-ES"/>
        </w:rPr>
      </w:pPr>
      <w:r w:rsidRPr="00C22F3F">
        <w:rPr>
          <w:iCs/>
          <w:lang w:val="es-ES"/>
        </w:rPr>
        <w:t xml:space="preserve">En pacientes con ACG tras la dosificación por vía subcutánea, </w:t>
      </w:r>
      <w:r w:rsidRPr="0081287A">
        <w:rPr>
          <w:iCs/>
          <w:lang w:val="es-ES"/>
        </w:rPr>
        <w:t>la t½ de absorción estuvo</w:t>
      </w:r>
      <w:r w:rsidRPr="00C22F3F">
        <w:rPr>
          <w:iCs/>
          <w:lang w:val="es-ES"/>
        </w:rPr>
        <w:t xml:space="preserve"> entorno a los </w:t>
      </w:r>
      <w:proofErr w:type="gramStart"/>
      <w:r w:rsidRPr="00C22F3F">
        <w:rPr>
          <w:iCs/>
          <w:lang w:val="es-ES"/>
        </w:rPr>
        <w:t>4</w:t>
      </w:r>
      <w:r w:rsidR="00763107" w:rsidRPr="00F30AB8">
        <w:rPr>
          <w:szCs w:val="22"/>
          <w:lang w:val="es-ES"/>
        </w:rPr>
        <w:t> </w:t>
      </w:r>
      <w:r w:rsidR="00763107" w:rsidRPr="00C22F3F" w:rsidDel="00763107">
        <w:rPr>
          <w:iCs/>
          <w:lang w:val="es-ES"/>
        </w:rPr>
        <w:t xml:space="preserve"> </w:t>
      </w:r>
      <w:r w:rsidRPr="00C22F3F">
        <w:rPr>
          <w:iCs/>
          <w:lang w:val="es-ES"/>
        </w:rPr>
        <w:t>días</w:t>
      </w:r>
      <w:proofErr w:type="gramEnd"/>
      <w:r w:rsidRPr="00C22F3F">
        <w:rPr>
          <w:iCs/>
          <w:lang w:val="es-ES"/>
        </w:rPr>
        <w:t xml:space="preserve">. La biodisponibilidad en la formulación </w:t>
      </w:r>
      <w:r w:rsidR="002926F1">
        <w:rPr>
          <w:iCs/>
          <w:lang w:val="es-ES"/>
        </w:rPr>
        <w:t>subcutánea</w:t>
      </w:r>
      <w:r w:rsidR="002926F1" w:rsidRPr="00C22F3F">
        <w:rPr>
          <w:iCs/>
          <w:lang w:val="es-ES"/>
        </w:rPr>
        <w:t xml:space="preserve"> </w:t>
      </w:r>
      <w:r w:rsidRPr="00C22F3F">
        <w:rPr>
          <w:iCs/>
          <w:lang w:val="es-ES"/>
        </w:rPr>
        <w:t>fue de 0,8. Los valores medios del T</w:t>
      </w:r>
      <w:r w:rsidRPr="006868F5">
        <w:rPr>
          <w:iCs/>
          <w:vertAlign w:val="subscript"/>
          <w:lang w:val="es-ES"/>
        </w:rPr>
        <w:t>max</w:t>
      </w:r>
      <w:r w:rsidRPr="002837E4">
        <w:rPr>
          <w:iCs/>
          <w:lang w:val="es-ES"/>
        </w:rPr>
        <w:t xml:space="preserve"> fueron de 3</w:t>
      </w:r>
      <w:r w:rsidR="00763107" w:rsidRPr="00F30AB8">
        <w:rPr>
          <w:szCs w:val="22"/>
          <w:lang w:val="es-ES"/>
        </w:rPr>
        <w:t> </w:t>
      </w:r>
      <w:r w:rsidR="00763107" w:rsidRPr="002837E4" w:rsidDel="00763107">
        <w:rPr>
          <w:iCs/>
          <w:lang w:val="es-ES"/>
        </w:rPr>
        <w:t xml:space="preserve"> </w:t>
      </w:r>
      <w:r w:rsidRPr="002837E4">
        <w:rPr>
          <w:iCs/>
          <w:lang w:val="es-ES"/>
        </w:rPr>
        <w:t xml:space="preserve">días después de la dosis semanal de </w:t>
      </w:r>
      <w:r w:rsidR="002926F1" w:rsidRPr="00F30AB8">
        <w:rPr>
          <w:szCs w:val="22"/>
          <w:lang w:val="es-ES" w:eastAsia="de-DE"/>
        </w:rPr>
        <w:t>tocilizumab</w:t>
      </w:r>
      <w:r w:rsidRPr="002837E4">
        <w:rPr>
          <w:iCs/>
          <w:lang w:val="es-ES"/>
        </w:rPr>
        <w:t xml:space="preserve"> y </w:t>
      </w:r>
      <w:r w:rsidRPr="006C05BA">
        <w:rPr>
          <w:iCs/>
          <w:lang w:val="es-ES"/>
        </w:rPr>
        <w:t>de 4,5</w:t>
      </w:r>
      <w:r w:rsidR="00763107" w:rsidRPr="00F30AB8">
        <w:rPr>
          <w:szCs w:val="22"/>
          <w:lang w:val="es-ES"/>
        </w:rPr>
        <w:t> </w:t>
      </w:r>
      <w:r w:rsidR="00763107" w:rsidRPr="006C05BA" w:rsidDel="00763107">
        <w:rPr>
          <w:iCs/>
          <w:lang w:val="es-ES"/>
        </w:rPr>
        <w:t xml:space="preserve"> </w:t>
      </w:r>
      <w:r w:rsidRPr="006C05BA">
        <w:rPr>
          <w:iCs/>
          <w:lang w:val="es-ES"/>
        </w:rPr>
        <w:t xml:space="preserve">días después de la dosis de tocilizumab </w:t>
      </w:r>
      <w:del w:id="2116" w:author="AUTHOR">
        <w:r w:rsidRPr="00C22F3F" w:rsidDel="009F26E0">
          <w:rPr>
            <w:iCs/>
            <w:lang w:val="es-ES"/>
          </w:rPr>
          <w:delText>bisemanal</w:delText>
        </w:r>
      </w:del>
      <w:ins w:id="2117" w:author="AUTHOR">
        <w:r w:rsidR="009F26E0">
          <w:rPr>
            <w:iCs/>
            <w:lang w:val="es-ES"/>
          </w:rPr>
          <w:t>cada dos semanas</w:t>
        </w:r>
      </w:ins>
      <w:r w:rsidRPr="00C22F3F">
        <w:rPr>
          <w:iCs/>
          <w:lang w:val="es-ES"/>
        </w:rPr>
        <w:t>.</w:t>
      </w:r>
    </w:p>
    <w:p w14:paraId="6F3701B5" w14:textId="77777777" w:rsidR="00DC224A" w:rsidRPr="006868F5" w:rsidRDefault="00DC224A" w:rsidP="00DC224A">
      <w:pPr>
        <w:outlineLvl w:val="0"/>
        <w:rPr>
          <w:iCs/>
          <w:highlight w:val="yellow"/>
          <w:lang w:val="es-ES"/>
        </w:rPr>
      </w:pPr>
    </w:p>
    <w:p w14:paraId="2C496DE6" w14:textId="77777777" w:rsidR="00DC224A" w:rsidRPr="00E576A0" w:rsidRDefault="00DC224A" w:rsidP="00F30AB8">
      <w:pPr>
        <w:keepNext/>
        <w:keepLines/>
        <w:outlineLvl w:val="0"/>
        <w:rPr>
          <w:iCs/>
          <w:u w:val="single"/>
          <w:lang w:val="es-ES"/>
        </w:rPr>
      </w:pPr>
      <w:r w:rsidRPr="00E576A0">
        <w:rPr>
          <w:iCs/>
          <w:u w:val="single"/>
          <w:lang w:val="es-ES"/>
        </w:rPr>
        <w:t>Distribución</w:t>
      </w:r>
    </w:p>
    <w:p w14:paraId="1809CED3" w14:textId="77777777" w:rsidR="00DC224A" w:rsidRPr="006C05BA" w:rsidRDefault="00DC224A" w:rsidP="00F30AB8">
      <w:pPr>
        <w:keepNext/>
        <w:keepLines/>
        <w:outlineLvl w:val="0"/>
        <w:rPr>
          <w:iCs/>
          <w:lang w:val="es-ES"/>
        </w:rPr>
      </w:pPr>
    </w:p>
    <w:p w14:paraId="4B5025F4" w14:textId="061BA35F" w:rsidR="00DC224A" w:rsidRPr="00C22F3F" w:rsidRDefault="00DC224A" w:rsidP="00F30AB8">
      <w:pPr>
        <w:keepNext/>
        <w:keepLines/>
        <w:outlineLvl w:val="0"/>
        <w:rPr>
          <w:iCs/>
          <w:lang w:val="es-ES"/>
        </w:rPr>
      </w:pPr>
      <w:r w:rsidRPr="00C22F3F">
        <w:rPr>
          <w:iCs/>
          <w:lang w:val="es-ES"/>
        </w:rPr>
        <w:t>En los pacientes con ACG, el volumen de distribución central fue de 4,</w:t>
      </w:r>
      <w:proofErr w:type="gramStart"/>
      <w:r w:rsidRPr="00C22F3F">
        <w:rPr>
          <w:iCs/>
          <w:lang w:val="es-ES"/>
        </w:rPr>
        <w:t>09</w:t>
      </w:r>
      <w:r w:rsidR="00763107" w:rsidRPr="00F30AB8">
        <w:rPr>
          <w:szCs w:val="22"/>
          <w:lang w:val="es-ES"/>
        </w:rPr>
        <w:t> </w:t>
      </w:r>
      <w:r w:rsidR="00763107" w:rsidRPr="00C22F3F" w:rsidDel="00763107">
        <w:rPr>
          <w:iCs/>
          <w:lang w:val="es-ES"/>
        </w:rPr>
        <w:t xml:space="preserve"> </w:t>
      </w:r>
      <w:r w:rsidRPr="00C22F3F">
        <w:rPr>
          <w:iCs/>
          <w:lang w:val="es-ES"/>
        </w:rPr>
        <w:t>l</w:t>
      </w:r>
      <w:proofErr w:type="gramEnd"/>
      <w:r w:rsidRPr="00C22F3F">
        <w:rPr>
          <w:iCs/>
          <w:lang w:val="es-ES"/>
        </w:rPr>
        <w:t>, el volumen de distribución periférico fue de 3,37</w:t>
      </w:r>
      <w:r w:rsidR="00763107" w:rsidRPr="00F30AB8">
        <w:rPr>
          <w:szCs w:val="22"/>
          <w:lang w:val="es-ES"/>
        </w:rPr>
        <w:t> </w:t>
      </w:r>
      <w:r w:rsidR="00763107" w:rsidRPr="00C22F3F" w:rsidDel="00763107">
        <w:rPr>
          <w:iCs/>
          <w:lang w:val="es-ES"/>
        </w:rPr>
        <w:t xml:space="preserve"> </w:t>
      </w:r>
      <w:r w:rsidRPr="00C22F3F">
        <w:rPr>
          <w:iCs/>
          <w:lang w:val="es-ES"/>
        </w:rPr>
        <w:t>l, resultando un volumen de distribución en estado estacionario de 7,46</w:t>
      </w:r>
      <w:r w:rsidR="00763107" w:rsidRPr="00F30AB8">
        <w:rPr>
          <w:szCs w:val="22"/>
          <w:lang w:val="es-ES"/>
        </w:rPr>
        <w:t> </w:t>
      </w:r>
      <w:r w:rsidR="00763107" w:rsidRPr="00C22F3F" w:rsidDel="00763107">
        <w:rPr>
          <w:iCs/>
          <w:lang w:val="es-ES"/>
        </w:rPr>
        <w:t xml:space="preserve"> </w:t>
      </w:r>
      <w:r w:rsidRPr="00C22F3F">
        <w:rPr>
          <w:iCs/>
          <w:lang w:val="es-ES"/>
        </w:rPr>
        <w:t>l.</w:t>
      </w:r>
    </w:p>
    <w:p w14:paraId="5CCCEF69" w14:textId="77777777" w:rsidR="00DC224A" w:rsidRPr="00C22F3F" w:rsidRDefault="00DC224A" w:rsidP="00DC224A">
      <w:pPr>
        <w:outlineLvl w:val="0"/>
        <w:rPr>
          <w:iCs/>
          <w:lang w:val="es-ES"/>
        </w:rPr>
      </w:pPr>
    </w:p>
    <w:p w14:paraId="3D096CF5" w14:textId="77777777" w:rsidR="00DC224A" w:rsidRPr="00E576A0" w:rsidRDefault="00DC224A">
      <w:pPr>
        <w:keepNext/>
        <w:keepLines/>
        <w:outlineLvl w:val="0"/>
        <w:rPr>
          <w:iCs/>
          <w:u w:val="single"/>
          <w:lang w:val="es-ES"/>
        </w:rPr>
        <w:pPrChange w:id="2118" w:author="AUTHOR">
          <w:pPr>
            <w:outlineLvl w:val="0"/>
          </w:pPr>
        </w:pPrChange>
      </w:pPr>
      <w:r w:rsidRPr="00E576A0">
        <w:rPr>
          <w:iCs/>
          <w:u w:val="single"/>
          <w:lang w:val="es-ES"/>
        </w:rPr>
        <w:t>Eliminación</w:t>
      </w:r>
    </w:p>
    <w:p w14:paraId="2DA5B65E" w14:textId="77777777" w:rsidR="00DC224A" w:rsidRPr="00C22F3F" w:rsidRDefault="00DC224A">
      <w:pPr>
        <w:keepNext/>
        <w:keepLines/>
        <w:outlineLvl w:val="0"/>
        <w:rPr>
          <w:iCs/>
          <w:lang w:val="es-ES"/>
        </w:rPr>
        <w:pPrChange w:id="2119" w:author="AUTHOR">
          <w:pPr>
            <w:outlineLvl w:val="0"/>
          </w:pPr>
        </w:pPrChange>
      </w:pPr>
    </w:p>
    <w:p w14:paraId="4951F2F0" w14:textId="40B0E9EA" w:rsidR="00DC224A" w:rsidRPr="00C22F3F" w:rsidRDefault="00DC224A">
      <w:pPr>
        <w:keepNext/>
        <w:keepLines/>
        <w:outlineLvl w:val="0"/>
        <w:rPr>
          <w:iCs/>
          <w:lang w:val="es-ES"/>
        </w:rPr>
        <w:pPrChange w:id="2120" w:author="AUTHOR">
          <w:pPr>
            <w:outlineLvl w:val="0"/>
          </w:pPr>
        </w:pPrChange>
      </w:pPr>
      <w:r w:rsidRPr="00C22F3F">
        <w:rPr>
          <w:iCs/>
          <w:lang w:val="es-ES"/>
        </w:rPr>
        <w:t xml:space="preserve">El aclaramiento total de </w:t>
      </w:r>
      <w:r w:rsidR="002926F1" w:rsidRPr="00F30AB8">
        <w:rPr>
          <w:szCs w:val="22"/>
          <w:lang w:val="es-ES" w:eastAsia="de-DE"/>
        </w:rPr>
        <w:t>tocilizumab</w:t>
      </w:r>
      <w:r w:rsidRPr="00C22F3F">
        <w:rPr>
          <w:iCs/>
          <w:lang w:val="es-ES"/>
        </w:rPr>
        <w:t xml:space="preserve"> depende de la concentración y es la suma del aclaramiento lineal y el aclaramiento no lineal. En pacientes con ACG</w:t>
      </w:r>
      <w:r>
        <w:rPr>
          <w:iCs/>
          <w:lang w:val="es-ES"/>
        </w:rPr>
        <w:t>,</w:t>
      </w:r>
      <w:r w:rsidRPr="00C22F3F">
        <w:rPr>
          <w:iCs/>
          <w:lang w:val="es-ES"/>
        </w:rPr>
        <w:t xml:space="preserve"> el aclaramiento lineal </w:t>
      </w:r>
      <w:r>
        <w:rPr>
          <w:iCs/>
          <w:lang w:val="es-ES"/>
        </w:rPr>
        <w:t>se</w:t>
      </w:r>
      <w:r w:rsidRPr="00C22F3F">
        <w:rPr>
          <w:iCs/>
          <w:lang w:val="es-ES"/>
        </w:rPr>
        <w:t xml:space="preserve"> estim</w:t>
      </w:r>
      <w:r>
        <w:rPr>
          <w:iCs/>
          <w:lang w:val="es-ES"/>
        </w:rPr>
        <w:t>ó</w:t>
      </w:r>
      <w:r w:rsidRPr="00C22F3F">
        <w:rPr>
          <w:iCs/>
          <w:lang w:val="es-ES"/>
        </w:rPr>
        <w:t xml:space="preserve"> como parámetro en el análisis farmacocinético poblacional y fue de 6,</w:t>
      </w:r>
      <w:proofErr w:type="gramStart"/>
      <w:r w:rsidRPr="00C22F3F">
        <w:rPr>
          <w:iCs/>
          <w:lang w:val="es-ES"/>
        </w:rPr>
        <w:t>7</w:t>
      </w:r>
      <w:r w:rsidR="0040179E" w:rsidRPr="00F30AB8">
        <w:rPr>
          <w:szCs w:val="22"/>
          <w:lang w:val="es-ES"/>
        </w:rPr>
        <w:t> </w:t>
      </w:r>
      <w:r w:rsidR="0040179E" w:rsidRPr="00C22F3F" w:rsidDel="0040179E">
        <w:rPr>
          <w:iCs/>
          <w:lang w:val="es-ES"/>
        </w:rPr>
        <w:t xml:space="preserve"> </w:t>
      </w:r>
      <w:r w:rsidRPr="00C22F3F">
        <w:rPr>
          <w:iCs/>
          <w:lang w:val="es-ES"/>
        </w:rPr>
        <w:t>ml</w:t>
      </w:r>
      <w:proofErr w:type="gramEnd"/>
      <w:r w:rsidRPr="00C22F3F">
        <w:rPr>
          <w:iCs/>
          <w:lang w:val="es-ES"/>
        </w:rPr>
        <w:t xml:space="preserve">/h. </w:t>
      </w:r>
    </w:p>
    <w:p w14:paraId="67E1C344" w14:textId="77777777" w:rsidR="00DC224A" w:rsidRPr="006868F5" w:rsidRDefault="00DC224A" w:rsidP="00DC224A">
      <w:pPr>
        <w:outlineLvl w:val="0"/>
        <w:rPr>
          <w:iCs/>
          <w:highlight w:val="yellow"/>
          <w:lang w:val="es-ES"/>
        </w:rPr>
      </w:pPr>
    </w:p>
    <w:p w14:paraId="5B0CFEFD" w14:textId="7E848585" w:rsidR="00DC224A" w:rsidRDefault="00DC224A" w:rsidP="00DC224A">
      <w:pPr>
        <w:outlineLvl w:val="0"/>
        <w:rPr>
          <w:iCs/>
          <w:lang w:val="es-ES"/>
        </w:rPr>
      </w:pPr>
      <w:r w:rsidRPr="006C05BA">
        <w:rPr>
          <w:iCs/>
          <w:lang w:val="es-ES"/>
        </w:rPr>
        <w:t xml:space="preserve">En </w:t>
      </w:r>
      <w:r w:rsidRPr="00C22F3F">
        <w:rPr>
          <w:iCs/>
          <w:lang w:val="es-ES"/>
        </w:rPr>
        <w:t xml:space="preserve">los pacientes con ACG, en el estado estacionario, la t½ efectiva de </w:t>
      </w:r>
      <w:r w:rsidR="002926F1" w:rsidRPr="00F30AB8">
        <w:rPr>
          <w:szCs w:val="22"/>
          <w:lang w:val="es-ES" w:eastAsia="de-DE"/>
        </w:rPr>
        <w:t>tocilizumab</w:t>
      </w:r>
      <w:r w:rsidRPr="00C22F3F">
        <w:rPr>
          <w:iCs/>
          <w:lang w:val="es-ES"/>
        </w:rPr>
        <w:t xml:space="preserve"> varió entre 18,3 y 18,9</w:t>
      </w:r>
      <w:r w:rsidR="0040179E" w:rsidRPr="00F30AB8">
        <w:rPr>
          <w:szCs w:val="22"/>
          <w:lang w:val="es-ES"/>
        </w:rPr>
        <w:t> </w:t>
      </w:r>
      <w:r w:rsidR="0040179E" w:rsidRPr="00C22F3F" w:rsidDel="0040179E">
        <w:rPr>
          <w:iCs/>
          <w:lang w:val="es-ES"/>
        </w:rPr>
        <w:t xml:space="preserve"> </w:t>
      </w:r>
      <w:r w:rsidRPr="00C22F3F">
        <w:rPr>
          <w:iCs/>
          <w:lang w:val="es-ES"/>
        </w:rPr>
        <w:t>días para un</w:t>
      </w:r>
      <w:r w:rsidR="005C50FB">
        <w:rPr>
          <w:iCs/>
          <w:lang w:val="es-ES"/>
        </w:rPr>
        <w:t>a</w:t>
      </w:r>
      <w:r w:rsidRPr="00C22F3F">
        <w:rPr>
          <w:iCs/>
          <w:lang w:val="es-ES"/>
        </w:rPr>
        <w:t xml:space="preserve"> </w:t>
      </w:r>
      <w:r w:rsidR="005C50FB">
        <w:rPr>
          <w:iCs/>
          <w:lang w:val="es-ES"/>
        </w:rPr>
        <w:t xml:space="preserve">pauta posológica </w:t>
      </w:r>
      <w:r w:rsidRPr="00C22F3F">
        <w:rPr>
          <w:iCs/>
          <w:lang w:val="es-ES"/>
        </w:rPr>
        <w:t>semanal de 162</w:t>
      </w:r>
      <w:r w:rsidR="00763107" w:rsidRPr="00F30AB8">
        <w:rPr>
          <w:szCs w:val="22"/>
          <w:lang w:val="es-ES"/>
        </w:rPr>
        <w:t> </w:t>
      </w:r>
      <w:r w:rsidR="00763107" w:rsidRPr="00C22F3F" w:rsidDel="00763107">
        <w:rPr>
          <w:iCs/>
          <w:lang w:val="es-ES"/>
        </w:rPr>
        <w:t xml:space="preserve"> </w:t>
      </w:r>
      <w:r w:rsidRPr="00C22F3F">
        <w:rPr>
          <w:iCs/>
          <w:lang w:val="es-ES"/>
        </w:rPr>
        <w:t>mg y entre 4,2 y 7,9</w:t>
      </w:r>
      <w:r w:rsidR="0040179E" w:rsidRPr="00F30AB8">
        <w:rPr>
          <w:szCs w:val="22"/>
          <w:lang w:val="es-ES"/>
        </w:rPr>
        <w:t> </w:t>
      </w:r>
      <w:r w:rsidR="0040179E" w:rsidRPr="00C22F3F" w:rsidDel="0040179E">
        <w:rPr>
          <w:iCs/>
          <w:lang w:val="es-ES"/>
        </w:rPr>
        <w:t xml:space="preserve"> </w:t>
      </w:r>
      <w:r w:rsidRPr="00C22F3F">
        <w:rPr>
          <w:iCs/>
          <w:lang w:val="es-ES"/>
        </w:rPr>
        <w:t xml:space="preserve">días para </w:t>
      </w:r>
      <w:r w:rsidR="005C50FB">
        <w:rPr>
          <w:iCs/>
          <w:lang w:val="es-ES"/>
        </w:rPr>
        <w:t xml:space="preserve">la pauta posológica </w:t>
      </w:r>
      <w:del w:id="2121" w:author="AUTHOR">
        <w:r w:rsidRPr="00C22F3F" w:rsidDel="009F26E0">
          <w:rPr>
            <w:iCs/>
            <w:lang w:val="es-ES"/>
          </w:rPr>
          <w:delText>bisemanal</w:delText>
        </w:r>
      </w:del>
      <w:ins w:id="2122" w:author="AUTHOR">
        <w:r w:rsidR="009F26E0">
          <w:rPr>
            <w:iCs/>
            <w:lang w:val="es-ES"/>
          </w:rPr>
          <w:t>cada dos semanas</w:t>
        </w:r>
      </w:ins>
      <w:r w:rsidRPr="00C22F3F">
        <w:rPr>
          <w:iCs/>
          <w:lang w:val="es-ES"/>
        </w:rPr>
        <w:t xml:space="preserve"> de 162</w:t>
      </w:r>
      <w:r w:rsidR="00763107" w:rsidRPr="00F30AB8">
        <w:rPr>
          <w:szCs w:val="22"/>
          <w:lang w:val="es-ES"/>
        </w:rPr>
        <w:t> </w:t>
      </w:r>
      <w:r w:rsidR="00763107" w:rsidRPr="00C22F3F" w:rsidDel="00763107">
        <w:rPr>
          <w:iCs/>
          <w:lang w:val="es-ES"/>
        </w:rPr>
        <w:t xml:space="preserve"> </w:t>
      </w:r>
      <w:r w:rsidRPr="00C22F3F">
        <w:rPr>
          <w:iCs/>
          <w:lang w:val="es-ES"/>
        </w:rPr>
        <w:t xml:space="preserve">mg. A altas concentraciones séricas, cuando el aclaramiento total de </w:t>
      </w:r>
      <w:r w:rsidR="002926F1" w:rsidRPr="00F30AB8">
        <w:rPr>
          <w:szCs w:val="22"/>
          <w:lang w:val="es-ES" w:eastAsia="de-DE"/>
        </w:rPr>
        <w:t>tocilizumab</w:t>
      </w:r>
      <w:r w:rsidRPr="00C22F3F">
        <w:rPr>
          <w:iCs/>
          <w:lang w:val="es-ES"/>
        </w:rPr>
        <w:t xml:space="preserve"> está dominado por el aclaramiento lineal, se obtuvo una t½ efectiva de aproximadamente </w:t>
      </w:r>
      <w:proofErr w:type="gramStart"/>
      <w:r w:rsidRPr="00C22F3F">
        <w:rPr>
          <w:iCs/>
          <w:lang w:val="es-ES"/>
        </w:rPr>
        <w:t>32</w:t>
      </w:r>
      <w:r w:rsidR="00763107" w:rsidRPr="00F30AB8">
        <w:rPr>
          <w:szCs w:val="22"/>
          <w:lang w:val="es-ES"/>
        </w:rPr>
        <w:t> </w:t>
      </w:r>
      <w:r w:rsidR="00763107" w:rsidRPr="00C22F3F" w:rsidDel="00763107">
        <w:rPr>
          <w:iCs/>
          <w:lang w:val="es-ES"/>
        </w:rPr>
        <w:t xml:space="preserve"> </w:t>
      </w:r>
      <w:r w:rsidRPr="00C22F3F">
        <w:rPr>
          <w:iCs/>
          <w:lang w:val="es-ES"/>
        </w:rPr>
        <w:t>días</w:t>
      </w:r>
      <w:proofErr w:type="gramEnd"/>
      <w:r w:rsidRPr="00C22F3F">
        <w:rPr>
          <w:iCs/>
          <w:lang w:val="es-ES"/>
        </w:rPr>
        <w:t xml:space="preserve"> a partir de las estimaciones de los parámetros poblaci</w:t>
      </w:r>
      <w:r>
        <w:rPr>
          <w:iCs/>
          <w:lang w:val="es-ES"/>
        </w:rPr>
        <w:t>o</w:t>
      </w:r>
      <w:r w:rsidRPr="00C22F3F">
        <w:rPr>
          <w:iCs/>
          <w:lang w:val="es-ES"/>
        </w:rPr>
        <w:t>n</w:t>
      </w:r>
      <w:r>
        <w:rPr>
          <w:iCs/>
          <w:lang w:val="es-ES"/>
        </w:rPr>
        <w:t>ales</w:t>
      </w:r>
      <w:r w:rsidRPr="00C22F3F">
        <w:rPr>
          <w:iCs/>
          <w:lang w:val="es-ES"/>
        </w:rPr>
        <w:t>.</w:t>
      </w:r>
    </w:p>
    <w:p w14:paraId="1C9F1058" w14:textId="77777777" w:rsidR="00DC224A" w:rsidRPr="006F3AA9" w:rsidRDefault="00DC224A" w:rsidP="00DC224A">
      <w:pPr>
        <w:outlineLvl w:val="0"/>
        <w:rPr>
          <w:iCs/>
          <w:lang w:val="es-ES"/>
        </w:rPr>
      </w:pPr>
    </w:p>
    <w:p w14:paraId="1D42D10B" w14:textId="77777777" w:rsidR="00DC224A" w:rsidRPr="00286CDE" w:rsidRDefault="00DC224A" w:rsidP="00DC224A">
      <w:pPr>
        <w:keepNext/>
        <w:keepLines/>
        <w:ind w:left="562" w:hanging="562"/>
        <w:outlineLvl w:val="0"/>
        <w:rPr>
          <w:iCs/>
          <w:u w:val="single"/>
          <w:lang w:val="es-ES_tradnl"/>
        </w:rPr>
      </w:pPr>
      <w:r w:rsidRPr="008A106B">
        <w:rPr>
          <w:iCs/>
          <w:u w:val="single"/>
          <w:lang w:val="es-ES_tradnl"/>
        </w:rPr>
        <w:t>Poblaciones especiales</w:t>
      </w:r>
    </w:p>
    <w:p w14:paraId="275A5B01" w14:textId="77777777" w:rsidR="0040179E" w:rsidRDefault="0040179E" w:rsidP="00DC224A">
      <w:pPr>
        <w:outlineLvl w:val="0"/>
        <w:rPr>
          <w:i/>
          <w:iCs/>
          <w:lang w:val="es-ES_tradnl"/>
        </w:rPr>
      </w:pPr>
    </w:p>
    <w:p w14:paraId="5061FE31" w14:textId="0BCBE770" w:rsidR="002926F1" w:rsidRDefault="00DC224A" w:rsidP="00DC224A">
      <w:pPr>
        <w:outlineLvl w:val="0"/>
        <w:rPr>
          <w:i/>
          <w:iCs/>
          <w:lang w:val="es-ES_tradnl"/>
        </w:rPr>
      </w:pPr>
      <w:r w:rsidRPr="008A106B">
        <w:rPr>
          <w:i/>
          <w:iCs/>
          <w:lang w:val="es-ES_tradnl"/>
        </w:rPr>
        <w:t>Insuficiencia renal</w:t>
      </w:r>
    </w:p>
    <w:p w14:paraId="5A618CEB" w14:textId="25403ED3" w:rsidR="00DC224A" w:rsidRPr="008A106B" w:rsidRDefault="00DC224A" w:rsidP="00DC224A">
      <w:pPr>
        <w:outlineLvl w:val="0"/>
        <w:rPr>
          <w:lang w:val="es-ES"/>
        </w:rPr>
      </w:pPr>
      <w:r w:rsidRPr="008A106B">
        <w:rPr>
          <w:lang w:val="es-ES_tradnl"/>
        </w:rPr>
        <w:t xml:space="preserve">No se ha realizado ningún </w:t>
      </w:r>
      <w:del w:id="2123" w:author="AUTHOR">
        <w:r w:rsidRPr="008A106B" w:rsidDel="00925EFA">
          <w:rPr>
            <w:lang w:val="es-ES_tradnl"/>
          </w:rPr>
          <w:delText xml:space="preserve">estudio </w:delText>
        </w:r>
      </w:del>
      <w:ins w:id="2124" w:author="AUTHOR">
        <w:r w:rsidR="00925EFA">
          <w:rPr>
            <w:lang w:val="es-ES_tradnl"/>
          </w:rPr>
          <w:t>ensayo</w:t>
        </w:r>
        <w:r w:rsidR="00925EFA" w:rsidRPr="008A106B">
          <w:rPr>
            <w:lang w:val="es-ES_tradnl"/>
          </w:rPr>
          <w:t xml:space="preserve"> </w:t>
        </w:r>
      </w:ins>
      <w:r w:rsidRPr="008A106B">
        <w:rPr>
          <w:lang w:val="es-ES_tradnl"/>
        </w:rPr>
        <w:t xml:space="preserve">formal del efecto de la insuficiencia renal sobre la farmacocinética de </w:t>
      </w:r>
      <w:r w:rsidR="002926F1" w:rsidRPr="00F30AB8">
        <w:rPr>
          <w:szCs w:val="22"/>
          <w:lang w:val="es-ES" w:eastAsia="de-DE"/>
        </w:rPr>
        <w:t>tocilizumab</w:t>
      </w:r>
      <w:r w:rsidRPr="008A106B">
        <w:rPr>
          <w:lang w:val="es-ES_tradnl"/>
        </w:rPr>
        <w:t xml:space="preserve">. </w:t>
      </w:r>
      <w:r>
        <w:rPr>
          <w:lang w:val="es-ES_tradnl"/>
        </w:rPr>
        <w:t xml:space="preserve">En los </w:t>
      </w:r>
      <w:del w:id="2125" w:author="AUTHOR">
        <w:r w:rsidDel="00925EFA">
          <w:rPr>
            <w:lang w:val="es-ES_tradnl"/>
          </w:rPr>
          <w:delText xml:space="preserve">estudios </w:delText>
        </w:r>
      </w:del>
      <w:ins w:id="2126" w:author="AUTHOR">
        <w:r w:rsidR="00925EFA">
          <w:rPr>
            <w:lang w:val="es-ES_tradnl"/>
          </w:rPr>
          <w:t xml:space="preserve">ensayos </w:t>
        </w:r>
      </w:ins>
      <w:r>
        <w:rPr>
          <w:lang w:val="es-ES_tradnl"/>
        </w:rPr>
        <w:t>de AR y ACG l</w:t>
      </w:r>
      <w:r w:rsidRPr="008A106B">
        <w:rPr>
          <w:lang w:val="es-ES_tradnl"/>
        </w:rPr>
        <w:t>a mayoría de los pacientes del análisis de farmacocinética de población tenían una función renal normal o insuficiencia renal leve.</w:t>
      </w:r>
      <w:r w:rsidRPr="008A106B">
        <w:rPr>
          <w:lang w:val="es-ES"/>
        </w:rPr>
        <w:t xml:space="preserve"> </w:t>
      </w:r>
      <w:r w:rsidRPr="008A106B">
        <w:rPr>
          <w:lang w:val="es-ES_tradnl"/>
        </w:rPr>
        <w:t>La insuficiencia renal leve (aclaramiento de creatinina</w:t>
      </w:r>
      <w:r>
        <w:rPr>
          <w:lang w:val="es-ES_tradnl"/>
        </w:rPr>
        <w:t xml:space="preserve"> estimado</w:t>
      </w:r>
      <w:r w:rsidRPr="008A106B">
        <w:rPr>
          <w:lang w:val="es-ES_tradnl"/>
        </w:rPr>
        <w:t xml:space="preserve"> basado en </w:t>
      </w:r>
      <w:r>
        <w:rPr>
          <w:lang w:val="es-ES_tradnl"/>
        </w:rPr>
        <w:t xml:space="preserve">la fórmula de </w:t>
      </w:r>
      <w:r w:rsidRPr="008A106B">
        <w:rPr>
          <w:lang w:val="es-ES_tradnl"/>
        </w:rPr>
        <w:t xml:space="preserve">Cockroft-Gault) no tuvo impacto sobre la farmacocinética de </w:t>
      </w:r>
      <w:r w:rsidR="002926F1" w:rsidRPr="00F30AB8">
        <w:rPr>
          <w:szCs w:val="22"/>
          <w:lang w:val="es-ES" w:eastAsia="de-DE"/>
        </w:rPr>
        <w:t>tocilizumab</w:t>
      </w:r>
      <w:r w:rsidRPr="008A106B">
        <w:rPr>
          <w:lang w:val="es-ES_tradnl"/>
        </w:rPr>
        <w:t>.</w:t>
      </w:r>
    </w:p>
    <w:p w14:paraId="6B67FB85" w14:textId="77777777" w:rsidR="00DC224A" w:rsidRDefault="00DC224A" w:rsidP="00DC224A">
      <w:pPr>
        <w:outlineLvl w:val="0"/>
        <w:rPr>
          <w:lang w:val="es-ES"/>
        </w:rPr>
      </w:pPr>
    </w:p>
    <w:p w14:paraId="0F290997" w14:textId="1C324F01" w:rsidR="00DC224A" w:rsidRDefault="00DC224A" w:rsidP="00DC224A">
      <w:pPr>
        <w:outlineLvl w:val="0"/>
        <w:rPr>
          <w:lang w:val="es-ES"/>
        </w:rPr>
      </w:pPr>
      <w:r>
        <w:rPr>
          <w:lang w:val="es-ES"/>
        </w:rPr>
        <w:t xml:space="preserve">En el </w:t>
      </w:r>
      <w:del w:id="2127" w:author="AUTHOR">
        <w:r w:rsidDel="00925EFA">
          <w:rPr>
            <w:lang w:val="es-ES"/>
          </w:rPr>
          <w:delText xml:space="preserve">estudio </w:delText>
        </w:r>
      </w:del>
      <w:ins w:id="2128" w:author="AUTHOR">
        <w:r w:rsidR="00925EFA">
          <w:rPr>
            <w:lang w:val="es-ES"/>
          </w:rPr>
          <w:t xml:space="preserve">ensayo </w:t>
        </w:r>
      </w:ins>
      <w:r>
        <w:rPr>
          <w:lang w:val="es-ES"/>
        </w:rPr>
        <w:t>de ACG aproximadamente un tercio de los pacientes tuvieron insuficiencia renal moderada al inicio (aclaramiento estimado de creatinina de 30-59</w:t>
      </w:r>
      <w:r w:rsidR="0040179E" w:rsidRPr="00F30AB8">
        <w:rPr>
          <w:szCs w:val="22"/>
          <w:lang w:val="es-ES"/>
        </w:rPr>
        <w:t> </w:t>
      </w:r>
      <w:r w:rsidR="0040179E" w:rsidDel="0040179E">
        <w:rPr>
          <w:lang w:val="es-ES"/>
        </w:rPr>
        <w:t xml:space="preserve"> </w:t>
      </w:r>
      <w:r>
        <w:rPr>
          <w:lang w:val="es-ES"/>
        </w:rPr>
        <w:t>ml/min). En estos pacientes no se observó ningún impacto derivado de</w:t>
      </w:r>
      <w:r w:rsidRPr="00756D3F">
        <w:rPr>
          <w:lang w:val="es-ES"/>
        </w:rPr>
        <w:t xml:space="preserve"> la exposició</w:t>
      </w:r>
      <w:r>
        <w:rPr>
          <w:lang w:val="es-ES"/>
        </w:rPr>
        <w:t xml:space="preserve">n a </w:t>
      </w:r>
      <w:r w:rsidR="002926F1" w:rsidRPr="00F30AB8">
        <w:rPr>
          <w:szCs w:val="22"/>
          <w:lang w:val="es-ES" w:eastAsia="de-DE"/>
        </w:rPr>
        <w:t>tocilizumab</w:t>
      </w:r>
      <w:r w:rsidRPr="00756D3F">
        <w:rPr>
          <w:lang w:val="es-ES"/>
        </w:rPr>
        <w:t>.</w:t>
      </w:r>
    </w:p>
    <w:p w14:paraId="3461AB77" w14:textId="77777777" w:rsidR="00DC224A" w:rsidRDefault="00DC224A" w:rsidP="00DC224A">
      <w:pPr>
        <w:outlineLvl w:val="0"/>
        <w:rPr>
          <w:lang w:val="es-ES"/>
        </w:rPr>
      </w:pPr>
    </w:p>
    <w:p w14:paraId="21FBC442" w14:textId="77777777" w:rsidR="00DC224A" w:rsidRDefault="00DC224A" w:rsidP="00DC224A">
      <w:pPr>
        <w:outlineLvl w:val="0"/>
        <w:rPr>
          <w:lang w:val="es-ES"/>
        </w:rPr>
      </w:pPr>
      <w:r>
        <w:rPr>
          <w:lang w:val="es-ES"/>
        </w:rPr>
        <w:t>No se requirieron ajustes de la dosis en pacientes con insuficiencia renal leve o moderada.</w:t>
      </w:r>
    </w:p>
    <w:p w14:paraId="52A4CB27" w14:textId="77777777" w:rsidR="00DC224A" w:rsidRPr="008A106B" w:rsidRDefault="00DC224A" w:rsidP="00DC224A">
      <w:pPr>
        <w:outlineLvl w:val="0"/>
        <w:rPr>
          <w:lang w:val="es-ES"/>
        </w:rPr>
      </w:pPr>
    </w:p>
    <w:p w14:paraId="17127355" w14:textId="390600DD" w:rsidR="002926F1" w:rsidRDefault="00DC224A" w:rsidP="00DC224A">
      <w:pPr>
        <w:outlineLvl w:val="0"/>
        <w:rPr>
          <w:i/>
          <w:iCs/>
          <w:lang w:val="es-ES_tradnl"/>
        </w:rPr>
      </w:pPr>
      <w:r w:rsidRPr="008A106B">
        <w:rPr>
          <w:i/>
          <w:iCs/>
          <w:lang w:val="es-ES_tradnl"/>
        </w:rPr>
        <w:lastRenderedPageBreak/>
        <w:t>Insuficiencia hepática</w:t>
      </w:r>
    </w:p>
    <w:p w14:paraId="39DF4764" w14:textId="344ABB22" w:rsidR="00DC224A" w:rsidRPr="008A106B" w:rsidRDefault="00DC224A" w:rsidP="00DC224A">
      <w:pPr>
        <w:outlineLvl w:val="0"/>
        <w:rPr>
          <w:lang w:val="es-ES"/>
        </w:rPr>
      </w:pPr>
      <w:r w:rsidRPr="008A106B">
        <w:rPr>
          <w:lang w:val="es-ES_tradnl"/>
        </w:rPr>
        <w:t xml:space="preserve">No se ha realizado ningún </w:t>
      </w:r>
      <w:del w:id="2129" w:author="AUTHOR">
        <w:r w:rsidRPr="008A106B" w:rsidDel="00925EFA">
          <w:rPr>
            <w:lang w:val="es-ES_tradnl"/>
          </w:rPr>
          <w:delText xml:space="preserve">estudio </w:delText>
        </w:r>
      </w:del>
      <w:ins w:id="2130" w:author="AUTHOR">
        <w:r w:rsidR="00925EFA">
          <w:rPr>
            <w:lang w:val="es-ES_tradnl"/>
          </w:rPr>
          <w:t>ensayo</w:t>
        </w:r>
        <w:r w:rsidR="00925EFA" w:rsidRPr="008A106B">
          <w:rPr>
            <w:lang w:val="es-ES_tradnl"/>
          </w:rPr>
          <w:t xml:space="preserve"> </w:t>
        </w:r>
      </w:ins>
      <w:r w:rsidRPr="008A106B">
        <w:rPr>
          <w:lang w:val="es-ES_tradnl"/>
        </w:rPr>
        <w:t xml:space="preserve">formal del efecto de la insuficiencia hepática sobre la farmacocinética de </w:t>
      </w:r>
      <w:r w:rsidR="002926F1" w:rsidRPr="00F30AB8">
        <w:rPr>
          <w:szCs w:val="22"/>
          <w:lang w:val="es-ES" w:eastAsia="de-DE"/>
        </w:rPr>
        <w:t>tocilizumab</w:t>
      </w:r>
      <w:r w:rsidRPr="008A106B">
        <w:rPr>
          <w:lang w:val="es-ES_tradnl"/>
        </w:rPr>
        <w:t>.</w:t>
      </w:r>
      <w:r w:rsidRPr="008A106B">
        <w:rPr>
          <w:lang w:val="es-ES"/>
        </w:rPr>
        <w:t xml:space="preserve"> </w:t>
      </w:r>
    </w:p>
    <w:p w14:paraId="45C2940E" w14:textId="77777777" w:rsidR="00DC224A" w:rsidRPr="008A106B" w:rsidRDefault="00DC224A" w:rsidP="00DC224A">
      <w:pPr>
        <w:outlineLvl w:val="0"/>
        <w:rPr>
          <w:lang w:val="es-ES"/>
        </w:rPr>
      </w:pPr>
    </w:p>
    <w:p w14:paraId="54B6B6ED" w14:textId="7E87951C" w:rsidR="002926F1" w:rsidRDefault="00DC224A" w:rsidP="00DC224A">
      <w:pPr>
        <w:outlineLvl w:val="0"/>
        <w:rPr>
          <w:i/>
          <w:iCs/>
          <w:lang w:val="es-ES_tradnl"/>
        </w:rPr>
      </w:pPr>
      <w:r w:rsidRPr="008A106B">
        <w:rPr>
          <w:i/>
          <w:iCs/>
          <w:lang w:val="es-ES_tradnl"/>
        </w:rPr>
        <w:t>Edad</w:t>
      </w:r>
      <w:r>
        <w:rPr>
          <w:i/>
          <w:iCs/>
          <w:lang w:val="es-ES_tradnl"/>
        </w:rPr>
        <w:t>,</w:t>
      </w:r>
      <w:r w:rsidRPr="008A106B">
        <w:rPr>
          <w:i/>
          <w:iCs/>
          <w:lang w:val="es-ES_tradnl"/>
        </w:rPr>
        <w:t xml:space="preserve"> género y etnia</w:t>
      </w:r>
    </w:p>
    <w:p w14:paraId="009473C6" w14:textId="189221D9" w:rsidR="00DC224A" w:rsidRDefault="00DC224A" w:rsidP="00DC224A">
      <w:pPr>
        <w:outlineLvl w:val="0"/>
        <w:rPr>
          <w:lang w:val="es-ES"/>
        </w:rPr>
      </w:pPr>
      <w:r w:rsidRPr="008A106B">
        <w:rPr>
          <w:lang w:val="es-ES_tradnl"/>
        </w:rPr>
        <w:t xml:space="preserve">Los análisis de farmacocinética de poblaciones en pacientes con </w:t>
      </w:r>
      <w:r>
        <w:rPr>
          <w:lang w:val="es-ES_tradnl"/>
        </w:rPr>
        <w:t xml:space="preserve">AR y ACG </w:t>
      </w:r>
      <w:r w:rsidRPr="008A106B">
        <w:rPr>
          <w:lang w:val="es-ES_tradnl"/>
        </w:rPr>
        <w:t xml:space="preserve">demostraron que la edad, el sexo y la </w:t>
      </w:r>
      <w:ins w:id="2131" w:author="AUTHOR">
        <w:r w:rsidR="009F37B4">
          <w:rPr>
            <w:lang w:val="es-ES_tradnl"/>
          </w:rPr>
          <w:t>origen étnico</w:t>
        </w:r>
      </w:ins>
      <w:del w:id="2132" w:author="AUTHOR">
        <w:r w:rsidRPr="008A106B" w:rsidDel="009F37B4">
          <w:rPr>
            <w:lang w:val="es-ES_tradnl"/>
          </w:rPr>
          <w:delText>raza</w:delText>
        </w:r>
      </w:del>
      <w:r w:rsidRPr="008A106B">
        <w:rPr>
          <w:lang w:val="es-ES_tradnl"/>
        </w:rPr>
        <w:t xml:space="preserve"> no afectaron a la farmacocinética de </w:t>
      </w:r>
      <w:r w:rsidR="002926F1" w:rsidRPr="00F30AB8">
        <w:rPr>
          <w:szCs w:val="22"/>
          <w:lang w:val="es-ES" w:eastAsia="de-DE"/>
        </w:rPr>
        <w:t>tocilizumab</w:t>
      </w:r>
      <w:r w:rsidRPr="008A106B">
        <w:rPr>
          <w:lang w:val="es-ES_tradnl"/>
        </w:rPr>
        <w:t>.</w:t>
      </w:r>
      <w:r w:rsidRPr="008A106B">
        <w:rPr>
          <w:lang w:val="es-ES"/>
        </w:rPr>
        <w:t xml:space="preserve"> </w:t>
      </w:r>
    </w:p>
    <w:p w14:paraId="5A2A25F4" w14:textId="77777777" w:rsidR="00DC224A" w:rsidRDefault="00DC224A" w:rsidP="00DC224A">
      <w:pPr>
        <w:keepNext/>
        <w:keepLines/>
        <w:ind w:left="567" w:hanging="567"/>
        <w:outlineLvl w:val="0"/>
        <w:rPr>
          <w:b/>
          <w:bCs/>
          <w:lang w:val="es-ES"/>
        </w:rPr>
      </w:pPr>
    </w:p>
    <w:p w14:paraId="1DFEF63C" w14:textId="16DD026C" w:rsidR="00964B48" w:rsidRDefault="00964B48" w:rsidP="00964B48">
      <w:pPr>
        <w:outlineLvl w:val="0"/>
        <w:rPr>
          <w:lang w:val="es-ES_tradnl"/>
        </w:rPr>
      </w:pPr>
      <w:r w:rsidRPr="00BA7893">
        <w:rPr>
          <w:lang w:val="es-ES_tradnl"/>
        </w:rPr>
        <w:t>Los resultados de</w:t>
      </w:r>
      <w:r>
        <w:rPr>
          <w:lang w:val="es-ES_tradnl"/>
        </w:rPr>
        <w:t xml:space="preserve">l análisis </w:t>
      </w:r>
      <w:r w:rsidR="004B007E" w:rsidRPr="008A106B">
        <w:rPr>
          <w:lang w:val="es-ES_tradnl"/>
        </w:rPr>
        <w:t>farmacocinétic</w:t>
      </w:r>
      <w:r w:rsidR="004B007E">
        <w:rPr>
          <w:lang w:val="es-ES_tradnl"/>
        </w:rPr>
        <w:t xml:space="preserve">o </w:t>
      </w:r>
      <w:r>
        <w:rPr>
          <w:lang w:val="es-ES_tradnl"/>
        </w:rPr>
        <w:t>poblacional en pacientes con</w:t>
      </w:r>
      <w:r w:rsidRPr="00380621">
        <w:rPr>
          <w:lang w:val="es-ES_tradnl"/>
        </w:rPr>
        <w:t xml:space="preserve"> </w:t>
      </w:r>
      <w:r>
        <w:rPr>
          <w:lang w:val="es-ES_tradnl"/>
        </w:rPr>
        <w:t xml:space="preserve">AIJs y </w:t>
      </w:r>
      <w:r w:rsidRPr="00BA7893">
        <w:rPr>
          <w:lang w:val="es-ES_tradnl"/>
        </w:rPr>
        <w:t>A</w:t>
      </w:r>
      <w:r>
        <w:rPr>
          <w:lang w:val="es-ES_tradnl"/>
        </w:rPr>
        <w:t>IJp</w:t>
      </w:r>
      <w:r w:rsidRPr="00BA7893">
        <w:rPr>
          <w:lang w:val="es-ES_tradnl"/>
        </w:rPr>
        <w:t xml:space="preserve"> confirmaron que el tamaño corporal es la única covariable que tiene un impacto apreciable en la PK de </w:t>
      </w:r>
      <w:r w:rsidR="002926F1" w:rsidRPr="00F30AB8">
        <w:rPr>
          <w:szCs w:val="22"/>
          <w:lang w:val="es-ES" w:eastAsia="de-DE"/>
        </w:rPr>
        <w:t>tocilizumab</w:t>
      </w:r>
      <w:r>
        <w:rPr>
          <w:lang w:val="es-ES_tradnl"/>
        </w:rPr>
        <w:t xml:space="preserve"> incluyendo la eliminación y la absorción, por lo que debe tenerse en cuenta la dosificación en base al peso corporal </w:t>
      </w:r>
      <w:r w:rsidRPr="009F0106">
        <w:rPr>
          <w:lang w:val="es-ES"/>
        </w:rPr>
        <w:t>(ver Tabla</w:t>
      </w:r>
      <w:r>
        <w:rPr>
          <w:lang w:val="es-ES"/>
        </w:rPr>
        <w:t>s</w:t>
      </w:r>
      <w:r w:rsidRPr="009F0106">
        <w:rPr>
          <w:lang w:val="es-ES"/>
        </w:rPr>
        <w:t xml:space="preserve"> 8</w:t>
      </w:r>
      <w:r>
        <w:rPr>
          <w:lang w:val="es-ES"/>
        </w:rPr>
        <w:t xml:space="preserve"> y 9)</w:t>
      </w:r>
      <w:r>
        <w:rPr>
          <w:lang w:val="es-ES_tradnl"/>
        </w:rPr>
        <w:t xml:space="preserve">. </w:t>
      </w:r>
    </w:p>
    <w:p w14:paraId="59390CA6" w14:textId="77777777" w:rsidR="00964B48" w:rsidRDefault="00964B48" w:rsidP="00964B48">
      <w:pPr>
        <w:outlineLvl w:val="0"/>
        <w:rPr>
          <w:lang w:val="es-ES_tradnl"/>
        </w:rPr>
      </w:pPr>
    </w:p>
    <w:p w14:paraId="7CA726A0" w14:textId="77777777" w:rsidR="00DC224A" w:rsidRPr="008A106B" w:rsidRDefault="00DC224A" w:rsidP="00DC224A">
      <w:pPr>
        <w:keepNext/>
        <w:keepLines/>
        <w:ind w:left="567" w:hanging="567"/>
        <w:outlineLvl w:val="0"/>
        <w:rPr>
          <w:lang w:val="es-ES"/>
        </w:rPr>
      </w:pPr>
      <w:r w:rsidRPr="00286CDE">
        <w:rPr>
          <w:b/>
          <w:bCs/>
          <w:lang w:val="es-ES"/>
        </w:rPr>
        <w:t>5.3</w:t>
      </w:r>
      <w:r w:rsidRPr="00286CDE">
        <w:rPr>
          <w:b/>
          <w:bCs/>
          <w:lang w:val="es-ES"/>
        </w:rPr>
        <w:tab/>
      </w:r>
      <w:r w:rsidRPr="00286CDE">
        <w:rPr>
          <w:b/>
          <w:bCs/>
          <w:lang w:val="es-ES_tradnl"/>
        </w:rPr>
        <w:t>Datos preclínicos sobre seguridad</w:t>
      </w:r>
    </w:p>
    <w:p w14:paraId="3381BEAA" w14:textId="77777777" w:rsidR="00DC224A" w:rsidRPr="008A106B" w:rsidRDefault="00DC224A" w:rsidP="00DC224A">
      <w:pPr>
        <w:keepNext/>
        <w:keepLines/>
        <w:rPr>
          <w:lang w:val="es-ES"/>
        </w:rPr>
      </w:pPr>
    </w:p>
    <w:p w14:paraId="137C4106" w14:textId="7CE42381" w:rsidR="00DC224A" w:rsidRPr="008A106B" w:rsidRDefault="00DC224A" w:rsidP="00DC224A">
      <w:pPr>
        <w:rPr>
          <w:bCs/>
          <w:lang w:val="es-ES"/>
        </w:rPr>
      </w:pPr>
      <w:r w:rsidRPr="000B7663">
        <w:rPr>
          <w:lang w:val="es-ES"/>
        </w:rPr>
        <w:t xml:space="preserve">Los datos </w:t>
      </w:r>
      <w:r>
        <w:rPr>
          <w:lang w:val="es-ES"/>
        </w:rPr>
        <w:t>pre</w:t>
      </w:r>
      <w:r w:rsidRPr="000B7663">
        <w:rPr>
          <w:lang w:val="es-ES"/>
        </w:rPr>
        <w:t xml:space="preserve">clínicos no muestran riesgos especiales para los seres humanos según los </w:t>
      </w:r>
      <w:del w:id="2133" w:author="AUTHOR">
        <w:r w:rsidRPr="000B7663" w:rsidDel="00925EFA">
          <w:rPr>
            <w:lang w:val="es-ES"/>
          </w:rPr>
          <w:delText xml:space="preserve">estudios </w:delText>
        </w:r>
      </w:del>
      <w:ins w:id="2134" w:author="AUTHOR">
        <w:r w:rsidR="00925EFA">
          <w:rPr>
            <w:lang w:val="es-ES"/>
          </w:rPr>
          <w:t>ensayos</w:t>
        </w:r>
        <w:r w:rsidR="00925EFA" w:rsidRPr="000B7663">
          <w:rPr>
            <w:lang w:val="es-ES"/>
          </w:rPr>
          <w:t xml:space="preserve"> </w:t>
        </w:r>
      </w:ins>
      <w:r w:rsidRPr="000B7663">
        <w:rPr>
          <w:lang w:val="es-ES"/>
        </w:rPr>
        <w:t>convencionales de farmacología de seguridad, toxicidad a dosis repetidas, genotox</w:t>
      </w:r>
      <w:r w:rsidRPr="00B21072">
        <w:rPr>
          <w:lang w:val="es-ES"/>
        </w:rPr>
        <w:t xml:space="preserve">icidad, </w:t>
      </w:r>
      <w:r w:rsidRPr="000B7663">
        <w:rPr>
          <w:lang w:val="es-ES"/>
        </w:rPr>
        <w:t xml:space="preserve">toxicidad para la reproducción y el desarrollo. </w:t>
      </w:r>
    </w:p>
    <w:p w14:paraId="20D73EAD" w14:textId="77777777" w:rsidR="00DC224A" w:rsidRDefault="00DC224A" w:rsidP="00DC224A">
      <w:pPr>
        <w:rPr>
          <w:lang w:val="es-ES_tradnl"/>
        </w:rPr>
      </w:pPr>
    </w:p>
    <w:p w14:paraId="7C8C2EDD" w14:textId="416F1525" w:rsidR="00DC224A" w:rsidRPr="008A106B" w:rsidRDefault="00DC224A" w:rsidP="00DC224A">
      <w:pPr>
        <w:rPr>
          <w:lang w:val="es-ES"/>
        </w:rPr>
      </w:pPr>
      <w:r w:rsidRPr="008A106B">
        <w:rPr>
          <w:lang w:val="es-ES_tradnl"/>
        </w:rPr>
        <w:t xml:space="preserve">No se realizaron </w:t>
      </w:r>
      <w:ins w:id="2135" w:author="AUTHOR">
        <w:r w:rsidR="00925EFA">
          <w:rPr>
            <w:lang w:val="es-ES"/>
          </w:rPr>
          <w:t>ensayos</w:t>
        </w:r>
      </w:ins>
      <w:del w:id="2136" w:author="AUTHOR">
        <w:r w:rsidRPr="008A106B" w:rsidDel="00925EFA">
          <w:rPr>
            <w:lang w:val="es-ES_tradnl"/>
          </w:rPr>
          <w:delText>estudios</w:delText>
        </w:r>
      </w:del>
      <w:r w:rsidRPr="008A106B">
        <w:rPr>
          <w:lang w:val="es-ES_tradnl"/>
        </w:rPr>
        <w:t xml:space="preserve"> de carcinogenia dado que los anticuerpos monoclonales IgG1 no se consideran potencialmente carcinogénicos. </w:t>
      </w:r>
      <w:r w:rsidRPr="008A106B">
        <w:rPr>
          <w:lang w:val="es-ES"/>
        </w:rPr>
        <w:t xml:space="preserve"> </w:t>
      </w:r>
    </w:p>
    <w:p w14:paraId="28EEC115" w14:textId="77777777" w:rsidR="00DC224A" w:rsidRPr="008A106B" w:rsidRDefault="00DC224A" w:rsidP="00DC224A">
      <w:pPr>
        <w:rPr>
          <w:lang w:val="es-ES"/>
        </w:rPr>
      </w:pPr>
    </w:p>
    <w:p w14:paraId="6A721293" w14:textId="057A3402" w:rsidR="00DC224A" w:rsidRPr="008A106B" w:rsidRDefault="00DC224A" w:rsidP="00DC224A">
      <w:pPr>
        <w:rPr>
          <w:lang w:val="es-ES"/>
        </w:rPr>
      </w:pPr>
      <w:r w:rsidRPr="008A106B">
        <w:rPr>
          <w:lang w:val="es-ES_tradnl"/>
        </w:rPr>
        <w:t xml:space="preserve">Los datos </w:t>
      </w:r>
      <w:del w:id="2137" w:author="AUTHOR">
        <w:r w:rsidRPr="008A106B" w:rsidDel="009F37B4">
          <w:rPr>
            <w:lang w:val="es-ES_tradnl"/>
          </w:rPr>
          <w:delText>no-</w:delText>
        </w:r>
      </w:del>
      <w:ins w:id="2138" w:author="AUTHOR">
        <w:r w:rsidR="009F37B4">
          <w:rPr>
            <w:lang w:val="es-ES_tradnl"/>
          </w:rPr>
          <w:t>pre</w:t>
        </w:r>
      </w:ins>
      <w:r w:rsidRPr="008A106B">
        <w:rPr>
          <w:lang w:val="es-ES_tradnl"/>
        </w:rPr>
        <w:t xml:space="preserve">clínicos disponibles demostraron el efecto de IL-6 a la progresión maligna y la resistencia a la apoptosis de diversos tipos de cáncer, estos datos no sugieren un riesgo relevante para la iniciación y la progresión del cáncer bajo tratamiento con </w:t>
      </w:r>
      <w:r w:rsidR="002926F1" w:rsidRPr="00F30AB8">
        <w:rPr>
          <w:szCs w:val="22"/>
          <w:lang w:val="es-ES" w:eastAsia="de-DE"/>
        </w:rPr>
        <w:t>tocilizumab</w:t>
      </w:r>
      <w:r w:rsidRPr="008A106B">
        <w:rPr>
          <w:lang w:val="es-ES_tradnl"/>
        </w:rPr>
        <w:t xml:space="preserve">. Además, no se observaron lesiones proliferativas en un </w:t>
      </w:r>
      <w:ins w:id="2139" w:author="AUTHOR">
        <w:r w:rsidR="00925EFA">
          <w:rPr>
            <w:lang w:val="es-ES"/>
          </w:rPr>
          <w:t xml:space="preserve">ensayo </w:t>
        </w:r>
      </w:ins>
      <w:del w:id="2140" w:author="AUTHOR">
        <w:r w:rsidRPr="008A106B" w:rsidDel="00925EFA">
          <w:rPr>
            <w:lang w:val="es-ES_tradnl"/>
          </w:rPr>
          <w:delText>estudio</w:delText>
        </w:r>
      </w:del>
      <w:r w:rsidRPr="008A106B">
        <w:rPr>
          <w:lang w:val="es-ES_tradnl"/>
        </w:rPr>
        <w:t xml:space="preserve"> crónico, de 6 meses, de toxicidad en macacos o en ratones con deficiencia de IL-6. </w:t>
      </w:r>
    </w:p>
    <w:p w14:paraId="353F8A56" w14:textId="77777777" w:rsidR="00DC224A" w:rsidRPr="008A106B" w:rsidRDefault="00DC224A" w:rsidP="00DC224A">
      <w:pPr>
        <w:rPr>
          <w:lang w:val="es-ES"/>
        </w:rPr>
      </w:pPr>
    </w:p>
    <w:p w14:paraId="61AAE586" w14:textId="415E3DDA" w:rsidR="00DC224A" w:rsidRPr="008A106B" w:rsidRDefault="00DC224A" w:rsidP="00DC224A">
      <w:pPr>
        <w:rPr>
          <w:lang w:val="es-ES"/>
        </w:rPr>
      </w:pPr>
      <w:r w:rsidRPr="008A106B">
        <w:rPr>
          <w:lang w:val="es-ES_tradnl"/>
        </w:rPr>
        <w:t xml:space="preserve">Los datos </w:t>
      </w:r>
      <w:ins w:id="2141" w:author="AUTHOR">
        <w:r w:rsidR="009F37B4">
          <w:rPr>
            <w:lang w:val="es-ES_tradnl"/>
          </w:rPr>
          <w:t>pre</w:t>
        </w:r>
      </w:ins>
      <w:del w:id="2142" w:author="AUTHOR">
        <w:r w:rsidRPr="008A106B" w:rsidDel="009F37B4">
          <w:rPr>
            <w:lang w:val="es-ES_tradnl"/>
          </w:rPr>
          <w:delText>no-</w:delText>
        </w:r>
      </w:del>
      <w:r w:rsidRPr="008A106B">
        <w:rPr>
          <w:lang w:val="es-ES_tradnl"/>
        </w:rPr>
        <w:t xml:space="preserve">clínicos disponibles no sugieren un efecto sobre la fertilidad bajo el tratamiento con </w:t>
      </w:r>
      <w:r w:rsidR="002926F1" w:rsidRPr="00F30AB8">
        <w:rPr>
          <w:szCs w:val="22"/>
          <w:lang w:val="es-ES" w:eastAsia="de-DE"/>
        </w:rPr>
        <w:t>tocilizumab</w:t>
      </w:r>
      <w:r w:rsidRPr="008A106B">
        <w:rPr>
          <w:lang w:val="es-ES_tradnl"/>
        </w:rPr>
        <w:t xml:space="preserve">. No se observaron efectos sobre los órganos endocrinos activos y del aparato reproductor en un </w:t>
      </w:r>
      <w:ins w:id="2143" w:author="AUTHOR">
        <w:r w:rsidR="00925EFA">
          <w:rPr>
            <w:lang w:val="es-ES"/>
          </w:rPr>
          <w:t xml:space="preserve">ensayo </w:t>
        </w:r>
      </w:ins>
      <w:del w:id="2144" w:author="AUTHOR">
        <w:r w:rsidRPr="008A106B" w:rsidDel="00925EFA">
          <w:rPr>
            <w:lang w:val="es-ES_tradnl"/>
          </w:rPr>
          <w:delText xml:space="preserve">estudio </w:delText>
        </w:r>
      </w:del>
      <w:r w:rsidRPr="008A106B">
        <w:rPr>
          <w:lang w:val="es-ES_tradnl"/>
        </w:rPr>
        <w:t xml:space="preserve">de toxicidad crónica en macacos y el rendimiento reproductor no se vio afectado en ratones deficitarios en IL-6. Se observó que </w:t>
      </w:r>
      <w:r w:rsidR="002926F1" w:rsidRPr="00F30AB8">
        <w:rPr>
          <w:szCs w:val="22"/>
          <w:lang w:val="es-ES" w:eastAsia="de-DE"/>
        </w:rPr>
        <w:t>tocilizumab</w:t>
      </w:r>
      <w:r w:rsidRPr="006868F5">
        <w:rPr>
          <w:iCs/>
          <w:szCs w:val="22"/>
          <w:lang w:val="es-ES"/>
        </w:rPr>
        <w:t xml:space="preserve"> </w:t>
      </w:r>
      <w:r w:rsidRPr="008A106B">
        <w:rPr>
          <w:lang w:val="es-ES_tradnl"/>
        </w:rPr>
        <w:t>administrado a macacos durante la gestación precoz no tiene efecto lesivo directo o indirecto sobre el embarazo o el desarrollo embrionario-fetal.</w:t>
      </w:r>
      <w:r w:rsidRPr="008A106B">
        <w:rPr>
          <w:lang w:val="es-ES"/>
        </w:rPr>
        <w:t xml:space="preserve"> </w:t>
      </w:r>
      <w:r w:rsidRPr="008A106B">
        <w:rPr>
          <w:lang w:val="es-ES_tradnl"/>
        </w:rPr>
        <w:t>Sin embargo, se observó</w:t>
      </w:r>
      <w:r>
        <w:rPr>
          <w:lang w:val="es-ES_tradnl"/>
        </w:rPr>
        <w:t xml:space="preserve"> un leve aumento de los abortos/</w:t>
      </w:r>
      <w:r w:rsidRPr="008A106B">
        <w:rPr>
          <w:lang w:val="es-ES_tradnl"/>
        </w:rPr>
        <w:t>las muertes embrionarias-fetales con una alta exposición sistémica (&gt; 100 x la exposición humana) en el grupo de dosis alta de 50 mg/kg/día en comparación con placebo y otros grupos de dosis bajas.</w:t>
      </w:r>
      <w:r w:rsidRPr="008A106B">
        <w:rPr>
          <w:lang w:val="es-ES"/>
        </w:rPr>
        <w:t xml:space="preserve"> </w:t>
      </w:r>
      <w:r w:rsidRPr="008A106B">
        <w:rPr>
          <w:lang w:val="es-ES_tradnl"/>
        </w:rPr>
        <w:t>Aunque la IL-6 no parece ser una citocina crítica para el crecimiento fetal o el control inmu</w:t>
      </w:r>
      <w:r>
        <w:rPr>
          <w:lang w:val="es-ES_tradnl"/>
        </w:rPr>
        <w:t xml:space="preserve">nológico </w:t>
      </w:r>
      <w:proofErr w:type="gramStart"/>
      <w:r>
        <w:rPr>
          <w:lang w:val="es-ES_tradnl"/>
        </w:rPr>
        <w:t>de la interfaz materno</w:t>
      </w:r>
      <w:proofErr w:type="gramEnd"/>
      <w:r w:rsidRPr="008A106B">
        <w:rPr>
          <w:lang w:val="es-ES_tradnl"/>
        </w:rPr>
        <w:t xml:space="preserve">/fetal, no puede excluirse una relación de este hallazgo con </w:t>
      </w:r>
      <w:r w:rsidR="002926F1" w:rsidRPr="00F30AB8">
        <w:rPr>
          <w:szCs w:val="22"/>
          <w:lang w:val="es-ES" w:eastAsia="de-DE"/>
        </w:rPr>
        <w:t>tocilizumab</w:t>
      </w:r>
      <w:r w:rsidRPr="008A106B">
        <w:rPr>
          <w:lang w:val="es-ES_tradnl"/>
        </w:rPr>
        <w:t>.</w:t>
      </w:r>
    </w:p>
    <w:p w14:paraId="74342F2D" w14:textId="77777777" w:rsidR="00DC224A" w:rsidRPr="008A106B" w:rsidRDefault="00DC224A" w:rsidP="00DC224A">
      <w:pPr>
        <w:rPr>
          <w:lang w:val="es-ES_tradnl"/>
        </w:rPr>
      </w:pPr>
    </w:p>
    <w:p w14:paraId="1102C7F6" w14:textId="77777777" w:rsidR="00DC224A" w:rsidRDefault="00DC224A" w:rsidP="00DC224A">
      <w:pPr>
        <w:rPr>
          <w:lang w:val="es-ES"/>
        </w:rPr>
      </w:pPr>
      <w:r w:rsidRPr="008A106B">
        <w:rPr>
          <w:lang w:val="es-ES"/>
        </w:rPr>
        <w:t>El tratamiento con un análogo de murina no ha supuesto toxicidad en ratones jóvenes. En particular, no ha habido alteración en el crecimiento esquelético, la función inmune y la maduración sexual.</w:t>
      </w:r>
    </w:p>
    <w:p w14:paraId="32BDF086" w14:textId="77777777" w:rsidR="00DC224A" w:rsidRDefault="00DC224A" w:rsidP="00DC224A">
      <w:pPr>
        <w:rPr>
          <w:lang w:val="es-ES"/>
        </w:rPr>
      </w:pPr>
    </w:p>
    <w:p w14:paraId="3BC11B72" w14:textId="397E4131" w:rsidR="00DC224A" w:rsidRPr="008A106B" w:rsidRDefault="00DC224A" w:rsidP="00DC224A">
      <w:pPr>
        <w:rPr>
          <w:lang w:val="es-ES"/>
        </w:rPr>
      </w:pPr>
      <w:r w:rsidRPr="00286CDE">
        <w:rPr>
          <w:lang w:val="es-ES"/>
        </w:rPr>
        <w:t xml:space="preserve">El perfil de seguridad no clínico de </w:t>
      </w:r>
      <w:r w:rsidR="002926F1" w:rsidRPr="00F30AB8">
        <w:rPr>
          <w:szCs w:val="22"/>
          <w:lang w:val="es-ES" w:eastAsia="de-DE"/>
        </w:rPr>
        <w:t>tocilizumab</w:t>
      </w:r>
      <w:r w:rsidRPr="006868F5">
        <w:rPr>
          <w:iCs/>
          <w:szCs w:val="22"/>
          <w:lang w:val="es-ES"/>
        </w:rPr>
        <w:t xml:space="preserve"> </w:t>
      </w:r>
      <w:r w:rsidRPr="00286CDE">
        <w:rPr>
          <w:lang w:val="es-ES"/>
        </w:rPr>
        <w:t xml:space="preserve">en </w:t>
      </w:r>
      <w:r w:rsidRPr="00286CDE">
        <w:rPr>
          <w:lang w:val="es-ES_tradnl"/>
        </w:rPr>
        <w:t>macacos no sugiere una diferencia entre las vías de administración intravenosa y subcutánea.</w:t>
      </w:r>
    </w:p>
    <w:p w14:paraId="7A46CB4A" w14:textId="77777777" w:rsidR="00DC224A" w:rsidRPr="008A106B" w:rsidRDefault="00DC224A" w:rsidP="00DC224A">
      <w:pPr>
        <w:outlineLvl w:val="0"/>
        <w:rPr>
          <w:lang w:val="es-ES"/>
        </w:rPr>
      </w:pPr>
    </w:p>
    <w:p w14:paraId="08F1BEC9" w14:textId="77777777" w:rsidR="00DC224A" w:rsidRPr="008A106B" w:rsidRDefault="00DC224A" w:rsidP="00DC224A">
      <w:pPr>
        <w:widowControl w:val="0"/>
        <w:ind w:left="567" w:hanging="567"/>
        <w:outlineLvl w:val="0"/>
        <w:rPr>
          <w:b/>
          <w:bCs/>
          <w:lang w:val="es-ES"/>
        </w:rPr>
      </w:pPr>
    </w:p>
    <w:p w14:paraId="3D30E3E3" w14:textId="77777777" w:rsidR="00DC224A" w:rsidRPr="008A106B" w:rsidRDefault="00DC224A" w:rsidP="00DC224A">
      <w:pPr>
        <w:keepNext/>
        <w:ind w:left="567" w:hanging="567"/>
        <w:rPr>
          <w:b/>
          <w:bCs/>
          <w:lang w:val="es-ES"/>
        </w:rPr>
      </w:pPr>
      <w:r w:rsidRPr="008A106B">
        <w:rPr>
          <w:b/>
          <w:bCs/>
          <w:lang w:val="es-ES"/>
        </w:rPr>
        <w:t>6.</w:t>
      </w:r>
      <w:r w:rsidRPr="008A106B">
        <w:rPr>
          <w:b/>
          <w:bCs/>
          <w:lang w:val="es-ES"/>
        </w:rPr>
        <w:tab/>
      </w:r>
      <w:r w:rsidRPr="008A106B">
        <w:rPr>
          <w:b/>
          <w:bCs/>
          <w:lang w:val="es-ES_tradnl"/>
        </w:rPr>
        <w:t>DATOS FARMACÉUTICOS</w:t>
      </w:r>
    </w:p>
    <w:p w14:paraId="17A33E27" w14:textId="77777777" w:rsidR="00DC224A" w:rsidRPr="008A106B" w:rsidRDefault="00DC224A" w:rsidP="00DC224A">
      <w:pPr>
        <w:keepNext/>
        <w:rPr>
          <w:lang w:val="es-ES"/>
        </w:rPr>
      </w:pPr>
    </w:p>
    <w:p w14:paraId="6C942AF8" w14:textId="77777777" w:rsidR="00DC224A" w:rsidRDefault="00DC224A" w:rsidP="00DC224A">
      <w:pPr>
        <w:keepNext/>
        <w:ind w:left="567" w:hanging="567"/>
        <w:outlineLvl w:val="0"/>
        <w:rPr>
          <w:b/>
          <w:bCs/>
          <w:lang w:val="es-ES_tradnl"/>
        </w:rPr>
      </w:pPr>
      <w:r w:rsidRPr="008A106B">
        <w:rPr>
          <w:b/>
          <w:bCs/>
          <w:lang w:val="es-ES"/>
        </w:rPr>
        <w:t>6.1</w:t>
      </w:r>
      <w:r w:rsidRPr="008A106B">
        <w:rPr>
          <w:b/>
          <w:bCs/>
          <w:lang w:val="es-ES"/>
        </w:rPr>
        <w:tab/>
      </w:r>
      <w:r w:rsidRPr="008A106B">
        <w:rPr>
          <w:b/>
          <w:bCs/>
          <w:lang w:val="es-ES_tradnl"/>
        </w:rPr>
        <w:t>Lista de excipientes</w:t>
      </w:r>
    </w:p>
    <w:p w14:paraId="0B414CE8" w14:textId="77777777" w:rsidR="00DC224A" w:rsidRDefault="00DC224A" w:rsidP="00DC224A">
      <w:pPr>
        <w:keepNext/>
        <w:ind w:left="567" w:hanging="567"/>
        <w:outlineLvl w:val="0"/>
        <w:rPr>
          <w:b/>
          <w:bCs/>
          <w:lang w:val="es-ES"/>
        </w:rPr>
      </w:pPr>
    </w:p>
    <w:p w14:paraId="63300778" w14:textId="77777777" w:rsidR="00DC224A" w:rsidRDefault="00DC224A" w:rsidP="00DC224A">
      <w:pPr>
        <w:keepNext/>
        <w:ind w:left="567" w:hanging="567"/>
        <w:outlineLvl w:val="0"/>
        <w:rPr>
          <w:lang w:val="es-ES"/>
        </w:rPr>
      </w:pPr>
      <w:r w:rsidRPr="00286CDE">
        <w:rPr>
          <w:lang w:val="es-ES"/>
        </w:rPr>
        <w:t>L-Histidina</w:t>
      </w:r>
      <w:r w:rsidR="002926F1">
        <w:rPr>
          <w:lang w:val="es-ES"/>
        </w:rPr>
        <w:t xml:space="preserve"> (para ajuste de pH)</w:t>
      </w:r>
    </w:p>
    <w:p w14:paraId="449B605C" w14:textId="77777777" w:rsidR="00DC224A" w:rsidRPr="00F30AB8" w:rsidRDefault="00DC224A" w:rsidP="002926F1">
      <w:pPr>
        <w:keepNext/>
        <w:ind w:left="567" w:hanging="567"/>
        <w:outlineLvl w:val="0"/>
        <w:rPr>
          <w:lang w:val="es-ES"/>
        </w:rPr>
      </w:pPr>
      <w:r w:rsidRPr="00C555F2">
        <w:rPr>
          <w:lang w:val="pt-BR"/>
        </w:rPr>
        <w:t>Monohidrocloruro de L-histidina monohidrato</w:t>
      </w:r>
      <w:r w:rsidR="002926F1">
        <w:rPr>
          <w:lang w:val="pt-BR"/>
        </w:rPr>
        <w:t xml:space="preserve"> </w:t>
      </w:r>
      <w:r w:rsidR="002926F1">
        <w:rPr>
          <w:lang w:val="es-ES"/>
        </w:rPr>
        <w:t>(para ajuste de pH)</w:t>
      </w:r>
    </w:p>
    <w:p w14:paraId="17CC7421" w14:textId="77777777" w:rsidR="00DC224A" w:rsidRPr="00C555F2" w:rsidRDefault="00137C28" w:rsidP="00DC224A">
      <w:pPr>
        <w:keepNext/>
        <w:ind w:left="567" w:hanging="567"/>
        <w:outlineLvl w:val="0"/>
        <w:rPr>
          <w:lang w:val="pt-BR"/>
        </w:rPr>
      </w:pPr>
      <w:r w:rsidRPr="00C555F2">
        <w:rPr>
          <w:lang w:val="pt-BR"/>
        </w:rPr>
        <w:t>L-Arginina</w:t>
      </w:r>
      <w:r w:rsidR="00B947D0">
        <w:rPr>
          <w:lang w:val="pt-BR"/>
        </w:rPr>
        <w:t>/</w:t>
      </w:r>
      <w:r w:rsidR="00DC224A" w:rsidRPr="00C555F2">
        <w:rPr>
          <w:lang w:val="pt-BR"/>
        </w:rPr>
        <w:t>Hidrocloruro de L-Arginina</w:t>
      </w:r>
    </w:p>
    <w:p w14:paraId="198FCD23" w14:textId="77777777" w:rsidR="00DC224A" w:rsidRPr="00C555F2" w:rsidRDefault="00DC224A" w:rsidP="00DC224A">
      <w:pPr>
        <w:keepNext/>
        <w:ind w:left="567" w:hanging="567"/>
        <w:outlineLvl w:val="0"/>
        <w:rPr>
          <w:lang w:val="pt-BR"/>
        </w:rPr>
      </w:pPr>
      <w:r w:rsidRPr="00C555F2">
        <w:rPr>
          <w:lang w:val="pt-BR"/>
        </w:rPr>
        <w:t>L-Metionina</w:t>
      </w:r>
    </w:p>
    <w:p w14:paraId="3CBD8591" w14:textId="77777777" w:rsidR="00DC224A" w:rsidRPr="008A106B" w:rsidRDefault="00DC224A" w:rsidP="00DC224A">
      <w:pPr>
        <w:keepNext/>
        <w:ind w:left="567" w:hanging="567"/>
        <w:outlineLvl w:val="0"/>
        <w:rPr>
          <w:lang w:val="es-ES"/>
        </w:rPr>
      </w:pPr>
      <w:r w:rsidRPr="008A106B">
        <w:rPr>
          <w:lang w:val="es-ES_tradnl"/>
        </w:rPr>
        <w:t>Polisorbato 80</w:t>
      </w:r>
      <w:r w:rsidR="002926F1">
        <w:rPr>
          <w:lang w:val="es-ES_tradnl"/>
        </w:rPr>
        <w:t xml:space="preserve"> </w:t>
      </w:r>
      <w:r w:rsidR="002926F1" w:rsidRPr="00F30AB8">
        <w:rPr>
          <w:bCs/>
          <w:szCs w:val="22"/>
          <w:lang w:val="es-ES"/>
        </w:rPr>
        <w:t>(E 433)</w:t>
      </w:r>
    </w:p>
    <w:p w14:paraId="4DB9DAF3" w14:textId="77777777" w:rsidR="00DC224A" w:rsidRDefault="00DC224A" w:rsidP="00DC224A">
      <w:pPr>
        <w:ind w:left="567" w:hanging="567"/>
        <w:outlineLvl w:val="0"/>
        <w:rPr>
          <w:lang w:val="es-ES_tradnl"/>
        </w:rPr>
      </w:pPr>
      <w:r w:rsidRPr="008A106B">
        <w:rPr>
          <w:lang w:val="es-ES_tradnl"/>
        </w:rPr>
        <w:t>Agua para preparaciones inyectables</w:t>
      </w:r>
    </w:p>
    <w:p w14:paraId="6E117CDC" w14:textId="77777777" w:rsidR="00DC224A" w:rsidRPr="00C555F2" w:rsidRDefault="00DC224A" w:rsidP="00DC224A">
      <w:pPr>
        <w:keepNext/>
        <w:ind w:left="567" w:hanging="567"/>
        <w:outlineLvl w:val="0"/>
        <w:rPr>
          <w:b/>
          <w:bCs/>
          <w:lang w:val="es-ES_tradnl"/>
        </w:rPr>
      </w:pPr>
    </w:p>
    <w:p w14:paraId="2FEFE2EF" w14:textId="77777777" w:rsidR="00DC224A" w:rsidRDefault="00DC224A" w:rsidP="00DC224A">
      <w:pPr>
        <w:ind w:left="567" w:hanging="567"/>
        <w:outlineLvl w:val="0"/>
        <w:rPr>
          <w:b/>
          <w:bCs/>
          <w:lang w:val="es-ES_tradnl"/>
        </w:rPr>
      </w:pPr>
      <w:r w:rsidRPr="008A106B">
        <w:rPr>
          <w:b/>
          <w:bCs/>
          <w:lang w:val="es-ES"/>
        </w:rPr>
        <w:t>6.2</w:t>
      </w:r>
      <w:r w:rsidRPr="008A106B">
        <w:rPr>
          <w:b/>
          <w:bCs/>
          <w:lang w:val="es-ES"/>
        </w:rPr>
        <w:tab/>
      </w:r>
      <w:r w:rsidRPr="008A106B">
        <w:rPr>
          <w:b/>
          <w:bCs/>
          <w:lang w:val="es-ES_tradnl"/>
        </w:rPr>
        <w:t>Incompatibilidades</w:t>
      </w:r>
    </w:p>
    <w:p w14:paraId="20E1AA97" w14:textId="77777777" w:rsidR="00DC224A" w:rsidRDefault="00DC224A" w:rsidP="00DC224A">
      <w:pPr>
        <w:ind w:left="567" w:hanging="567"/>
        <w:outlineLvl w:val="0"/>
        <w:rPr>
          <w:b/>
          <w:bCs/>
          <w:lang w:val="es-ES_tradnl"/>
        </w:rPr>
      </w:pPr>
    </w:p>
    <w:p w14:paraId="0C5A2C70" w14:textId="4C6591A1" w:rsidR="00DC224A" w:rsidRPr="008A106B" w:rsidRDefault="00DC224A" w:rsidP="00DC224A">
      <w:pPr>
        <w:rPr>
          <w:b/>
          <w:bCs/>
          <w:lang w:val="es-ES"/>
        </w:rPr>
      </w:pPr>
      <w:r>
        <w:rPr>
          <w:lang w:val="es-ES_tradnl"/>
        </w:rPr>
        <w:t xml:space="preserve">En ausencia de </w:t>
      </w:r>
      <w:del w:id="2145" w:author="AUTHOR">
        <w:r w:rsidDel="00411076">
          <w:rPr>
            <w:lang w:val="es-ES_tradnl"/>
          </w:rPr>
          <w:delText xml:space="preserve">estudios </w:delText>
        </w:r>
      </w:del>
      <w:ins w:id="2146" w:author="AUTHOR">
        <w:r w:rsidR="00411076">
          <w:rPr>
            <w:lang w:val="es-ES_tradnl"/>
          </w:rPr>
          <w:t xml:space="preserve">ensayos </w:t>
        </w:r>
      </w:ins>
      <w:r>
        <w:rPr>
          <w:lang w:val="es-ES_tradnl"/>
        </w:rPr>
        <w:t>de compatibilidad, e</w:t>
      </w:r>
      <w:r w:rsidRPr="008A106B">
        <w:rPr>
          <w:lang w:val="es-ES_tradnl"/>
        </w:rPr>
        <w:t>ste medicamento no debe mezclarse con otros</w:t>
      </w:r>
      <w:r>
        <w:rPr>
          <w:lang w:val="es-ES_tradnl"/>
        </w:rPr>
        <w:t>.</w:t>
      </w:r>
    </w:p>
    <w:p w14:paraId="7A678665" w14:textId="77777777" w:rsidR="00DC224A" w:rsidRPr="008A106B" w:rsidRDefault="00DC224A" w:rsidP="00DC224A">
      <w:pPr>
        <w:ind w:left="567" w:hanging="567"/>
        <w:outlineLvl w:val="0"/>
        <w:rPr>
          <w:lang w:val="es-ES"/>
        </w:rPr>
      </w:pPr>
    </w:p>
    <w:p w14:paraId="709BDC5B" w14:textId="77777777" w:rsidR="00DC224A" w:rsidRPr="00C555F2" w:rsidRDefault="00DC224A" w:rsidP="00E576A0">
      <w:pPr>
        <w:keepNext/>
        <w:keepLines/>
        <w:ind w:left="567" w:hanging="567"/>
        <w:outlineLvl w:val="0"/>
        <w:rPr>
          <w:b/>
          <w:bCs/>
          <w:lang w:val="es-ES"/>
        </w:rPr>
      </w:pPr>
      <w:r w:rsidRPr="00C555F2">
        <w:rPr>
          <w:b/>
          <w:bCs/>
          <w:lang w:val="es-ES"/>
        </w:rPr>
        <w:t>6.3</w:t>
      </w:r>
      <w:r w:rsidRPr="00C555F2">
        <w:rPr>
          <w:b/>
          <w:bCs/>
          <w:lang w:val="es-ES"/>
        </w:rPr>
        <w:tab/>
        <w:t>Periodo de validez</w:t>
      </w:r>
    </w:p>
    <w:p w14:paraId="26617F14" w14:textId="77777777" w:rsidR="00DC224A" w:rsidRPr="00C555F2" w:rsidRDefault="00DC224A" w:rsidP="00E576A0">
      <w:pPr>
        <w:keepNext/>
        <w:keepLines/>
        <w:ind w:left="567" w:hanging="567"/>
        <w:outlineLvl w:val="0"/>
        <w:rPr>
          <w:b/>
          <w:bCs/>
          <w:lang w:val="es-ES"/>
        </w:rPr>
      </w:pPr>
    </w:p>
    <w:p w14:paraId="0554EB06" w14:textId="106151BB" w:rsidR="00DC224A" w:rsidRPr="00C555F2" w:rsidRDefault="002926F1" w:rsidP="00E576A0">
      <w:pPr>
        <w:keepNext/>
        <w:keepLines/>
        <w:rPr>
          <w:lang w:val="es-ES"/>
        </w:rPr>
      </w:pPr>
      <w:r>
        <w:rPr>
          <w:lang w:val="es-ES"/>
        </w:rPr>
        <w:t>3 años</w:t>
      </w:r>
      <w:r w:rsidR="00DC224A" w:rsidRPr="00C555F2">
        <w:rPr>
          <w:lang w:val="es-ES"/>
        </w:rPr>
        <w:t>.</w:t>
      </w:r>
    </w:p>
    <w:p w14:paraId="25C906F8" w14:textId="77777777" w:rsidR="00DC224A" w:rsidRPr="00C555F2" w:rsidRDefault="00DC224A" w:rsidP="00DC224A">
      <w:pPr>
        <w:ind w:left="567" w:hanging="567"/>
        <w:outlineLvl w:val="0"/>
        <w:rPr>
          <w:lang w:val="es-ES_tradnl"/>
        </w:rPr>
      </w:pPr>
    </w:p>
    <w:p w14:paraId="2C1D1E01" w14:textId="77777777" w:rsidR="00DC224A" w:rsidRDefault="00DC224A" w:rsidP="00DC224A">
      <w:pPr>
        <w:keepNext/>
        <w:ind w:left="567" w:hanging="567"/>
        <w:outlineLvl w:val="0"/>
        <w:rPr>
          <w:b/>
          <w:bCs/>
          <w:lang w:val="es-ES_tradnl"/>
        </w:rPr>
      </w:pPr>
      <w:r w:rsidRPr="008A106B">
        <w:rPr>
          <w:b/>
          <w:bCs/>
          <w:lang w:val="es-ES"/>
        </w:rPr>
        <w:t>6.4</w:t>
      </w:r>
      <w:r w:rsidRPr="008A106B">
        <w:rPr>
          <w:b/>
          <w:bCs/>
          <w:lang w:val="es-ES"/>
        </w:rPr>
        <w:tab/>
      </w:r>
      <w:r w:rsidRPr="008A106B">
        <w:rPr>
          <w:b/>
          <w:bCs/>
          <w:lang w:val="es-ES_tradnl"/>
        </w:rPr>
        <w:t>Precauciones especiales de conservación</w:t>
      </w:r>
    </w:p>
    <w:p w14:paraId="7414D1E5" w14:textId="77777777" w:rsidR="00DC224A" w:rsidRDefault="00DC224A" w:rsidP="00DC224A">
      <w:pPr>
        <w:keepNext/>
        <w:ind w:left="567" w:hanging="567"/>
        <w:outlineLvl w:val="0"/>
        <w:rPr>
          <w:b/>
          <w:bCs/>
          <w:lang w:val="es-ES_tradnl"/>
        </w:rPr>
      </w:pPr>
    </w:p>
    <w:p w14:paraId="5DC52D9C" w14:textId="26FE0E0E" w:rsidR="00DC224A" w:rsidRDefault="00DC224A" w:rsidP="00DC224A">
      <w:pPr>
        <w:rPr>
          <w:lang w:val="es-ES_tradnl"/>
        </w:rPr>
      </w:pPr>
      <w:r w:rsidRPr="008A106B">
        <w:rPr>
          <w:lang w:val="es-ES_tradnl"/>
        </w:rPr>
        <w:t>Conserv</w:t>
      </w:r>
      <w:r>
        <w:rPr>
          <w:lang w:val="es-ES_tradnl"/>
        </w:rPr>
        <w:t>ar</w:t>
      </w:r>
      <w:r w:rsidRPr="008A106B">
        <w:rPr>
          <w:lang w:val="es-ES_tradnl"/>
        </w:rPr>
        <w:t xml:space="preserve"> en nevera (entre 2°C</w:t>
      </w:r>
      <w:r w:rsidR="002926F1" w:rsidRPr="00F30AB8">
        <w:rPr>
          <w:szCs w:val="22"/>
          <w:lang w:val="es-ES"/>
        </w:rPr>
        <w:t> </w:t>
      </w:r>
      <w:r w:rsidR="002926F1" w:rsidRPr="00F30AB8">
        <w:rPr>
          <w:szCs w:val="22"/>
          <w:lang w:val="es-ES"/>
        </w:rPr>
        <w:noBreakHyphen/>
        <w:t> </w:t>
      </w:r>
      <w:r w:rsidRPr="008A106B">
        <w:rPr>
          <w:lang w:val="es-ES_tradnl"/>
        </w:rPr>
        <w:t>8°C).</w:t>
      </w:r>
      <w:r w:rsidRPr="008A106B">
        <w:rPr>
          <w:lang w:val="es-ES"/>
        </w:rPr>
        <w:t xml:space="preserve"> </w:t>
      </w:r>
      <w:r w:rsidRPr="008A106B">
        <w:rPr>
          <w:lang w:val="es-ES_tradnl"/>
        </w:rPr>
        <w:t>No congelar.</w:t>
      </w:r>
      <w:r w:rsidR="00363FFA" w:rsidRPr="00957972">
        <w:rPr>
          <w:lang w:val="es-ES"/>
        </w:rPr>
        <w:t xml:space="preserve"> </w:t>
      </w:r>
      <w:r w:rsidR="00363FFA" w:rsidRPr="00363FFA">
        <w:rPr>
          <w:lang w:val="es-ES_tradnl"/>
        </w:rPr>
        <w:t xml:space="preserve">Una vez fuera de la nevera, </w:t>
      </w:r>
      <w:r w:rsidR="00352A37">
        <w:rPr>
          <w:lang w:val="es-ES_tradnl"/>
        </w:rPr>
        <w:t>la pluma precargada</w:t>
      </w:r>
      <w:r w:rsidR="00363FFA" w:rsidRPr="00363FFA">
        <w:rPr>
          <w:lang w:val="es-ES_tradnl"/>
        </w:rPr>
        <w:t xml:space="preserve"> </w:t>
      </w:r>
      <w:r w:rsidR="00352A37">
        <w:rPr>
          <w:lang w:val="es-ES_tradnl"/>
        </w:rPr>
        <w:t xml:space="preserve">se puede conservar hasta </w:t>
      </w:r>
      <w:proofErr w:type="gramStart"/>
      <w:r w:rsidR="00352A37">
        <w:rPr>
          <w:lang w:val="es-ES_tradnl"/>
        </w:rPr>
        <w:t>2</w:t>
      </w:r>
      <w:r w:rsidR="0040179E" w:rsidRPr="00F30AB8">
        <w:rPr>
          <w:szCs w:val="22"/>
          <w:lang w:val="es-ES"/>
        </w:rPr>
        <w:t> </w:t>
      </w:r>
      <w:r w:rsidR="0040179E" w:rsidDel="0040179E">
        <w:rPr>
          <w:lang w:val="es-ES_tradnl"/>
        </w:rPr>
        <w:t xml:space="preserve"> </w:t>
      </w:r>
      <w:r w:rsidR="00352A37">
        <w:rPr>
          <w:lang w:val="es-ES_tradnl"/>
        </w:rPr>
        <w:t>semanas</w:t>
      </w:r>
      <w:proofErr w:type="gramEnd"/>
      <w:r w:rsidR="00352A37">
        <w:rPr>
          <w:lang w:val="es-ES_tradnl"/>
        </w:rPr>
        <w:t xml:space="preserve"> a una temperatura igual o inferior</w:t>
      </w:r>
      <w:r w:rsidR="00352A37" w:rsidRPr="00363FFA">
        <w:rPr>
          <w:lang w:val="es-ES_tradnl"/>
        </w:rPr>
        <w:t xml:space="preserve"> </w:t>
      </w:r>
      <w:r w:rsidR="00352A37">
        <w:rPr>
          <w:lang w:val="es-ES_tradnl"/>
        </w:rPr>
        <w:t>a</w:t>
      </w:r>
      <w:r w:rsidR="00004756">
        <w:rPr>
          <w:lang w:val="es-ES_tradnl"/>
        </w:rPr>
        <w:t xml:space="preserve"> </w:t>
      </w:r>
      <w:r w:rsidR="00363FFA" w:rsidRPr="00363FFA">
        <w:rPr>
          <w:lang w:val="es-ES_tradnl"/>
        </w:rPr>
        <w:t>30</w:t>
      </w:r>
      <w:r w:rsidR="0040179E" w:rsidRPr="00F30AB8">
        <w:rPr>
          <w:szCs w:val="22"/>
          <w:lang w:val="es-ES"/>
        </w:rPr>
        <w:t> </w:t>
      </w:r>
      <w:r w:rsidR="0040179E" w:rsidRPr="00363FFA">
        <w:rPr>
          <w:lang w:val="es-ES_tradnl"/>
        </w:rPr>
        <w:t xml:space="preserve"> </w:t>
      </w:r>
      <w:r w:rsidR="00363FFA" w:rsidRPr="00363FFA">
        <w:rPr>
          <w:lang w:val="es-ES_tradnl"/>
        </w:rPr>
        <w:t>ºC.</w:t>
      </w:r>
    </w:p>
    <w:p w14:paraId="70739768" w14:textId="77777777" w:rsidR="00363FFA" w:rsidRDefault="00363FFA" w:rsidP="00DC224A">
      <w:pPr>
        <w:rPr>
          <w:lang w:val="es-ES_tradnl"/>
        </w:rPr>
      </w:pPr>
    </w:p>
    <w:p w14:paraId="1D84538A" w14:textId="77777777" w:rsidR="00DC224A" w:rsidRDefault="00DC224A" w:rsidP="00DC224A">
      <w:pPr>
        <w:rPr>
          <w:ins w:id="2147" w:author="AUTHOR"/>
          <w:lang w:val="es-ES_tradnl"/>
        </w:rPr>
      </w:pPr>
      <w:r w:rsidRPr="008A106B">
        <w:rPr>
          <w:lang w:val="es-ES_tradnl"/>
        </w:rPr>
        <w:t>Mantener l</w:t>
      </w:r>
      <w:r>
        <w:rPr>
          <w:lang w:val="es-ES_tradnl"/>
        </w:rPr>
        <w:t>a</w:t>
      </w:r>
      <w:r w:rsidRPr="008A106B">
        <w:rPr>
          <w:lang w:val="es-ES_tradnl"/>
        </w:rPr>
        <w:t xml:space="preserve">s </w:t>
      </w:r>
      <w:r>
        <w:rPr>
          <w:lang w:val="es-ES_tradnl"/>
        </w:rPr>
        <w:t>plumas precargadas</w:t>
      </w:r>
      <w:r w:rsidRPr="008A106B">
        <w:rPr>
          <w:lang w:val="es-ES_tradnl"/>
        </w:rPr>
        <w:t xml:space="preserve"> en el embalaje exterior para proteger de la luz</w:t>
      </w:r>
      <w:r>
        <w:rPr>
          <w:lang w:val="es-ES_tradnl"/>
        </w:rPr>
        <w:t xml:space="preserve"> y la humedad.</w:t>
      </w:r>
    </w:p>
    <w:p w14:paraId="66025EDF" w14:textId="77777777" w:rsidR="002C1F82" w:rsidRPr="008A106B" w:rsidRDefault="002C1F82" w:rsidP="00DC224A">
      <w:pPr>
        <w:rPr>
          <w:lang w:val="es-ES"/>
        </w:rPr>
      </w:pPr>
    </w:p>
    <w:p w14:paraId="78859831" w14:textId="04974A7E" w:rsidR="00DC224A" w:rsidRDefault="002C1F82" w:rsidP="002C1F82">
      <w:pPr>
        <w:keepNext/>
        <w:outlineLvl w:val="0"/>
        <w:rPr>
          <w:ins w:id="2148" w:author="AUTHOR"/>
          <w:lang w:val="es-ES"/>
        </w:rPr>
      </w:pPr>
      <w:ins w:id="2149" w:author="AUTHOR">
        <w:r w:rsidRPr="00467FFD">
          <w:rPr>
            <w:lang w:val="es-ES"/>
            <w:rPrChange w:id="2150" w:author="AUTHOR">
              <w:rPr>
                <w:b/>
                <w:bCs/>
                <w:lang w:val="es-ES"/>
              </w:rPr>
            </w:rPrChange>
          </w:rPr>
          <w:t xml:space="preserve">La fecha y la hora </w:t>
        </w:r>
        <w:r>
          <w:rPr>
            <w:lang w:val="es-ES"/>
          </w:rPr>
          <w:t xml:space="preserve">en la que se saca </w:t>
        </w:r>
        <w:r w:rsidRPr="00467FFD">
          <w:rPr>
            <w:lang w:val="es-ES"/>
            <w:rPrChange w:id="2151" w:author="AUTHOR">
              <w:rPr>
                <w:b/>
                <w:bCs/>
                <w:lang w:val="es-ES"/>
              </w:rPr>
            </w:rPrChange>
          </w:rPr>
          <w:t>el envase de la nevera se deben anotar en la caja. Deseche la pluma si se deja fuera de la nevera durante más de 2 semanas. No utilice fuentes de calor externas como agua caliente para calentar la pluma precargada</w:t>
        </w:r>
        <w:r>
          <w:rPr>
            <w:lang w:val="es-ES"/>
          </w:rPr>
          <w:t>.</w:t>
        </w:r>
      </w:ins>
    </w:p>
    <w:p w14:paraId="489DFB82" w14:textId="77777777" w:rsidR="002C1F82" w:rsidRPr="00467FFD" w:rsidRDefault="002C1F82">
      <w:pPr>
        <w:keepNext/>
        <w:outlineLvl w:val="0"/>
        <w:rPr>
          <w:lang w:val="es-ES"/>
          <w:rPrChange w:id="2152" w:author="AUTHOR">
            <w:rPr>
              <w:b/>
              <w:bCs/>
              <w:lang w:val="es-ES"/>
            </w:rPr>
          </w:rPrChange>
        </w:rPr>
        <w:pPrChange w:id="2153" w:author="AUTHOR">
          <w:pPr>
            <w:keepNext/>
            <w:ind w:left="567" w:hanging="567"/>
            <w:outlineLvl w:val="0"/>
          </w:pPr>
        </w:pPrChange>
      </w:pPr>
    </w:p>
    <w:p w14:paraId="382C7F72" w14:textId="77777777" w:rsidR="00DC224A" w:rsidRDefault="00DC224A" w:rsidP="00DC224A">
      <w:pPr>
        <w:keepNext/>
        <w:ind w:left="567" w:hanging="567"/>
        <w:outlineLvl w:val="0"/>
        <w:rPr>
          <w:b/>
          <w:bCs/>
          <w:lang w:val="es-ES_tradnl"/>
        </w:rPr>
      </w:pPr>
      <w:r w:rsidRPr="008A106B">
        <w:rPr>
          <w:b/>
          <w:bCs/>
          <w:lang w:val="es-ES"/>
        </w:rPr>
        <w:t>6.5</w:t>
      </w:r>
      <w:r w:rsidRPr="008A106B">
        <w:rPr>
          <w:b/>
          <w:bCs/>
          <w:lang w:val="es-ES"/>
        </w:rPr>
        <w:tab/>
      </w:r>
      <w:r w:rsidRPr="008A106B">
        <w:rPr>
          <w:b/>
          <w:bCs/>
          <w:lang w:val="es-ES_tradnl"/>
        </w:rPr>
        <w:t>Naturaleza y contenido del envase</w:t>
      </w:r>
    </w:p>
    <w:p w14:paraId="1E2204C5" w14:textId="77777777" w:rsidR="00DC224A" w:rsidRDefault="00DC224A" w:rsidP="00DC224A">
      <w:pPr>
        <w:keepNext/>
        <w:ind w:left="567" w:hanging="567"/>
        <w:outlineLvl w:val="0"/>
        <w:rPr>
          <w:b/>
          <w:bCs/>
          <w:lang w:val="es-ES_tradnl"/>
        </w:rPr>
      </w:pPr>
    </w:p>
    <w:p w14:paraId="1A1DB091" w14:textId="77777777" w:rsidR="00DC224A" w:rsidRDefault="00DC224A" w:rsidP="00DC224A">
      <w:pPr>
        <w:rPr>
          <w:lang w:val="es-ES"/>
        </w:rPr>
      </w:pPr>
      <w:r>
        <w:rPr>
          <w:lang w:val="es-ES_tradnl"/>
        </w:rPr>
        <w:t xml:space="preserve">Solución de 0,9 ml en una </w:t>
      </w:r>
      <w:r w:rsidRPr="00286CDE">
        <w:rPr>
          <w:lang w:val="es-ES_tradnl"/>
        </w:rPr>
        <w:t>jering</w:t>
      </w:r>
      <w:r>
        <w:rPr>
          <w:lang w:val="es-ES_tradnl"/>
        </w:rPr>
        <w:t xml:space="preserve">a precargada </w:t>
      </w:r>
      <w:r w:rsidRPr="008A106B">
        <w:rPr>
          <w:lang w:val="es-ES_tradnl"/>
        </w:rPr>
        <w:t>(vidrio tipo I)</w:t>
      </w:r>
      <w:r>
        <w:rPr>
          <w:lang w:val="es-ES_tradnl"/>
        </w:rPr>
        <w:t xml:space="preserve"> con </w:t>
      </w:r>
      <w:r w:rsidRPr="00E94D20">
        <w:rPr>
          <w:lang w:val="es-ES_tradnl"/>
        </w:rPr>
        <w:t>una aguja fija</w:t>
      </w:r>
      <w:r>
        <w:rPr>
          <w:lang w:val="es-ES_tradnl"/>
        </w:rPr>
        <w:t xml:space="preserve"> que contiene 162 mg de </w:t>
      </w:r>
      <w:r w:rsidRPr="00C555F2">
        <w:rPr>
          <w:szCs w:val="22"/>
          <w:lang w:val="es-ES"/>
        </w:rPr>
        <w:t>RoActemra en una pluma precargada</w:t>
      </w:r>
      <w:r w:rsidRPr="00E94D20">
        <w:rPr>
          <w:lang w:val="es-ES_tradnl"/>
        </w:rPr>
        <w:t xml:space="preserve">. </w:t>
      </w:r>
      <w:r w:rsidRPr="00E94D20">
        <w:rPr>
          <w:lang w:val="es-ES"/>
        </w:rPr>
        <w:t>La</w:t>
      </w:r>
      <w:r w:rsidRPr="004F599D">
        <w:rPr>
          <w:lang w:val="es-ES"/>
        </w:rPr>
        <w:t xml:space="preserve"> </w:t>
      </w:r>
      <w:r w:rsidRPr="00286CDE">
        <w:rPr>
          <w:lang w:val="es-ES"/>
        </w:rPr>
        <w:t>jeringa</w:t>
      </w:r>
      <w:r w:rsidRPr="004F599D">
        <w:rPr>
          <w:lang w:val="es-ES"/>
        </w:rPr>
        <w:t xml:space="preserve"> está cerrada por un</w:t>
      </w:r>
      <w:r>
        <w:rPr>
          <w:lang w:val="es-ES"/>
        </w:rPr>
        <w:t xml:space="preserve"> protector de aguja </w:t>
      </w:r>
      <w:r w:rsidRPr="004F599D">
        <w:rPr>
          <w:lang w:val="es-ES"/>
        </w:rPr>
        <w:t>rígid</w:t>
      </w:r>
      <w:r>
        <w:rPr>
          <w:lang w:val="es-ES"/>
        </w:rPr>
        <w:t xml:space="preserve">o </w:t>
      </w:r>
      <w:r w:rsidRPr="004F599D">
        <w:rPr>
          <w:lang w:val="es-ES"/>
        </w:rPr>
        <w:t>(junta de elastómero con una carcasa de polipropileno)</w:t>
      </w:r>
      <w:r>
        <w:rPr>
          <w:lang w:val="es-ES"/>
        </w:rPr>
        <w:t xml:space="preserve"> </w:t>
      </w:r>
      <w:r w:rsidRPr="004F599D">
        <w:rPr>
          <w:lang w:val="es-ES"/>
        </w:rPr>
        <w:t xml:space="preserve">y un </w:t>
      </w:r>
      <w:r>
        <w:rPr>
          <w:lang w:val="es-ES"/>
        </w:rPr>
        <w:t xml:space="preserve">émbolo </w:t>
      </w:r>
      <w:r w:rsidRPr="004F599D">
        <w:rPr>
          <w:lang w:val="es-ES"/>
        </w:rPr>
        <w:t>(goma de butilo con un revestimiento de fluororesina).</w:t>
      </w:r>
    </w:p>
    <w:p w14:paraId="000B6A98" w14:textId="77777777" w:rsidR="00DC224A" w:rsidRPr="008A106B" w:rsidRDefault="00DC224A" w:rsidP="00DC224A">
      <w:pPr>
        <w:rPr>
          <w:lang w:val="es-ES"/>
        </w:rPr>
      </w:pPr>
    </w:p>
    <w:p w14:paraId="5104FA5F" w14:textId="77777777" w:rsidR="00DC224A" w:rsidRDefault="00DC224A" w:rsidP="00DC224A">
      <w:pPr>
        <w:rPr>
          <w:szCs w:val="24"/>
          <w:lang w:val="es-ES_tradnl"/>
        </w:rPr>
      </w:pPr>
      <w:r>
        <w:rPr>
          <w:lang w:val="es-ES_tradnl"/>
        </w:rPr>
        <w:t xml:space="preserve">Envases de 4 plumas precargadas y </w:t>
      </w:r>
      <w:r w:rsidR="002F0687">
        <w:rPr>
          <w:lang w:val="es-ES_tradnl"/>
        </w:rPr>
        <w:t>envases múltiples</w:t>
      </w:r>
      <w:r>
        <w:rPr>
          <w:lang w:val="es-ES_tradnl"/>
        </w:rPr>
        <w:t xml:space="preserve"> de 12 (3 envases de 4) plumas precargadas. </w:t>
      </w:r>
      <w:r>
        <w:rPr>
          <w:szCs w:val="24"/>
          <w:lang w:val="es-ES_tradnl"/>
        </w:rPr>
        <w:t>Puede que solamente</w:t>
      </w:r>
      <w:r w:rsidRPr="005602D3">
        <w:rPr>
          <w:szCs w:val="24"/>
          <w:lang w:val="es-ES_tradnl"/>
        </w:rPr>
        <w:t xml:space="preserve"> estén comercializados algunos tamaños de envases</w:t>
      </w:r>
      <w:r>
        <w:rPr>
          <w:szCs w:val="24"/>
          <w:lang w:val="es-ES_tradnl"/>
        </w:rPr>
        <w:t>.</w:t>
      </w:r>
    </w:p>
    <w:p w14:paraId="4705EE59" w14:textId="77777777" w:rsidR="008C4526" w:rsidRDefault="008C4526" w:rsidP="00DC224A">
      <w:pPr>
        <w:rPr>
          <w:szCs w:val="24"/>
          <w:lang w:val="es-ES_tradnl"/>
        </w:rPr>
      </w:pPr>
    </w:p>
    <w:p w14:paraId="499599A8" w14:textId="77777777" w:rsidR="00DC224A" w:rsidRDefault="00DC224A">
      <w:pPr>
        <w:keepNext/>
        <w:keepLines/>
        <w:ind w:left="567" w:hanging="567"/>
        <w:outlineLvl w:val="0"/>
        <w:rPr>
          <w:b/>
          <w:bCs/>
          <w:lang w:val="es-ES_tradnl"/>
        </w:rPr>
        <w:pPrChange w:id="2154" w:author="AUTHOR">
          <w:pPr>
            <w:ind w:left="567" w:hanging="567"/>
            <w:outlineLvl w:val="0"/>
          </w:pPr>
        </w:pPrChange>
      </w:pPr>
      <w:r w:rsidRPr="008A106B">
        <w:rPr>
          <w:b/>
          <w:bCs/>
          <w:lang w:val="es-ES"/>
        </w:rPr>
        <w:t>6.6</w:t>
      </w:r>
      <w:r w:rsidRPr="008A106B">
        <w:rPr>
          <w:b/>
          <w:bCs/>
          <w:lang w:val="es-ES"/>
        </w:rPr>
        <w:tab/>
      </w:r>
      <w:r w:rsidRPr="008A106B">
        <w:rPr>
          <w:b/>
          <w:bCs/>
          <w:lang w:val="es-ES_tradnl"/>
        </w:rPr>
        <w:t>Precauciones especiales de eliminación y otras manipulaciones</w:t>
      </w:r>
    </w:p>
    <w:p w14:paraId="0B34AD42" w14:textId="77777777" w:rsidR="00DC224A" w:rsidRDefault="00DC224A">
      <w:pPr>
        <w:keepNext/>
        <w:keepLines/>
        <w:ind w:left="567" w:hanging="567"/>
        <w:outlineLvl w:val="0"/>
        <w:rPr>
          <w:b/>
          <w:bCs/>
          <w:lang w:val="es-ES_tradnl"/>
        </w:rPr>
        <w:pPrChange w:id="2155" w:author="AUTHOR">
          <w:pPr>
            <w:ind w:left="567" w:hanging="567"/>
            <w:outlineLvl w:val="0"/>
          </w:pPr>
        </w:pPrChange>
      </w:pPr>
    </w:p>
    <w:p w14:paraId="7EE76DAD" w14:textId="7B6DE7BB" w:rsidR="00DC224A" w:rsidRPr="00153D56" w:rsidRDefault="00DC224A" w:rsidP="00DC224A">
      <w:pPr>
        <w:rPr>
          <w:lang w:val="es-ES"/>
        </w:rPr>
      </w:pPr>
      <w:r>
        <w:rPr>
          <w:lang w:val="es-ES"/>
        </w:rPr>
        <w:t xml:space="preserve">RoActemra se suministra en plumas precargadas de un solo uso. Una vez fuera de la nevera, la pluma precargada debe alcanzar la temperatura ambiente (de 18ºC a 28ºC) esperando 45 minutos, antes de la inyección. La pluma precargada no debe agitarse. Después de retirar el tapón, la inyección se debe utilizar dentro de los 3 minutos siguientes, </w:t>
      </w:r>
      <w:r w:rsidRPr="00097C58">
        <w:rPr>
          <w:lang w:val="es-ES"/>
        </w:rPr>
        <w:t xml:space="preserve">para evitar que el medicamento se seque </w:t>
      </w:r>
      <w:r>
        <w:rPr>
          <w:lang w:val="es-ES"/>
        </w:rPr>
        <w:t>y bloquee la aguja. Si la plum</w:t>
      </w:r>
      <w:r w:rsidRPr="00097C58">
        <w:rPr>
          <w:lang w:val="es-ES"/>
        </w:rPr>
        <w:t xml:space="preserve">a precargada no se utiliza dentro de </w:t>
      </w:r>
      <w:r>
        <w:rPr>
          <w:lang w:val="es-ES"/>
        </w:rPr>
        <w:t>los</w:t>
      </w:r>
      <w:r w:rsidRPr="00097C58">
        <w:rPr>
          <w:lang w:val="es-ES"/>
        </w:rPr>
        <w:t xml:space="preserve"> </w:t>
      </w:r>
      <w:r>
        <w:rPr>
          <w:lang w:val="es-ES"/>
        </w:rPr>
        <w:t>3</w:t>
      </w:r>
      <w:r w:rsidRPr="00097C58">
        <w:rPr>
          <w:lang w:val="es-ES"/>
        </w:rPr>
        <w:t xml:space="preserve"> minutos </w:t>
      </w:r>
      <w:r>
        <w:rPr>
          <w:lang w:val="es-ES"/>
        </w:rPr>
        <w:t>siguientes a</w:t>
      </w:r>
      <w:r w:rsidRPr="00097C58">
        <w:rPr>
          <w:lang w:val="es-ES"/>
        </w:rPr>
        <w:t xml:space="preserve"> retira</w:t>
      </w:r>
      <w:r>
        <w:rPr>
          <w:lang w:val="es-ES"/>
        </w:rPr>
        <w:t>r</w:t>
      </w:r>
      <w:r w:rsidRPr="00097C58">
        <w:rPr>
          <w:lang w:val="es-ES"/>
        </w:rPr>
        <w:t xml:space="preserve"> </w:t>
      </w:r>
      <w:r>
        <w:rPr>
          <w:lang w:val="es-ES"/>
        </w:rPr>
        <w:t>el tapón</w:t>
      </w:r>
      <w:r w:rsidRPr="00097C58">
        <w:rPr>
          <w:lang w:val="es-ES"/>
        </w:rPr>
        <w:t xml:space="preserve">, </w:t>
      </w:r>
      <w:r>
        <w:rPr>
          <w:lang w:val="es-ES"/>
        </w:rPr>
        <w:t xml:space="preserve">se </w:t>
      </w:r>
      <w:r w:rsidRPr="00097C58">
        <w:rPr>
          <w:lang w:val="es-ES"/>
        </w:rPr>
        <w:t>debe</w:t>
      </w:r>
      <w:r>
        <w:rPr>
          <w:lang w:val="es-ES"/>
        </w:rPr>
        <w:t xml:space="preserve"> </w:t>
      </w:r>
      <w:r w:rsidRPr="00097C58">
        <w:rPr>
          <w:lang w:val="es-ES"/>
        </w:rPr>
        <w:t>eliminar en un contenedor para objetos punzantes y</w:t>
      </w:r>
      <w:r w:rsidRPr="00E76D3C">
        <w:rPr>
          <w:lang w:val="es-ES"/>
        </w:rPr>
        <w:t xml:space="preserve"> </w:t>
      </w:r>
      <w:r w:rsidRPr="00F749F8">
        <w:rPr>
          <w:lang w:val="es-ES"/>
        </w:rPr>
        <w:t xml:space="preserve">utilizar una nueva </w:t>
      </w:r>
      <w:r>
        <w:rPr>
          <w:lang w:val="es-ES"/>
        </w:rPr>
        <w:t>plum</w:t>
      </w:r>
      <w:r w:rsidRPr="00F749F8">
        <w:rPr>
          <w:lang w:val="es-ES"/>
        </w:rPr>
        <w:t>a precargada</w:t>
      </w:r>
      <w:r w:rsidRPr="00097C58">
        <w:rPr>
          <w:lang w:val="es-ES"/>
        </w:rPr>
        <w:t>.</w:t>
      </w:r>
    </w:p>
    <w:p w14:paraId="0F67889A" w14:textId="77777777" w:rsidR="00DC224A" w:rsidRPr="00097C58" w:rsidRDefault="00DC224A" w:rsidP="00DC224A">
      <w:pPr>
        <w:rPr>
          <w:lang w:val="es-ES"/>
        </w:rPr>
      </w:pPr>
    </w:p>
    <w:p w14:paraId="11F02E13" w14:textId="77777777" w:rsidR="00DC224A" w:rsidRDefault="00DC224A" w:rsidP="00DC224A">
      <w:pPr>
        <w:rPr>
          <w:lang w:val="es-ES"/>
        </w:rPr>
      </w:pPr>
      <w:r w:rsidRPr="006214A7">
        <w:rPr>
          <w:lang w:val="es-ES"/>
        </w:rPr>
        <w:t>Si tras</w:t>
      </w:r>
      <w:r w:rsidRPr="00C555F2">
        <w:rPr>
          <w:lang w:val="es-ES"/>
        </w:rPr>
        <w:t xml:space="preserve"> presionar el botón para activación de la dosis</w:t>
      </w:r>
      <w:r w:rsidRPr="006214A7">
        <w:rPr>
          <w:lang w:val="es-ES"/>
        </w:rPr>
        <w:t xml:space="preserve"> el</w:t>
      </w:r>
      <w:r>
        <w:rPr>
          <w:lang w:val="es-ES"/>
        </w:rPr>
        <w:t xml:space="preserve"> indicador morado no se mueve, se </w:t>
      </w:r>
      <w:r w:rsidRPr="00097C58">
        <w:rPr>
          <w:lang w:val="es-ES"/>
        </w:rPr>
        <w:t xml:space="preserve">debe eliminar la </w:t>
      </w:r>
      <w:r>
        <w:rPr>
          <w:lang w:val="es-ES"/>
        </w:rPr>
        <w:t>plum</w:t>
      </w:r>
      <w:r w:rsidRPr="00097C58">
        <w:rPr>
          <w:lang w:val="es-ES"/>
        </w:rPr>
        <w:t>a precargada en un contenedor para objeto</w:t>
      </w:r>
      <w:r>
        <w:rPr>
          <w:lang w:val="es-ES"/>
        </w:rPr>
        <w:t xml:space="preserve">s punzantes. </w:t>
      </w:r>
      <w:r w:rsidRPr="00F30AB8">
        <w:rPr>
          <w:b/>
          <w:bCs/>
          <w:lang w:val="es-ES"/>
        </w:rPr>
        <w:t>No</w:t>
      </w:r>
      <w:r>
        <w:rPr>
          <w:lang w:val="es-ES"/>
        </w:rPr>
        <w:t xml:space="preserve"> intente reutilizar la pluma precargada. No repita la inyección con otra pluma precargada. </w:t>
      </w:r>
      <w:r w:rsidRPr="00C555F2">
        <w:rPr>
          <w:lang w:val="es-ES"/>
        </w:rPr>
        <w:t>Si tiene a</w:t>
      </w:r>
      <w:r w:rsidRPr="00FB4C07">
        <w:rPr>
          <w:lang w:val="es-ES"/>
        </w:rPr>
        <w:t>lguna pregunta o algún problema</w:t>
      </w:r>
      <w:r w:rsidRPr="00C555F2">
        <w:rPr>
          <w:lang w:val="es-ES"/>
        </w:rPr>
        <w:t>, consulte con su profesional sanitario</w:t>
      </w:r>
      <w:r>
        <w:rPr>
          <w:lang w:val="es-ES"/>
        </w:rPr>
        <w:t>.</w:t>
      </w:r>
    </w:p>
    <w:p w14:paraId="4624563C" w14:textId="77777777" w:rsidR="00DC224A" w:rsidRDefault="00DC224A" w:rsidP="00DC224A">
      <w:pPr>
        <w:rPr>
          <w:lang w:val="es-ES"/>
        </w:rPr>
      </w:pPr>
    </w:p>
    <w:p w14:paraId="7B0D12A3" w14:textId="77777777" w:rsidR="00DC224A" w:rsidRDefault="00DC224A" w:rsidP="00DC224A">
      <w:pPr>
        <w:rPr>
          <w:lang w:val="es-ES"/>
        </w:rPr>
      </w:pPr>
      <w:r>
        <w:rPr>
          <w:lang w:val="es-ES"/>
        </w:rPr>
        <w:t>No lo utilice si el medicamento esta turbio o contiene partículas, es de algún color además de incoloro a ligeramente amarillento, o alguna parte de la pluma precargada aparece dañada.</w:t>
      </w:r>
    </w:p>
    <w:p w14:paraId="3F90E50F" w14:textId="77777777" w:rsidR="00DC224A" w:rsidRDefault="00DC224A" w:rsidP="00DC224A">
      <w:pPr>
        <w:rPr>
          <w:lang w:val="es-ES"/>
        </w:rPr>
      </w:pPr>
    </w:p>
    <w:p w14:paraId="34B05561" w14:textId="77777777" w:rsidR="00DC224A" w:rsidRDefault="00DC224A" w:rsidP="00DC224A">
      <w:pPr>
        <w:rPr>
          <w:lang w:val="es-ES"/>
        </w:rPr>
      </w:pPr>
      <w:r>
        <w:rPr>
          <w:lang w:val="es-ES"/>
        </w:rPr>
        <w:t>En el prospecto se incluyen</w:t>
      </w:r>
      <w:r w:rsidRPr="00286CDE">
        <w:rPr>
          <w:lang w:val="es-ES"/>
        </w:rPr>
        <w:t xml:space="preserve"> instr</w:t>
      </w:r>
      <w:r>
        <w:rPr>
          <w:lang w:val="es-ES"/>
        </w:rPr>
        <w:t>ucciones detalladas para la administración de RoActemra en pluma precargada.</w:t>
      </w:r>
    </w:p>
    <w:p w14:paraId="6BC83769" w14:textId="77777777" w:rsidR="00DC224A" w:rsidRPr="008A106B" w:rsidRDefault="00DC224A" w:rsidP="00DC224A">
      <w:pPr>
        <w:rPr>
          <w:lang w:val="es-ES_tradnl"/>
        </w:rPr>
      </w:pPr>
    </w:p>
    <w:p w14:paraId="7B02BACA" w14:textId="77777777" w:rsidR="00DC224A" w:rsidRPr="008A106B" w:rsidRDefault="00DC224A" w:rsidP="00DC224A">
      <w:pPr>
        <w:rPr>
          <w:lang w:val="es-ES"/>
        </w:rPr>
      </w:pPr>
      <w:r w:rsidRPr="00076A3E">
        <w:rPr>
          <w:lang w:val="es-ES"/>
        </w:rPr>
        <w:t>La eliminación del medicamento no utilizado y de todos los materiales que hayan estado en contacto con él se realizará de acuerdo con la normativa local</w:t>
      </w:r>
      <w:r>
        <w:rPr>
          <w:lang w:val="es-ES_tradnl"/>
        </w:rPr>
        <w:t>.</w:t>
      </w:r>
    </w:p>
    <w:p w14:paraId="32C4DD22" w14:textId="77777777" w:rsidR="00DC224A" w:rsidRDefault="00DC224A" w:rsidP="00DC224A">
      <w:pPr>
        <w:ind w:left="567" w:hanging="567"/>
        <w:outlineLvl w:val="0"/>
        <w:rPr>
          <w:lang w:val="es-ES"/>
        </w:rPr>
      </w:pPr>
    </w:p>
    <w:p w14:paraId="45641DAB" w14:textId="77777777" w:rsidR="00DC224A" w:rsidRPr="008A106B" w:rsidRDefault="00DC224A" w:rsidP="00DC224A">
      <w:pPr>
        <w:ind w:left="567" w:hanging="567"/>
        <w:outlineLvl w:val="0"/>
        <w:rPr>
          <w:lang w:val="es-ES"/>
        </w:rPr>
      </w:pPr>
    </w:p>
    <w:p w14:paraId="2CD30B6E" w14:textId="77777777" w:rsidR="00DC224A" w:rsidRDefault="00DC224A" w:rsidP="00DC224A">
      <w:pPr>
        <w:keepNext/>
        <w:ind w:left="562" w:hanging="562"/>
        <w:rPr>
          <w:b/>
          <w:bCs/>
          <w:lang w:val="es-ES_tradnl"/>
        </w:rPr>
      </w:pPr>
      <w:r w:rsidRPr="008A106B">
        <w:rPr>
          <w:b/>
          <w:bCs/>
          <w:lang w:val="es-ES"/>
        </w:rPr>
        <w:lastRenderedPageBreak/>
        <w:t>7.</w:t>
      </w:r>
      <w:r w:rsidRPr="008A106B">
        <w:rPr>
          <w:b/>
          <w:bCs/>
          <w:lang w:val="es-ES"/>
        </w:rPr>
        <w:tab/>
      </w:r>
      <w:r w:rsidRPr="008A106B">
        <w:rPr>
          <w:b/>
          <w:bCs/>
          <w:lang w:val="es-ES_tradnl"/>
        </w:rPr>
        <w:t>TITULAR DE LA AUTORIZACIÓN DE COMERCIALIZACIÓN</w:t>
      </w:r>
    </w:p>
    <w:p w14:paraId="376A3A6D" w14:textId="77777777" w:rsidR="00DC224A" w:rsidRDefault="00DC224A" w:rsidP="00DC224A">
      <w:pPr>
        <w:keepNext/>
        <w:ind w:left="562" w:hanging="562"/>
        <w:rPr>
          <w:b/>
          <w:bCs/>
          <w:lang w:val="es-ES_tradnl"/>
        </w:rPr>
      </w:pPr>
    </w:p>
    <w:p w14:paraId="01503BAC" w14:textId="77777777" w:rsidR="00293699" w:rsidRPr="00EF2448" w:rsidRDefault="00293699" w:rsidP="00293699">
      <w:pPr>
        <w:keepNext/>
        <w:rPr>
          <w:lang w:val="de-DE"/>
        </w:rPr>
      </w:pPr>
      <w:r w:rsidRPr="00EF2448">
        <w:rPr>
          <w:lang w:val="de-DE"/>
        </w:rPr>
        <w:t xml:space="preserve">Roche Registration GmbH </w:t>
      </w:r>
    </w:p>
    <w:p w14:paraId="7E0DE150" w14:textId="77777777" w:rsidR="00293699" w:rsidRPr="00EF2448" w:rsidRDefault="00293699" w:rsidP="00293699">
      <w:pPr>
        <w:keepNext/>
        <w:rPr>
          <w:lang w:val="de-DE"/>
        </w:rPr>
      </w:pPr>
      <w:r w:rsidRPr="00EF2448">
        <w:rPr>
          <w:lang w:val="de-DE"/>
        </w:rPr>
        <w:t>Emil-Barell-Strasse 1</w:t>
      </w:r>
    </w:p>
    <w:p w14:paraId="7589C43A" w14:textId="77777777" w:rsidR="00293699" w:rsidRPr="00F30AB8" w:rsidRDefault="00293699" w:rsidP="00293699">
      <w:pPr>
        <w:keepNext/>
        <w:rPr>
          <w:lang w:val="pt-PT"/>
        </w:rPr>
      </w:pPr>
      <w:r w:rsidRPr="00F30AB8">
        <w:rPr>
          <w:lang w:val="pt-PT"/>
        </w:rPr>
        <w:t>79639 Grenzach-Wyhlen</w:t>
      </w:r>
    </w:p>
    <w:p w14:paraId="4139EEB7" w14:textId="77777777" w:rsidR="00DC224A" w:rsidRDefault="00293699" w:rsidP="00DC224A">
      <w:pPr>
        <w:keepNext/>
        <w:ind w:left="562" w:hanging="562"/>
        <w:rPr>
          <w:lang w:val="es-ES"/>
        </w:rPr>
      </w:pPr>
      <w:r w:rsidRPr="006616E4">
        <w:rPr>
          <w:lang w:val="es-ES"/>
        </w:rPr>
        <w:t>Alemania</w:t>
      </w:r>
    </w:p>
    <w:p w14:paraId="6687AFE1" w14:textId="77777777" w:rsidR="00DC224A" w:rsidRDefault="00DC224A" w:rsidP="00DC224A">
      <w:pPr>
        <w:keepNext/>
        <w:ind w:left="562" w:hanging="562"/>
        <w:rPr>
          <w:lang w:val="es-ES"/>
        </w:rPr>
      </w:pPr>
    </w:p>
    <w:p w14:paraId="7E733CED" w14:textId="77777777" w:rsidR="00387A47" w:rsidRPr="008A106B" w:rsidRDefault="00387A47" w:rsidP="00DC224A">
      <w:pPr>
        <w:keepNext/>
        <w:ind w:left="562" w:hanging="562"/>
        <w:rPr>
          <w:lang w:val="es-ES"/>
        </w:rPr>
      </w:pPr>
    </w:p>
    <w:p w14:paraId="25F54969" w14:textId="77777777" w:rsidR="00DC224A" w:rsidRDefault="00DC224A" w:rsidP="00E576A0">
      <w:pPr>
        <w:keepNext/>
        <w:keepLines/>
        <w:ind w:left="562" w:hanging="562"/>
        <w:rPr>
          <w:b/>
          <w:bCs/>
          <w:lang w:val="es-ES_tradnl"/>
        </w:rPr>
      </w:pPr>
      <w:r w:rsidRPr="008A106B">
        <w:rPr>
          <w:b/>
          <w:bCs/>
          <w:lang w:val="es-ES"/>
        </w:rPr>
        <w:t>8.</w:t>
      </w:r>
      <w:r w:rsidRPr="008A106B">
        <w:rPr>
          <w:b/>
          <w:bCs/>
          <w:lang w:val="es-ES"/>
        </w:rPr>
        <w:tab/>
      </w:r>
      <w:r w:rsidRPr="008A106B">
        <w:rPr>
          <w:b/>
          <w:bCs/>
          <w:lang w:val="es-ES_tradnl"/>
        </w:rPr>
        <w:t>NÚMEROS DE AUTORIZACIÓN DE COMERCIALIZACIÓN</w:t>
      </w:r>
    </w:p>
    <w:p w14:paraId="4E0DF79E" w14:textId="77777777" w:rsidR="00DC224A" w:rsidRDefault="00DC224A" w:rsidP="00E576A0">
      <w:pPr>
        <w:keepNext/>
        <w:keepLines/>
        <w:ind w:left="562" w:hanging="562"/>
        <w:rPr>
          <w:b/>
          <w:bCs/>
          <w:lang w:val="es-ES_tradnl"/>
        </w:rPr>
      </w:pPr>
    </w:p>
    <w:p w14:paraId="08E14444" w14:textId="77777777" w:rsidR="00DC224A" w:rsidRPr="00C555F2" w:rsidRDefault="00DC224A" w:rsidP="00DC224A">
      <w:pPr>
        <w:rPr>
          <w:szCs w:val="22"/>
          <w:lang w:val="es-ES"/>
        </w:rPr>
      </w:pPr>
      <w:r w:rsidRPr="00C555F2">
        <w:rPr>
          <w:szCs w:val="22"/>
          <w:lang w:val="es-ES"/>
        </w:rPr>
        <w:t>EU/1/08/492/009</w:t>
      </w:r>
    </w:p>
    <w:p w14:paraId="45048C57" w14:textId="77777777" w:rsidR="00DC224A" w:rsidRPr="00C555F2" w:rsidRDefault="00DC224A" w:rsidP="00DC224A">
      <w:pPr>
        <w:rPr>
          <w:szCs w:val="22"/>
          <w:lang w:val="es-ES"/>
        </w:rPr>
      </w:pPr>
      <w:r w:rsidRPr="00C555F2">
        <w:rPr>
          <w:szCs w:val="22"/>
          <w:lang w:val="es-ES"/>
        </w:rPr>
        <w:t>EU/1/08/492/010</w:t>
      </w:r>
    </w:p>
    <w:p w14:paraId="5A88C2D1" w14:textId="77777777" w:rsidR="00DC224A" w:rsidRDefault="00DC224A" w:rsidP="00DC224A">
      <w:pPr>
        <w:ind w:left="567" w:hanging="567"/>
        <w:rPr>
          <w:b/>
          <w:bCs/>
          <w:lang w:val="es-ES"/>
        </w:rPr>
      </w:pPr>
    </w:p>
    <w:p w14:paraId="4BA6A444" w14:textId="77777777" w:rsidR="00DC224A" w:rsidRPr="008A106B" w:rsidRDefault="00DC224A" w:rsidP="00DC224A">
      <w:pPr>
        <w:ind w:left="567" w:hanging="567"/>
        <w:rPr>
          <w:b/>
          <w:bCs/>
          <w:lang w:val="es-ES"/>
        </w:rPr>
      </w:pPr>
    </w:p>
    <w:p w14:paraId="52F8A476" w14:textId="77777777" w:rsidR="00DC224A" w:rsidRDefault="00DC224A" w:rsidP="00DC224A">
      <w:pPr>
        <w:keepNext/>
        <w:keepLines/>
        <w:ind w:left="567" w:hanging="567"/>
        <w:rPr>
          <w:b/>
          <w:bCs/>
          <w:lang w:val="es-ES_tradnl"/>
        </w:rPr>
      </w:pPr>
      <w:r w:rsidRPr="008A106B">
        <w:rPr>
          <w:b/>
          <w:bCs/>
          <w:lang w:val="es-ES"/>
        </w:rPr>
        <w:t>9.</w:t>
      </w:r>
      <w:r w:rsidRPr="008A106B">
        <w:rPr>
          <w:b/>
          <w:bCs/>
          <w:lang w:val="es-ES"/>
        </w:rPr>
        <w:tab/>
      </w:r>
      <w:r w:rsidRPr="008A106B">
        <w:rPr>
          <w:b/>
          <w:bCs/>
          <w:lang w:val="es-ES_tradnl"/>
        </w:rPr>
        <w:t>FECHA DE LA PRIMERA AUTORIZACIÓN/RENOVACIÓN DE LA AUTORIZACIÓN</w:t>
      </w:r>
    </w:p>
    <w:p w14:paraId="27CA21F4" w14:textId="77777777" w:rsidR="00DC224A" w:rsidRDefault="00DC224A" w:rsidP="00DC224A">
      <w:pPr>
        <w:keepNext/>
        <w:keepLines/>
        <w:ind w:left="567" w:hanging="567"/>
        <w:rPr>
          <w:b/>
          <w:bCs/>
          <w:lang w:val="es-ES_tradnl"/>
        </w:rPr>
      </w:pPr>
    </w:p>
    <w:p w14:paraId="10855460" w14:textId="77777777" w:rsidR="00B42695" w:rsidRPr="00EF2448" w:rsidRDefault="00B42695" w:rsidP="00B42695">
      <w:pPr>
        <w:shd w:val="clear" w:color="auto" w:fill="FFFFFF"/>
        <w:rPr>
          <w:color w:val="222222"/>
          <w:szCs w:val="22"/>
          <w:lang w:val="es-ES" w:eastAsia="en-US"/>
        </w:rPr>
      </w:pPr>
      <w:r w:rsidRPr="00B42695">
        <w:rPr>
          <w:color w:val="222222"/>
          <w:szCs w:val="22"/>
          <w:lang w:val="es-ES" w:eastAsia="en-US"/>
        </w:rPr>
        <w:t>Fecha de la primera autorización: 16/enero/2009</w:t>
      </w:r>
    </w:p>
    <w:p w14:paraId="6602AC55" w14:textId="77777777" w:rsidR="00B42695" w:rsidRPr="00EF2448" w:rsidRDefault="00B42695" w:rsidP="00B42695">
      <w:pPr>
        <w:shd w:val="clear" w:color="auto" w:fill="FFFFFF"/>
        <w:rPr>
          <w:color w:val="222222"/>
          <w:szCs w:val="22"/>
          <w:lang w:val="es-ES" w:eastAsia="en-US"/>
        </w:rPr>
      </w:pPr>
      <w:r w:rsidRPr="00B42695">
        <w:rPr>
          <w:color w:val="222222"/>
          <w:szCs w:val="22"/>
          <w:lang w:val="es-ES" w:eastAsia="en-US"/>
        </w:rPr>
        <w:t>Fecha de la última renovación: 25/septiembre/2013</w:t>
      </w:r>
    </w:p>
    <w:p w14:paraId="0F9A2155" w14:textId="77777777" w:rsidR="00DC224A" w:rsidRPr="00EF2448" w:rsidRDefault="00DC224A" w:rsidP="00DC224A">
      <w:pPr>
        <w:keepNext/>
        <w:keepLines/>
        <w:ind w:left="567" w:hanging="567"/>
        <w:rPr>
          <w:lang w:val="es-ES"/>
        </w:rPr>
      </w:pPr>
    </w:p>
    <w:p w14:paraId="26FD754D" w14:textId="77777777" w:rsidR="00DC224A" w:rsidRPr="008A106B" w:rsidRDefault="00DC224A" w:rsidP="00DC224A">
      <w:pPr>
        <w:keepNext/>
        <w:keepLines/>
        <w:ind w:left="567" w:hanging="567"/>
        <w:rPr>
          <w:lang w:val="es-ES"/>
        </w:rPr>
      </w:pPr>
    </w:p>
    <w:p w14:paraId="6489C005" w14:textId="77777777" w:rsidR="00DC224A" w:rsidRDefault="00DC224A" w:rsidP="00DC224A">
      <w:pPr>
        <w:keepNext/>
        <w:ind w:left="567" w:hanging="567"/>
        <w:rPr>
          <w:b/>
          <w:bCs/>
          <w:lang w:val="es-ES_tradnl"/>
        </w:rPr>
      </w:pPr>
      <w:r w:rsidRPr="008A106B">
        <w:rPr>
          <w:b/>
          <w:bCs/>
          <w:lang w:val="es-ES"/>
        </w:rPr>
        <w:t>10.</w:t>
      </w:r>
      <w:r w:rsidRPr="008A106B">
        <w:rPr>
          <w:b/>
          <w:bCs/>
          <w:lang w:val="es-ES"/>
        </w:rPr>
        <w:tab/>
      </w:r>
      <w:r w:rsidRPr="008A106B">
        <w:rPr>
          <w:b/>
          <w:bCs/>
          <w:lang w:val="es-ES_tradnl"/>
        </w:rPr>
        <w:t>FECHA DE LA REVISIÓN DEL TEXTO</w:t>
      </w:r>
    </w:p>
    <w:p w14:paraId="139870BD" w14:textId="77777777" w:rsidR="00DC224A" w:rsidRPr="00C555F2" w:rsidRDefault="00DC224A" w:rsidP="00DC224A">
      <w:pPr>
        <w:ind w:left="567" w:hanging="567"/>
        <w:rPr>
          <w:noProof/>
          <w:lang w:val="es-ES_tradnl"/>
        </w:rPr>
      </w:pPr>
    </w:p>
    <w:p w14:paraId="5A29ABDF" w14:textId="465510FC" w:rsidR="00DC224A" w:rsidRDefault="00DC224A" w:rsidP="00DC224A">
      <w:pPr>
        <w:numPr>
          <w:ilvl w:val="12"/>
          <w:numId w:val="0"/>
        </w:numPr>
        <w:tabs>
          <w:tab w:val="left" w:pos="567"/>
        </w:tabs>
        <w:ind w:right="-2"/>
        <w:rPr>
          <w:lang w:val="es-ES_tradnl"/>
        </w:rPr>
      </w:pPr>
      <w:r>
        <w:rPr>
          <w:lang w:val="es-ES_tradnl"/>
        </w:rPr>
        <w:t xml:space="preserve">La </w:t>
      </w:r>
      <w:r w:rsidRPr="008A106B">
        <w:rPr>
          <w:lang w:val="es-ES_tradnl"/>
        </w:rPr>
        <w:t xml:space="preserve">información detallada de este medicamento </w:t>
      </w:r>
      <w:r>
        <w:rPr>
          <w:lang w:val="es-ES_tradnl"/>
        </w:rPr>
        <w:t xml:space="preserve">está disponible </w:t>
      </w:r>
      <w:r w:rsidRPr="008A106B">
        <w:rPr>
          <w:lang w:val="es-ES_tradnl"/>
        </w:rPr>
        <w:t xml:space="preserve">en </w:t>
      </w:r>
      <w:r>
        <w:rPr>
          <w:lang w:val="es-ES_tradnl"/>
        </w:rPr>
        <w:t xml:space="preserve">la página </w:t>
      </w:r>
      <w:r w:rsidRPr="008A106B">
        <w:rPr>
          <w:lang w:val="es-ES_tradnl"/>
        </w:rPr>
        <w:t>web de la Agencia Europea de Medicamentos</w:t>
      </w:r>
      <w:ins w:id="2156" w:author="AUTHOR">
        <w:r w:rsidR="002D4CC9">
          <w:rPr>
            <w:lang w:val="es-ES_tradnl"/>
          </w:rPr>
          <w:t xml:space="preserve"> </w:t>
        </w:r>
        <w:r w:rsidR="002D4CC9">
          <w:rPr>
            <w:szCs w:val="22"/>
            <w:lang w:val="es-ES"/>
          </w:rPr>
          <w:fldChar w:fldCharType="begin"/>
        </w:r>
        <w:r w:rsidR="002D4CC9">
          <w:rPr>
            <w:szCs w:val="22"/>
            <w:lang w:val="es-ES"/>
          </w:rPr>
          <w:instrText>HYPERLINK "</w:instrText>
        </w:r>
      </w:ins>
      <w:r w:rsidR="002D4CC9" w:rsidRPr="00467FFD">
        <w:rPr>
          <w:rPrChange w:id="2157" w:author="AUTHOR">
            <w:rPr>
              <w:rStyle w:val="Hyperlink"/>
              <w:szCs w:val="22"/>
              <w:lang w:val="es-ES"/>
            </w:rPr>
          </w:rPrChange>
        </w:rPr>
        <w:instrText>https://www.ema.europa.eu</w:instrText>
      </w:r>
      <w:ins w:id="2158" w:author="AUTHOR">
        <w:r w:rsidR="002D4CC9">
          <w:rPr>
            <w:szCs w:val="22"/>
            <w:lang w:val="es-ES"/>
          </w:rPr>
          <w:instrText>"</w:instrText>
        </w:r>
        <w:r w:rsidR="002D4CC9">
          <w:rPr>
            <w:szCs w:val="22"/>
            <w:lang w:val="es-ES"/>
          </w:rPr>
          <w:fldChar w:fldCharType="separate"/>
        </w:r>
      </w:ins>
      <w:r w:rsidR="002D4CC9" w:rsidRPr="002D4CC9">
        <w:rPr>
          <w:rStyle w:val="Hyperlink"/>
          <w:szCs w:val="22"/>
          <w:lang w:val="es-ES"/>
        </w:rPr>
        <w:t>https://www.ema.europa.eu</w:t>
      </w:r>
      <w:ins w:id="2159" w:author="AUTHOR">
        <w:r w:rsidR="002D4CC9">
          <w:rPr>
            <w:szCs w:val="22"/>
            <w:lang w:val="es-ES"/>
          </w:rPr>
          <w:fldChar w:fldCharType="end"/>
        </w:r>
      </w:ins>
      <w:r w:rsidRPr="008A106B">
        <w:rPr>
          <w:lang w:val="es-ES_tradnl"/>
        </w:rPr>
        <w:t>.</w:t>
      </w:r>
    </w:p>
    <w:p w14:paraId="0BB3601C" w14:textId="77777777" w:rsidR="00DC224A" w:rsidRPr="00C555F2" w:rsidRDefault="00DC224A" w:rsidP="00DC224A">
      <w:pPr>
        <w:ind w:left="567" w:hanging="567"/>
        <w:rPr>
          <w:noProof/>
          <w:lang w:val="es-ES_tradnl"/>
        </w:rPr>
      </w:pPr>
    </w:p>
    <w:p w14:paraId="7B7ABA55" w14:textId="77777777" w:rsidR="0000067C" w:rsidRPr="008A106B" w:rsidRDefault="00DC224A" w:rsidP="00DC224A">
      <w:pPr>
        <w:ind w:left="567" w:hanging="567"/>
        <w:rPr>
          <w:noProof/>
          <w:lang w:val="es-ES"/>
        </w:rPr>
      </w:pPr>
      <w:r>
        <w:rPr>
          <w:noProof/>
          <w:lang w:val="es-ES"/>
        </w:rPr>
        <w:br w:type="page"/>
      </w:r>
    </w:p>
    <w:p w14:paraId="2E4B3682" w14:textId="77777777" w:rsidR="00BF1E20" w:rsidRPr="008A106B" w:rsidRDefault="00BF1E20" w:rsidP="00BF1E20">
      <w:pPr>
        <w:rPr>
          <w:lang w:val="es-ES"/>
        </w:rPr>
      </w:pPr>
    </w:p>
    <w:p w14:paraId="1676D4CC" w14:textId="77777777" w:rsidR="00BF1E20" w:rsidRPr="008A106B" w:rsidRDefault="00BF1E20" w:rsidP="00BF1E20">
      <w:pPr>
        <w:rPr>
          <w:lang w:val="es-ES"/>
        </w:rPr>
      </w:pPr>
    </w:p>
    <w:p w14:paraId="67CE5918" w14:textId="77777777" w:rsidR="00BF1E20" w:rsidRPr="008A106B" w:rsidRDefault="00BF1E20" w:rsidP="00BF1E20">
      <w:pPr>
        <w:rPr>
          <w:lang w:val="es-ES"/>
        </w:rPr>
      </w:pPr>
    </w:p>
    <w:p w14:paraId="723CD664" w14:textId="77777777" w:rsidR="00BF1E20" w:rsidRPr="008A106B" w:rsidRDefault="00BF1E20" w:rsidP="00BF1E20">
      <w:pPr>
        <w:rPr>
          <w:lang w:val="es-ES"/>
        </w:rPr>
      </w:pPr>
    </w:p>
    <w:p w14:paraId="22F9B104" w14:textId="77777777" w:rsidR="00BF1E20" w:rsidRPr="008A106B" w:rsidRDefault="00BF1E20" w:rsidP="00BF1E20">
      <w:pPr>
        <w:rPr>
          <w:lang w:val="es-ES"/>
        </w:rPr>
      </w:pPr>
    </w:p>
    <w:p w14:paraId="6008B580" w14:textId="77777777" w:rsidR="00BF1E20" w:rsidRPr="008A106B" w:rsidRDefault="00BF1E20" w:rsidP="00BF1E20">
      <w:pPr>
        <w:rPr>
          <w:lang w:val="es-ES"/>
        </w:rPr>
      </w:pPr>
    </w:p>
    <w:p w14:paraId="4927E18A" w14:textId="77777777" w:rsidR="00BF1E20" w:rsidRPr="008A106B" w:rsidRDefault="00BF1E20" w:rsidP="00BF1E20">
      <w:pPr>
        <w:rPr>
          <w:lang w:val="es-ES"/>
        </w:rPr>
      </w:pPr>
    </w:p>
    <w:p w14:paraId="1A045682" w14:textId="77777777" w:rsidR="00BF1E20" w:rsidRPr="008A106B" w:rsidRDefault="00BF1E20" w:rsidP="00BF1E20">
      <w:pPr>
        <w:rPr>
          <w:lang w:val="es-ES"/>
        </w:rPr>
      </w:pPr>
    </w:p>
    <w:p w14:paraId="337777DE" w14:textId="77777777" w:rsidR="00BF1E20" w:rsidRPr="008A106B" w:rsidRDefault="00BF1E20" w:rsidP="00BF1E20">
      <w:pPr>
        <w:rPr>
          <w:lang w:val="es-ES"/>
        </w:rPr>
      </w:pPr>
    </w:p>
    <w:p w14:paraId="093E53CC" w14:textId="77777777" w:rsidR="00BF1E20" w:rsidRPr="008A106B" w:rsidRDefault="00BF1E20" w:rsidP="00BF1E20">
      <w:pPr>
        <w:rPr>
          <w:lang w:val="es-ES"/>
        </w:rPr>
      </w:pPr>
    </w:p>
    <w:p w14:paraId="37216BE9" w14:textId="77777777" w:rsidR="00BF1E20" w:rsidRPr="008A106B" w:rsidRDefault="00BF1E20" w:rsidP="00BF1E20">
      <w:pPr>
        <w:rPr>
          <w:lang w:val="es-ES"/>
        </w:rPr>
      </w:pPr>
    </w:p>
    <w:p w14:paraId="1835A955" w14:textId="77777777" w:rsidR="00BF1E20" w:rsidRPr="008A106B" w:rsidRDefault="00BF1E20" w:rsidP="00BF1E20">
      <w:pPr>
        <w:rPr>
          <w:lang w:val="es-ES"/>
        </w:rPr>
      </w:pPr>
    </w:p>
    <w:p w14:paraId="5DADD3A1" w14:textId="77777777" w:rsidR="00BF1E20" w:rsidRPr="008A106B" w:rsidRDefault="00BF1E20" w:rsidP="00BF1E20">
      <w:pPr>
        <w:rPr>
          <w:lang w:val="es-ES"/>
        </w:rPr>
      </w:pPr>
    </w:p>
    <w:p w14:paraId="709CB8B4" w14:textId="77777777" w:rsidR="00BF1E20" w:rsidRPr="008A106B" w:rsidRDefault="00BF1E20" w:rsidP="00BF1E20">
      <w:pPr>
        <w:rPr>
          <w:lang w:val="es-ES"/>
        </w:rPr>
      </w:pPr>
    </w:p>
    <w:p w14:paraId="4766BCD6" w14:textId="77777777" w:rsidR="00BF1E20" w:rsidRPr="008A106B" w:rsidRDefault="00BF1E20" w:rsidP="00BF1E20">
      <w:pPr>
        <w:rPr>
          <w:lang w:val="es-ES"/>
        </w:rPr>
      </w:pPr>
    </w:p>
    <w:p w14:paraId="4B6749DD" w14:textId="77777777" w:rsidR="00BF1E20" w:rsidRPr="008A106B" w:rsidRDefault="00BF1E20" w:rsidP="00BF1E20">
      <w:pPr>
        <w:rPr>
          <w:lang w:val="es-ES"/>
        </w:rPr>
      </w:pPr>
    </w:p>
    <w:p w14:paraId="5489813F" w14:textId="77777777" w:rsidR="00BF1E20" w:rsidRPr="008A106B" w:rsidRDefault="00BF1E20" w:rsidP="00BF1E20">
      <w:pPr>
        <w:rPr>
          <w:lang w:val="es-ES"/>
        </w:rPr>
      </w:pPr>
    </w:p>
    <w:p w14:paraId="3A301F2F" w14:textId="77777777" w:rsidR="00BF1E20" w:rsidRPr="008A106B" w:rsidRDefault="00BF1E20" w:rsidP="00BF1E20">
      <w:pPr>
        <w:rPr>
          <w:lang w:val="es-ES"/>
        </w:rPr>
      </w:pPr>
    </w:p>
    <w:p w14:paraId="63292AFC" w14:textId="77777777" w:rsidR="00BF1E20" w:rsidRPr="008A106B" w:rsidRDefault="00BF1E20" w:rsidP="00BF1E20">
      <w:pPr>
        <w:rPr>
          <w:lang w:val="es-ES"/>
        </w:rPr>
      </w:pPr>
    </w:p>
    <w:p w14:paraId="3D62E861" w14:textId="77777777" w:rsidR="00BF1E20" w:rsidRPr="008A106B" w:rsidRDefault="00BF1E20" w:rsidP="00BF1E20">
      <w:pPr>
        <w:rPr>
          <w:lang w:val="es-ES"/>
        </w:rPr>
      </w:pPr>
    </w:p>
    <w:p w14:paraId="16799B1F" w14:textId="77777777" w:rsidR="00BF1E20" w:rsidRPr="008A106B" w:rsidRDefault="00BF1E20" w:rsidP="00BF1E20">
      <w:pPr>
        <w:rPr>
          <w:lang w:val="es-ES"/>
        </w:rPr>
      </w:pPr>
    </w:p>
    <w:p w14:paraId="5240AB7C" w14:textId="77777777" w:rsidR="00BF1E20" w:rsidRDefault="00BF1E20" w:rsidP="00BF1E20">
      <w:pPr>
        <w:rPr>
          <w:lang w:val="es-ES"/>
        </w:rPr>
      </w:pPr>
    </w:p>
    <w:p w14:paraId="0964467B" w14:textId="77777777" w:rsidR="000C3AC2" w:rsidRPr="008A106B" w:rsidRDefault="000C3AC2" w:rsidP="00BF1E20">
      <w:pPr>
        <w:rPr>
          <w:lang w:val="es-ES"/>
        </w:rPr>
      </w:pPr>
    </w:p>
    <w:p w14:paraId="15FF88DE" w14:textId="77777777" w:rsidR="00BF1E20" w:rsidRPr="008A106B" w:rsidRDefault="00BF1E20" w:rsidP="00BF1E20">
      <w:pPr>
        <w:jc w:val="center"/>
        <w:rPr>
          <w:b/>
          <w:lang w:val="es-ES"/>
        </w:rPr>
      </w:pPr>
      <w:r w:rsidRPr="008A106B">
        <w:rPr>
          <w:b/>
          <w:lang w:val="es-ES"/>
        </w:rPr>
        <w:t>ANEXO II</w:t>
      </w:r>
    </w:p>
    <w:p w14:paraId="073277CE" w14:textId="77777777" w:rsidR="00BF1E20" w:rsidRPr="008A106B" w:rsidRDefault="00BF1E20" w:rsidP="00BF1E20">
      <w:pPr>
        <w:jc w:val="center"/>
        <w:rPr>
          <w:b/>
          <w:lang w:val="es-ES"/>
        </w:rPr>
      </w:pPr>
    </w:p>
    <w:p w14:paraId="362AD46E" w14:textId="77777777" w:rsidR="00BF1E20" w:rsidRPr="008A106B" w:rsidRDefault="00BF1E20" w:rsidP="00BF1E20">
      <w:pPr>
        <w:tabs>
          <w:tab w:val="left" w:pos="-720"/>
        </w:tabs>
        <w:suppressAutoHyphens/>
        <w:ind w:left="1701" w:right="283" w:hanging="567"/>
        <w:rPr>
          <w:b/>
          <w:lang w:val="es-ES"/>
        </w:rPr>
      </w:pPr>
      <w:r w:rsidRPr="008A106B">
        <w:rPr>
          <w:b/>
          <w:lang w:val="es-ES"/>
        </w:rPr>
        <w:t>A.</w:t>
      </w:r>
      <w:r w:rsidRPr="008A106B">
        <w:rPr>
          <w:b/>
          <w:lang w:val="es-ES"/>
        </w:rPr>
        <w:tab/>
      </w:r>
      <w:r w:rsidRPr="008A106B">
        <w:rPr>
          <w:b/>
          <w:noProof/>
          <w:lang w:val="es-ES"/>
        </w:rPr>
        <w:t xml:space="preserve">FABRICANTE(S) DEL PRINCIPIO ACTIVO BIOLÓGICO Y </w:t>
      </w:r>
      <w:r w:rsidR="00B336A1" w:rsidRPr="008A106B">
        <w:rPr>
          <w:b/>
          <w:noProof/>
          <w:lang w:val="es-ES"/>
        </w:rPr>
        <w:t>FABRICANTE</w:t>
      </w:r>
      <w:r w:rsidRPr="008A106B">
        <w:rPr>
          <w:b/>
          <w:noProof/>
          <w:lang w:val="es-ES"/>
        </w:rPr>
        <w:t xml:space="preserve"> RESPONSABLE DE LA LIBERACIÓN DE LOS LOTES</w:t>
      </w:r>
    </w:p>
    <w:p w14:paraId="24245B73" w14:textId="77777777" w:rsidR="00BF1E20" w:rsidRPr="008A106B" w:rsidRDefault="00BF1E20" w:rsidP="00BF1E20">
      <w:pPr>
        <w:tabs>
          <w:tab w:val="left" w:pos="-720"/>
        </w:tabs>
        <w:suppressAutoHyphens/>
        <w:ind w:left="1701" w:right="283" w:hanging="567"/>
        <w:rPr>
          <w:lang w:val="es-ES"/>
        </w:rPr>
      </w:pPr>
    </w:p>
    <w:p w14:paraId="21D51C4D" w14:textId="77777777" w:rsidR="00BF1E20" w:rsidRPr="008A106B" w:rsidRDefault="00BF1E20" w:rsidP="00BF1E20">
      <w:pPr>
        <w:tabs>
          <w:tab w:val="left" w:pos="-720"/>
        </w:tabs>
        <w:suppressAutoHyphens/>
        <w:ind w:left="1701" w:right="283" w:hanging="567"/>
        <w:rPr>
          <w:b/>
          <w:lang w:val="es-ES"/>
        </w:rPr>
      </w:pPr>
      <w:r w:rsidRPr="008A106B">
        <w:rPr>
          <w:b/>
          <w:lang w:val="es-ES"/>
        </w:rPr>
        <w:t>B.</w:t>
      </w:r>
      <w:r w:rsidRPr="008A106B">
        <w:rPr>
          <w:b/>
          <w:lang w:val="es-ES"/>
        </w:rPr>
        <w:tab/>
        <w:t>CONDICIONES</w:t>
      </w:r>
      <w:r w:rsidR="00B359B1" w:rsidRPr="008A106B">
        <w:rPr>
          <w:b/>
          <w:lang w:val="es-ES"/>
        </w:rPr>
        <w:t xml:space="preserve"> O RESTRICCIONES DE SUMIN</w:t>
      </w:r>
      <w:r w:rsidR="00B336A1" w:rsidRPr="008A106B">
        <w:rPr>
          <w:b/>
          <w:lang w:val="es-ES"/>
        </w:rPr>
        <w:t>I</w:t>
      </w:r>
      <w:r w:rsidR="00B359B1" w:rsidRPr="008A106B">
        <w:rPr>
          <w:b/>
          <w:lang w:val="es-ES"/>
        </w:rPr>
        <w:t xml:space="preserve">STRO Y USO </w:t>
      </w:r>
    </w:p>
    <w:p w14:paraId="07AB816E" w14:textId="77777777" w:rsidR="00B359B1" w:rsidRPr="008A106B" w:rsidRDefault="00B359B1" w:rsidP="00BF1E20">
      <w:pPr>
        <w:tabs>
          <w:tab w:val="left" w:pos="-720"/>
        </w:tabs>
        <w:suppressAutoHyphens/>
        <w:ind w:left="1701" w:right="283" w:hanging="567"/>
        <w:rPr>
          <w:b/>
          <w:lang w:val="es-ES"/>
        </w:rPr>
      </w:pPr>
    </w:p>
    <w:p w14:paraId="59910910" w14:textId="77777777" w:rsidR="00B359B1" w:rsidRPr="008A106B" w:rsidRDefault="00B359B1" w:rsidP="00B359B1">
      <w:pPr>
        <w:tabs>
          <w:tab w:val="left" w:pos="-720"/>
        </w:tabs>
        <w:suppressAutoHyphens/>
        <w:ind w:left="1701" w:right="283" w:hanging="567"/>
        <w:rPr>
          <w:b/>
          <w:lang w:val="es-ES_tradnl"/>
        </w:rPr>
      </w:pPr>
      <w:r w:rsidRPr="008A106B">
        <w:rPr>
          <w:b/>
          <w:lang w:val="es-ES_tradnl"/>
        </w:rPr>
        <w:t>C.</w:t>
      </w:r>
      <w:r w:rsidRPr="008A106B">
        <w:rPr>
          <w:b/>
          <w:lang w:val="es-ES_tradnl"/>
        </w:rPr>
        <w:tab/>
        <w:t>OTRAS CONDICIONES Y REQUISITOS DE LA AUTORIZACIÓN DE COMERCIALIZACIÓN</w:t>
      </w:r>
    </w:p>
    <w:p w14:paraId="2C159C2E" w14:textId="77777777" w:rsidR="00B14713" w:rsidRPr="008A106B" w:rsidRDefault="00B14713" w:rsidP="00B359B1">
      <w:pPr>
        <w:tabs>
          <w:tab w:val="left" w:pos="-720"/>
        </w:tabs>
        <w:suppressAutoHyphens/>
        <w:ind w:left="1701" w:right="283" w:hanging="567"/>
        <w:rPr>
          <w:b/>
          <w:lang w:val="es-ES_tradnl"/>
        </w:rPr>
      </w:pPr>
    </w:p>
    <w:p w14:paraId="541563BB" w14:textId="77777777" w:rsidR="00B14713" w:rsidRPr="008A106B" w:rsidRDefault="00B14713" w:rsidP="00EA7E18">
      <w:pPr>
        <w:ind w:left="1710" w:right="1416" w:hanging="540"/>
        <w:rPr>
          <w:b/>
          <w:szCs w:val="24"/>
          <w:lang w:val="es-ES_tradnl"/>
        </w:rPr>
      </w:pPr>
      <w:r w:rsidRPr="008A106B">
        <w:rPr>
          <w:b/>
          <w:lang w:val="es-ES_tradnl"/>
        </w:rPr>
        <w:t>D</w:t>
      </w:r>
      <w:r w:rsidRPr="008A106B">
        <w:rPr>
          <w:b/>
          <w:lang w:val="es-ES_tradnl"/>
        </w:rPr>
        <w:tab/>
      </w:r>
      <w:r w:rsidRPr="008A106B">
        <w:rPr>
          <w:b/>
          <w:noProof/>
          <w:szCs w:val="24"/>
          <w:lang w:val="es-ES_tradnl"/>
        </w:rPr>
        <w:t>CONDICIONES O RESTRICCIONES EN RELACIÓN CON LA UTILIZACIÓN SEGURA Y EFICAZ DEL MEDICAMENTO</w:t>
      </w:r>
    </w:p>
    <w:p w14:paraId="539FE0AA" w14:textId="77777777" w:rsidR="00BF1E20" w:rsidRPr="008A106B" w:rsidRDefault="00BF1E20" w:rsidP="00BF1E20">
      <w:pPr>
        <w:tabs>
          <w:tab w:val="left" w:pos="-720"/>
        </w:tabs>
        <w:suppressAutoHyphens/>
        <w:ind w:left="1701" w:right="283" w:hanging="708"/>
        <w:rPr>
          <w:b/>
          <w:lang w:val="es-ES"/>
        </w:rPr>
      </w:pPr>
    </w:p>
    <w:p w14:paraId="377AAA88" w14:textId="77777777" w:rsidR="00674F9E" w:rsidRPr="008A106B" w:rsidRDefault="00BF1E20" w:rsidP="00B43C05">
      <w:pPr>
        <w:pStyle w:val="AnnexHeading"/>
        <w:rPr>
          <w:lang w:val="es-ES"/>
        </w:rPr>
      </w:pPr>
      <w:r w:rsidRPr="00817DCE">
        <w:rPr>
          <w:b w:val="0"/>
          <w:lang w:val="es-ES"/>
        </w:rPr>
        <w:br w:type="page"/>
      </w:r>
      <w:r w:rsidR="00674F9E" w:rsidRPr="008A106B">
        <w:rPr>
          <w:lang w:val="es-ES"/>
        </w:rPr>
        <w:lastRenderedPageBreak/>
        <w:t>A.</w:t>
      </w:r>
      <w:r w:rsidR="00674F9E" w:rsidRPr="008A106B">
        <w:rPr>
          <w:lang w:val="es-ES"/>
        </w:rPr>
        <w:tab/>
      </w:r>
      <w:r w:rsidR="00674F9E" w:rsidRPr="008A106B">
        <w:rPr>
          <w:noProof/>
          <w:lang w:val="es-ES_tradnl"/>
        </w:rPr>
        <w:t>FABRICANTE</w:t>
      </w:r>
      <w:r w:rsidR="00013678">
        <w:rPr>
          <w:noProof/>
          <w:lang w:val="es-ES_tradnl"/>
        </w:rPr>
        <w:t>(S)</w:t>
      </w:r>
      <w:r w:rsidR="00674F9E" w:rsidRPr="008A106B">
        <w:rPr>
          <w:noProof/>
          <w:lang w:val="es-ES_tradnl"/>
        </w:rPr>
        <w:t xml:space="preserve"> DEL  PRINCIPIO ACTIVO BIOLÓGICO Y FABRICANTE RESPONSABLE DE LA LIBERACIÓN DE LOS LOTES</w:t>
      </w:r>
    </w:p>
    <w:p w14:paraId="77ECF5E6" w14:textId="77777777" w:rsidR="00674F9E" w:rsidRPr="008A106B" w:rsidRDefault="00674F9E" w:rsidP="00674F9E">
      <w:pPr>
        <w:ind w:right="1416"/>
        <w:rPr>
          <w:lang w:val="es-ES"/>
        </w:rPr>
      </w:pPr>
    </w:p>
    <w:p w14:paraId="58A2783B" w14:textId="77777777" w:rsidR="00674F9E" w:rsidRPr="008A106B" w:rsidRDefault="00674F9E" w:rsidP="00674F9E">
      <w:pPr>
        <w:rPr>
          <w:noProof/>
          <w:u w:val="single"/>
          <w:lang w:val="es-ES"/>
        </w:rPr>
      </w:pPr>
      <w:r w:rsidRPr="008A106B">
        <w:rPr>
          <w:noProof/>
          <w:u w:val="single"/>
          <w:lang w:val="es-ES"/>
        </w:rPr>
        <w:t>Nombre y dirección de</w:t>
      </w:r>
      <w:r w:rsidR="00DC0DF6">
        <w:rPr>
          <w:noProof/>
          <w:u w:val="single"/>
          <w:lang w:val="es-ES"/>
        </w:rPr>
        <w:t xml:space="preserve"> </w:t>
      </w:r>
      <w:r w:rsidRPr="008A106B">
        <w:rPr>
          <w:noProof/>
          <w:u w:val="single"/>
          <w:lang w:val="es-ES"/>
        </w:rPr>
        <w:t>l</w:t>
      </w:r>
      <w:r w:rsidR="00DC0DF6">
        <w:rPr>
          <w:noProof/>
          <w:u w:val="single"/>
          <w:lang w:val="es-ES"/>
        </w:rPr>
        <w:t>os</w:t>
      </w:r>
      <w:r w:rsidRPr="008A106B">
        <w:rPr>
          <w:noProof/>
          <w:u w:val="single"/>
          <w:lang w:val="es-ES"/>
        </w:rPr>
        <w:t xml:space="preserve"> fabricante</w:t>
      </w:r>
      <w:r w:rsidR="00DC0DF6">
        <w:rPr>
          <w:noProof/>
          <w:u w:val="single"/>
          <w:lang w:val="es-ES"/>
        </w:rPr>
        <w:t>s</w:t>
      </w:r>
      <w:r w:rsidRPr="008A106B">
        <w:rPr>
          <w:noProof/>
          <w:u w:val="single"/>
          <w:lang w:val="es-ES"/>
        </w:rPr>
        <w:t xml:space="preserve"> del principio activo biológico.</w:t>
      </w:r>
    </w:p>
    <w:p w14:paraId="6BEB5D0D" w14:textId="329BC0C7" w:rsidR="00674F9E" w:rsidRDefault="00674F9E" w:rsidP="00674F9E">
      <w:pPr>
        <w:ind w:right="1416"/>
        <w:rPr>
          <w:noProof/>
          <w:lang w:val="es-ES"/>
        </w:rPr>
      </w:pPr>
    </w:p>
    <w:p w14:paraId="12C18F36" w14:textId="77777777" w:rsidR="005E6BE8" w:rsidRDefault="005E6BE8" w:rsidP="005E6BE8">
      <w:pPr>
        <w:rPr>
          <w:szCs w:val="22"/>
        </w:rPr>
      </w:pPr>
      <w:r w:rsidRPr="00242BC5">
        <w:rPr>
          <w:szCs w:val="22"/>
        </w:rPr>
        <w:t xml:space="preserve">Lonza Manufacturing LLC </w:t>
      </w:r>
    </w:p>
    <w:p w14:paraId="269FB554" w14:textId="77777777" w:rsidR="005E6BE8" w:rsidRPr="0020511B" w:rsidRDefault="005E6BE8" w:rsidP="005E6BE8">
      <w:pPr>
        <w:rPr>
          <w:szCs w:val="22"/>
        </w:rPr>
      </w:pPr>
      <w:r w:rsidRPr="00BB498C">
        <w:rPr>
          <w:lang w:val="en-GB"/>
        </w:rPr>
        <w:t xml:space="preserve">1000 New Horizons Way </w:t>
      </w:r>
    </w:p>
    <w:p w14:paraId="57FC1F85" w14:textId="77777777" w:rsidR="005E6BE8" w:rsidRPr="00467FFD" w:rsidRDefault="005E6BE8" w:rsidP="005E6BE8">
      <w:pPr>
        <w:pStyle w:val="Standard"/>
        <w:rPr>
          <w:lang w:val="es-ES"/>
          <w:rPrChange w:id="2160" w:author="AUTHOR">
            <w:rPr>
              <w:lang w:val="en-GB"/>
            </w:rPr>
          </w:rPrChange>
        </w:rPr>
      </w:pPr>
      <w:r w:rsidRPr="00467FFD">
        <w:rPr>
          <w:lang w:val="es-ES"/>
          <w:rPrChange w:id="2161" w:author="AUTHOR">
            <w:rPr>
              <w:lang w:val="en-GB"/>
            </w:rPr>
          </w:rPrChange>
        </w:rPr>
        <w:t xml:space="preserve">Vacaville, CA </w:t>
      </w:r>
    </w:p>
    <w:p w14:paraId="7E522082" w14:textId="77777777" w:rsidR="005E6BE8" w:rsidRPr="003400AD" w:rsidRDefault="005E6BE8" w:rsidP="005E6BE8">
      <w:pPr>
        <w:pStyle w:val="Standard"/>
        <w:rPr>
          <w:lang w:val="it-IT"/>
        </w:rPr>
      </w:pPr>
      <w:r w:rsidRPr="003400AD">
        <w:rPr>
          <w:lang w:val="it-IT"/>
        </w:rPr>
        <w:t xml:space="preserve">95688 </w:t>
      </w:r>
    </w:p>
    <w:p w14:paraId="2FB60A59" w14:textId="36B1B61B" w:rsidR="005E6BE8" w:rsidRPr="003400AD" w:rsidRDefault="005E6BE8" w:rsidP="005E6BE8">
      <w:pPr>
        <w:pStyle w:val="Standard"/>
        <w:rPr>
          <w:lang w:val="it-IT"/>
        </w:rPr>
      </w:pPr>
      <w:r>
        <w:rPr>
          <w:lang w:val="it-IT"/>
        </w:rPr>
        <w:t>Estados Unidos</w:t>
      </w:r>
    </w:p>
    <w:p w14:paraId="1C3F6B89" w14:textId="77777777" w:rsidR="005E6BE8" w:rsidRPr="008A106B" w:rsidRDefault="005E6BE8" w:rsidP="00674F9E">
      <w:pPr>
        <w:ind w:right="1416"/>
        <w:rPr>
          <w:noProof/>
          <w:lang w:val="es-ES"/>
        </w:rPr>
      </w:pPr>
    </w:p>
    <w:p w14:paraId="3F5DB1F6" w14:textId="77777777" w:rsidR="003970AB" w:rsidRPr="00467FFD" w:rsidRDefault="003970AB" w:rsidP="003970AB">
      <w:pPr>
        <w:rPr>
          <w:szCs w:val="22"/>
          <w:lang w:val="es-ES"/>
          <w:rPrChange w:id="2162" w:author="AUTHOR">
            <w:rPr>
              <w:szCs w:val="22"/>
            </w:rPr>
          </w:rPrChange>
        </w:rPr>
      </w:pPr>
      <w:r w:rsidRPr="00467FFD">
        <w:rPr>
          <w:szCs w:val="22"/>
          <w:lang w:val="es-ES"/>
          <w:rPrChange w:id="2163" w:author="AUTHOR">
            <w:rPr>
              <w:szCs w:val="22"/>
            </w:rPr>
          </w:rPrChange>
        </w:rPr>
        <w:t>Genentech, Inc.</w:t>
      </w:r>
    </w:p>
    <w:p w14:paraId="0880F620" w14:textId="77777777" w:rsidR="003970AB" w:rsidRPr="00D52986" w:rsidRDefault="003970AB" w:rsidP="003970AB">
      <w:pPr>
        <w:rPr>
          <w:szCs w:val="22"/>
        </w:rPr>
      </w:pPr>
      <w:r w:rsidRPr="00D52986">
        <w:rPr>
          <w:szCs w:val="22"/>
        </w:rPr>
        <w:t>1000 New Horizons Way</w:t>
      </w:r>
    </w:p>
    <w:p w14:paraId="566ECF3D" w14:textId="77777777" w:rsidR="003970AB" w:rsidRPr="00D52986" w:rsidRDefault="003970AB" w:rsidP="003970AB">
      <w:pPr>
        <w:rPr>
          <w:szCs w:val="22"/>
        </w:rPr>
      </w:pPr>
      <w:r w:rsidRPr="00D52986">
        <w:rPr>
          <w:szCs w:val="22"/>
        </w:rPr>
        <w:t>Vacaville, CA</w:t>
      </w:r>
    </w:p>
    <w:p w14:paraId="7411380A" w14:textId="77777777" w:rsidR="003970AB" w:rsidRPr="00467FFD" w:rsidRDefault="003970AB" w:rsidP="003970AB">
      <w:pPr>
        <w:rPr>
          <w:szCs w:val="22"/>
          <w:rPrChange w:id="2164" w:author="AUTHOR">
            <w:rPr>
              <w:szCs w:val="22"/>
              <w:lang w:val="es-ES"/>
            </w:rPr>
          </w:rPrChange>
        </w:rPr>
      </w:pPr>
      <w:r w:rsidRPr="00467FFD">
        <w:rPr>
          <w:szCs w:val="22"/>
          <w:rPrChange w:id="2165" w:author="AUTHOR">
            <w:rPr>
              <w:szCs w:val="22"/>
              <w:lang w:val="es-ES"/>
            </w:rPr>
          </w:rPrChange>
        </w:rPr>
        <w:t>95688</w:t>
      </w:r>
    </w:p>
    <w:p w14:paraId="539FD284" w14:textId="77777777" w:rsidR="00405CFF" w:rsidRPr="00224278" w:rsidRDefault="003970AB" w:rsidP="00405CFF">
      <w:pPr>
        <w:rPr>
          <w:szCs w:val="22"/>
          <w:lang w:val="es-ES"/>
        </w:rPr>
      </w:pPr>
      <w:r w:rsidRPr="00224278">
        <w:rPr>
          <w:szCs w:val="22"/>
          <w:lang w:val="es-ES"/>
        </w:rPr>
        <w:t>Estados Unidos</w:t>
      </w:r>
    </w:p>
    <w:p w14:paraId="355BE799" w14:textId="77777777" w:rsidR="00405CFF" w:rsidRPr="00224278" w:rsidRDefault="00405CFF" w:rsidP="00405CFF">
      <w:pPr>
        <w:rPr>
          <w:szCs w:val="22"/>
          <w:lang w:val="es-ES"/>
        </w:rPr>
      </w:pPr>
    </w:p>
    <w:p w14:paraId="21D0A3AA" w14:textId="77777777" w:rsidR="00405CFF" w:rsidRPr="00224278" w:rsidRDefault="00405CFF" w:rsidP="00405CFF">
      <w:pPr>
        <w:rPr>
          <w:szCs w:val="22"/>
          <w:lang w:val="es-ES"/>
        </w:rPr>
      </w:pPr>
      <w:r w:rsidRPr="00224278">
        <w:rPr>
          <w:szCs w:val="22"/>
          <w:lang w:val="es-ES"/>
        </w:rPr>
        <w:t>Genentech Inc.</w:t>
      </w:r>
    </w:p>
    <w:p w14:paraId="5C236462" w14:textId="77777777" w:rsidR="00405CFF" w:rsidRPr="00224278" w:rsidRDefault="00405CFF" w:rsidP="00405CFF">
      <w:pPr>
        <w:rPr>
          <w:szCs w:val="22"/>
          <w:lang w:val="es-ES"/>
        </w:rPr>
      </w:pPr>
      <w:r w:rsidRPr="00224278">
        <w:rPr>
          <w:szCs w:val="22"/>
          <w:lang w:val="es-ES"/>
        </w:rPr>
        <w:t>1 Antibody Way</w:t>
      </w:r>
    </w:p>
    <w:p w14:paraId="54CEE336" w14:textId="77777777" w:rsidR="00405CFF" w:rsidRPr="00224278" w:rsidRDefault="00405CFF" w:rsidP="00405CFF">
      <w:pPr>
        <w:rPr>
          <w:szCs w:val="22"/>
          <w:lang w:val="es-ES"/>
        </w:rPr>
      </w:pPr>
      <w:r w:rsidRPr="00224278">
        <w:rPr>
          <w:szCs w:val="22"/>
          <w:lang w:val="es-ES"/>
        </w:rPr>
        <w:t>Oceanside, CA</w:t>
      </w:r>
    </w:p>
    <w:p w14:paraId="1FEF5FC4" w14:textId="77777777" w:rsidR="00405CFF" w:rsidRPr="00224278" w:rsidRDefault="00405CFF" w:rsidP="00405CFF">
      <w:pPr>
        <w:rPr>
          <w:szCs w:val="22"/>
          <w:lang w:val="es-ES"/>
        </w:rPr>
      </w:pPr>
      <w:r w:rsidRPr="00224278">
        <w:rPr>
          <w:szCs w:val="22"/>
          <w:lang w:val="es-ES"/>
        </w:rPr>
        <w:t>92056</w:t>
      </w:r>
    </w:p>
    <w:p w14:paraId="3D39B12E" w14:textId="77777777" w:rsidR="003970AB" w:rsidRPr="00224278" w:rsidRDefault="00405CFF" w:rsidP="00674F9E">
      <w:pPr>
        <w:rPr>
          <w:szCs w:val="22"/>
          <w:lang w:val="es-ES"/>
        </w:rPr>
      </w:pPr>
      <w:r w:rsidRPr="00224278">
        <w:rPr>
          <w:szCs w:val="22"/>
          <w:lang w:val="es-ES"/>
        </w:rPr>
        <w:t>Estados Unidos</w:t>
      </w:r>
    </w:p>
    <w:p w14:paraId="694EF66B" w14:textId="77777777" w:rsidR="00E01F76" w:rsidRPr="00224278" w:rsidRDefault="00E01F76" w:rsidP="00674F9E">
      <w:pPr>
        <w:rPr>
          <w:szCs w:val="22"/>
          <w:lang w:val="es-ES"/>
        </w:rPr>
      </w:pPr>
    </w:p>
    <w:p w14:paraId="1550565E" w14:textId="77777777" w:rsidR="00E01F76" w:rsidRPr="00224278" w:rsidRDefault="00E01F76" w:rsidP="00E01F76">
      <w:pPr>
        <w:shd w:val="clear" w:color="auto" w:fill="FFFFFF"/>
        <w:rPr>
          <w:sz w:val="24"/>
          <w:szCs w:val="24"/>
          <w:lang w:val="es-ES"/>
        </w:rPr>
      </w:pPr>
      <w:r w:rsidRPr="00224278">
        <w:rPr>
          <w:iCs/>
          <w:szCs w:val="22"/>
          <w:lang w:val="es-ES"/>
        </w:rPr>
        <w:t>Samsung Biologics Co Ltd</w:t>
      </w:r>
    </w:p>
    <w:p w14:paraId="460E126A" w14:textId="77777777" w:rsidR="00E01F76" w:rsidRPr="00224278" w:rsidRDefault="00E01F76" w:rsidP="00E01F76">
      <w:pPr>
        <w:shd w:val="clear" w:color="auto" w:fill="FFFFFF"/>
        <w:rPr>
          <w:sz w:val="24"/>
          <w:szCs w:val="24"/>
          <w:lang w:val="es-ES"/>
        </w:rPr>
      </w:pPr>
      <w:r w:rsidRPr="00224278">
        <w:rPr>
          <w:iCs/>
          <w:szCs w:val="22"/>
          <w:lang w:val="es-ES"/>
        </w:rPr>
        <w:t>300, Songdo bio-daero, Yeonsu-gu</w:t>
      </w:r>
    </w:p>
    <w:p w14:paraId="24E5442D" w14:textId="77777777" w:rsidR="00E01F76" w:rsidRPr="00224278" w:rsidRDefault="00E01F76" w:rsidP="00E01F76">
      <w:pPr>
        <w:shd w:val="clear" w:color="auto" w:fill="FFFFFF"/>
        <w:rPr>
          <w:sz w:val="24"/>
          <w:szCs w:val="24"/>
          <w:lang w:val="es-ES"/>
        </w:rPr>
      </w:pPr>
      <w:r w:rsidRPr="00224278">
        <w:rPr>
          <w:iCs/>
          <w:szCs w:val="22"/>
          <w:lang w:val="es-ES"/>
        </w:rPr>
        <w:t>Incheon, 21987</w:t>
      </w:r>
    </w:p>
    <w:p w14:paraId="0A7539C2" w14:textId="77777777" w:rsidR="00E01F76" w:rsidRDefault="00E01F76" w:rsidP="00E01F76">
      <w:pPr>
        <w:shd w:val="clear" w:color="auto" w:fill="FFFFFF"/>
        <w:rPr>
          <w:iCs/>
          <w:szCs w:val="22"/>
          <w:lang w:val="es-ES"/>
        </w:rPr>
      </w:pPr>
      <w:r w:rsidRPr="00224278">
        <w:rPr>
          <w:iCs/>
          <w:szCs w:val="22"/>
          <w:lang w:val="es-ES"/>
        </w:rPr>
        <w:t>República de Corea</w:t>
      </w:r>
    </w:p>
    <w:p w14:paraId="4E357EEC" w14:textId="77777777" w:rsidR="00224278" w:rsidRDefault="00224278" w:rsidP="00E01F76">
      <w:pPr>
        <w:shd w:val="clear" w:color="auto" w:fill="FFFFFF"/>
        <w:rPr>
          <w:iCs/>
          <w:szCs w:val="22"/>
          <w:lang w:val="es-ES"/>
        </w:rPr>
      </w:pPr>
    </w:p>
    <w:p w14:paraId="75530D75" w14:textId="77777777" w:rsidR="00224278" w:rsidRPr="00F30AB8" w:rsidRDefault="00224278" w:rsidP="00224278">
      <w:pPr>
        <w:shd w:val="clear" w:color="auto" w:fill="FFFFFF"/>
        <w:rPr>
          <w:szCs w:val="22"/>
          <w:lang w:val="es-ES" w:eastAsia="en-US"/>
        </w:rPr>
      </w:pPr>
      <w:r w:rsidRPr="00F30AB8">
        <w:rPr>
          <w:szCs w:val="22"/>
          <w:lang w:val="es-ES" w:eastAsia="en-US"/>
        </w:rPr>
        <w:t>Chugai Pharma Manufacturing Co., Ltd.</w:t>
      </w:r>
    </w:p>
    <w:p w14:paraId="0E3826A9" w14:textId="77777777" w:rsidR="00224278" w:rsidRPr="00F30AB8" w:rsidRDefault="00224278" w:rsidP="00224278">
      <w:pPr>
        <w:shd w:val="clear" w:color="auto" w:fill="FFFFFF"/>
        <w:rPr>
          <w:szCs w:val="22"/>
          <w:lang w:val="es-ES" w:eastAsia="en-US"/>
        </w:rPr>
      </w:pPr>
      <w:r w:rsidRPr="00F30AB8">
        <w:rPr>
          <w:szCs w:val="22"/>
          <w:lang w:val="es-ES" w:eastAsia="en-US"/>
        </w:rPr>
        <w:t>16‑3 Kiyohara‑Kogyodanchi</w:t>
      </w:r>
    </w:p>
    <w:p w14:paraId="1B2FDD44" w14:textId="77777777" w:rsidR="00224278" w:rsidRPr="00F30AB8" w:rsidRDefault="00224278" w:rsidP="00224278">
      <w:pPr>
        <w:shd w:val="clear" w:color="auto" w:fill="FFFFFF"/>
        <w:rPr>
          <w:szCs w:val="22"/>
          <w:lang w:val="es-ES" w:eastAsia="en-US"/>
        </w:rPr>
      </w:pPr>
      <w:r w:rsidRPr="00F30AB8">
        <w:rPr>
          <w:szCs w:val="22"/>
          <w:lang w:val="es-ES" w:eastAsia="en-US"/>
        </w:rPr>
        <w:t>Utsunomiya City, Tochigi Pref., 321-3231</w:t>
      </w:r>
    </w:p>
    <w:p w14:paraId="16483234" w14:textId="77777777" w:rsidR="00224278" w:rsidRPr="00F30AB8" w:rsidRDefault="00224278" w:rsidP="00224278">
      <w:pPr>
        <w:shd w:val="clear" w:color="auto" w:fill="FFFFFF"/>
        <w:rPr>
          <w:szCs w:val="22"/>
          <w:lang w:val="es-ES" w:eastAsia="en-US"/>
        </w:rPr>
      </w:pPr>
      <w:r w:rsidRPr="00F30AB8">
        <w:rPr>
          <w:szCs w:val="22"/>
          <w:lang w:val="es-ES" w:eastAsia="en-US"/>
        </w:rPr>
        <w:t>Japón</w:t>
      </w:r>
    </w:p>
    <w:p w14:paraId="6ABAA6B7" w14:textId="77777777" w:rsidR="00BE56EE" w:rsidRPr="00F30AB8" w:rsidRDefault="00BE56EE" w:rsidP="00224278">
      <w:pPr>
        <w:shd w:val="clear" w:color="auto" w:fill="FFFFFF"/>
        <w:rPr>
          <w:szCs w:val="22"/>
          <w:lang w:val="es-ES" w:eastAsia="en-US"/>
        </w:rPr>
      </w:pPr>
    </w:p>
    <w:p w14:paraId="159AB2AB" w14:textId="77777777" w:rsidR="00BE56EE" w:rsidRPr="00F30AB8" w:rsidRDefault="00BE56EE" w:rsidP="00BE56EE">
      <w:pPr>
        <w:shd w:val="clear" w:color="auto" w:fill="FFFFFF"/>
        <w:rPr>
          <w:szCs w:val="22"/>
          <w:lang w:val="es-ES" w:eastAsia="en-US"/>
        </w:rPr>
      </w:pPr>
      <w:r w:rsidRPr="00F30AB8">
        <w:rPr>
          <w:szCs w:val="22"/>
          <w:lang w:val="es-ES" w:eastAsia="en-US"/>
        </w:rPr>
        <w:t xml:space="preserve">Novartis Singapore Pharmaceutical Manufacturing Pte. Ltd. </w:t>
      </w:r>
    </w:p>
    <w:p w14:paraId="6AC50B15" w14:textId="77777777" w:rsidR="00BE56EE" w:rsidRPr="00BE56EE" w:rsidRDefault="00BE56EE" w:rsidP="00BE56EE">
      <w:pPr>
        <w:shd w:val="clear" w:color="auto" w:fill="FFFFFF"/>
        <w:rPr>
          <w:szCs w:val="22"/>
          <w:lang w:eastAsia="en-US"/>
        </w:rPr>
      </w:pPr>
      <w:r w:rsidRPr="00BE56EE">
        <w:rPr>
          <w:szCs w:val="22"/>
          <w:lang w:eastAsia="en-US"/>
        </w:rPr>
        <w:t>Bioproduction Operations Singapore</w:t>
      </w:r>
    </w:p>
    <w:p w14:paraId="244710FA" w14:textId="77777777" w:rsidR="00BE56EE" w:rsidRPr="00F30AB8" w:rsidRDefault="00BE56EE" w:rsidP="00BE56EE">
      <w:pPr>
        <w:shd w:val="clear" w:color="auto" w:fill="FFFFFF"/>
        <w:rPr>
          <w:szCs w:val="22"/>
          <w:lang w:val="pt-PT" w:eastAsia="en-US"/>
        </w:rPr>
      </w:pPr>
      <w:r w:rsidRPr="00F30AB8">
        <w:rPr>
          <w:szCs w:val="22"/>
          <w:lang w:val="pt-PT" w:eastAsia="en-US"/>
        </w:rPr>
        <w:t>8 Tuas Bay Lane</w:t>
      </w:r>
    </w:p>
    <w:p w14:paraId="55631379" w14:textId="77777777" w:rsidR="00BE56EE" w:rsidRPr="00F30AB8" w:rsidRDefault="00BE56EE" w:rsidP="00BE56EE">
      <w:pPr>
        <w:shd w:val="clear" w:color="auto" w:fill="FFFFFF"/>
        <w:rPr>
          <w:szCs w:val="22"/>
          <w:lang w:val="es-ES" w:eastAsia="en-US"/>
        </w:rPr>
      </w:pPr>
      <w:r w:rsidRPr="00F30AB8">
        <w:rPr>
          <w:szCs w:val="22"/>
          <w:lang w:val="es-ES" w:eastAsia="en-US"/>
        </w:rPr>
        <w:t>Singapur 636986</w:t>
      </w:r>
    </w:p>
    <w:p w14:paraId="54EEDBD4" w14:textId="77777777" w:rsidR="00BE56EE" w:rsidRPr="00F30AB8" w:rsidRDefault="00BE56EE" w:rsidP="00BE56EE">
      <w:pPr>
        <w:shd w:val="clear" w:color="auto" w:fill="FFFFFF"/>
        <w:rPr>
          <w:szCs w:val="22"/>
          <w:lang w:val="es-ES" w:eastAsia="en-US"/>
        </w:rPr>
      </w:pPr>
      <w:r w:rsidRPr="00F30AB8">
        <w:rPr>
          <w:szCs w:val="22"/>
          <w:lang w:val="es-ES" w:eastAsia="en-US"/>
        </w:rPr>
        <w:t>Singapur</w:t>
      </w:r>
    </w:p>
    <w:p w14:paraId="6A7429CE" w14:textId="77777777" w:rsidR="00E01F76" w:rsidRPr="00EF6C93" w:rsidRDefault="00E01F76" w:rsidP="00674F9E">
      <w:pPr>
        <w:rPr>
          <w:szCs w:val="22"/>
          <w:lang w:val="es-ES"/>
        </w:rPr>
      </w:pPr>
    </w:p>
    <w:p w14:paraId="0574C338" w14:textId="77777777" w:rsidR="00674F9E" w:rsidRPr="008A106B" w:rsidRDefault="00674F9E" w:rsidP="00674F9E">
      <w:pPr>
        <w:rPr>
          <w:noProof/>
          <w:u w:val="single"/>
          <w:lang w:val="es-ES"/>
        </w:rPr>
      </w:pPr>
      <w:r w:rsidRPr="00EF6C93">
        <w:rPr>
          <w:noProof/>
          <w:u w:val="single"/>
          <w:lang w:val="es-ES"/>
        </w:rPr>
        <w:t>Nombre y dirección</w:t>
      </w:r>
      <w:r w:rsidRPr="008A106B">
        <w:rPr>
          <w:noProof/>
          <w:u w:val="single"/>
          <w:lang w:val="es-ES"/>
        </w:rPr>
        <w:t xml:space="preserve"> del fabricante responsable de la liberación de los lotes</w:t>
      </w:r>
    </w:p>
    <w:p w14:paraId="6B71E6BA" w14:textId="77777777" w:rsidR="00674F9E" w:rsidRPr="008A106B" w:rsidRDefault="00674F9E" w:rsidP="00674F9E">
      <w:pPr>
        <w:rPr>
          <w:noProof/>
          <w:lang w:val="es-ES"/>
        </w:rPr>
      </w:pPr>
    </w:p>
    <w:p w14:paraId="0BAD4DEE" w14:textId="77777777" w:rsidR="00674F9E" w:rsidRPr="008A106B" w:rsidRDefault="00674F9E" w:rsidP="00674F9E">
      <w:pPr>
        <w:rPr>
          <w:iCs/>
          <w:lang w:val="de-DE"/>
        </w:rPr>
      </w:pPr>
      <w:r w:rsidRPr="008A106B">
        <w:rPr>
          <w:iCs/>
          <w:noProof/>
          <w:lang w:val="de-DE"/>
        </w:rPr>
        <w:t>Roche Pharma AG</w:t>
      </w:r>
    </w:p>
    <w:p w14:paraId="12936DB8" w14:textId="77777777" w:rsidR="00674F9E" w:rsidRPr="008A106B" w:rsidRDefault="00674F9E" w:rsidP="00674F9E">
      <w:pPr>
        <w:rPr>
          <w:iCs/>
          <w:noProof/>
          <w:lang w:val="de-DE"/>
        </w:rPr>
      </w:pPr>
      <w:r w:rsidRPr="008A106B">
        <w:rPr>
          <w:iCs/>
          <w:noProof/>
          <w:lang w:val="de-DE"/>
        </w:rPr>
        <w:t>Emil-Barell-Strasse 1</w:t>
      </w:r>
    </w:p>
    <w:p w14:paraId="3CE4DF8B" w14:textId="38C6D3CA" w:rsidR="00674F9E" w:rsidRPr="00097C58" w:rsidRDefault="00674F9E" w:rsidP="00674F9E">
      <w:pPr>
        <w:rPr>
          <w:iCs/>
          <w:noProof/>
          <w:lang w:val="es-ES"/>
        </w:rPr>
      </w:pPr>
      <w:r w:rsidRPr="00097C58">
        <w:rPr>
          <w:iCs/>
          <w:noProof/>
          <w:lang w:val="es-ES"/>
        </w:rPr>
        <w:t>79639 Grenzach-Wyhlen</w:t>
      </w:r>
    </w:p>
    <w:p w14:paraId="3360BE13" w14:textId="77777777" w:rsidR="00674F9E" w:rsidRPr="008A106B" w:rsidRDefault="00674F9E" w:rsidP="00674F9E">
      <w:pPr>
        <w:rPr>
          <w:lang w:val="es-ES"/>
        </w:rPr>
      </w:pPr>
      <w:r w:rsidRPr="008A106B">
        <w:rPr>
          <w:iCs/>
          <w:noProof/>
          <w:lang w:val="es-ES"/>
        </w:rPr>
        <w:t>Alemania</w:t>
      </w:r>
    </w:p>
    <w:p w14:paraId="2168ABEE" w14:textId="77777777" w:rsidR="00674F9E" w:rsidRPr="008A106B" w:rsidRDefault="00674F9E" w:rsidP="00674F9E">
      <w:pPr>
        <w:rPr>
          <w:lang w:val="es-ES"/>
        </w:rPr>
      </w:pPr>
    </w:p>
    <w:p w14:paraId="479898CF" w14:textId="77777777" w:rsidR="00674F9E" w:rsidRPr="008A106B" w:rsidRDefault="00674F9E" w:rsidP="00674F9E">
      <w:pPr>
        <w:rPr>
          <w:lang w:val="es-ES"/>
        </w:rPr>
      </w:pPr>
    </w:p>
    <w:p w14:paraId="442B24C0" w14:textId="77777777" w:rsidR="00674F9E" w:rsidRPr="008A106B" w:rsidRDefault="00674F9E" w:rsidP="00674F9E">
      <w:pPr>
        <w:pStyle w:val="AnnexHeading"/>
        <w:rPr>
          <w:lang w:val="es-ES"/>
        </w:rPr>
      </w:pPr>
      <w:r w:rsidRPr="008A106B">
        <w:rPr>
          <w:lang w:val="es-ES"/>
        </w:rPr>
        <w:t>B.</w:t>
      </w:r>
      <w:r w:rsidRPr="008A106B">
        <w:rPr>
          <w:lang w:val="es-ES"/>
        </w:rPr>
        <w:tab/>
        <w:t xml:space="preserve">CONDICIONES O RESTRICCIONES DE SUMINSTRO Y USO </w:t>
      </w:r>
    </w:p>
    <w:p w14:paraId="462DB4A3" w14:textId="77777777" w:rsidR="00674F9E" w:rsidRPr="008A106B" w:rsidRDefault="00674F9E" w:rsidP="00674F9E">
      <w:pPr>
        <w:rPr>
          <w:lang w:val="es-ES"/>
        </w:rPr>
      </w:pPr>
    </w:p>
    <w:p w14:paraId="6277B7B7" w14:textId="77777777" w:rsidR="00674F9E" w:rsidRPr="008A106B" w:rsidRDefault="00674F9E" w:rsidP="00674F9E">
      <w:pPr>
        <w:numPr>
          <w:ilvl w:val="12"/>
          <w:numId w:val="0"/>
        </w:numPr>
        <w:rPr>
          <w:noProof/>
          <w:lang w:val="es-ES"/>
        </w:rPr>
      </w:pPr>
      <w:r w:rsidRPr="008A106B">
        <w:rPr>
          <w:noProof/>
          <w:lang w:val="es-ES"/>
        </w:rPr>
        <w:t>Medicamento sujeto a prescripción médica restringida (</w:t>
      </w:r>
      <w:r w:rsidR="00DC0DF6">
        <w:rPr>
          <w:noProof/>
          <w:lang w:val="es-ES"/>
        </w:rPr>
        <w:t>v</w:t>
      </w:r>
      <w:r w:rsidRPr="008A106B">
        <w:rPr>
          <w:noProof/>
          <w:lang w:val="es-ES"/>
        </w:rPr>
        <w:t>er Anexo I: Ficha Técnica o Resumen de las Características del Producto, sección 4.2).</w:t>
      </w:r>
    </w:p>
    <w:p w14:paraId="25CFD3E7" w14:textId="77777777" w:rsidR="00674F9E" w:rsidRPr="008A106B" w:rsidRDefault="00674F9E" w:rsidP="00674F9E">
      <w:pPr>
        <w:numPr>
          <w:ilvl w:val="12"/>
          <w:numId w:val="0"/>
        </w:numPr>
        <w:rPr>
          <w:noProof/>
          <w:lang w:val="es-ES"/>
        </w:rPr>
      </w:pPr>
    </w:p>
    <w:p w14:paraId="31011864" w14:textId="77777777" w:rsidR="00674F9E" w:rsidRPr="008A106B" w:rsidRDefault="00674F9E" w:rsidP="00674F9E">
      <w:pPr>
        <w:numPr>
          <w:ilvl w:val="12"/>
          <w:numId w:val="0"/>
        </w:numPr>
        <w:rPr>
          <w:noProof/>
          <w:lang w:val="es-ES"/>
        </w:rPr>
      </w:pPr>
    </w:p>
    <w:p w14:paraId="12117525" w14:textId="77777777" w:rsidR="00674F9E" w:rsidRPr="008A106B" w:rsidRDefault="00674F9E" w:rsidP="00F30AB8">
      <w:pPr>
        <w:pStyle w:val="AnnexHeading"/>
        <w:keepNext/>
        <w:keepLines/>
        <w:rPr>
          <w:lang w:val="es-ES_tradnl"/>
        </w:rPr>
      </w:pPr>
      <w:r w:rsidRPr="005054B5">
        <w:rPr>
          <w:lang w:val="es-ES_tradnl"/>
        </w:rPr>
        <w:lastRenderedPageBreak/>
        <w:t>C.</w:t>
      </w:r>
      <w:r w:rsidRPr="005054B5">
        <w:rPr>
          <w:lang w:val="es-ES_tradnl"/>
        </w:rPr>
        <w:tab/>
        <w:t>OTRAS CONDICIONES Y REQUISITOS DE LA AUTORIZACIÓN DE COMERCIALIZACIÓN</w:t>
      </w:r>
    </w:p>
    <w:p w14:paraId="42C7C47D" w14:textId="77777777" w:rsidR="00674F9E" w:rsidRPr="008A106B" w:rsidRDefault="00674F9E" w:rsidP="00F30AB8">
      <w:pPr>
        <w:keepNext/>
        <w:keepLines/>
        <w:ind w:left="567" w:right="567" w:hanging="567"/>
        <w:rPr>
          <w:lang w:val="es-ES_tradnl"/>
        </w:rPr>
      </w:pPr>
    </w:p>
    <w:p w14:paraId="04C9C428" w14:textId="77777777" w:rsidR="00674F9E" w:rsidRDefault="00674F9E" w:rsidP="00F30AB8">
      <w:pPr>
        <w:keepNext/>
        <w:keepLines/>
        <w:ind w:left="720" w:hanging="720"/>
        <w:rPr>
          <w:b/>
          <w:noProof/>
          <w:szCs w:val="24"/>
          <w:lang w:val="es-ES_tradnl"/>
        </w:rPr>
      </w:pPr>
      <w:r w:rsidRPr="008A106B">
        <w:rPr>
          <w:lang w:val="es-ES"/>
        </w:rPr>
        <w:sym w:font="Symbol" w:char="F0B7"/>
      </w:r>
      <w:r w:rsidRPr="008A106B">
        <w:rPr>
          <w:lang w:val="es-ES"/>
        </w:rPr>
        <w:tab/>
      </w:r>
      <w:r w:rsidRPr="006868F5">
        <w:rPr>
          <w:b/>
          <w:noProof/>
          <w:szCs w:val="24"/>
          <w:lang w:val="es-ES_tradnl"/>
        </w:rPr>
        <w:t xml:space="preserve">Informes </w:t>
      </w:r>
      <w:r w:rsidR="00BE5A23">
        <w:rPr>
          <w:b/>
          <w:noProof/>
          <w:szCs w:val="24"/>
          <w:lang w:val="es-ES_tradnl"/>
        </w:rPr>
        <w:t>p</w:t>
      </w:r>
      <w:r w:rsidR="00BE5A23" w:rsidRPr="006868F5">
        <w:rPr>
          <w:b/>
          <w:noProof/>
          <w:szCs w:val="24"/>
          <w:lang w:val="es-ES_tradnl"/>
        </w:rPr>
        <w:t xml:space="preserve">eriódicos </w:t>
      </w:r>
      <w:r w:rsidRPr="006868F5">
        <w:rPr>
          <w:b/>
          <w:noProof/>
          <w:szCs w:val="24"/>
          <w:lang w:val="es-ES_tradnl"/>
        </w:rPr>
        <w:t xml:space="preserve">de </w:t>
      </w:r>
      <w:r w:rsidR="00BE5A23">
        <w:rPr>
          <w:b/>
          <w:noProof/>
          <w:szCs w:val="24"/>
          <w:lang w:val="es-ES_tradnl"/>
        </w:rPr>
        <w:t>s</w:t>
      </w:r>
      <w:r w:rsidR="00BE5A23" w:rsidRPr="006868F5">
        <w:rPr>
          <w:b/>
          <w:noProof/>
          <w:szCs w:val="24"/>
          <w:lang w:val="es-ES_tradnl"/>
        </w:rPr>
        <w:t xml:space="preserve">eguridad </w:t>
      </w:r>
      <w:r w:rsidR="00DC0DF6" w:rsidRPr="006868F5">
        <w:rPr>
          <w:b/>
          <w:noProof/>
          <w:szCs w:val="24"/>
          <w:lang w:val="es-ES_tradnl"/>
        </w:rPr>
        <w:t>(IPS)</w:t>
      </w:r>
    </w:p>
    <w:p w14:paraId="4B76F6B7" w14:textId="77777777" w:rsidR="008C16D0" w:rsidRDefault="008C16D0" w:rsidP="00F30AB8">
      <w:pPr>
        <w:keepNext/>
        <w:keepLines/>
        <w:ind w:left="720" w:hanging="720"/>
        <w:rPr>
          <w:noProof/>
          <w:szCs w:val="24"/>
          <w:lang w:val="es-ES_tradnl"/>
        </w:rPr>
      </w:pPr>
    </w:p>
    <w:p w14:paraId="2DE3AF8F" w14:textId="77777777" w:rsidR="00674F9E" w:rsidRPr="008A106B" w:rsidRDefault="00DC0DF6" w:rsidP="00674F9E">
      <w:pPr>
        <w:ind w:right="-1"/>
        <w:rPr>
          <w:iCs/>
          <w:noProof/>
          <w:u w:val="single"/>
          <w:lang w:val="es-ES"/>
        </w:rPr>
      </w:pPr>
      <w:r>
        <w:rPr>
          <w:noProof/>
          <w:szCs w:val="24"/>
          <w:lang w:val="es-ES_tradnl"/>
        </w:rPr>
        <w:t xml:space="preserve">Los requerimientos para la presentación de los informes periódicos </w:t>
      </w:r>
      <w:r w:rsidR="00674F9E" w:rsidRPr="008A106B">
        <w:rPr>
          <w:noProof/>
          <w:szCs w:val="24"/>
          <w:lang w:val="es-ES_tradnl"/>
        </w:rPr>
        <w:t>de seguridad para este medicamento</w:t>
      </w:r>
      <w:r>
        <w:rPr>
          <w:noProof/>
          <w:szCs w:val="24"/>
          <w:lang w:val="es-ES_tradnl"/>
        </w:rPr>
        <w:t xml:space="preserve"> se establecen </w:t>
      </w:r>
      <w:r w:rsidR="00674F9E" w:rsidRPr="008A106B">
        <w:rPr>
          <w:noProof/>
          <w:szCs w:val="24"/>
          <w:lang w:val="es-ES_tradnl"/>
        </w:rPr>
        <w:t xml:space="preserve">en la lista de fechas de referencia de la Unión (lista EURD) prevista en el artículo 107 </w:t>
      </w:r>
      <w:r>
        <w:rPr>
          <w:noProof/>
          <w:szCs w:val="24"/>
          <w:lang w:val="es-ES_tradnl"/>
        </w:rPr>
        <w:t>qua</w:t>
      </w:r>
      <w:r w:rsidR="00674F9E" w:rsidRPr="008A106B">
        <w:rPr>
          <w:noProof/>
          <w:szCs w:val="24"/>
          <w:lang w:val="es-ES_tradnl"/>
        </w:rPr>
        <w:t xml:space="preserve">ter, </w:t>
      </w:r>
      <w:r>
        <w:rPr>
          <w:noProof/>
          <w:szCs w:val="24"/>
          <w:lang w:val="es-ES_tradnl"/>
        </w:rPr>
        <w:t>apartado</w:t>
      </w:r>
      <w:r w:rsidR="00674F9E" w:rsidRPr="008A106B">
        <w:rPr>
          <w:noProof/>
          <w:szCs w:val="24"/>
          <w:lang w:val="es-ES_tradnl"/>
        </w:rPr>
        <w:t xml:space="preserve"> 7, de la Directiva 2001/83/CE  y </w:t>
      </w:r>
      <w:r>
        <w:rPr>
          <w:noProof/>
          <w:szCs w:val="24"/>
          <w:lang w:val="es-ES_tradnl"/>
        </w:rPr>
        <w:t xml:space="preserve">cualquier actualización posterior </w:t>
      </w:r>
      <w:r w:rsidR="00674F9E" w:rsidRPr="008A106B">
        <w:rPr>
          <w:noProof/>
          <w:szCs w:val="24"/>
          <w:lang w:val="es-ES_tradnl"/>
        </w:rPr>
        <w:t>publicada en el portal web europeo sobre medicamentos</w:t>
      </w:r>
      <w:r w:rsidR="00674F9E">
        <w:rPr>
          <w:noProof/>
          <w:szCs w:val="24"/>
          <w:lang w:val="es-ES_tradnl"/>
        </w:rPr>
        <w:t>.</w:t>
      </w:r>
    </w:p>
    <w:p w14:paraId="12D2DC11" w14:textId="77777777" w:rsidR="00674F9E" w:rsidRPr="008A106B" w:rsidRDefault="00674F9E" w:rsidP="00674F9E">
      <w:pPr>
        <w:ind w:right="-1"/>
        <w:rPr>
          <w:iCs/>
          <w:noProof/>
          <w:u w:val="single"/>
          <w:lang w:val="es-ES"/>
        </w:rPr>
      </w:pPr>
    </w:p>
    <w:p w14:paraId="3E5126DB" w14:textId="77777777" w:rsidR="00674F9E" w:rsidRPr="008A106B" w:rsidRDefault="00674F9E" w:rsidP="00674F9E">
      <w:pPr>
        <w:rPr>
          <w:lang w:val="es-ES"/>
        </w:rPr>
      </w:pPr>
    </w:p>
    <w:p w14:paraId="4A4C7F9E" w14:textId="77777777" w:rsidR="00674F9E" w:rsidRPr="008A106B" w:rsidRDefault="00674F9E" w:rsidP="00591E33">
      <w:pPr>
        <w:pStyle w:val="AnnexHeading"/>
        <w:keepNext/>
        <w:keepLines/>
        <w:rPr>
          <w:lang w:val="es-ES"/>
        </w:rPr>
      </w:pPr>
      <w:r w:rsidRPr="008A106B">
        <w:rPr>
          <w:lang w:val="es-ES"/>
        </w:rPr>
        <w:t>D</w:t>
      </w:r>
      <w:r w:rsidR="00D74CEB">
        <w:rPr>
          <w:lang w:val="es-ES"/>
        </w:rPr>
        <w:t>.</w:t>
      </w:r>
      <w:r w:rsidRPr="008A106B">
        <w:rPr>
          <w:lang w:val="es-ES"/>
        </w:rPr>
        <w:tab/>
        <w:t>CONDICIONES O RESTRICCIONES EN RELACIÓN CON LA UTILIZACIÓN SEGURA Y EFICAZ DEL MEDICAMENTO</w:t>
      </w:r>
    </w:p>
    <w:p w14:paraId="73C8A4FD" w14:textId="77777777" w:rsidR="00674F9E" w:rsidRPr="008A106B" w:rsidRDefault="00674F9E" w:rsidP="00591E33">
      <w:pPr>
        <w:keepNext/>
        <w:keepLines/>
        <w:ind w:left="567" w:right="567" w:hanging="567"/>
        <w:rPr>
          <w:lang w:val="es-ES"/>
        </w:rPr>
      </w:pPr>
    </w:p>
    <w:p w14:paraId="736E80E2" w14:textId="77777777" w:rsidR="00674F9E" w:rsidRPr="00674F9E" w:rsidRDefault="00674F9E" w:rsidP="00591E33">
      <w:pPr>
        <w:keepNext/>
        <w:keepLines/>
        <w:ind w:right="-1"/>
        <w:rPr>
          <w:b/>
          <w:szCs w:val="24"/>
          <w:u w:val="single"/>
          <w:lang w:val="es-ES_tradnl"/>
        </w:rPr>
      </w:pPr>
      <w:r w:rsidRPr="008A106B">
        <w:rPr>
          <w:lang w:val="es-ES"/>
        </w:rPr>
        <w:sym w:font="Symbol" w:char="F0B7"/>
      </w:r>
      <w:r w:rsidRPr="008A106B">
        <w:rPr>
          <w:lang w:val="es-ES"/>
        </w:rPr>
        <w:tab/>
      </w:r>
      <w:r w:rsidRPr="00674F9E">
        <w:rPr>
          <w:b/>
          <w:noProof/>
          <w:szCs w:val="24"/>
          <w:lang w:val="es-ES_tradnl"/>
        </w:rPr>
        <w:t xml:space="preserve">Plan de </w:t>
      </w:r>
      <w:r w:rsidR="00BE5A23">
        <w:rPr>
          <w:b/>
          <w:noProof/>
          <w:szCs w:val="24"/>
          <w:lang w:val="es-ES_tradnl"/>
        </w:rPr>
        <w:t>g</w:t>
      </w:r>
      <w:r w:rsidR="00BE5A23" w:rsidRPr="00674F9E">
        <w:rPr>
          <w:b/>
          <w:noProof/>
          <w:szCs w:val="24"/>
          <w:lang w:val="es-ES_tradnl"/>
        </w:rPr>
        <w:t xml:space="preserve">estión </w:t>
      </w:r>
      <w:r w:rsidRPr="00674F9E">
        <w:rPr>
          <w:b/>
          <w:noProof/>
          <w:szCs w:val="24"/>
          <w:lang w:val="es-ES_tradnl"/>
        </w:rPr>
        <w:t xml:space="preserve">de </w:t>
      </w:r>
      <w:r w:rsidR="00BE5A23">
        <w:rPr>
          <w:b/>
          <w:noProof/>
          <w:szCs w:val="24"/>
          <w:lang w:val="es-ES_tradnl"/>
        </w:rPr>
        <w:t>r</w:t>
      </w:r>
      <w:r w:rsidR="00BE5A23" w:rsidRPr="00674F9E">
        <w:rPr>
          <w:b/>
          <w:noProof/>
          <w:szCs w:val="24"/>
          <w:lang w:val="es-ES_tradnl"/>
        </w:rPr>
        <w:t xml:space="preserve">iesgos </w:t>
      </w:r>
      <w:r w:rsidRPr="00674F9E">
        <w:rPr>
          <w:b/>
          <w:noProof/>
          <w:szCs w:val="24"/>
          <w:lang w:val="es-ES_tradnl"/>
        </w:rPr>
        <w:t>(PGR)</w:t>
      </w:r>
    </w:p>
    <w:p w14:paraId="71534B6B" w14:textId="77777777" w:rsidR="00674F9E" w:rsidRPr="008A106B" w:rsidRDefault="00674F9E" w:rsidP="00591E33">
      <w:pPr>
        <w:keepNext/>
        <w:keepLines/>
        <w:ind w:right="567"/>
        <w:rPr>
          <w:noProof/>
          <w:szCs w:val="24"/>
          <w:lang w:val="es-ES_tradnl"/>
        </w:rPr>
      </w:pPr>
    </w:p>
    <w:p w14:paraId="238148AD" w14:textId="77777777" w:rsidR="00674F9E" w:rsidRPr="008A106B" w:rsidRDefault="00674F9E" w:rsidP="00591E33">
      <w:pPr>
        <w:keepNext/>
        <w:keepLines/>
        <w:ind w:right="567"/>
        <w:rPr>
          <w:noProof/>
          <w:szCs w:val="24"/>
          <w:lang w:val="es-ES_tradnl"/>
        </w:rPr>
      </w:pPr>
      <w:r w:rsidRPr="008A106B">
        <w:rPr>
          <w:noProof/>
          <w:szCs w:val="24"/>
          <w:lang w:val="es-ES_tradnl"/>
        </w:rPr>
        <w:t xml:space="preserve">El </w:t>
      </w:r>
      <w:r w:rsidR="002D364B">
        <w:rPr>
          <w:noProof/>
          <w:szCs w:val="24"/>
          <w:lang w:val="es-ES_tradnl"/>
        </w:rPr>
        <w:t>Titular de Autorización de Comercialización (</w:t>
      </w:r>
      <w:r w:rsidRPr="008A106B">
        <w:rPr>
          <w:noProof/>
          <w:szCs w:val="24"/>
          <w:lang w:val="es-ES_tradnl"/>
        </w:rPr>
        <w:t>TAC</w:t>
      </w:r>
      <w:r w:rsidR="002D364B">
        <w:rPr>
          <w:noProof/>
          <w:szCs w:val="24"/>
          <w:lang w:val="es-ES_tradnl"/>
        </w:rPr>
        <w:t>)</w:t>
      </w:r>
      <w:r w:rsidRPr="008A106B">
        <w:rPr>
          <w:noProof/>
          <w:szCs w:val="24"/>
          <w:lang w:val="es-ES_tradnl"/>
        </w:rPr>
        <w:t xml:space="preserve"> realizará  las actividades e intervenciones de farmacovigilancia necesarias según lo acordado en  la versión del PGR incluido en el Módulo 1.8.2. de la Autorización de Comercialización y en cualquier actualización del PGR que se acuerde posteriormente</w:t>
      </w:r>
    </w:p>
    <w:p w14:paraId="31CDD19E" w14:textId="77777777" w:rsidR="00674F9E" w:rsidRPr="008A106B" w:rsidRDefault="00674F9E" w:rsidP="00591E33">
      <w:pPr>
        <w:keepNext/>
        <w:keepLines/>
        <w:ind w:right="-1"/>
        <w:rPr>
          <w:i/>
          <w:szCs w:val="24"/>
          <w:lang w:val="es-ES_tradnl"/>
        </w:rPr>
      </w:pPr>
    </w:p>
    <w:p w14:paraId="3FEF59CA" w14:textId="77777777" w:rsidR="00674F9E" w:rsidRPr="008A106B" w:rsidRDefault="00674F9E" w:rsidP="00591E33">
      <w:pPr>
        <w:keepNext/>
        <w:keepLines/>
        <w:ind w:right="-1"/>
        <w:rPr>
          <w:noProof/>
          <w:szCs w:val="24"/>
          <w:lang w:val="es-ES_tradnl"/>
        </w:rPr>
      </w:pPr>
      <w:r>
        <w:rPr>
          <w:noProof/>
          <w:szCs w:val="24"/>
          <w:lang w:val="es-ES_tradnl"/>
        </w:rPr>
        <w:t>S</w:t>
      </w:r>
      <w:r w:rsidRPr="008A106B">
        <w:rPr>
          <w:noProof/>
          <w:szCs w:val="24"/>
          <w:lang w:val="es-ES_tradnl"/>
        </w:rPr>
        <w:t>e debe presentar un PGR actualizado:</w:t>
      </w:r>
    </w:p>
    <w:p w14:paraId="5C54677C" w14:textId="77777777" w:rsidR="00674F9E" w:rsidRPr="008A106B" w:rsidRDefault="00674F9E" w:rsidP="00591E33">
      <w:pPr>
        <w:keepNext/>
        <w:keepLines/>
        <w:ind w:right="-1"/>
        <w:rPr>
          <w:noProof/>
          <w:szCs w:val="24"/>
          <w:lang w:val="es-ES_tradnl"/>
        </w:rPr>
      </w:pPr>
    </w:p>
    <w:p w14:paraId="2D12D65E" w14:textId="77777777" w:rsidR="00674F9E" w:rsidRPr="008A106B" w:rsidRDefault="00674F9E" w:rsidP="00591E33">
      <w:pPr>
        <w:keepNext/>
        <w:keepLines/>
        <w:ind w:left="720" w:right="-1" w:hanging="436"/>
        <w:rPr>
          <w:szCs w:val="24"/>
          <w:lang w:val="es-ES_tradnl"/>
        </w:rPr>
      </w:pPr>
      <w:r w:rsidRPr="008A106B">
        <w:rPr>
          <w:lang w:val="es-ES"/>
        </w:rPr>
        <w:sym w:font="Symbol" w:char="F0B7"/>
      </w:r>
      <w:r w:rsidRPr="008A106B">
        <w:rPr>
          <w:lang w:val="es-ES"/>
        </w:rPr>
        <w:tab/>
      </w:r>
      <w:r w:rsidRPr="008A106B">
        <w:rPr>
          <w:noProof/>
          <w:szCs w:val="24"/>
          <w:lang w:val="es-ES_tradnl"/>
        </w:rPr>
        <w:t>A petición de la Agencia Europea de Medicamentos</w:t>
      </w:r>
    </w:p>
    <w:p w14:paraId="46B69137" w14:textId="77777777" w:rsidR="00674F9E" w:rsidRDefault="00674F9E" w:rsidP="00817DCE">
      <w:pPr>
        <w:keepLines/>
        <w:ind w:left="720" w:hanging="432"/>
        <w:rPr>
          <w:noProof/>
          <w:szCs w:val="24"/>
          <w:lang w:val="es-ES_tradnl"/>
        </w:rPr>
      </w:pPr>
      <w:r w:rsidRPr="008A106B">
        <w:rPr>
          <w:lang w:val="es-ES"/>
        </w:rPr>
        <w:sym w:font="Symbol" w:char="F0B7"/>
      </w:r>
      <w:r w:rsidRPr="008A106B">
        <w:rPr>
          <w:lang w:val="es-ES"/>
        </w:rPr>
        <w:tab/>
      </w:r>
      <w:r w:rsidRPr="008A106B">
        <w:rPr>
          <w:noProof/>
          <w:szCs w:val="24"/>
          <w:lang w:val="es-ES_tradnl"/>
        </w:rPr>
        <w:t xml:space="preserve">Cuando se modifique el sistema de gestión de riesgos, especialmente como resultado de nueva información disponible que pueda conllevar cambios relevantes en el perfil  beneficio/riesgo, o como resultado de la consecución de un hito importante (farmacovigilancia o minimización </w:t>
      </w:r>
      <w:r w:rsidRPr="000911DD">
        <w:rPr>
          <w:noProof/>
          <w:szCs w:val="24"/>
          <w:lang w:val="es-ES_tradnl"/>
        </w:rPr>
        <w:t>de riesgos).</w:t>
      </w:r>
    </w:p>
    <w:p w14:paraId="64EDC63E" w14:textId="77777777" w:rsidR="00084326" w:rsidRPr="000911DD" w:rsidRDefault="00084326" w:rsidP="00817DCE">
      <w:pPr>
        <w:keepLines/>
        <w:ind w:left="720" w:hanging="432"/>
        <w:rPr>
          <w:noProof/>
          <w:szCs w:val="24"/>
          <w:lang w:val="es-ES_tradnl"/>
        </w:rPr>
      </w:pPr>
    </w:p>
    <w:p w14:paraId="10DB1B82" w14:textId="77777777" w:rsidR="00674F9E" w:rsidRDefault="00674F9E" w:rsidP="00674F9E">
      <w:pPr>
        <w:ind w:right="-1"/>
        <w:rPr>
          <w:noProof/>
          <w:szCs w:val="24"/>
          <w:lang w:val="es-ES_tradnl"/>
        </w:rPr>
      </w:pPr>
      <w:r w:rsidRPr="00D20200">
        <w:rPr>
          <w:noProof/>
          <w:szCs w:val="24"/>
          <w:lang w:val="es-ES_tradnl"/>
        </w:rPr>
        <w:t>Si coincide la presentación de un IPS con la actualización del PGR, ambos documentos se pueden presentar conjuntamente.</w:t>
      </w:r>
    </w:p>
    <w:p w14:paraId="40BAFBAE" w14:textId="77777777" w:rsidR="00674F9E" w:rsidRPr="005054B5" w:rsidRDefault="00674F9E" w:rsidP="00674F9E">
      <w:pPr>
        <w:ind w:right="-1"/>
        <w:rPr>
          <w:noProof/>
          <w:szCs w:val="24"/>
          <w:lang w:val="es-ES_tradnl"/>
        </w:rPr>
      </w:pPr>
    </w:p>
    <w:p w14:paraId="6056178D" w14:textId="54E829B4" w:rsidR="00674F9E" w:rsidRPr="008A106B" w:rsidDel="00B707BE" w:rsidRDefault="00674F9E" w:rsidP="00674F9E">
      <w:pPr>
        <w:keepNext/>
        <w:keepLines/>
        <w:ind w:right="-1"/>
        <w:rPr>
          <w:del w:id="2166" w:author="AUTHOR"/>
          <w:szCs w:val="24"/>
          <w:lang w:val="es-ES_tradnl"/>
        </w:rPr>
      </w:pPr>
      <w:del w:id="2167" w:author="AUTHOR">
        <w:r w:rsidRPr="008A106B" w:rsidDel="00B707BE">
          <w:rPr>
            <w:lang w:val="es-ES"/>
          </w:rPr>
          <w:sym w:font="Symbol" w:char="F0B7"/>
        </w:r>
        <w:r w:rsidRPr="008A106B" w:rsidDel="00B707BE">
          <w:rPr>
            <w:lang w:val="es-ES"/>
          </w:rPr>
          <w:tab/>
        </w:r>
        <w:r w:rsidRPr="008A106B" w:rsidDel="00B707BE">
          <w:rPr>
            <w:b/>
            <w:noProof/>
            <w:szCs w:val="24"/>
            <w:lang w:val="es-ES_tradnl"/>
          </w:rPr>
          <w:delText>Medidas adicionales de minimización de riesgos</w:delText>
        </w:r>
      </w:del>
    </w:p>
    <w:p w14:paraId="61D27827" w14:textId="6994CB2F" w:rsidR="00674F9E" w:rsidRPr="008A106B" w:rsidDel="00B707BE" w:rsidRDefault="00674F9E" w:rsidP="00674F9E">
      <w:pPr>
        <w:keepNext/>
        <w:keepLines/>
        <w:ind w:right="567"/>
        <w:rPr>
          <w:del w:id="2168" w:author="AUTHOR"/>
          <w:lang w:val="es-ES_tradnl"/>
        </w:rPr>
      </w:pPr>
    </w:p>
    <w:p w14:paraId="62585AA4" w14:textId="75A71EF7" w:rsidR="00674F9E" w:rsidRPr="008A106B" w:rsidDel="00B707BE" w:rsidRDefault="00674F9E" w:rsidP="00674F9E">
      <w:pPr>
        <w:ind w:right="567"/>
        <w:rPr>
          <w:del w:id="2169" w:author="AUTHOR"/>
          <w:lang w:val="es-ES"/>
        </w:rPr>
      </w:pPr>
      <w:r w:rsidRPr="008A106B">
        <w:rPr>
          <w:lang w:val="es-ES"/>
        </w:rPr>
        <w:t>El Titular de la Autorización de Comercialización (TAC) debe presentar un</w:t>
      </w:r>
      <w:ins w:id="2170" w:author="AUTHOR">
        <w:r w:rsidR="00E57AFE">
          <w:rPr>
            <w:lang w:val="es-ES"/>
          </w:rPr>
          <w:t xml:space="preserve"> dosier informativo para el paciente</w:t>
        </w:r>
      </w:ins>
      <w:del w:id="2171" w:author="AUTHOR">
        <w:r w:rsidRPr="008A106B" w:rsidDel="00B707BE">
          <w:rPr>
            <w:lang w:val="es-ES"/>
          </w:rPr>
          <w:delText xml:space="preserve"> material educacional </w:delText>
        </w:r>
      </w:del>
      <w:r w:rsidRPr="008A106B">
        <w:rPr>
          <w:lang w:val="es-ES"/>
        </w:rPr>
        <w:t>que cubra las indicaciones de Artritis Reumatoide</w:t>
      </w:r>
      <w:r w:rsidR="00E76D3C">
        <w:rPr>
          <w:lang w:val="es-ES"/>
        </w:rPr>
        <w:t>,</w:t>
      </w:r>
      <w:r w:rsidRPr="008A106B">
        <w:rPr>
          <w:lang w:val="es-ES"/>
        </w:rPr>
        <w:t xml:space="preserve"> AIJs</w:t>
      </w:r>
      <w:r w:rsidR="00756D3F">
        <w:rPr>
          <w:lang w:val="es-ES"/>
        </w:rPr>
        <w:t>,</w:t>
      </w:r>
      <w:r w:rsidR="00E76D3C">
        <w:rPr>
          <w:lang w:val="es-ES"/>
        </w:rPr>
        <w:t xml:space="preserve"> AIJp</w:t>
      </w:r>
      <w:r w:rsidR="00756D3F">
        <w:rPr>
          <w:lang w:val="es-ES"/>
        </w:rPr>
        <w:t xml:space="preserve"> y ACG</w:t>
      </w:r>
      <w:r w:rsidRPr="008A106B">
        <w:rPr>
          <w:lang w:val="es-ES"/>
        </w:rPr>
        <w:t xml:space="preserve">, dirigido a todos los </w:t>
      </w:r>
      <w:ins w:id="2172" w:author="AUTHOR">
        <w:r w:rsidR="00E57AFE">
          <w:rPr>
            <w:lang w:val="es-ES"/>
          </w:rPr>
          <w:t>pacientes</w:t>
        </w:r>
      </w:ins>
      <w:del w:id="2173" w:author="AUTHOR">
        <w:r w:rsidRPr="008A106B" w:rsidDel="00E57AFE">
          <w:rPr>
            <w:lang w:val="es-ES"/>
          </w:rPr>
          <w:delText>médicos</w:delText>
        </w:r>
      </w:del>
      <w:r w:rsidRPr="008A106B">
        <w:rPr>
          <w:lang w:val="es-ES"/>
        </w:rPr>
        <w:t xml:space="preserve"> que se espera que </w:t>
      </w:r>
      <w:del w:id="2174" w:author="AUTHOR">
        <w:r w:rsidRPr="008A106B" w:rsidDel="00E57AFE">
          <w:rPr>
            <w:lang w:val="es-ES"/>
          </w:rPr>
          <w:delText xml:space="preserve">prescriban/ </w:delText>
        </w:r>
      </w:del>
      <w:r w:rsidRPr="008A106B">
        <w:rPr>
          <w:lang w:val="es-ES"/>
        </w:rPr>
        <w:t>utilicen  RoActemra</w:t>
      </w:r>
      <w:ins w:id="2175" w:author="AUTHOR">
        <w:r w:rsidR="00E57AFE">
          <w:rPr>
            <w:lang w:val="es-ES"/>
          </w:rPr>
          <w:t>.</w:t>
        </w:r>
      </w:ins>
      <w:r w:rsidRPr="008A106B">
        <w:rPr>
          <w:lang w:val="es-ES"/>
        </w:rPr>
        <w:t xml:space="preserve"> que incluirá la siguiente información:  </w:t>
      </w:r>
    </w:p>
    <w:p w14:paraId="729A23AF" w14:textId="332165C4" w:rsidR="00674F9E" w:rsidRPr="008A106B" w:rsidDel="00B707BE" w:rsidRDefault="00674F9E" w:rsidP="00674F9E">
      <w:pPr>
        <w:ind w:left="360" w:right="567"/>
        <w:rPr>
          <w:del w:id="2176" w:author="AUTHOR"/>
          <w:lang w:val="es-ES"/>
        </w:rPr>
      </w:pPr>
    </w:p>
    <w:p w14:paraId="1E57F62C" w14:textId="1DC4F6BC" w:rsidR="00674F9E" w:rsidRPr="008A106B" w:rsidDel="00B707BE" w:rsidRDefault="00674F9E" w:rsidP="00F30AB8">
      <w:pPr>
        <w:ind w:right="567"/>
        <w:rPr>
          <w:del w:id="2177" w:author="AUTHOR"/>
          <w:lang w:val="es-ES"/>
        </w:rPr>
      </w:pPr>
      <w:del w:id="2178" w:author="AUTHOR">
        <w:r w:rsidRPr="008A106B" w:rsidDel="00B707BE">
          <w:rPr>
            <w:lang w:val="es-ES"/>
          </w:rPr>
          <w:sym w:font="Symbol" w:char="F0B7"/>
        </w:r>
        <w:r w:rsidRPr="008A106B" w:rsidDel="00B707BE">
          <w:rPr>
            <w:lang w:val="es-ES"/>
          </w:rPr>
          <w:tab/>
          <w:delText>Dossier informativo para los médicos.</w:delText>
        </w:r>
      </w:del>
    </w:p>
    <w:p w14:paraId="2F8BCABB" w14:textId="2A1BE779" w:rsidR="00674F9E" w:rsidRPr="008A106B" w:rsidDel="00B707BE" w:rsidRDefault="00674F9E" w:rsidP="00376697">
      <w:pPr>
        <w:ind w:left="426" w:right="567" w:hanging="284"/>
        <w:rPr>
          <w:del w:id="2179" w:author="AUTHOR"/>
          <w:lang w:val="es-ES"/>
        </w:rPr>
      </w:pPr>
      <w:del w:id="2180" w:author="AUTHOR">
        <w:r w:rsidRPr="008A106B" w:rsidDel="00B707BE">
          <w:rPr>
            <w:lang w:val="es-ES"/>
          </w:rPr>
          <w:sym w:font="Symbol" w:char="F0B7"/>
        </w:r>
        <w:r w:rsidRPr="008A106B" w:rsidDel="00B707BE">
          <w:rPr>
            <w:lang w:val="es-ES"/>
          </w:rPr>
          <w:tab/>
          <w:delText>Dossier informativo para las enfermeras.</w:delText>
        </w:r>
      </w:del>
    </w:p>
    <w:p w14:paraId="20ED2C1F" w14:textId="7E28233D" w:rsidR="00674F9E" w:rsidRPr="008A106B" w:rsidDel="00B707BE" w:rsidRDefault="00674F9E" w:rsidP="00376697">
      <w:pPr>
        <w:ind w:left="426" w:right="567" w:hanging="284"/>
        <w:rPr>
          <w:del w:id="2181" w:author="AUTHOR"/>
          <w:lang w:val="es-ES"/>
        </w:rPr>
      </w:pPr>
      <w:del w:id="2182" w:author="AUTHOR">
        <w:r w:rsidRPr="008A106B" w:rsidDel="00B707BE">
          <w:rPr>
            <w:lang w:val="es-ES"/>
          </w:rPr>
          <w:sym w:font="Symbol" w:char="F0B7"/>
        </w:r>
        <w:r w:rsidRPr="008A106B" w:rsidDel="00B707BE">
          <w:rPr>
            <w:lang w:val="es-ES"/>
          </w:rPr>
          <w:tab/>
          <w:delText>Dossier informativo para los pacientes.</w:delText>
        </w:r>
      </w:del>
    </w:p>
    <w:p w14:paraId="45C25FFA" w14:textId="64DCE76D" w:rsidR="00674F9E" w:rsidRPr="008A106B" w:rsidDel="00B707BE" w:rsidRDefault="00674F9E" w:rsidP="00F30AB8">
      <w:pPr>
        <w:ind w:left="426" w:right="567" w:hanging="284"/>
        <w:rPr>
          <w:del w:id="2183" w:author="AUTHOR"/>
          <w:lang w:val="es-ES"/>
        </w:rPr>
      </w:pPr>
    </w:p>
    <w:p w14:paraId="4CE8D4EF" w14:textId="522D431B" w:rsidR="00674F9E" w:rsidRPr="008A106B" w:rsidDel="00B707BE" w:rsidRDefault="00674F9E" w:rsidP="00F30AB8">
      <w:pPr>
        <w:ind w:left="426" w:right="567" w:hanging="284"/>
        <w:rPr>
          <w:del w:id="2184" w:author="AUTHOR"/>
          <w:lang w:val="es-ES"/>
        </w:rPr>
      </w:pPr>
      <w:del w:id="2185" w:author="AUTHOR">
        <w:r w:rsidRPr="008A106B" w:rsidDel="00B707BE">
          <w:rPr>
            <w:lang w:val="es-ES"/>
          </w:rPr>
          <w:delText>El TAC debe acordar el contenido y el formato del material educativo, además del plan de comunicación</w:delText>
        </w:r>
        <w:r w:rsidR="000B447D" w:rsidDel="00B707BE">
          <w:rPr>
            <w:lang w:val="es-ES"/>
          </w:rPr>
          <w:delText xml:space="preserve"> (incluyendo los canales de distribución)</w:delText>
        </w:r>
        <w:r w:rsidRPr="008A106B" w:rsidDel="00B707BE">
          <w:rPr>
            <w:lang w:val="es-ES"/>
          </w:rPr>
          <w:delText>, con las Autoridades Nacionales competentes, antes de la distribución del material educacional</w:delText>
        </w:r>
      </w:del>
    </w:p>
    <w:p w14:paraId="1B3DA9DF" w14:textId="2D7449E9" w:rsidR="00674F9E" w:rsidRPr="008A106B" w:rsidDel="00B707BE" w:rsidRDefault="00674F9E" w:rsidP="00674F9E">
      <w:pPr>
        <w:ind w:right="567"/>
        <w:rPr>
          <w:del w:id="2186" w:author="AUTHOR"/>
          <w:lang w:val="es-ES"/>
        </w:rPr>
      </w:pPr>
    </w:p>
    <w:p w14:paraId="27AA89B5" w14:textId="1367EFDC" w:rsidR="00674F9E" w:rsidRPr="008A106B" w:rsidDel="00B707BE" w:rsidRDefault="00674F9E" w:rsidP="00674F9E">
      <w:pPr>
        <w:ind w:right="567"/>
        <w:rPr>
          <w:del w:id="2187" w:author="AUTHOR"/>
          <w:lang w:val="es-ES"/>
        </w:rPr>
      </w:pPr>
      <w:del w:id="2188" w:author="AUTHOR">
        <w:r w:rsidRPr="008A106B" w:rsidDel="00B707BE">
          <w:rPr>
            <w:lang w:val="es-ES"/>
          </w:rPr>
          <w:delText>El dossier informativo para los médicos debe contener los siguientes puntos claves:</w:delText>
        </w:r>
      </w:del>
    </w:p>
    <w:p w14:paraId="5471B959" w14:textId="1F41DB1E" w:rsidR="00674F9E" w:rsidRPr="008A106B" w:rsidDel="00B707BE" w:rsidRDefault="00674F9E" w:rsidP="00674F9E">
      <w:pPr>
        <w:ind w:left="567" w:right="567" w:hanging="567"/>
        <w:rPr>
          <w:del w:id="2189" w:author="AUTHOR"/>
          <w:lang w:val="es-ES"/>
        </w:rPr>
      </w:pPr>
      <w:del w:id="2190" w:author="AUTHOR">
        <w:r w:rsidRPr="008A106B" w:rsidDel="00B707BE">
          <w:rPr>
            <w:lang w:val="es-ES"/>
          </w:rPr>
          <w:sym w:font="Symbol" w:char="F0B7"/>
        </w:r>
        <w:r w:rsidRPr="008A106B" w:rsidDel="00B707BE">
          <w:rPr>
            <w:lang w:val="es-ES"/>
          </w:rPr>
          <w:tab/>
        </w:r>
        <w:r w:rsidR="000B447D" w:rsidDel="00B707BE">
          <w:rPr>
            <w:lang w:val="es-ES"/>
          </w:rPr>
          <w:delText xml:space="preserve">Referencia a la </w:delText>
        </w:r>
        <w:r w:rsidRPr="008A106B" w:rsidDel="00B707BE">
          <w:rPr>
            <w:lang w:val="es-ES"/>
          </w:rPr>
          <w:delText>Ficha Técnica</w:delText>
        </w:r>
        <w:r w:rsidR="000B447D" w:rsidDel="00B707BE">
          <w:rPr>
            <w:lang w:val="es-ES"/>
          </w:rPr>
          <w:delText xml:space="preserve"> (p.e. link a la página web de la EMA)</w:delText>
        </w:r>
      </w:del>
    </w:p>
    <w:p w14:paraId="29E067F2" w14:textId="75E752B3" w:rsidR="00674F9E" w:rsidRPr="008A106B" w:rsidDel="00B707BE" w:rsidRDefault="00674F9E" w:rsidP="00674F9E">
      <w:pPr>
        <w:ind w:left="567" w:right="567" w:hanging="567"/>
        <w:rPr>
          <w:del w:id="2191" w:author="AUTHOR"/>
          <w:lang w:val="es-ES"/>
        </w:rPr>
      </w:pPr>
      <w:del w:id="2192" w:author="AUTHOR">
        <w:r w:rsidRPr="008A106B" w:rsidDel="00B707BE">
          <w:rPr>
            <w:lang w:val="es-ES"/>
          </w:rPr>
          <w:sym w:font="Symbol" w:char="F0B7"/>
        </w:r>
        <w:r w:rsidRPr="008A106B" w:rsidDel="00B707BE">
          <w:rPr>
            <w:lang w:val="es-ES"/>
          </w:rPr>
          <w:tab/>
          <w:delText>Guía del cálculo de dosis (para pacientes con AR, AIJs y AIJp), y preparación de las perfusiones y velocidad de perfusión.</w:delText>
        </w:r>
      </w:del>
    </w:p>
    <w:p w14:paraId="210075E0" w14:textId="6AE6A948" w:rsidR="00674F9E" w:rsidRPr="008A106B" w:rsidDel="00B707BE" w:rsidRDefault="00674F9E" w:rsidP="00674F9E">
      <w:pPr>
        <w:ind w:left="567" w:right="567" w:hanging="567"/>
        <w:rPr>
          <w:del w:id="2193" w:author="AUTHOR"/>
          <w:lang w:val="es-ES"/>
        </w:rPr>
      </w:pPr>
      <w:del w:id="2194" w:author="AUTHOR">
        <w:r w:rsidRPr="008A106B" w:rsidDel="00B707BE">
          <w:rPr>
            <w:lang w:val="es-ES"/>
          </w:rPr>
          <w:sym w:font="Symbol" w:char="F0B7"/>
        </w:r>
        <w:r w:rsidRPr="008A106B" w:rsidDel="00B707BE">
          <w:rPr>
            <w:lang w:val="es-ES"/>
          </w:rPr>
          <w:tab/>
          <w:delText>Riesgo de infecciones graves:</w:delText>
        </w:r>
      </w:del>
    </w:p>
    <w:p w14:paraId="29B6C660" w14:textId="20609608" w:rsidR="00674F9E" w:rsidRPr="008A106B" w:rsidDel="00B707BE" w:rsidRDefault="00674F9E" w:rsidP="00674F9E">
      <w:pPr>
        <w:ind w:left="1701" w:right="567" w:hanging="621"/>
        <w:rPr>
          <w:del w:id="2195" w:author="AUTHOR"/>
          <w:lang w:val="es-ES"/>
        </w:rPr>
      </w:pPr>
      <w:del w:id="2196" w:author="AUTHOR">
        <w:r w:rsidRPr="008A106B" w:rsidDel="00B707BE">
          <w:rPr>
            <w:lang w:val="es-ES"/>
          </w:rPr>
          <w:sym w:font="Symbol" w:char="F0B7"/>
        </w:r>
        <w:r w:rsidRPr="008A106B" w:rsidDel="00B707BE">
          <w:rPr>
            <w:lang w:val="es-ES"/>
          </w:rPr>
          <w:tab/>
          <w:delText>El producto no debe utilizarse en pacientes con infección activa o sospecha de infección.</w:delText>
        </w:r>
      </w:del>
    </w:p>
    <w:p w14:paraId="63E52CF6" w14:textId="02A07564" w:rsidR="00674F9E" w:rsidDel="00B707BE" w:rsidRDefault="00674F9E" w:rsidP="00674F9E">
      <w:pPr>
        <w:ind w:left="1701" w:right="567" w:hanging="621"/>
        <w:rPr>
          <w:del w:id="2197" w:author="AUTHOR"/>
          <w:lang w:val="es-ES_tradnl"/>
        </w:rPr>
      </w:pPr>
      <w:del w:id="2198" w:author="AUTHOR">
        <w:r w:rsidRPr="008A106B" w:rsidDel="00B707BE">
          <w:rPr>
            <w:lang w:val="es-ES"/>
          </w:rPr>
          <w:sym w:font="Symbol" w:char="F0B7"/>
        </w:r>
        <w:r w:rsidRPr="008A106B" w:rsidDel="00B707BE">
          <w:rPr>
            <w:lang w:val="es-ES"/>
          </w:rPr>
          <w:tab/>
          <w:delText xml:space="preserve">El producto puede reducir </w:delText>
        </w:r>
        <w:r w:rsidRPr="008A106B" w:rsidDel="00B707BE">
          <w:rPr>
            <w:lang w:val="es-ES_tradnl"/>
          </w:rPr>
          <w:delText xml:space="preserve">los signos y síntomas de la infección aguda retrasando su diagnóstico. </w:delText>
        </w:r>
      </w:del>
    </w:p>
    <w:p w14:paraId="69FABC45" w14:textId="7FED5234" w:rsidR="00AD2A7B" w:rsidDel="00B707BE" w:rsidRDefault="00EB5BE8" w:rsidP="00EF2448">
      <w:pPr>
        <w:ind w:left="357" w:right="567" w:hanging="357"/>
        <w:rPr>
          <w:del w:id="2199" w:author="AUTHOR"/>
          <w:lang w:val="es-ES_tradnl"/>
        </w:rPr>
      </w:pPr>
      <w:del w:id="2200" w:author="AUTHOR">
        <w:r w:rsidRPr="008A106B" w:rsidDel="00B707BE">
          <w:rPr>
            <w:lang w:val="es-ES"/>
          </w:rPr>
          <w:lastRenderedPageBreak/>
          <w:sym w:font="Symbol" w:char="F0B7"/>
        </w:r>
        <w:r w:rsidRPr="008A106B" w:rsidDel="00B707BE">
          <w:rPr>
            <w:lang w:val="es-ES"/>
          </w:rPr>
          <w:tab/>
        </w:r>
        <w:r w:rsidR="00AD2A7B" w:rsidDel="00B707BE">
          <w:rPr>
            <w:lang w:val="es-ES_tradnl"/>
          </w:rPr>
          <w:delText xml:space="preserve">    Riesgo de Hepatotoxicidad:</w:delText>
        </w:r>
      </w:del>
    </w:p>
    <w:p w14:paraId="53159A47" w14:textId="2C89E6A6" w:rsidR="00AD2A7B" w:rsidDel="00B707BE" w:rsidRDefault="00FD2673" w:rsidP="00376697">
      <w:pPr>
        <w:ind w:left="1077" w:right="567" w:hanging="357"/>
        <w:rPr>
          <w:del w:id="2201" w:author="AUTHOR"/>
          <w:lang w:val="es-ES_tradnl"/>
        </w:rPr>
      </w:pPr>
      <w:del w:id="2202" w:author="AUTHOR">
        <w:r w:rsidRPr="008A106B" w:rsidDel="00B707BE">
          <w:rPr>
            <w:lang w:val="es-ES"/>
          </w:rPr>
          <w:sym w:font="Symbol" w:char="F0B7"/>
        </w:r>
        <w:r w:rsidRPr="008A106B" w:rsidDel="00B707BE">
          <w:rPr>
            <w:lang w:val="es-ES"/>
          </w:rPr>
          <w:tab/>
        </w:r>
        <w:r w:rsidR="00AD2A7B" w:rsidDel="00B707BE">
          <w:rPr>
            <w:lang w:val="es-ES_tradnl"/>
          </w:rPr>
          <w:delText>Se deberá tener precaución si se considera iniciar tratamiento con tocilizumab en pacientes con valores de ALT o AST &gt;1.5 veces por encima del límite superior de la normalidad (LSN). No se recomienda el tratamiento con tocilizumab en pacientes con ALT o AST &gt; 5 veces por encima del LSN.</w:delText>
        </w:r>
      </w:del>
    </w:p>
    <w:p w14:paraId="7ECC6F41" w14:textId="59666852" w:rsidR="00AD2A7B" w:rsidRPr="008A106B" w:rsidDel="00B707BE" w:rsidRDefault="00FD2673" w:rsidP="00376697">
      <w:pPr>
        <w:ind w:left="1077" w:right="567" w:hanging="357"/>
        <w:rPr>
          <w:del w:id="2203" w:author="AUTHOR"/>
          <w:lang w:val="es-ES_tradnl"/>
        </w:rPr>
      </w:pPr>
      <w:del w:id="2204" w:author="AUTHOR">
        <w:r w:rsidRPr="008A106B" w:rsidDel="00B707BE">
          <w:rPr>
            <w:lang w:val="es-ES"/>
          </w:rPr>
          <w:sym w:font="Symbol" w:char="F0B7"/>
        </w:r>
        <w:r w:rsidRPr="008A106B" w:rsidDel="00B707BE">
          <w:rPr>
            <w:lang w:val="es-ES"/>
          </w:rPr>
          <w:tab/>
        </w:r>
        <w:r w:rsidR="005A50ED" w:rsidDel="00B707BE">
          <w:rPr>
            <w:lang w:val="es-ES_tradnl"/>
          </w:rPr>
          <w:delText>En AR, ACG, AIJs y AIJp, la ALT/AST debe ser monitorizada cada 4 a 8 semanas durante los primeros 6 meses de tratamiento y cada 12 semanas a partir de entonces. Las modificaciones recomendadas de dosis, incluyendo la discontinuación de tocilizumab, basadas en l</w:delText>
        </w:r>
        <w:r w:rsidR="00827BE7" w:rsidDel="00B707BE">
          <w:rPr>
            <w:lang w:val="es-ES_tradnl"/>
          </w:rPr>
          <w:delText xml:space="preserve">os niveles de transaminasas, figuran </w:delText>
        </w:r>
        <w:r w:rsidR="005A50ED" w:rsidDel="00B707BE">
          <w:rPr>
            <w:lang w:val="es-ES_tradnl"/>
          </w:rPr>
          <w:delText>en la Ficha Técnica sección 4.2.</w:delText>
        </w:r>
        <w:r w:rsidR="00AD2A7B" w:rsidDel="00B707BE">
          <w:rPr>
            <w:lang w:val="es-ES_tradnl"/>
          </w:rPr>
          <w:delText xml:space="preserve"> </w:delText>
        </w:r>
      </w:del>
    </w:p>
    <w:p w14:paraId="03D50C2D" w14:textId="48BD04CE" w:rsidR="00674F9E" w:rsidRPr="008A106B" w:rsidDel="00B707BE" w:rsidRDefault="00674F9E" w:rsidP="002D364B">
      <w:pPr>
        <w:ind w:left="567" w:right="567" w:hanging="567"/>
        <w:rPr>
          <w:del w:id="2205" w:author="AUTHOR"/>
          <w:lang w:val="es-ES_tradnl"/>
        </w:rPr>
      </w:pPr>
    </w:p>
    <w:p w14:paraId="1F40BBB1" w14:textId="15192020" w:rsidR="00674F9E" w:rsidRPr="008A106B" w:rsidDel="00B707BE" w:rsidRDefault="00674F9E" w:rsidP="00674F9E">
      <w:pPr>
        <w:ind w:left="567" w:right="567" w:hanging="567"/>
        <w:rPr>
          <w:del w:id="2206" w:author="AUTHOR"/>
          <w:lang w:val="es-ES_tradnl"/>
        </w:rPr>
      </w:pPr>
      <w:del w:id="2207" w:author="AUTHOR">
        <w:r w:rsidRPr="008A106B" w:rsidDel="00B707BE">
          <w:rPr>
            <w:lang w:val="es-ES_tradnl"/>
          </w:rPr>
          <w:sym w:font="Symbol" w:char="F0B7"/>
        </w:r>
        <w:r w:rsidRPr="008A106B" w:rsidDel="00B707BE">
          <w:rPr>
            <w:lang w:val="es-ES_tradnl"/>
          </w:rPr>
          <w:tab/>
          <w:delText>Riesgo de perforaciones gastrointestinales especialmente en pacientes con historial de diverticulitis o úlceras gastrointestinales.</w:delText>
        </w:r>
      </w:del>
    </w:p>
    <w:p w14:paraId="116D48A0" w14:textId="7EFD127E" w:rsidR="00674F9E" w:rsidRPr="008A106B" w:rsidDel="00B707BE" w:rsidRDefault="00674F9E" w:rsidP="00674F9E">
      <w:pPr>
        <w:ind w:left="567" w:right="567" w:hanging="567"/>
        <w:rPr>
          <w:del w:id="2208" w:author="AUTHOR"/>
          <w:lang w:val="es-ES_tradnl"/>
        </w:rPr>
      </w:pPr>
      <w:del w:id="2209" w:author="AUTHOR">
        <w:r w:rsidRPr="008A106B" w:rsidDel="00B707BE">
          <w:rPr>
            <w:lang w:val="es-ES_tradnl"/>
          </w:rPr>
          <w:sym w:font="Symbol" w:char="F0B7"/>
        </w:r>
        <w:r w:rsidRPr="008A106B" w:rsidDel="00B707BE">
          <w:rPr>
            <w:lang w:val="es-ES_tradnl"/>
          </w:rPr>
          <w:tab/>
        </w:r>
        <w:r w:rsidR="00E0412D" w:rsidDel="00B707BE">
          <w:rPr>
            <w:lang w:val="es-ES_tradnl"/>
          </w:rPr>
          <w:delText>Detalles en cómo n</w:delText>
        </w:r>
        <w:r w:rsidRPr="008A106B" w:rsidDel="00B707BE">
          <w:rPr>
            <w:lang w:val="es-ES_tradnl"/>
          </w:rPr>
          <w:delText>otifica</w:delText>
        </w:r>
        <w:r w:rsidR="00E0412D" w:rsidDel="00B707BE">
          <w:rPr>
            <w:lang w:val="es-ES_tradnl"/>
          </w:rPr>
          <w:delText>r</w:delText>
        </w:r>
        <w:r w:rsidRPr="008A106B" w:rsidDel="00B707BE">
          <w:rPr>
            <w:lang w:val="es-ES_tradnl"/>
          </w:rPr>
          <w:delText xml:space="preserve"> </w:delText>
        </w:r>
        <w:r w:rsidR="00E0412D" w:rsidDel="00B707BE">
          <w:rPr>
            <w:lang w:val="es-ES_tradnl"/>
          </w:rPr>
          <w:delText>los</w:delText>
        </w:r>
        <w:r w:rsidRPr="008A106B" w:rsidDel="00B707BE">
          <w:rPr>
            <w:lang w:val="es-ES_tradnl"/>
          </w:rPr>
          <w:delText xml:space="preserve"> efectos adversos graves.</w:delText>
        </w:r>
      </w:del>
    </w:p>
    <w:p w14:paraId="2887D501" w14:textId="7EE3CD00" w:rsidR="00674F9E" w:rsidRPr="008A106B" w:rsidDel="00B707BE" w:rsidRDefault="00674F9E" w:rsidP="00674F9E">
      <w:pPr>
        <w:ind w:left="567" w:right="567" w:hanging="567"/>
        <w:rPr>
          <w:del w:id="2210" w:author="AUTHOR"/>
          <w:lang w:val="es-ES_tradnl"/>
        </w:rPr>
      </w:pPr>
      <w:del w:id="2211" w:author="AUTHOR">
        <w:r w:rsidRPr="008A106B" w:rsidDel="00B707BE">
          <w:rPr>
            <w:lang w:val="es-ES_tradnl"/>
          </w:rPr>
          <w:sym w:font="Symbol" w:char="F0B7"/>
        </w:r>
        <w:r w:rsidRPr="008A106B" w:rsidDel="00B707BE">
          <w:rPr>
            <w:lang w:val="es-ES_tradnl"/>
          </w:rPr>
          <w:tab/>
          <w:delText>Dossier informativo para pacientes (que debe ser entregado por el profesional sanitario)</w:delText>
        </w:r>
      </w:del>
    </w:p>
    <w:p w14:paraId="7E0347A6" w14:textId="063E6453" w:rsidR="00674F9E" w:rsidRPr="008A106B" w:rsidDel="00B707BE" w:rsidRDefault="00674F9E" w:rsidP="00674F9E">
      <w:pPr>
        <w:ind w:left="588" w:right="567" w:hanging="574"/>
        <w:rPr>
          <w:del w:id="2212" w:author="AUTHOR"/>
          <w:lang w:val="es-ES_tradnl"/>
        </w:rPr>
      </w:pPr>
      <w:del w:id="2213" w:author="AUTHOR">
        <w:r w:rsidRPr="008A106B" w:rsidDel="00B707BE">
          <w:rPr>
            <w:lang w:val="es-ES_tradnl"/>
          </w:rPr>
          <w:sym w:font="Symbol" w:char="F0B7"/>
        </w:r>
        <w:r w:rsidRPr="008A106B" w:rsidDel="00B707BE">
          <w:rPr>
            <w:lang w:val="es-ES_tradnl"/>
          </w:rPr>
          <w:tab/>
        </w:r>
        <w:r w:rsidR="00E0412D" w:rsidDel="00B707BE">
          <w:rPr>
            <w:lang w:val="es-ES_tradnl"/>
          </w:rPr>
          <w:delText>Guía sobre cómo d</w:delText>
        </w:r>
        <w:r w:rsidRPr="008A106B" w:rsidDel="00B707BE">
          <w:rPr>
            <w:lang w:val="es-ES_tradnl"/>
          </w:rPr>
          <w:delText>iagnóstic</w:delText>
        </w:r>
        <w:r w:rsidR="00E0412D" w:rsidDel="00B707BE">
          <w:rPr>
            <w:lang w:val="es-ES_tradnl"/>
          </w:rPr>
          <w:delText>ar</w:delText>
        </w:r>
        <w:r w:rsidRPr="008A106B" w:rsidDel="00B707BE">
          <w:rPr>
            <w:lang w:val="es-ES_tradnl"/>
          </w:rPr>
          <w:delText xml:space="preserve"> para el síndrome de activación de macrófagos en pacientes con AIJs</w:delText>
        </w:r>
      </w:del>
    </w:p>
    <w:p w14:paraId="5EE0A5A9" w14:textId="19EE1628" w:rsidR="00674F9E" w:rsidRPr="008A106B" w:rsidDel="00B707BE" w:rsidRDefault="00674F9E" w:rsidP="00674F9E">
      <w:pPr>
        <w:ind w:left="588" w:right="567" w:hanging="574"/>
        <w:rPr>
          <w:del w:id="2214" w:author="AUTHOR"/>
          <w:lang w:val="es-ES_tradnl"/>
        </w:rPr>
      </w:pPr>
      <w:del w:id="2215" w:author="AUTHOR">
        <w:r w:rsidRPr="008A106B" w:rsidDel="00B707BE">
          <w:rPr>
            <w:lang w:val="es-ES_tradnl"/>
          </w:rPr>
          <w:sym w:font="Symbol" w:char="F0B7"/>
        </w:r>
        <w:r w:rsidRPr="008A106B" w:rsidDel="00B707BE">
          <w:rPr>
            <w:lang w:val="es-ES_tradnl"/>
          </w:rPr>
          <w:tab/>
          <w:delText>Recomendaciones para interrupción de dosis en pacientes con AIJs y AIJp</w:delText>
        </w:r>
      </w:del>
    </w:p>
    <w:p w14:paraId="6B40360F" w14:textId="5DD4BE2B" w:rsidR="00674F9E" w:rsidRPr="008A106B" w:rsidDel="00B707BE" w:rsidRDefault="00674F9E" w:rsidP="00674F9E">
      <w:pPr>
        <w:ind w:right="567"/>
        <w:rPr>
          <w:del w:id="2216" w:author="AUTHOR"/>
          <w:lang w:val="es-ES_tradnl"/>
        </w:rPr>
      </w:pPr>
    </w:p>
    <w:p w14:paraId="1966CC59" w14:textId="4D3E65C7" w:rsidR="00674F9E" w:rsidRPr="008A106B" w:rsidDel="00B707BE" w:rsidRDefault="00674F9E" w:rsidP="00591E33">
      <w:pPr>
        <w:keepNext/>
        <w:keepLines/>
        <w:ind w:right="567"/>
        <w:rPr>
          <w:del w:id="2217" w:author="AUTHOR"/>
          <w:lang w:val="es-ES"/>
        </w:rPr>
      </w:pPr>
      <w:del w:id="2218" w:author="AUTHOR">
        <w:r w:rsidRPr="008A106B" w:rsidDel="00B707BE">
          <w:rPr>
            <w:lang w:val="es-ES"/>
          </w:rPr>
          <w:delText>El dossier informativo para enfermeras debe contener los siguientes puntos claves:</w:delText>
        </w:r>
      </w:del>
    </w:p>
    <w:p w14:paraId="17BA1F38" w14:textId="5096CD79" w:rsidR="00674F9E" w:rsidRPr="008A106B" w:rsidDel="00B707BE" w:rsidRDefault="00674F9E" w:rsidP="00591E33">
      <w:pPr>
        <w:keepNext/>
        <w:keepLines/>
        <w:ind w:left="567" w:right="567" w:hanging="567"/>
        <w:rPr>
          <w:del w:id="2219" w:author="AUTHOR"/>
          <w:lang w:val="es-ES"/>
        </w:rPr>
      </w:pPr>
      <w:del w:id="2220" w:author="AUTHOR">
        <w:r w:rsidRPr="008A106B" w:rsidDel="00B707BE">
          <w:rPr>
            <w:lang w:val="es-ES"/>
          </w:rPr>
          <w:sym w:font="Symbol" w:char="F0B7"/>
        </w:r>
        <w:r w:rsidRPr="008A106B" w:rsidDel="00B707BE">
          <w:rPr>
            <w:lang w:val="es-ES"/>
          </w:rPr>
          <w:tab/>
          <w:delText xml:space="preserve">Prevención de errores médicos y reacciones </w:delText>
        </w:r>
        <w:r w:rsidR="002D364B" w:rsidDel="00B707BE">
          <w:rPr>
            <w:lang w:val="es-ES"/>
          </w:rPr>
          <w:delText>relacionadas con</w:delText>
        </w:r>
        <w:r w:rsidRPr="008A106B" w:rsidDel="00B707BE">
          <w:rPr>
            <w:lang w:val="es-ES"/>
          </w:rPr>
          <w:delText xml:space="preserve"> la perfusión</w:delText>
        </w:r>
        <w:r w:rsidDel="00B707BE">
          <w:rPr>
            <w:lang w:val="es-ES"/>
          </w:rPr>
          <w:delText>/inyección</w:delText>
        </w:r>
      </w:del>
    </w:p>
    <w:p w14:paraId="5A4C5340" w14:textId="2A450A71" w:rsidR="00674F9E" w:rsidRPr="008A106B" w:rsidDel="00B707BE" w:rsidRDefault="00674F9E" w:rsidP="00591E33">
      <w:pPr>
        <w:keepNext/>
        <w:keepLines/>
        <w:ind w:left="1134" w:right="567" w:hanging="414"/>
        <w:rPr>
          <w:del w:id="2221" w:author="AUTHOR"/>
          <w:lang w:val="es-ES"/>
        </w:rPr>
      </w:pPr>
      <w:del w:id="2222" w:author="AUTHOR">
        <w:r w:rsidRPr="008A106B" w:rsidDel="00B707BE">
          <w:rPr>
            <w:lang w:val="es-ES"/>
          </w:rPr>
          <w:sym w:font="Symbol" w:char="F0B7"/>
        </w:r>
        <w:r w:rsidRPr="008A106B" w:rsidDel="00B707BE">
          <w:rPr>
            <w:lang w:val="es-ES"/>
          </w:rPr>
          <w:tab/>
          <w:delText>Preparación de la perfusión</w:delText>
        </w:r>
        <w:r w:rsidDel="00B707BE">
          <w:rPr>
            <w:lang w:val="es-ES"/>
          </w:rPr>
          <w:delText>/inyección</w:delText>
        </w:r>
      </w:del>
    </w:p>
    <w:p w14:paraId="3D22A906" w14:textId="67001D03" w:rsidR="00674F9E" w:rsidRPr="008A106B" w:rsidDel="00B707BE" w:rsidRDefault="00674F9E" w:rsidP="00591E33">
      <w:pPr>
        <w:keepNext/>
        <w:keepLines/>
        <w:ind w:left="1134" w:right="567" w:hanging="414"/>
        <w:rPr>
          <w:del w:id="2223" w:author="AUTHOR"/>
          <w:lang w:val="es-ES"/>
        </w:rPr>
      </w:pPr>
      <w:del w:id="2224" w:author="AUTHOR">
        <w:r w:rsidRPr="008A106B" w:rsidDel="00B707BE">
          <w:rPr>
            <w:lang w:val="es-ES"/>
          </w:rPr>
          <w:sym w:font="Symbol" w:char="F0B7"/>
        </w:r>
        <w:r w:rsidRPr="008A106B" w:rsidDel="00B707BE">
          <w:rPr>
            <w:lang w:val="es-ES"/>
          </w:rPr>
          <w:tab/>
          <w:delText>Velocidad de perfusión</w:delText>
        </w:r>
      </w:del>
    </w:p>
    <w:p w14:paraId="75BB1ECC" w14:textId="2B7DCF1B" w:rsidR="00674F9E" w:rsidRPr="008A106B" w:rsidDel="00B707BE" w:rsidRDefault="00674F9E" w:rsidP="00674F9E">
      <w:pPr>
        <w:ind w:left="567" w:right="567" w:hanging="567"/>
        <w:rPr>
          <w:del w:id="2225" w:author="AUTHOR"/>
          <w:lang w:val="es-ES"/>
        </w:rPr>
      </w:pPr>
      <w:del w:id="2226" w:author="AUTHOR">
        <w:r w:rsidRPr="008A106B" w:rsidDel="00B707BE">
          <w:rPr>
            <w:lang w:val="es-ES"/>
          </w:rPr>
          <w:sym w:font="Symbol" w:char="F0B7"/>
        </w:r>
        <w:r w:rsidRPr="008A106B" w:rsidDel="00B707BE">
          <w:rPr>
            <w:lang w:val="es-ES"/>
          </w:rPr>
          <w:tab/>
          <w:delText xml:space="preserve">Seguimiento de pacientes en las reacciones </w:delText>
        </w:r>
        <w:r w:rsidR="002D364B" w:rsidDel="00B707BE">
          <w:rPr>
            <w:lang w:val="es-ES"/>
          </w:rPr>
          <w:delText>relacionadas con</w:delText>
        </w:r>
        <w:r w:rsidRPr="008A106B" w:rsidDel="00B707BE">
          <w:rPr>
            <w:lang w:val="es-ES"/>
          </w:rPr>
          <w:delText xml:space="preserve"> la perfusión</w:delText>
        </w:r>
        <w:r w:rsidDel="00B707BE">
          <w:rPr>
            <w:lang w:val="es-ES"/>
          </w:rPr>
          <w:delText>/inyección</w:delText>
        </w:r>
      </w:del>
    </w:p>
    <w:p w14:paraId="26996D39" w14:textId="135B6474" w:rsidR="00674F9E" w:rsidRPr="008A106B" w:rsidDel="00B707BE" w:rsidRDefault="00674F9E" w:rsidP="00674F9E">
      <w:pPr>
        <w:ind w:left="567" w:right="567" w:hanging="567"/>
        <w:rPr>
          <w:del w:id="2227" w:author="AUTHOR"/>
          <w:lang w:val="es-ES_tradnl"/>
        </w:rPr>
      </w:pPr>
      <w:del w:id="2228" w:author="AUTHOR">
        <w:r w:rsidRPr="008A106B" w:rsidDel="00B707BE">
          <w:rPr>
            <w:lang w:val="es-ES_tradnl"/>
          </w:rPr>
          <w:sym w:font="Symbol" w:char="F0B7"/>
        </w:r>
        <w:r w:rsidRPr="008A106B" w:rsidDel="00B707BE">
          <w:rPr>
            <w:lang w:val="es-ES_tradnl"/>
          </w:rPr>
          <w:tab/>
        </w:r>
        <w:r w:rsidR="00E0412D" w:rsidDel="00B707BE">
          <w:rPr>
            <w:lang w:val="es-ES_tradnl"/>
          </w:rPr>
          <w:delText>Detalles en cómo n</w:delText>
        </w:r>
        <w:r w:rsidRPr="008A106B" w:rsidDel="00B707BE">
          <w:rPr>
            <w:lang w:val="es-ES_tradnl"/>
          </w:rPr>
          <w:delText>otifica</w:delText>
        </w:r>
        <w:r w:rsidR="00E0412D" w:rsidDel="00B707BE">
          <w:rPr>
            <w:lang w:val="es-ES_tradnl"/>
          </w:rPr>
          <w:delText>r</w:delText>
        </w:r>
        <w:r w:rsidRPr="008A106B" w:rsidDel="00B707BE">
          <w:rPr>
            <w:lang w:val="es-ES_tradnl"/>
          </w:rPr>
          <w:delText xml:space="preserve"> </w:delText>
        </w:r>
        <w:r w:rsidR="00E0412D" w:rsidDel="00B707BE">
          <w:rPr>
            <w:lang w:val="es-ES_tradnl"/>
          </w:rPr>
          <w:delText xml:space="preserve">los </w:delText>
        </w:r>
        <w:r w:rsidRPr="008A106B" w:rsidDel="00B707BE">
          <w:rPr>
            <w:lang w:val="es-ES_tradnl"/>
          </w:rPr>
          <w:delText>efectos adversos graves.</w:delText>
        </w:r>
      </w:del>
    </w:p>
    <w:p w14:paraId="66FFF9F3" w14:textId="3429608D" w:rsidR="00674F9E" w:rsidRPr="008A106B" w:rsidDel="00B707BE" w:rsidRDefault="00674F9E" w:rsidP="00674F9E">
      <w:pPr>
        <w:ind w:right="567"/>
        <w:rPr>
          <w:del w:id="2229" w:author="AUTHOR"/>
          <w:lang w:val="es-ES_tradnl"/>
        </w:rPr>
      </w:pPr>
    </w:p>
    <w:p w14:paraId="0524BBBE" w14:textId="1BA7D327" w:rsidR="00674F9E" w:rsidRPr="008A106B" w:rsidRDefault="00674F9E" w:rsidP="00E576A0">
      <w:pPr>
        <w:keepNext/>
        <w:keepLines/>
        <w:ind w:right="567"/>
        <w:rPr>
          <w:lang w:val="es-ES"/>
        </w:rPr>
      </w:pPr>
      <w:r w:rsidRPr="008A106B">
        <w:rPr>
          <w:lang w:val="es-ES"/>
        </w:rPr>
        <w:t>El dossier informativo para pacientes debe contener los siguientes puntos claves:</w:t>
      </w:r>
    </w:p>
    <w:p w14:paraId="6D43210B" w14:textId="0338E342" w:rsidR="00674F9E" w:rsidRPr="008A106B" w:rsidRDefault="00674F9E" w:rsidP="00E576A0">
      <w:pPr>
        <w:keepNext/>
        <w:keepLines/>
        <w:ind w:left="567" w:right="567" w:hanging="567"/>
        <w:rPr>
          <w:lang w:val="es-ES"/>
        </w:rPr>
      </w:pPr>
      <w:r w:rsidRPr="008A106B">
        <w:rPr>
          <w:lang w:val="es-ES"/>
        </w:rPr>
        <w:sym w:font="Symbol" w:char="F0B7"/>
      </w:r>
      <w:r w:rsidRPr="008A106B">
        <w:rPr>
          <w:lang w:val="es-ES"/>
        </w:rPr>
        <w:tab/>
        <w:t>Prospecto</w:t>
      </w:r>
      <w:r w:rsidR="006E10A6">
        <w:rPr>
          <w:lang w:val="es-ES"/>
        </w:rPr>
        <w:t xml:space="preserve"> (con instrucciones de uso para SC)</w:t>
      </w:r>
      <w:r w:rsidR="00964B48">
        <w:rPr>
          <w:lang w:val="es-ES"/>
        </w:rPr>
        <w:t xml:space="preserve"> (p.e. link a la página web de la EMA)</w:t>
      </w:r>
    </w:p>
    <w:p w14:paraId="4357859A" w14:textId="04D658CE" w:rsidR="006E10A6" w:rsidRPr="008A106B" w:rsidRDefault="00674F9E" w:rsidP="00E576A0">
      <w:pPr>
        <w:keepNext/>
        <w:keepLines/>
        <w:ind w:left="567" w:right="567" w:hanging="567"/>
        <w:rPr>
          <w:lang w:val="es-ES"/>
        </w:rPr>
      </w:pPr>
      <w:r w:rsidRPr="008A106B">
        <w:rPr>
          <w:lang w:val="es-ES"/>
        </w:rPr>
        <w:sym w:font="Symbol" w:char="F0B7"/>
      </w:r>
      <w:r w:rsidRPr="008A106B">
        <w:rPr>
          <w:lang w:val="es-ES"/>
        </w:rPr>
        <w:tab/>
        <w:t>Tarjeta de alerta para pacientes</w:t>
      </w:r>
    </w:p>
    <w:p w14:paraId="0FAD4049" w14:textId="670E3484" w:rsidR="00674F9E" w:rsidRPr="00064FDA" w:rsidRDefault="007929E4">
      <w:pPr>
        <w:ind w:left="630" w:right="567" w:hanging="540"/>
        <w:rPr>
          <w:lang w:val="es-ES"/>
        </w:rPr>
        <w:pPrChange w:id="2230" w:author="AUTHOR">
          <w:pPr>
            <w:ind w:left="1540" w:right="567" w:hanging="406"/>
          </w:pPr>
        </w:pPrChange>
      </w:pPr>
      <w:del w:id="2231" w:author="AUTHOR">
        <w:r w:rsidRPr="008A106B" w:rsidDel="00FB62A9">
          <w:rPr>
            <w:lang w:val="es-ES_tradnl"/>
          </w:rPr>
          <w:sym w:font="Symbol" w:char="F0B7"/>
        </w:r>
        <w:r w:rsidR="00674F9E" w:rsidRPr="00FB62A9" w:rsidDel="00FB62A9">
          <w:rPr>
            <w:lang w:val="es-ES"/>
          </w:rPr>
          <w:tab/>
        </w:r>
      </w:del>
      <w:ins w:id="2232" w:author="AUTHOR">
        <w:r w:rsidR="00913B0E" w:rsidRPr="00FB62A9">
          <w:rPr>
            <w:lang w:val="es-ES"/>
          </w:rPr>
          <w:t>Para c</w:t>
        </w:r>
      </w:ins>
      <w:del w:id="2233" w:author="AUTHOR">
        <w:r w:rsidR="00674F9E" w:rsidRPr="00FB62A9" w:rsidDel="00913B0E">
          <w:rPr>
            <w:lang w:val="es-ES"/>
          </w:rPr>
          <w:delText>C</w:delText>
        </w:r>
      </w:del>
      <w:r w:rsidR="00674F9E" w:rsidRPr="00FB62A9">
        <w:rPr>
          <w:lang w:val="es-ES"/>
        </w:rPr>
        <w:t>ontrol</w:t>
      </w:r>
      <w:ins w:id="2234" w:author="AUTHOR">
        <w:r w:rsidR="00913B0E" w:rsidRPr="00FB62A9">
          <w:rPr>
            <w:lang w:val="es-ES"/>
          </w:rPr>
          <w:t>ar</w:t>
        </w:r>
      </w:ins>
      <w:r w:rsidR="00674F9E" w:rsidRPr="00FB62A9">
        <w:rPr>
          <w:lang w:val="es-ES"/>
        </w:rPr>
        <w:t xml:space="preserve"> </w:t>
      </w:r>
      <w:del w:id="2235" w:author="AUTHOR">
        <w:r w:rsidR="00674F9E" w:rsidRPr="00FB62A9" w:rsidDel="00913B0E">
          <w:rPr>
            <w:lang w:val="es-ES"/>
          </w:rPr>
          <w:delText>d</w:delText>
        </w:r>
      </w:del>
      <w:r w:rsidR="00674F9E" w:rsidRPr="00FB62A9">
        <w:rPr>
          <w:lang w:val="es-ES"/>
        </w:rPr>
        <w:t>el riesgo de contraer infecciones que pueden llegar a ser graves si no se tratan. Además, algunas infecciones anteriores pueden volver a aparecer.</w:t>
      </w:r>
      <w:ins w:id="2236" w:author="AUTHOR">
        <w:r w:rsidR="00913B0E" w:rsidRPr="00467FFD">
          <w:rPr>
            <w:lang w:val="es-ES"/>
            <w:rPrChange w:id="2237" w:author="AUTHOR">
              <w:rPr/>
            </w:rPrChange>
          </w:rPr>
          <w:t xml:space="preserve"> </w:t>
        </w:r>
        <w:r w:rsidR="00913B0E" w:rsidRPr="00FB62A9">
          <w:rPr>
            <w:lang w:val="es-ES"/>
          </w:rPr>
          <w:t xml:space="preserve">Los pacientes deben </w:t>
        </w:r>
        <w:r w:rsidR="00064FDA">
          <w:rPr>
            <w:lang w:val="es-ES"/>
          </w:rPr>
          <w:t>consultar con su profesional sanitario</w:t>
        </w:r>
        <w:del w:id="2238" w:author="AUTHOR">
          <w:r w:rsidR="00913B0E" w:rsidRPr="00FB62A9" w:rsidDel="00064FDA">
            <w:rPr>
              <w:lang w:val="es-ES"/>
            </w:rPr>
            <w:delText>buscar la orientación de su profesional sanitario en</w:delText>
          </w:r>
        </w:del>
        <w:r w:rsidR="00913B0E" w:rsidRPr="00FB62A9">
          <w:rPr>
            <w:lang w:val="es-ES"/>
          </w:rPr>
          <w:t xml:space="preserve"> caso de desarrollar cualquier tipo de infección (incluso un resfriado) en </w:t>
        </w:r>
        <w:r w:rsidR="00064FDA">
          <w:rPr>
            <w:lang w:val="es-ES"/>
          </w:rPr>
          <w:t>la fecha prevista para su tratamiento con RoActemra.</w:t>
        </w:r>
        <w:del w:id="2239" w:author="AUTHOR">
          <w:r w:rsidR="00913B0E" w:rsidRPr="00FB62A9" w:rsidDel="00064FDA">
            <w:rPr>
              <w:lang w:val="es-ES"/>
            </w:rPr>
            <w:delText>el momento de su tratamiento programado con RoActemra.</w:delText>
          </w:r>
        </w:del>
      </w:ins>
    </w:p>
    <w:p w14:paraId="0487F41C" w14:textId="0EA4F014" w:rsidR="00674F9E" w:rsidRDefault="007929E4">
      <w:pPr>
        <w:ind w:left="630" w:right="567" w:hanging="630"/>
        <w:rPr>
          <w:ins w:id="2240" w:author="AUTHOR"/>
          <w:lang w:val="es-ES"/>
        </w:rPr>
      </w:pPr>
      <w:del w:id="2241" w:author="AUTHOR">
        <w:r w:rsidRPr="008A106B" w:rsidDel="00FB62A9">
          <w:rPr>
            <w:lang w:val="es-ES_tradnl"/>
          </w:rPr>
          <w:sym w:font="Symbol" w:char="F0B7"/>
        </w:r>
        <w:r w:rsidR="00674F9E" w:rsidRPr="00FB62A9" w:rsidDel="00FB62A9">
          <w:rPr>
            <w:lang w:val="es-ES"/>
          </w:rPr>
          <w:tab/>
        </w:r>
      </w:del>
      <w:ins w:id="2242" w:author="AUTHOR">
        <w:r w:rsidR="00913B0E" w:rsidRPr="00FB62A9">
          <w:rPr>
            <w:lang w:val="es-ES"/>
          </w:rPr>
          <w:t>Para c</w:t>
        </w:r>
      </w:ins>
      <w:del w:id="2243" w:author="AUTHOR">
        <w:r w:rsidR="00674F9E" w:rsidRPr="00FB62A9" w:rsidDel="00913B0E">
          <w:rPr>
            <w:lang w:val="es-ES"/>
          </w:rPr>
          <w:delText>C</w:delText>
        </w:r>
      </w:del>
      <w:r w:rsidR="00674F9E" w:rsidRPr="00FB62A9">
        <w:rPr>
          <w:lang w:val="es-ES"/>
        </w:rPr>
        <w:t>ontrol</w:t>
      </w:r>
      <w:ins w:id="2244" w:author="AUTHOR">
        <w:r w:rsidR="00913B0E" w:rsidRPr="00FB62A9">
          <w:rPr>
            <w:lang w:val="es-ES"/>
          </w:rPr>
          <w:t>ar</w:t>
        </w:r>
      </w:ins>
      <w:r w:rsidR="00674F9E" w:rsidRPr="00FB62A9">
        <w:rPr>
          <w:lang w:val="es-ES"/>
        </w:rPr>
        <w:t xml:space="preserve"> </w:t>
      </w:r>
      <w:del w:id="2245" w:author="AUTHOR">
        <w:r w:rsidR="00674F9E" w:rsidRPr="00FB62A9" w:rsidDel="00913B0E">
          <w:rPr>
            <w:lang w:val="es-ES"/>
          </w:rPr>
          <w:delText>d</w:delText>
        </w:r>
      </w:del>
      <w:r w:rsidR="00674F9E" w:rsidRPr="00FB62A9">
        <w:rPr>
          <w:lang w:val="es-ES"/>
        </w:rPr>
        <w:t xml:space="preserve">el riesgo de los pacientes en tratamiento con RoActemra, que pueden desarrollar complicaciones de la diverticulitis, que puede llegar a ser graves si no se tratan. </w:t>
      </w:r>
      <w:ins w:id="2246" w:author="AUTHOR">
        <w:r w:rsidR="00913B0E" w:rsidRPr="00FB62A9">
          <w:rPr>
            <w:lang w:val="es-ES"/>
          </w:rPr>
          <w:t xml:space="preserve">Los pacientes deben informar a su médico inmediatamente si </w:t>
        </w:r>
        <w:r w:rsidR="007653FD">
          <w:rPr>
            <w:lang w:val="es-ES"/>
          </w:rPr>
          <w:t xml:space="preserve">experimentan </w:t>
        </w:r>
        <w:r w:rsidR="00913B0E" w:rsidRPr="00FB62A9">
          <w:rPr>
            <w:lang w:val="es-ES"/>
          </w:rPr>
          <w:t xml:space="preserve">signos y síntomas </w:t>
        </w:r>
        <w:r w:rsidR="007653FD">
          <w:rPr>
            <w:lang w:val="es-ES"/>
          </w:rPr>
          <w:t xml:space="preserve">como </w:t>
        </w:r>
        <w:del w:id="2247" w:author="AUTHOR">
          <w:r w:rsidR="00913B0E" w:rsidRPr="00FB62A9" w:rsidDel="007653FD">
            <w:rPr>
              <w:lang w:val="es-ES"/>
            </w:rPr>
            <w:delText>de</w:delText>
          </w:r>
        </w:del>
        <w:r w:rsidR="00913B0E" w:rsidRPr="00FB62A9">
          <w:rPr>
            <w:lang w:val="es-ES"/>
          </w:rPr>
          <w:t xml:space="preserve"> dolor de</w:t>
        </w:r>
        <w:r w:rsidR="007653FD">
          <w:rPr>
            <w:lang w:val="es-ES"/>
          </w:rPr>
          <w:t xml:space="preserve"> estómago </w:t>
        </w:r>
        <w:r w:rsidR="00913B0E" w:rsidRPr="00FB62A9">
          <w:rPr>
            <w:lang w:val="es-ES"/>
          </w:rPr>
          <w:t>o cólicos</w:t>
        </w:r>
        <w:r w:rsidR="007653FD">
          <w:rPr>
            <w:lang w:val="es-ES"/>
          </w:rPr>
          <w:t>,</w:t>
        </w:r>
        <w:r w:rsidR="00913B0E" w:rsidRPr="00FB62A9">
          <w:rPr>
            <w:lang w:val="es-ES"/>
          </w:rPr>
          <w:t xml:space="preserve"> con un cambio en los hábitos intestinales, o si detectan sangre en las heces. El paciente debe informar al profesional sanitario si tiene o ha tenido úlceras intestinales o diverticulitis (inflamación en partes del intestino grueso).</w:t>
        </w:r>
      </w:ins>
    </w:p>
    <w:p w14:paraId="48E44421" w14:textId="77777777" w:rsidR="00541248" w:rsidRPr="00FB62A9" w:rsidRDefault="00541248">
      <w:pPr>
        <w:ind w:right="567"/>
        <w:rPr>
          <w:lang w:val="es-ES"/>
        </w:rPr>
        <w:pPrChange w:id="2248" w:author="AUTHOR">
          <w:pPr>
            <w:ind w:left="1554" w:right="567" w:hanging="406"/>
          </w:pPr>
        </w:pPrChange>
      </w:pPr>
    </w:p>
    <w:p w14:paraId="6EAC8380" w14:textId="1F24E9A2" w:rsidR="005A50ED" w:rsidRDefault="001C7B85">
      <w:pPr>
        <w:ind w:left="630" w:right="567" w:hanging="630"/>
        <w:rPr>
          <w:lang w:val="es-ES"/>
        </w:rPr>
        <w:pPrChange w:id="2249" w:author="AUTHOR">
          <w:pPr>
            <w:ind w:left="357" w:right="567" w:hanging="357"/>
          </w:pPr>
        </w:pPrChange>
      </w:pPr>
      <w:r w:rsidRPr="008A106B">
        <w:rPr>
          <w:lang w:val="es-ES_tradnl"/>
        </w:rPr>
        <w:sym w:font="Symbol" w:char="F0B7"/>
      </w:r>
      <w:r w:rsidRPr="008A106B">
        <w:rPr>
          <w:lang w:val="es-ES"/>
        </w:rPr>
        <w:tab/>
      </w:r>
      <w:ins w:id="2250" w:author="AUTHOR">
        <w:r w:rsidR="00913B0E">
          <w:rPr>
            <w:lang w:val="es-ES"/>
          </w:rPr>
          <w:t>Para c</w:t>
        </w:r>
      </w:ins>
      <w:del w:id="2251" w:author="AUTHOR">
        <w:r w:rsidR="005A50ED" w:rsidDel="00913B0E">
          <w:rPr>
            <w:lang w:val="es-ES"/>
          </w:rPr>
          <w:delText>C</w:delText>
        </w:r>
      </w:del>
      <w:r w:rsidR="005A50ED">
        <w:rPr>
          <w:lang w:val="es-ES"/>
        </w:rPr>
        <w:t>ontrol</w:t>
      </w:r>
      <w:ins w:id="2252" w:author="AUTHOR">
        <w:r w:rsidR="00913B0E">
          <w:rPr>
            <w:lang w:val="es-ES"/>
          </w:rPr>
          <w:t>ar</w:t>
        </w:r>
      </w:ins>
      <w:r w:rsidR="005A50ED">
        <w:rPr>
          <w:lang w:val="es-ES"/>
        </w:rPr>
        <w:t xml:space="preserve"> </w:t>
      </w:r>
      <w:del w:id="2253" w:author="AUTHOR">
        <w:r w:rsidR="005A50ED" w:rsidDel="00913B0E">
          <w:rPr>
            <w:lang w:val="es-ES"/>
          </w:rPr>
          <w:delText>d</w:delText>
        </w:r>
      </w:del>
      <w:r w:rsidR="005A50ED">
        <w:rPr>
          <w:lang w:val="es-ES"/>
        </w:rPr>
        <w:t xml:space="preserve">el riesgo de los pacientes en tratamiento con RoActemra, que pueden desarrollar daño hepático grave. </w:t>
      </w:r>
      <w:ins w:id="2254" w:author="AUTHOR">
        <w:r w:rsidR="00FB62A9">
          <w:rPr>
            <w:lang w:val="es-ES"/>
          </w:rPr>
          <w:t xml:space="preserve">Se debe monitorizar la función hepática de </w:t>
        </w:r>
      </w:ins>
      <w:del w:id="2255" w:author="AUTHOR">
        <w:r w:rsidR="005A50ED" w:rsidDel="00FB62A9">
          <w:rPr>
            <w:lang w:val="es-ES"/>
          </w:rPr>
          <w:delText>L</w:delText>
        </w:r>
      </w:del>
      <w:ins w:id="2256" w:author="AUTHOR">
        <w:r w:rsidR="00FB62A9">
          <w:rPr>
            <w:lang w:val="es-ES"/>
          </w:rPr>
          <w:t>l</w:t>
        </w:r>
      </w:ins>
      <w:r w:rsidR="005A50ED">
        <w:rPr>
          <w:lang w:val="es-ES"/>
        </w:rPr>
        <w:t xml:space="preserve">os pacientes </w:t>
      </w:r>
      <w:del w:id="2257" w:author="AUTHOR">
        <w:r w:rsidR="005A50ED" w:rsidDel="00FB62A9">
          <w:rPr>
            <w:lang w:val="es-ES"/>
          </w:rPr>
          <w:delText xml:space="preserve">deben ser monitorizados </w:delText>
        </w:r>
      </w:del>
      <w:r w:rsidR="005A50ED">
        <w:rPr>
          <w:lang w:val="es-ES"/>
        </w:rPr>
        <w:t>con test de función hepática</w:t>
      </w:r>
      <w:ins w:id="2258" w:author="AUTHOR">
        <w:r w:rsidR="00FB62A9" w:rsidRPr="00467FFD">
          <w:rPr>
            <w:lang w:val="es-ES"/>
            <w:rPrChange w:id="2259" w:author="AUTHOR">
              <w:rPr/>
            </w:rPrChange>
          </w:rPr>
          <w:t xml:space="preserve"> </w:t>
        </w:r>
        <w:r w:rsidR="00FB62A9" w:rsidRPr="00FB62A9">
          <w:rPr>
            <w:lang w:val="es-ES"/>
          </w:rPr>
          <w:t>para detectar cambios en el nivel de enzimas hepáticas</w:t>
        </w:r>
      </w:ins>
      <w:r w:rsidR="005A50ED">
        <w:rPr>
          <w:lang w:val="es-ES"/>
        </w:rPr>
        <w:t xml:space="preserve">. Los pacientes deben informar inmediatamente a su médico si experimentan signos y síntomas de toxicidad hepática incluyendo cansancio, </w:t>
      </w:r>
      <w:ins w:id="2260" w:author="AUTHOR">
        <w:r w:rsidR="00FB62A9">
          <w:rPr>
            <w:lang w:val="es-ES"/>
          </w:rPr>
          <w:t xml:space="preserve">confusión, </w:t>
        </w:r>
      </w:ins>
      <w:r w:rsidR="005A50ED">
        <w:rPr>
          <w:lang w:val="es-ES"/>
        </w:rPr>
        <w:t xml:space="preserve">dolor abdominal </w:t>
      </w:r>
      <w:ins w:id="2261" w:author="AUTHOR">
        <w:r w:rsidR="00FB62A9" w:rsidRPr="00FB62A9">
          <w:rPr>
            <w:lang w:val="es-ES"/>
          </w:rPr>
          <w:t>dolor o hinchazón en la parte superior derecha de la zona del estómago</w:t>
        </w:r>
      </w:ins>
      <w:r w:rsidR="005A50ED">
        <w:rPr>
          <w:lang w:val="es-ES"/>
        </w:rPr>
        <w:t>e ictericia</w:t>
      </w:r>
      <w:ins w:id="2262" w:author="AUTHOR">
        <w:r w:rsidR="00FB62A9" w:rsidRPr="00467FFD">
          <w:rPr>
            <w:lang w:val="es-ES"/>
            <w:rPrChange w:id="2263" w:author="AUTHOR">
              <w:rPr/>
            </w:rPrChange>
          </w:rPr>
          <w:t xml:space="preserve"> </w:t>
        </w:r>
        <w:r w:rsidR="00FB62A9" w:rsidRPr="00FB62A9">
          <w:rPr>
            <w:lang w:val="es-ES"/>
          </w:rPr>
          <w:t>(coloración amarillenta de la piel y los ojos, y orina de color marrón oscuro)</w:t>
        </w:r>
      </w:ins>
      <w:r w:rsidR="005A50ED">
        <w:rPr>
          <w:lang w:val="es-ES"/>
        </w:rPr>
        <w:t>.</w:t>
      </w:r>
    </w:p>
    <w:p w14:paraId="6B3DC194" w14:textId="4EFBEFA1" w:rsidR="00591E33" w:rsidDel="00000156" w:rsidRDefault="00591E33" w:rsidP="004B67DA">
      <w:pPr>
        <w:ind w:right="567"/>
        <w:rPr>
          <w:del w:id="2264" w:author="AUTHOR"/>
          <w:lang w:val="es-ES"/>
        </w:rPr>
      </w:pPr>
    </w:p>
    <w:p w14:paraId="3B38432D" w14:textId="77777777" w:rsidR="00817DCE" w:rsidRDefault="00AF7C1B" w:rsidP="00674F9E">
      <w:pPr>
        <w:ind w:left="1554" w:right="567" w:hanging="406"/>
        <w:rPr>
          <w:lang w:val="es-ES"/>
        </w:rPr>
      </w:pPr>
      <w:r>
        <w:rPr>
          <w:lang w:val="es-ES"/>
        </w:rPr>
        <w:br w:type="page"/>
      </w:r>
    </w:p>
    <w:p w14:paraId="7875EB4A" w14:textId="77777777" w:rsidR="0042392F" w:rsidRPr="008A106B" w:rsidRDefault="0042392F" w:rsidP="00817DCE">
      <w:pPr>
        <w:ind w:left="1554" w:right="567" w:hanging="406"/>
        <w:rPr>
          <w:noProof/>
          <w:lang w:val="es-ES"/>
        </w:rPr>
      </w:pPr>
    </w:p>
    <w:p w14:paraId="5ED05CD5" w14:textId="77777777" w:rsidR="006F6760" w:rsidRPr="008A106B" w:rsidRDefault="006F6760" w:rsidP="006F6760">
      <w:pPr>
        <w:ind w:right="566"/>
        <w:rPr>
          <w:lang w:val="es-ES"/>
        </w:rPr>
      </w:pPr>
    </w:p>
    <w:p w14:paraId="7A864765" w14:textId="77777777" w:rsidR="006F6760" w:rsidRPr="008A106B" w:rsidRDefault="006F6760" w:rsidP="006F6760">
      <w:pPr>
        <w:rPr>
          <w:lang w:val="es-ES"/>
        </w:rPr>
      </w:pPr>
    </w:p>
    <w:p w14:paraId="0C6DDCBD" w14:textId="77777777" w:rsidR="006F6760" w:rsidRPr="008A106B" w:rsidRDefault="006F6760" w:rsidP="006F6760">
      <w:pPr>
        <w:rPr>
          <w:lang w:val="es-ES"/>
        </w:rPr>
      </w:pPr>
    </w:p>
    <w:p w14:paraId="6DB9F9A0" w14:textId="77777777" w:rsidR="006F6760" w:rsidRPr="008A106B" w:rsidRDefault="006F6760" w:rsidP="006F6760">
      <w:pPr>
        <w:rPr>
          <w:lang w:val="es-ES"/>
        </w:rPr>
      </w:pPr>
    </w:p>
    <w:p w14:paraId="12AA6D75" w14:textId="77777777" w:rsidR="006F6760" w:rsidRPr="008A106B" w:rsidRDefault="006F6760" w:rsidP="006F6760">
      <w:pPr>
        <w:rPr>
          <w:lang w:val="es-ES"/>
        </w:rPr>
      </w:pPr>
    </w:p>
    <w:p w14:paraId="2F35DE92" w14:textId="77777777" w:rsidR="006F6760" w:rsidRPr="008A106B" w:rsidRDefault="006F6760" w:rsidP="006F6760">
      <w:pPr>
        <w:rPr>
          <w:lang w:val="es-ES"/>
        </w:rPr>
      </w:pPr>
    </w:p>
    <w:p w14:paraId="40A8624D" w14:textId="77777777" w:rsidR="006F6760" w:rsidRPr="008A106B" w:rsidRDefault="006F6760" w:rsidP="006F6760">
      <w:pPr>
        <w:rPr>
          <w:lang w:val="es-ES"/>
        </w:rPr>
      </w:pPr>
    </w:p>
    <w:p w14:paraId="16D006F5" w14:textId="77777777" w:rsidR="006F6760" w:rsidRPr="008A106B" w:rsidRDefault="006F6760" w:rsidP="006F6760">
      <w:pPr>
        <w:rPr>
          <w:lang w:val="es-ES"/>
        </w:rPr>
      </w:pPr>
    </w:p>
    <w:p w14:paraId="45A79675" w14:textId="77777777" w:rsidR="006F6760" w:rsidRPr="008A106B" w:rsidRDefault="006F6760" w:rsidP="006F6760">
      <w:pPr>
        <w:rPr>
          <w:lang w:val="es-ES"/>
        </w:rPr>
      </w:pPr>
    </w:p>
    <w:p w14:paraId="4943DBD9" w14:textId="77777777" w:rsidR="006F6760" w:rsidRPr="008A106B" w:rsidRDefault="006F6760" w:rsidP="006F6760">
      <w:pPr>
        <w:rPr>
          <w:lang w:val="es-ES"/>
        </w:rPr>
      </w:pPr>
    </w:p>
    <w:p w14:paraId="4B55E966" w14:textId="77777777" w:rsidR="006F6760" w:rsidRPr="008A106B" w:rsidRDefault="006F6760" w:rsidP="006F6760">
      <w:pPr>
        <w:rPr>
          <w:lang w:val="es-ES"/>
        </w:rPr>
      </w:pPr>
    </w:p>
    <w:p w14:paraId="39E7D887" w14:textId="77777777" w:rsidR="006F6760" w:rsidRPr="008A106B" w:rsidRDefault="006F6760" w:rsidP="006F6760">
      <w:pPr>
        <w:rPr>
          <w:lang w:val="es-ES"/>
        </w:rPr>
      </w:pPr>
    </w:p>
    <w:p w14:paraId="0E6A9128" w14:textId="77777777" w:rsidR="006F6760" w:rsidRPr="008A106B" w:rsidRDefault="006F6760" w:rsidP="006F6760">
      <w:pPr>
        <w:rPr>
          <w:lang w:val="es-ES"/>
        </w:rPr>
      </w:pPr>
    </w:p>
    <w:p w14:paraId="294F6467" w14:textId="77777777" w:rsidR="006F6760" w:rsidRPr="008A106B" w:rsidRDefault="006F6760" w:rsidP="006F6760">
      <w:pPr>
        <w:rPr>
          <w:lang w:val="es-ES"/>
        </w:rPr>
      </w:pPr>
    </w:p>
    <w:p w14:paraId="65CB9816" w14:textId="77777777" w:rsidR="006F6760" w:rsidRPr="008A106B" w:rsidRDefault="006F6760" w:rsidP="006F6760">
      <w:pPr>
        <w:rPr>
          <w:lang w:val="es-ES"/>
        </w:rPr>
      </w:pPr>
    </w:p>
    <w:p w14:paraId="4E966792" w14:textId="77777777" w:rsidR="006F6760" w:rsidRPr="008A106B" w:rsidRDefault="006F6760" w:rsidP="006F6760">
      <w:pPr>
        <w:rPr>
          <w:lang w:val="es-ES"/>
        </w:rPr>
      </w:pPr>
    </w:p>
    <w:p w14:paraId="7B10353C" w14:textId="77777777" w:rsidR="006F6760" w:rsidRPr="008A106B" w:rsidRDefault="006F6760" w:rsidP="006F6760">
      <w:pPr>
        <w:rPr>
          <w:lang w:val="es-ES"/>
        </w:rPr>
      </w:pPr>
    </w:p>
    <w:p w14:paraId="37D73FE6" w14:textId="77777777" w:rsidR="006F6760" w:rsidRPr="008A106B" w:rsidRDefault="006F6760" w:rsidP="006F6760">
      <w:pPr>
        <w:rPr>
          <w:lang w:val="es-ES"/>
        </w:rPr>
      </w:pPr>
    </w:p>
    <w:p w14:paraId="57BB3332" w14:textId="77777777" w:rsidR="006F6760" w:rsidRPr="008A106B" w:rsidRDefault="006F6760" w:rsidP="006F6760">
      <w:pPr>
        <w:rPr>
          <w:lang w:val="es-ES"/>
        </w:rPr>
      </w:pPr>
    </w:p>
    <w:p w14:paraId="43A7DA6F" w14:textId="77777777" w:rsidR="006F6760" w:rsidRPr="008A106B" w:rsidRDefault="006F6760" w:rsidP="006F6760">
      <w:pPr>
        <w:rPr>
          <w:lang w:val="es-ES"/>
        </w:rPr>
      </w:pPr>
    </w:p>
    <w:p w14:paraId="1973A2ED" w14:textId="77777777" w:rsidR="006F6760" w:rsidRPr="008A106B" w:rsidRDefault="006F6760" w:rsidP="006F6760">
      <w:pPr>
        <w:rPr>
          <w:lang w:val="es-ES"/>
        </w:rPr>
      </w:pPr>
    </w:p>
    <w:p w14:paraId="45ACE3E9" w14:textId="77777777" w:rsidR="00F3264F" w:rsidRDefault="00F3264F" w:rsidP="006F6760">
      <w:pPr>
        <w:jc w:val="center"/>
        <w:rPr>
          <w:b/>
          <w:lang w:val="es-ES"/>
        </w:rPr>
      </w:pPr>
    </w:p>
    <w:p w14:paraId="043E2655" w14:textId="38A5A4B7" w:rsidR="006F6760" w:rsidRPr="008A106B" w:rsidRDefault="006F6760" w:rsidP="006F6760">
      <w:pPr>
        <w:jc w:val="center"/>
        <w:rPr>
          <w:b/>
          <w:lang w:val="es-ES"/>
        </w:rPr>
      </w:pPr>
      <w:r w:rsidRPr="008A106B">
        <w:rPr>
          <w:b/>
          <w:lang w:val="es-ES"/>
        </w:rPr>
        <w:t>ANEXO III</w:t>
      </w:r>
    </w:p>
    <w:p w14:paraId="5F514240" w14:textId="77777777" w:rsidR="006F6760" w:rsidRPr="008A106B" w:rsidRDefault="006F6760" w:rsidP="006F6760">
      <w:pPr>
        <w:jc w:val="center"/>
        <w:rPr>
          <w:b/>
          <w:lang w:val="es-ES"/>
        </w:rPr>
      </w:pPr>
    </w:p>
    <w:p w14:paraId="4B677401" w14:textId="77777777" w:rsidR="006F6760" w:rsidRPr="008A106B" w:rsidRDefault="006F6760" w:rsidP="006F6760">
      <w:pPr>
        <w:jc w:val="center"/>
        <w:rPr>
          <w:b/>
          <w:lang w:val="es-ES"/>
        </w:rPr>
      </w:pPr>
      <w:r w:rsidRPr="008A106B">
        <w:rPr>
          <w:b/>
          <w:lang w:val="es-ES"/>
        </w:rPr>
        <w:t>ETIQUETADO Y PROSPECTO</w:t>
      </w:r>
    </w:p>
    <w:p w14:paraId="5ADA33A3" w14:textId="77777777" w:rsidR="006F6760" w:rsidRPr="008A106B" w:rsidRDefault="006F6760" w:rsidP="006F6760">
      <w:pPr>
        <w:rPr>
          <w:lang w:val="es-ES"/>
        </w:rPr>
      </w:pPr>
      <w:r w:rsidRPr="008A106B">
        <w:rPr>
          <w:lang w:val="es-ES"/>
        </w:rPr>
        <w:br w:type="page"/>
      </w:r>
    </w:p>
    <w:p w14:paraId="7FFBD5EB" w14:textId="77777777" w:rsidR="006F6760" w:rsidRPr="008A106B" w:rsidRDefault="006F6760" w:rsidP="006F6760">
      <w:pPr>
        <w:rPr>
          <w:lang w:val="es-ES"/>
        </w:rPr>
      </w:pPr>
    </w:p>
    <w:p w14:paraId="7B4A932D" w14:textId="77777777" w:rsidR="006F6760" w:rsidRPr="008A106B" w:rsidRDefault="006F6760" w:rsidP="006F6760">
      <w:pPr>
        <w:rPr>
          <w:lang w:val="es-ES"/>
        </w:rPr>
      </w:pPr>
    </w:p>
    <w:p w14:paraId="76FD1A75" w14:textId="77777777" w:rsidR="006F6760" w:rsidRPr="008A106B" w:rsidRDefault="006F6760" w:rsidP="006F6760">
      <w:pPr>
        <w:rPr>
          <w:lang w:val="es-ES"/>
        </w:rPr>
      </w:pPr>
    </w:p>
    <w:p w14:paraId="66ECF71C" w14:textId="77777777" w:rsidR="006F6760" w:rsidRPr="008A106B" w:rsidRDefault="006F6760" w:rsidP="006F6760">
      <w:pPr>
        <w:rPr>
          <w:lang w:val="es-ES"/>
        </w:rPr>
      </w:pPr>
    </w:p>
    <w:p w14:paraId="2BD0C9B6" w14:textId="77777777" w:rsidR="006F6760" w:rsidRPr="008A106B" w:rsidRDefault="006F6760" w:rsidP="006F6760">
      <w:pPr>
        <w:rPr>
          <w:lang w:val="es-ES"/>
        </w:rPr>
      </w:pPr>
    </w:p>
    <w:p w14:paraId="03D70B1C" w14:textId="77777777" w:rsidR="006F6760" w:rsidRPr="008A106B" w:rsidRDefault="006F6760" w:rsidP="006F6760">
      <w:pPr>
        <w:rPr>
          <w:lang w:val="es-ES"/>
        </w:rPr>
      </w:pPr>
    </w:p>
    <w:p w14:paraId="6BD1E94A" w14:textId="77777777" w:rsidR="006F6760" w:rsidRPr="008A106B" w:rsidRDefault="006F6760" w:rsidP="006F6760">
      <w:pPr>
        <w:rPr>
          <w:lang w:val="es-ES"/>
        </w:rPr>
      </w:pPr>
    </w:p>
    <w:p w14:paraId="6EEFBDF5" w14:textId="77777777" w:rsidR="006F6760" w:rsidRPr="008A106B" w:rsidRDefault="006F6760" w:rsidP="006F6760">
      <w:pPr>
        <w:rPr>
          <w:lang w:val="es-ES"/>
        </w:rPr>
      </w:pPr>
    </w:p>
    <w:p w14:paraId="7E57466D" w14:textId="77777777" w:rsidR="006F6760" w:rsidRPr="008A106B" w:rsidRDefault="006F6760" w:rsidP="006F6760">
      <w:pPr>
        <w:rPr>
          <w:lang w:val="es-ES"/>
        </w:rPr>
      </w:pPr>
    </w:p>
    <w:p w14:paraId="7535CF7C" w14:textId="77777777" w:rsidR="006F6760" w:rsidRPr="008A106B" w:rsidRDefault="006F6760" w:rsidP="006F6760">
      <w:pPr>
        <w:rPr>
          <w:lang w:val="es-ES"/>
        </w:rPr>
      </w:pPr>
    </w:p>
    <w:p w14:paraId="2C65CD0C" w14:textId="77777777" w:rsidR="006F6760" w:rsidRPr="008A106B" w:rsidRDefault="006F6760" w:rsidP="006F6760">
      <w:pPr>
        <w:rPr>
          <w:lang w:val="es-ES"/>
        </w:rPr>
      </w:pPr>
    </w:p>
    <w:p w14:paraId="587808B8" w14:textId="77777777" w:rsidR="006F6760" w:rsidRPr="008A106B" w:rsidRDefault="006F6760" w:rsidP="006F6760">
      <w:pPr>
        <w:rPr>
          <w:lang w:val="es-ES"/>
        </w:rPr>
      </w:pPr>
    </w:p>
    <w:p w14:paraId="0FF36000" w14:textId="77777777" w:rsidR="006F6760" w:rsidRPr="008A106B" w:rsidRDefault="006F6760" w:rsidP="006F6760">
      <w:pPr>
        <w:rPr>
          <w:lang w:val="es-ES"/>
        </w:rPr>
      </w:pPr>
    </w:p>
    <w:p w14:paraId="06B69BB9" w14:textId="77777777" w:rsidR="006F6760" w:rsidRPr="008A106B" w:rsidRDefault="006F6760" w:rsidP="006F6760">
      <w:pPr>
        <w:rPr>
          <w:lang w:val="es-ES"/>
        </w:rPr>
      </w:pPr>
    </w:p>
    <w:p w14:paraId="2680B2C5" w14:textId="77777777" w:rsidR="006F6760" w:rsidRPr="008A106B" w:rsidRDefault="006F6760" w:rsidP="006F6760">
      <w:pPr>
        <w:rPr>
          <w:lang w:val="es-ES"/>
        </w:rPr>
      </w:pPr>
    </w:p>
    <w:p w14:paraId="3256E9A3" w14:textId="77777777" w:rsidR="006F6760" w:rsidRPr="008A106B" w:rsidRDefault="006F6760" w:rsidP="006F6760">
      <w:pPr>
        <w:rPr>
          <w:lang w:val="es-ES"/>
        </w:rPr>
      </w:pPr>
    </w:p>
    <w:p w14:paraId="4B4DE349" w14:textId="77777777" w:rsidR="006F6760" w:rsidRPr="008A106B" w:rsidRDefault="006F6760" w:rsidP="006F6760">
      <w:pPr>
        <w:rPr>
          <w:lang w:val="es-ES"/>
        </w:rPr>
      </w:pPr>
    </w:p>
    <w:p w14:paraId="061555E5" w14:textId="77777777" w:rsidR="006F6760" w:rsidRPr="008A106B" w:rsidRDefault="006F6760" w:rsidP="006F6760">
      <w:pPr>
        <w:rPr>
          <w:lang w:val="es-ES"/>
        </w:rPr>
      </w:pPr>
    </w:p>
    <w:p w14:paraId="7B8CD4A8" w14:textId="77777777" w:rsidR="006F6760" w:rsidRPr="008A106B" w:rsidRDefault="006F6760" w:rsidP="006F6760">
      <w:pPr>
        <w:rPr>
          <w:lang w:val="es-ES"/>
        </w:rPr>
      </w:pPr>
    </w:p>
    <w:p w14:paraId="64C72026" w14:textId="77777777" w:rsidR="006F6760" w:rsidRPr="008A106B" w:rsidRDefault="006F6760" w:rsidP="006F6760">
      <w:pPr>
        <w:rPr>
          <w:lang w:val="es-ES"/>
        </w:rPr>
      </w:pPr>
    </w:p>
    <w:p w14:paraId="46293A08" w14:textId="77777777" w:rsidR="006F6760" w:rsidRPr="008A106B" w:rsidRDefault="006F6760" w:rsidP="006F6760">
      <w:pPr>
        <w:rPr>
          <w:lang w:val="es-ES"/>
        </w:rPr>
      </w:pPr>
    </w:p>
    <w:p w14:paraId="36A411C9" w14:textId="77777777" w:rsidR="006F6760" w:rsidRDefault="006F6760" w:rsidP="006F6760">
      <w:pPr>
        <w:rPr>
          <w:lang w:val="es-ES"/>
        </w:rPr>
      </w:pPr>
    </w:p>
    <w:p w14:paraId="006ADC58" w14:textId="77777777" w:rsidR="00350DE1" w:rsidRPr="008A106B" w:rsidRDefault="00350DE1" w:rsidP="006F6760">
      <w:pPr>
        <w:rPr>
          <w:lang w:val="es-ES"/>
        </w:rPr>
      </w:pPr>
    </w:p>
    <w:p w14:paraId="4F4B0D6E" w14:textId="77777777" w:rsidR="006F6760" w:rsidRPr="008A106B" w:rsidRDefault="006F6760" w:rsidP="002211A3">
      <w:pPr>
        <w:pStyle w:val="Annex"/>
        <w:rPr>
          <w:lang w:val="es-ES"/>
        </w:rPr>
      </w:pPr>
      <w:r w:rsidRPr="008A106B">
        <w:rPr>
          <w:lang w:val="es-ES"/>
        </w:rPr>
        <w:t>A. ETIQUETADO</w:t>
      </w:r>
    </w:p>
    <w:p w14:paraId="0D4F24C2" w14:textId="77777777" w:rsidR="00060B21" w:rsidRDefault="006F6760" w:rsidP="006F6760">
      <w:pPr>
        <w:rPr>
          <w:lang w:val="es-ES"/>
        </w:rPr>
      </w:pPr>
      <w:r w:rsidRPr="008A106B">
        <w:rPr>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5B0A5E2D" w14:textId="77777777" w:rsidTr="00FC7454">
        <w:tc>
          <w:tcPr>
            <w:tcW w:w="9620" w:type="dxa"/>
            <w:tcBorders>
              <w:bottom w:val="single" w:sz="4" w:space="0" w:color="auto"/>
            </w:tcBorders>
          </w:tcPr>
          <w:p w14:paraId="3041DA41" w14:textId="77777777" w:rsidR="00060B21" w:rsidRPr="005A5612" w:rsidRDefault="00060B21" w:rsidP="00FC7454">
            <w:pPr>
              <w:rPr>
                <w:b/>
                <w:lang w:val="es-ES"/>
              </w:rPr>
            </w:pPr>
            <w:r w:rsidRPr="005A5612">
              <w:rPr>
                <w:b/>
                <w:noProof/>
                <w:lang w:val="es-ES"/>
              </w:rPr>
              <w:lastRenderedPageBreak/>
              <w:t xml:space="preserve">INFORMACIÓN QUE DEBE FIGURAR EN EL EMBALAJE EXTERIOR </w:t>
            </w:r>
          </w:p>
          <w:p w14:paraId="695EB6CB" w14:textId="77777777" w:rsidR="00060B21" w:rsidRPr="005A5612" w:rsidRDefault="00060B21" w:rsidP="00FC7454">
            <w:pPr>
              <w:rPr>
                <w:b/>
                <w:lang w:val="es-ES"/>
              </w:rPr>
            </w:pPr>
          </w:p>
          <w:p w14:paraId="71977903" w14:textId="77777777" w:rsidR="00060B21" w:rsidRPr="005A5612" w:rsidRDefault="00060B21" w:rsidP="00FC7454">
            <w:pPr>
              <w:rPr>
                <w:b/>
                <w:lang w:val="es-ES"/>
              </w:rPr>
            </w:pPr>
            <w:r w:rsidRPr="005A5612">
              <w:rPr>
                <w:b/>
                <w:lang w:val="es-ES"/>
              </w:rPr>
              <w:t>ESTUCHE</w:t>
            </w:r>
          </w:p>
        </w:tc>
      </w:tr>
    </w:tbl>
    <w:p w14:paraId="37CBC861" w14:textId="77777777" w:rsidR="00060B21" w:rsidRPr="008A106B" w:rsidRDefault="00060B21" w:rsidP="00060B21">
      <w:pPr>
        <w:rPr>
          <w:lang w:val="es-ES"/>
        </w:rPr>
      </w:pPr>
    </w:p>
    <w:p w14:paraId="1FD2F786"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5BD80E1D" w14:textId="77777777" w:rsidTr="00FC7454">
        <w:tc>
          <w:tcPr>
            <w:tcW w:w="9620" w:type="dxa"/>
          </w:tcPr>
          <w:p w14:paraId="7B6E91B0" w14:textId="77777777" w:rsidR="00060B21" w:rsidRPr="005A5612" w:rsidRDefault="00060B21" w:rsidP="00FC7454">
            <w:pPr>
              <w:ind w:left="567" w:hanging="567"/>
              <w:rPr>
                <w:b/>
                <w:lang w:val="es-ES"/>
              </w:rPr>
            </w:pPr>
            <w:r w:rsidRPr="005A5612">
              <w:rPr>
                <w:b/>
                <w:lang w:val="es-ES"/>
              </w:rPr>
              <w:t>1.</w:t>
            </w:r>
            <w:r w:rsidRPr="005A5612">
              <w:rPr>
                <w:b/>
                <w:lang w:val="es-ES"/>
              </w:rPr>
              <w:tab/>
            </w:r>
            <w:r w:rsidRPr="005A5612">
              <w:rPr>
                <w:b/>
                <w:noProof/>
              </w:rPr>
              <w:t>NOMBRE DEL MEDICAMENTO</w:t>
            </w:r>
          </w:p>
        </w:tc>
      </w:tr>
    </w:tbl>
    <w:p w14:paraId="0AA24E13" w14:textId="77777777" w:rsidR="00060B21" w:rsidRPr="008A106B" w:rsidRDefault="00060B21" w:rsidP="00060B21">
      <w:pPr>
        <w:rPr>
          <w:lang w:val="es-ES"/>
        </w:rPr>
      </w:pPr>
    </w:p>
    <w:p w14:paraId="0F99D2B9" w14:textId="77777777" w:rsidR="00060B21" w:rsidRPr="008A106B" w:rsidRDefault="00060B21" w:rsidP="00060B21">
      <w:pPr>
        <w:rPr>
          <w:noProof/>
          <w:lang w:val="es-ES"/>
        </w:rPr>
      </w:pPr>
      <w:r w:rsidRPr="008A106B">
        <w:rPr>
          <w:noProof/>
          <w:lang w:val="es-ES"/>
        </w:rPr>
        <w:t xml:space="preserve">RoActemra 20 mg/ml, Concentrado para solución para perfusión </w:t>
      </w:r>
    </w:p>
    <w:p w14:paraId="1B35AFF1" w14:textId="77777777" w:rsidR="00060B21" w:rsidRPr="008A106B" w:rsidRDefault="00194A4E" w:rsidP="00060B21">
      <w:pPr>
        <w:rPr>
          <w:lang w:val="es-ES"/>
        </w:rPr>
      </w:pPr>
      <w:r>
        <w:rPr>
          <w:noProof/>
          <w:lang w:val="es-ES"/>
        </w:rPr>
        <w:t>t</w:t>
      </w:r>
      <w:r w:rsidR="00060B21" w:rsidRPr="008A106B">
        <w:rPr>
          <w:noProof/>
          <w:lang w:val="es-ES"/>
        </w:rPr>
        <w:t>ocilizumab</w:t>
      </w:r>
    </w:p>
    <w:p w14:paraId="75AB74E2" w14:textId="77777777" w:rsidR="00060B21" w:rsidRPr="008A106B" w:rsidRDefault="00060B21" w:rsidP="00060B21">
      <w:pPr>
        <w:rPr>
          <w:lang w:val="es-ES"/>
        </w:rPr>
      </w:pPr>
    </w:p>
    <w:p w14:paraId="4DAFF51E"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3486053B" w14:textId="77777777" w:rsidTr="00FC7454">
        <w:tc>
          <w:tcPr>
            <w:tcW w:w="9620" w:type="dxa"/>
          </w:tcPr>
          <w:p w14:paraId="725B52D7" w14:textId="77777777" w:rsidR="00060B21" w:rsidRPr="005A5612" w:rsidRDefault="00060B21" w:rsidP="00FC7454">
            <w:pPr>
              <w:ind w:left="567" w:hanging="567"/>
              <w:rPr>
                <w:b/>
                <w:lang w:val="es-ES"/>
              </w:rPr>
            </w:pPr>
            <w:r w:rsidRPr="005A5612">
              <w:rPr>
                <w:b/>
                <w:lang w:val="es-ES"/>
              </w:rPr>
              <w:t>2.</w:t>
            </w:r>
            <w:r w:rsidRPr="005A5612">
              <w:rPr>
                <w:b/>
                <w:lang w:val="es-ES"/>
              </w:rPr>
              <w:tab/>
              <w:t>PRINCIPIO</w:t>
            </w:r>
            <w:del w:id="2265" w:author="AUTHOR">
              <w:r w:rsidRPr="005A5612" w:rsidDel="00541248">
                <w:rPr>
                  <w:b/>
                  <w:lang w:val="es-ES"/>
                </w:rPr>
                <w:delText>(S)</w:delText>
              </w:r>
            </w:del>
            <w:r w:rsidRPr="005A5612">
              <w:rPr>
                <w:b/>
                <w:lang w:val="es-ES"/>
              </w:rPr>
              <w:t xml:space="preserve"> ACTIVO</w:t>
            </w:r>
            <w:del w:id="2266" w:author="AUTHOR">
              <w:r w:rsidRPr="005A5612" w:rsidDel="00541248">
                <w:rPr>
                  <w:b/>
                  <w:lang w:val="es-ES"/>
                </w:rPr>
                <w:delText>(S)</w:delText>
              </w:r>
            </w:del>
          </w:p>
        </w:tc>
      </w:tr>
    </w:tbl>
    <w:p w14:paraId="14837D7B" w14:textId="77777777" w:rsidR="00060B21" w:rsidRPr="008A106B" w:rsidRDefault="00060B21" w:rsidP="00060B21">
      <w:pPr>
        <w:rPr>
          <w:lang w:val="es-ES"/>
        </w:rPr>
      </w:pPr>
    </w:p>
    <w:p w14:paraId="13719162" w14:textId="77777777" w:rsidR="00060B21" w:rsidRPr="008A106B" w:rsidRDefault="00060B21" w:rsidP="00060B21">
      <w:pPr>
        <w:rPr>
          <w:lang w:val="es-ES"/>
        </w:rPr>
      </w:pPr>
      <w:r w:rsidRPr="008A106B">
        <w:rPr>
          <w:lang w:val="es-ES"/>
        </w:rPr>
        <w:t>1 vial contiene 80 mg de tocilizumab.</w:t>
      </w:r>
    </w:p>
    <w:p w14:paraId="06E30AD6" w14:textId="77777777" w:rsidR="00FF79EF" w:rsidRPr="00F30AB8" w:rsidRDefault="00FF79EF" w:rsidP="00FF79EF">
      <w:pPr>
        <w:rPr>
          <w:highlight w:val="lightGray"/>
          <w:lang w:val="es-ES"/>
        </w:rPr>
      </w:pPr>
      <w:r w:rsidRPr="00F30AB8">
        <w:rPr>
          <w:highlight w:val="lightGray"/>
          <w:lang w:val="es-ES"/>
        </w:rPr>
        <w:t>1 vial contiene 200 mg de tocilizumab.</w:t>
      </w:r>
    </w:p>
    <w:p w14:paraId="4F2369FD" w14:textId="77777777" w:rsidR="00FF79EF" w:rsidRPr="008A106B" w:rsidRDefault="00FF79EF" w:rsidP="00FF79EF">
      <w:pPr>
        <w:rPr>
          <w:lang w:val="es-ES"/>
        </w:rPr>
      </w:pPr>
      <w:r w:rsidRPr="00F30AB8">
        <w:rPr>
          <w:highlight w:val="lightGray"/>
          <w:lang w:val="es-ES"/>
        </w:rPr>
        <w:t>1 vial contiene 400 mg de tocilizumab.</w:t>
      </w:r>
    </w:p>
    <w:p w14:paraId="1CA5FC3C" w14:textId="77777777" w:rsidR="00060B21" w:rsidRPr="008A106B" w:rsidRDefault="00060B21" w:rsidP="00060B21">
      <w:pPr>
        <w:rPr>
          <w:lang w:val="es-ES"/>
        </w:rPr>
      </w:pPr>
    </w:p>
    <w:p w14:paraId="26CA3DCD"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33023C12" w14:textId="77777777" w:rsidTr="00FC7454">
        <w:tc>
          <w:tcPr>
            <w:tcW w:w="9620" w:type="dxa"/>
          </w:tcPr>
          <w:p w14:paraId="37B19732" w14:textId="77777777" w:rsidR="00060B21" w:rsidRPr="005A5612" w:rsidRDefault="00060B21" w:rsidP="00FC7454">
            <w:pPr>
              <w:ind w:left="567" w:hanging="567"/>
              <w:rPr>
                <w:b/>
                <w:lang w:val="es-ES"/>
              </w:rPr>
            </w:pPr>
            <w:r w:rsidRPr="005A5612">
              <w:rPr>
                <w:b/>
                <w:lang w:val="es-ES"/>
              </w:rPr>
              <w:t>3.</w:t>
            </w:r>
            <w:r w:rsidRPr="005A5612">
              <w:rPr>
                <w:b/>
                <w:lang w:val="es-ES"/>
              </w:rPr>
              <w:tab/>
              <w:t>LISTA DE EXCIPIENTES</w:t>
            </w:r>
          </w:p>
        </w:tc>
      </w:tr>
    </w:tbl>
    <w:p w14:paraId="77C74F62" w14:textId="77777777" w:rsidR="00060B21" w:rsidRPr="008A106B" w:rsidRDefault="00060B21" w:rsidP="00060B21">
      <w:pPr>
        <w:rPr>
          <w:lang w:val="es-ES"/>
        </w:rPr>
      </w:pPr>
    </w:p>
    <w:p w14:paraId="343D626E" w14:textId="17D1946E" w:rsidR="00060B21" w:rsidRPr="008A106B" w:rsidRDefault="00FF79EF" w:rsidP="00060B21">
      <w:pPr>
        <w:ind w:left="567" w:hanging="567"/>
        <w:outlineLvl w:val="0"/>
        <w:rPr>
          <w:lang w:val="es-ES"/>
        </w:rPr>
      </w:pPr>
      <w:r>
        <w:rPr>
          <w:lang w:val="pt-BR"/>
        </w:rPr>
        <w:t xml:space="preserve">También contiene </w:t>
      </w:r>
      <w:r w:rsidR="00060B21" w:rsidRPr="008A106B">
        <w:rPr>
          <w:lang w:val="pt-BR"/>
        </w:rPr>
        <w:t>Polisorbato 80</w:t>
      </w:r>
      <w:r w:rsidR="00060B21" w:rsidRPr="008A106B">
        <w:rPr>
          <w:lang w:val="es-ES"/>
        </w:rPr>
        <w:t xml:space="preserve">, </w:t>
      </w:r>
      <w:r w:rsidR="00060B21" w:rsidRPr="008A106B">
        <w:rPr>
          <w:lang w:val="es-ES_tradnl"/>
        </w:rPr>
        <w:t xml:space="preserve">Sacarosa, Fosfato disódico dodecahidrato, Fosfato dihidrógenosódico dihidrato, </w:t>
      </w:r>
    </w:p>
    <w:p w14:paraId="31F5EB4E" w14:textId="77777777" w:rsidR="00060B21" w:rsidRPr="008A106B" w:rsidRDefault="00060B21" w:rsidP="00060B21">
      <w:pPr>
        <w:ind w:left="567" w:hanging="567"/>
        <w:outlineLvl w:val="0"/>
        <w:rPr>
          <w:lang w:val="es-ES"/>
        </w:rPr>
      </w:pPr>
      <w:r w:rsidRPr="008A106B">
        <w:rPr>
          <w:lang w:val="es-ES_tradnl"/>
        </w:rPr>
        <w:t xml:space="preserve">Agua para preparaciones inyectables. </w:t>
      </w:r>
      <w:bookmarkStart w:id="2267" w:name="_Hlk175606386"/>
      <w:r w:rsidRPr="008A106B">
        <w:rPr>
          <w:lang w:val="es-ES_tradnl"/>
        </w:rPr>
        <w:t>Para mayor información consultar el prospecto</w:t>
      </w:r>
      <w:bookmarkEnd w:id="2267"/>
      <w:r w:rsidRPr="008A106B">
        <w:rPr>
          <w:lang w:val="es-ES_tradnl"/>
        </w:rPr>
        <w:t>.</w:t>
      </w:r>
    </w:p>
    <w:p w14:paraId="4250E4E7" w14:textId="77777777" w:rsidR="00060B21" w:rsidRPr="008A106B" w:rsidRDefault="00060B21" w:rsidP="00060B21">
      <w:pPr>
        <w:rPr>
          <w:lang w:val="es-ES"/>
        </w:rPr>
      </w:pPr>
    </w:p>
    <w:p w14:paraId="346A5C64"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680615EB" w14:textId="77777777" w:rsidTr="00FC7454">
        <w:tc>
          <w:tcPr>
            <w:tcW w:w="9620" w:type="dxa"/>
          </w:tcPr>
          <w:p w14:paraId="6F67466F" w14:textId="77777777" w:rsidR="00060B21" w:rsidRPr="005A5612" w:rsidRDefault="00060B21" w:rsidP="00FC7454">
            <w:pPr>
              <w:ind w:left="567" w:hanging="567"/>
              <w:rPr>
                <w:b/>
                <w:lang w:val="es-ES"/>
              </w:rPr>
            </w:pPr>
            <w:r w:rsidRPr="005A5612">
              <w:rPr>
                <w:b/>
                <w:lang w:val="es-ES"/>
              </w:rPr>
              <w:t>4.</w:t>
            </w:r>
            <w:r w:rsidRPr="005A5612">
              <w:rPr>
                <w:b/>
                <w:lang w:val="es-ES"/>
              </w:rPr>
              <w:tab/>
              <w:t>FORMA FARMACÉUTICA Y CONTENIDO DEL ENVASE</w:t>
            </w:r>
          </w:p>
        </w:tc>
      </w:tr>
    </w:tbl>
    <w:p w14:paraId="4C83D37A" w14:textId="77777777" w:rsidR="00060B21" w:rsidRPr="008A106B" w:rsidRDefault="00060B21" w:rsidP="00060B21">
      <w:pPr>
        <w:rPr>
          <w:lang w:val="es-ES"/>
        </w:rPr>
      </w:pPr>
    </w:p>
    <w:p w14:paraId="7854D9DD" w14:textId="77777777" w:rsidR="00060B21" w:rsidRPr="008A106B" w:rsidRDefault="00060B21" w:rsidP="00060B21">
      <w:pPr>
        <w:rPr>
          <w:lang w:val="es-ES"/>
        </w:rPr>
      </w:pPr>
      <w:r w:rsidRPr="00F30AB8">
        <w:rPr>
          <w:highlight w:val="lightGray"/>
          <w:lang w:val="es-ES"/>
        </w:rPr>
        <w:t>Concentrado para solución para perfusión</w:t>
      </w:r>
    </w:p>
    <w:p w14:paraId="6A36FEB9" w14:textId="77777777" w:rsidR="00060B21" w:rsidRPr="008A106B" w:rsidRDefault="00060B21" w:rsidP="00060B21">
      <w:pPr>
        <w:rPr>
          <w:lang w:val="es-ES"/>
        </w:rPr>
      </w:pPr>
      <w:r w:rsidRPr="008A106B">
        <w:rPr>
          <w:lang w:val="es-ES"/>
        </w:rPr>
        <w:t>80 mg/4ml</w:t>
      </w:r>
    </w:p>
    <w:p w14:paraId="5AD700C2" w14:textId="77777777" w:rsidR="00060B21" w:rsidRPr="008A106B" w:rsidRDefault="00060B21" w:rsidP="00060B21">
      <w:pPr>
        <w:rPr>
          <w:lang w:val="es-ES"/>
        </w:rPr>
      </w:pPr>
      <w:r w:rsidRPr="008A106B">
        <w:rPr>
          <w:lang w:val="es-ES"/>
        </w:rPr>
        <w:t>1 vial de 4 ml</w:t>
      </w:r>
    </w:p>
    <w:p w14:paraId="0544EE7E" w14:textId="77777777" w:rsidR="00060B21" w:rsidRPr="00F30AB8" w:rsidRDefault="00060B21" w:rsidP="00060B21">
      <w:pPr>
        <w:rPr>
          <w:highlight w:val="lightGray"/>
          <w:lang w:val="es-ES"/>
        </w:rPr>
      </w:pPr>
      <w:r w:rsidRPr="00F30AB8">
        <w:rPr>
          <w:highlight w:val="lightGray"/>
          <w:lang w:val="es-ES"/>
        </w:rPr>
        <w:t>4 viales de 4 ml</w:t>
      </w:r>
    </w:p>
    <w:p w14:paraId="407E0D59" w14:textId="77777777" w:rsidR="00060B21" w:rsidRPr="00F30AB8" w:rsidRDefault="00060B21" w:rsidP="00060B21">
      <w:pPr>
        <w:rPr>
          <w:highlight w:val="lightGray"/>
          <w:lang w:val="es-ES"/>
        </w:rPr>
      </w:pPr>
    </w:p>
    <w:p w14:paraId="3ED2E44D" w14:textId="77777777" w:rsidR="00FF79EF" w:rsidRPr="00F30AB8" w:rsidRDefault="00FF79EF" w:rsidP="00FF79EF">
      <w:pPr>
        <w:rPr>
          <w:highlight w:val="lightGray"/>
          <w:lang w:val="es-ES"/>
        </w:rPr>
      </w:pPr>
      <w:r w:rsidRPr="00F30AB8">
        <w:rPr>
          <w:highlight w:val="lightGray"/>
          <w:lang w:val="es-ES"/>
        </w:rPr>
        <w:t>200 mg/10ml</w:t>
      </w:r>
    </w:p>
    <w:p w14:paraId="3B8D3710" w14:textId="77777777" w:rsidR="00FF79EF" w:rsidRPr="00F30AB8" w:rsidRDefault="00FF79EF" w:rsidP="00FF79EF">
      <w:pPr>
        <w:rPr>
          <w:highlight w:val="lightGray"/>
          <w:lang w:val="es-ES"/>
        </w:rPr>
      </w:pPr>
      <w:r w:rsidRPr="00F30AB8">
        <w:rPr>
          <w:highlight w:val="lightGray"/>
          <w:lang w:val="es-ES"/>
        </w:rPr>
        <w:t>1 vial de 10 ml</w:t>
      </w:r>
    </w:p>
    <w:p w14:paraId="33863987" w14:textId="77777777" w:rsidR="00FF79EF" w:rsidRPr="00F30AB8" w:rsidRDefault="00FF79EF" w:rsidP="00FF79EF">
      <w:pPr>
        <w:rPr>
          <w:highlight w:val="lightGray"/>
          <w:lang w:val="es-ES"/>
        </w:rPr>
      </w:pPr>
      <w:r w:rsidRPr="00F30AB8">
        <w:rPr>
          <w:highlight w:val="lightGray"/>
          <w:lang w:val="es-ES"/>
        </w:rPr>
        <w:t>4 viales de 10 ml</w:t>
      </w:r>
    </w:p>
    <w:p w14:paraId="3F59CC48" w14:textId="77777777" w:rsidR="00060B21" w:rsidRPr="00F30AB8" w:rsidRDefault="00060B21" w:rsidP="00060B21">
      <w:pPr>
        <w:rPr>
          <w:highlight w:val="lightGray"/>
          <w:lang w:val="es-ES"/>
        </w:rPr>
      </w:pPr>
    </w:p>
    <w:p w14:paraId="72FEB0A2" w14:textId="77777777" w:rsidR="00FF79EF" w:rsidRPr="00F30AB8" w:rsidRDefault="00FF79EF" w:rsidP="00FF79EF">
      <w:pPr>
        <w:rPr>
          <w:highlight w:val="lightGray"/>
          <w:lang w:val="es-ES"/>
        </w:rPr>
      </w:pPr>
      <w:r w:rsidRPr="00F30AB8">
        <w:rPr>
          <w:highlight w:val="lightGray"/>
          <w:lang w:val="es-ES"/>
        </w:rPr>
        <w:t>400 mg/20ml</w:t>
      </w:r>
    </w:p>
    <w:p w14:paraId="2FCB25D2" w14:textId="77777777" w:rsidR="00FF79EF" w:rsidRPr="00F30AB8" w:rsidRDefault="00FF79EF" w:rsidP="00FF79EF">
      <w:pPr>
        <w:rPr>
          <w:highlight w:val="lightGray"/>
          <w:lang w:val="es-ES"/>
        </w:rPr>
      </w:pPr>
      <w:r w:rsidRPr="00F30AB8">
        <w:rPr>
          <w:highlight w:val="lightGray"/>
          <w:lang w:val="es-ES"/>
        </w:rPr>
        <w:t>1 vial de 20 ml</w:t>
      </w:r>
    </w:p>
    <w:p w14:paraId="1F76C394" w14:textId="77777777" w:rsidR="00FF79EF" w:rsidRPr="008A106B" w:rsidRDefault="00FF79EF" w:rsidP="00FF79EF">
      <w:pPr>
        <w:rPr>
          <w:lang w:val="es-ES"/>
        </w:rPr>
      </w:pPr>
      <w:r w:rsidRPr="00F30AB8">
        <w:rPr>
          <w:highlight w:val="lightGray"/>
          <w:lang w:val="es-ES"/>
        </w:rPr>
        <w:t>4 viales de 20 ml</w:t>
      </w:r>
    </w:p>
    <w:p w14:paraId="2A39D9E3" w14:textId="1A4BE4A7" w:rsidR="00FF79EF" w:rsidRDefault="00FF79EF" w:rsidP="00060B21">
      <w:pPr>
        <w:rPr>
          <w:ins w:id="2268" w:author="tcs" w:date="2026-02-25T23:55:00Z"/>
          <w:lang w:val="es-ES"/>
        </w:rPr>
      </w:pPr>
    </w:p>
    <w:p w14:paraId="6C8F9A6E" w14:textId="77777777" w:rsidR="00732738" w:rsidRPr="008A106B" w:rsidRDefault="00732738" w:rsidP="00060B21">
      <w:pPr>
        <w:rPr>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2FEDB476" w14:textId="77777777" w:rsidTr="00FC7454">
        <w:tc>
          <w:tcPr>
            <w:tcW w:w="9620" w:type="dxa"/>
          </w:tcPr>
          <w:p w14:paraId="08689A22" w14:textId="77777777" w:rsidR="00060B21" w:rsidRPr="005A5612" w:rsidRDefault="00060B21" w:rsidP="00FC7454">
            <w:pPr>
              <w:ind w:left="567" w:hanging="567"/>
              <w:rPr>
                <w:b/>
                <w:lang w:val="es-ES"/>
              </w:rPr>
            </w:pPr>
            <w:r w:rsidRPr="005A5612">
              <w:rPr>
                <w:b/>
                <w:lang w:val="es-ES"/>
              </w:rPr>
              <w:t>5.</w:t>
            </w:r>
            <w:r w:rsidRPr="005A5612">
              <w:rPr>
                <w:b/>
                <w:lang w:val="es-ES"/>
              </w:rPr>
              <w:tab/>
            </w:r>
            <w:r w:rsidRPr="005A5612">
              <w:rPr>
                <w:b/>
                <w:noProof/>
                <w:lang w:val="es-ES"/>
              </w:rPr>
              <w:t>FORMA Y VÍA</w:t>
            </w:r>
            <w:del w:id="2269" w:author="AUTHOR">
              <w:r w:rsidRPr="005A5612" w:rsidDel="00541248">
                <w:rPr>
                  <w:b/>
                  <w:noProof/>
                  <w:lang w:val="es-ES"/>
                </w:rPr>
                <w:delText>(S)</w:delText>
              </w:r>
            </w:del>
            <w:r w:rsidRPr="005A5612">
              <w:rPr>
                <w:b/>
                <w:noProof/>
                <w:lang w:val="es-ES"/>
              </w:rPr>
              <w:t xml:space="preserve"> DE ADMINISTRACIÓN</w:t>
            </w:r>
          </w:p>
        </w:tc>
      </w:tr>
    </w:tbl>
    <w:p w14:paraId="4D30EFDA" w14:textId="77777777" w:rsidR="00060B21" w:rsidRPr="008A106B" w:rsidRDefault="00060B21" w:rsidP="00060B21">
      <w:pPr>
        <w:rPr>
          <w:lang w:val="es-ES"/>
        </w:rPr>
      </w:pPr>
    </w:p>
    <w:p w14:paraId="696E67FE" w14:textId="77777777" w:rsidR="00060B21" w:rsidRPr="008A106B" w:rsidRDefault="00060B21" w:rsidP="00060B21">
      <w:pPr>
        <w:rPr>
          <w:lang w:val="es-ES"/>
        </w:rPr>
      </w:pPr>
      <w:r w:rsidRPr="008A106B">
        <w:rPr>
          <w:lang w:val="es-ES"/>
        </w:rPr>
        <w:t>Para perfusión intravenosa, previa dilución</w:t>
      </w:r>
    </w:p>
    <w:p w14:paraId="4B986765" w14:textId="77777777" w:rsidR="00060B21" w:rsidRPr="008A106B" w:rsidRDefault="00060B21" w:rsidP="00060B21">
      <w:pPr>
        <w:rPr>
          <w:lang w:val="es-ES"/>
        </w:rPr>
      </w:pPr>
      <w:r w:rsidRPr="008A106B">
        <w:rPr>
          <w:lang w:val="es-ES"/>
        </w:rPr>
        <w:t>El producto diluido debe utilizarse inmediatamente</w:t>
      </w:r>
    </w:p>
    <w:p w14:paraId="30C36BA7" w14:textId="77777777" w:rsidR="00060B21" w:rsidRPr="008A106B" w:rsidRDefault="00060B21" w:rsidP="00060B21">
      <w:pPr>
        <w:rPr>
          <w:noProof/>
          <w:lang w:val="es-ES"/>
        </w:rPr>
      </w:pPr>
      <w:r w:rsidRPr="008A106B">
        <w:rPr>
          <w:noProof/>
          <w:lang w:val="es-ES"/>
        </w:rPr>
        <w:t xml:space="preserve">Leer el prospecto antes de utilizar este medicamento </w:t>
      </w:r>
    </w:p>
    <w:p w14:paraId="5405B6F7" w14:textId="77777777" w:rsidR="00060B21" w:rsidRPr="008A106B" w:rsidRDefault="00060B21" w:rsidP="00060B21">
      <w:pPr>
        <w:rPr>
          <w:lang w:val="es-ES"/>
        </w:rPr>
      </w:pPr>
    </w:p>
    <w:p w14:paraId="7A48FEA3"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7011D219" w14:textId="77777777" w:rsidTr="00FC7454">
        <w:tc>
          <w:tcPr>
            <w:tcW w:w="9620" w:type="dxa"/>
          </w:tcPr>
          <w:p w14:paraId="5D5DBC68" w14:textId="77777777" w:rsidR="00060B21" w:rsidRPr="005A5612" w:rsidRDefault="00060B21" w:rsidP="00FC7454">
            <w:pPr>
              <w:ind w:left="567" w:hanging="567"/>
              <w:rPr>
                <w:b/>
                <w:lang w:val="es-ES"/>
              </w:rPr>
            </w:pPr>
            <w:r w:rsidRPr="005A5612">
              <w:rPr>
                <w:b/>
                <w:lang w:val="es-ES"/>
              </w:rPr>
              <w:t>6.</w:t>
            </w:r>
            <w:r w:rsidRPr="005A5612">
              <w:rPr>
                <w:b/>
                <w:lang w:val="es-ES"/>
              </w:rPr>
              <w:tab/>
              <w:t>ADVERTENCIA ESPECIAL DE QUE EL MEDICAMENTO DEBE MANTENERSE FUERA DE LA VISTA Y DEL ALCANCE DE LOS NIÑOS</w:t>
            </w:r>
          </w:p>
        </w:tc>
      </w:tr>
    </w:tbl>
    <w:p w14:paraId="76B5EDA2" w14:textId="77777777" w:rsidR="00060B21" w:rsidRPr="008A106B" w:rsidRDefault="00060B21" w:rsidP="00060B21">
      <w:pPr>
        <w:rPr>
          <w:lang w:val="es-ES"/>
        </w:rPr>
      </w:pPr>
    </w:p>
    <w:p w14:paraId="3C6A5710" w14:textId="77777777" w:rsidR="00060B21" w:rsidRPr="008A106B" w:rsidRDefault="00060B21" w:rsidP="00060B21">
      <w:pPr>
        <w:rPr>
          <w:lang w:val="es-ES"/>
        </w:rPr>
      </w:pPr>
      <w:r w:rsidRPr="008A106B">
        <w:rPr>
          <w:lang w:val="es-ES"/>
        </w:rPr>
        <w:t>Mantener fuera de la vista y del alcance de los niños</w:t>
      </w:r>
    </w:p>
    <w:p w14:paraId="569ADA5A" w14:textId="77777777" w:rsidR="00060B21" w:rsidRPr="008A106B" w:rsidRDefault="00060B21" w:rsidP="00060B21">
      <w:pPr>
        <w:rPr>
          <w:lang w:val="es-ES"/>
        </w:rPr>
      </w:pPr>
    </w:p>
    <w:p w14:paraId="0DB78ADC"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0079B80E" w14:textId="77777777" w:rsidTr="00FC7454">
        <w:tc>
          <w:tcPr>
            <w:tcW w:w="9620" w:type="dxa"/>
          </w:tcPr>
          <w:p w14:paraId="5556DD6E" w14:textId="77777777" w:rsidR="00060B21" w:rsidRPr="005A5612" w:rsidRDefault="00060B21" w:rsidP="00FC7454">
            <w:pPr>
              <w:ind w:left="567" w:hanging="567"/>
              <w:rPr>
                <w:b/>
                <w:lang w:val="es-ES"/>
              </w:rPr>
            </w:pPr>
            <w:r w:rsidRPr="005A5612">
              <w:rPr>
                <w:b/>
                <w:lang w:val="es-ES"/>
              </w:rPr>
              <w:t>7.</w:t>
            </w:r>
            <w:r w:rsidRPr="005A5612">
              <w:rPr>
                <w:b/>
                <w:lang w:val="es-ES"/>
              </w:rPr>
              <w:tab/>
            </w:r>
            <w:r w:rsidRPr="005A5612">
              <w:rPr>
                <w:b/>
                <w:noProof/>
                <w:lang w:val="es-ES"/>
              </w:rPr>
              <w:t>OTRA(S) ADVERTENCIA(S) ESPECIAL(ES), SI ES NECESARIO</w:t>
            </w:r>
          </w:p>
        </w:tc>
      </w:tr>
    </w:tbl>
    <w:p w14:paraId="5896A48F" w14:textId="77777777" w:rsidR="00060B21" w:rsidRPr="008A106B" w:rsidRDefault="00060B21" w:rsidP="00060B21">
      <w:pPr>
        <w:rPr>
          <w:lang w:val="es-ES"/>
        </w:rPr>
      </w:pPr>
    </w:p>
    <w:p w14:paraId="2633F9FD"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2616BEA1" w14:textId="77777777" w:rsidTr="00FC7454">
        <w:tc>
          <w:tcPr>
            <w:tcW w:w="9620" w:type="dxa"/>
          </w:tcPr>
          <w:p w14:paraId="330A1D67" w14:textId="77777777" w:rsidR="00060B21" w:rsidRPr="005A5612" w:rsidRDefault="00060B21" w:rsidP="00FC7454">
            <w:pPr>
              <w:ind w:left="567" w:hanging="567"/>
              <w:rPr>
                <w:b/>
                <w:lang w:val="es-ES"/>
              </w:rPr>
            </w:pPr>
            <w:r w:rsidRPr="005A5612">
              <w:rPr>
                <w:b/>
                <w:lang w:val="es-ES"/>
              </w:rPr>
              <w:t>8.</w:t>
            </w:r>
            <w:r w:rsidRPr="005A5612">
              <w:rPr>
                <w:b/>
                <w:lang w:val="es-ES"/>
              </w:rPr>
              <w:tab/>
              <w:t>FECHA DE CADUCIDAD</w:t>
            </w:r>
          </w:p>
        </w:tc>
      </w:tr>
    </w:tbl>
    <w:p w14:paraId="519BE188" w14:textId="77777777" w:rsidR="00060B21" w:rsidRPr="008A106B" w:rsidRDefault="00060B21" w:rsidP="00060B21">
      <w:pPr>
        <w:rPr>
          <w:lang w:val="es-ES"/>
        </w:rPr>
      </w:pPr>
    </w:p>
    <w:p w14:paraId="6427FD57" w14:textId="5E37F8D4" w:rsidR="00060B21" w:rsidRPr="008A106B" w:rsidRDefault="00DE55C8" w:rsidP="00060B21">
      <w:pPr>
        <w:rPr>
          <w:lang w:val="es-ES"/>
        </w:rPr>
      </w:pPr>
      <w:r>
        <w:rPr>
          <w:lang w:val="es-ES"/>
        </w:rPr>
        <w:t>EXP</w:t>
      </w:r>
      <w:r w:rsidRPr="008A106B">
        <w:rPr>
          <w:lang w:val="es-ES"/>
        </w:rPr>
        <w:t xml:space="preserve"> </w:t>
      </w:r>
    </w:p>
    <w:p w14:paraId="6D2ED1C3" w14:textId="77777777" w:rsidR="00060B21" w:rsidRPr="008A106B" w:rsidRDefault="00060B21" w:rsidP="00060B21">
      <w:pPr>
        <w:rPr>
          <w:lang w:val="es-ES"/>
        </w:rPr>
      </w:pPr>
    </w:p>
    <w:p w14:paraId="383219E8" w14:textId="77777777" w:rsidR="00060B21" w:rsidRPr="008A106B" w:rsidRDefault="00060B21" w:rsidP="00060B21">
      <w:pPr>
        <w:rPr>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4BF36818" w14:textId="77777777" w:rsidTr="00FC7454">
        <w:tc>
          <w:tcPr>
            <w:tcW w:w="9620" w:type="dxa"/>
          </w:tcPr>
          <w:p w14:paraId="75189AB1" w14:textId="77777777" w:rsidR="00060B21" w:rsidRPr="005A5612" w:rsidRDefault="00060B21" w:rsidP="00FC7454">
            <w:pPr>
              <w:keepNext/>
              <w:ind w:left="567" w:hanging="567"/>
              <w:rPr>
                <w:b/>
                <w:lang w:val="es-ES"/>
              </w:rPr>
            </w:pPr>
            <w:r w:rsidRPr="005A5612">
              <w:rPr>
                <w:b/>
                <w:lang w:val="es-ES"/>
              </w:rPr>
              <w:t>9.</w:t>
            </w:r>
            <w:r w:rsidRPr="005A5612">
              <w:rPr>
                <w:b/>
                <w:lang w:val="es-ES"/>
              </w:rPr>
              <w:tab/>
              <w:t>CONDICIONES ESPECIALES DE CONSERVACIÓN</w:t>
            </w:r>
          </w:p>
        </w:tc>
      </w:tr>
    </w:tbl>
    <w:p w14:paraId="53ED3ADB" w14:textId="77777777" w:rsidR="00060B21" w:rsidRPr="008A106B" w:rsidRDefault="00060B21" w:rsidP="00060B21">
      <w:pPr>
        <w:keepNext/>
        <w:rPr>
          <w:i/>
          <w:noProof/>
          <w:lang w:val="es-ES"/>
        </w:rPr>
      </w:pPr>
    </w:p>
    <w:p w14:paraId="4EF7D11A" w14:textId="77777777" w:rsidR="00060B21" w:rsidRPr="008A106B" w:rsidRDefault="00060B21" w:rsidP="00060B21">
      <w:pPr>
        <w:keepNext/>
        <w:rPr>
          <w:noProof/>
          <w:lang w:val="es-ES"/>
        </w:rPr>
      </w:pPr>
      <w:r w:rsidRPr="008A106B">
        <w:rPr>
          <w:noProof/>
          <w:lang w:val="es-ES"/>
        </w:rPr>
        <w:t>Conservar en nevera</w:t>
      </w:r>
    </w:p>
    <w:p w14:paraId="141DC1B8" w14:textId="77777777" w:rsidR="00060B21" w:rsidRPr="008A106B" w:rsidRDefault="00060B21" w:rsidP="00060B21">
      <w:pPr>
        <w:keepNext/>
        <w:rPr>
          <w:noProof/>
          <w:lang w:val="es-ES"/>
        </w:rPr>
      </w:pPr>
      <w:r w:rsidRPr="008A106B">
        <w:rPr>
          <w:noProof/>
          <w:lang w:val="es-ES"/>
        </w:rPr>
        <w:t>No congelar</w:t>
      </w:r>
    </w:p>
    <w:p w14:paraId="549D5934" w14:textId="77777777" w:rsidR="00060B21" w:rsidRPr="008A106B" w:rsidRDefault="00060B21" w:rsidP="00060B21">
      <w:pPr>
        <w:keepNext/>
        <w:rPr>
          <w:lang w:val="es-ES"/>
        </w:rPr>
      </w:pPr>
      <w:r w:rsidRPr="008A106B">
        <w:rPr>
          <w:noProof/>
          <w:lang w:val="es-ES"/>
        </w:rPr>
        <w:t>Conservar el vial en el embalaje exterior para protegerlo de la luz</w:t>
      </w:r>
    </w:p>
    <w:p w14:paraId="337403EC" w14:textId="77777777" w:rsidR="00060B21" w:rsidRPr="008A106B" w:rsidRDefault="00060B21" w:rsidP="00060B21">
      <w:pPr>
        <w:keepNext/>
        <w:ind w:left="567" w:hanging="567"/>
        <w:rPr>
          <w:lang w:val="es-ES"/>
        </w:rPr>
      </w:pPr>
    </w:p>
    <w:p w14:paraId="04C73B05" w14:textId="77777777" w:rsidR="00060B21" w:rsidRPr="008A106B" w:rsidRDefault="00060B21" w:rsidP="00060B21">
      <w:pPr>
        <w:ind w:left="567" w:hanging="567"/>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4C36CFD4" w14:textId="77777777" w:rsidTr="00FC7454">
        <w:tc>
          <w:tcPr>
            <w:tcW w:w="9620" w:type="dxa"/>
          </w:tcPr>
          <w:p w14:paraId="6A2FF0D3" w14:textId="77777777" w:rsidR="00060B21" w:rsidRPr="005A5612" w:rsidRDefault="00060B21" w:rsidP="00FC7454">
            <w:pPr>
              <w:ind w:left="567" w:hanging="567"/>
              <w:rPr>
                <w:b/>
                <w:lang w:val="es-ES"/>
              </w:rPr>
            </w:pPr>
            <w:r w:rsidRPr="005A5612">
              <w:rPr>
                <w:b/>
                <w:lang w:val="es-ES"/>
              </w:rPr>
              <w:t>10.</w:t>
            </w:r>
            <w:r w:rsidRPr="005A5612">
              <w:rPr>
                <w:b/>
                <w:lang w:val="es-ES"/>
              </w:rPr>
              <w:tab/>
            </w:r>
            <w:r w:rsidRPr="005A5612">
              <w:rPr>
                <w:b/>
                <w:noProof/>
                <w:lang w:val="es-ES"/>
              </w:rPr>
              <w:t>PRECAUCIONES ESPECIALES DE ELIMINACIÓN DEL MEDICAMENTO NO UTILIZADO Y DE LOS MATERIALES DERIVADOS DE SU USO</w:t>
            </w:r>
            <w:r w:rsidR="00060F6A">
              <w:rPr>
                <w:b/>
                <w:noProof/>
                <w:lang w:val="es-ES"/>
              </w:rPr>
              <w:t>,</w:t>
            </w:r>
            <w:r w:rsidRPr="005A5612">
              <w:rPr>
                <w:b/>
                <w:noProof/>
                <w:lang w:val="es-ES"/>
              </w:rPr>
              <w:t>CUANDO CORRESPONDA</w:t>
            </w:r>
          </w:p>
        </w:tc>
      </w:tr>
    </w:tbl>
    <w:p w14:paraId="6DCFD78C" w14:textId="77777777" w:rsidR="00060B21" w:rsidRPr="008A106B" w:rsidRDefault="00060B21" w:rsidP="00060B21">
      <w:pPr>
        <w:rPr>
          <w:lang w:val="es-ES"/>
        </w:rPr>
      </w:pPr>
    </w:p>
    <w:p w14:paraId="598D0667"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0D5DFC08" w14:textId="77777777" w:rsidTr="00FC7454">
        <w:tc>
          <w:tcPr>
            <w:tcW w:w="9620" w:type="dxa"/>
          </w:tcPr>
          <w:p w14:paraId="123B70AB" w14:textId="77777777" w:rsidR="00060B21" w:rsidRPr="005A5612" w:rsidRDefault="00060B21" w:rsidP="00FC7454">
            <w:pPr>
              <w:ind w:left="567" w:hanging="567"/>
              <w:rPr>
                <w:b/>
                <w:lang w:val="es-ES"/>
              </w:rPr>
            </w:pPr>
            <w:r w:rsidRPr="005A5612">
              <w:rPr>
                <w:b/>
                <w:lang w:val="es-ES"/>
              </w:rPr>
              <w:t>11.</w:t>
            </w:r>
            <w:r w:rsidRPr="005A5612">
              <w:rPr>
                <w:b/>
                <w:lang w:val="es-ES"/>
              </w:rPr>
              <w:tab/>
              <w:t>NOMBRE Y DIRECCIÓN DEL TITULAR DE LA AUTORIZACIÓN DE COMERCIALIZACIÓN</w:t>
            </w:r>
          </w:p>
        </w:tc>
      </w:tr>
    </w:tbl>
    <w:p w14:paraId="699A8350" w14:textId="77777777" w:rsidR="00060B21" w:rsidRPr="008A106B" w:rsidRDefault="00060B21" w:rsidP="00060B21">
      <w:pPr>
        <w:rPr>
          <w:lang w:val="es-ES"/>
        </w:rPr>
      </w:pPr>
    </w:p>
    <w:p w14:paraId="67AC8E0B" w14:textId="77777777" w:rsidR="00293699" w:rsidRPr="00EF2448" w:rsidRDefault="00293699" w:rsidP="00293699">
      <w:pPr>
        <w:rPr>
          <w:noProof/>
          <w:lang w:val="de-DE"/>
        </w:rPr>
      </w:pPr>
      <w:r w:rsidRPr="00EF2448">
        <w:rPr>
          <w:noProof/>
          <w:lang w:val="de-DE"/>
        </w:rPr>
        <w:t xml:space="preserve">Roche Registration GmbH </w:t>
      </w:r>
    </w:p>
    <w:p w14:paraId="61D2311B" w14:textId="77777777" w:rsidR="00293699" w:rsidRPr="00EF2448" w:rsidRDefault="00293699" w:rsidP="00293699">
      <w:pPr>
        <w:rPr>
          <w:noProof/>
          <w:lang w:val="de-DE"/>
        </w:rPr>
      </w:pPr>
      <w:r w:rsidRPr="00EF2448">
        <w:rPr>
          <w:noProof/>
          <w:lang w:val="de-DE"/>
        </w:rPr>
        <w:t>Emil-Barell-Strasse 1</w:t>
      </w:r>
    </w:p>
    <w:p w14:paraId="57B2D557" w14:textId="77777777" w:rsidR="00293699" w:rsidRPr="00EF2448" w:rsidRDefault="00293699" w:rsidP="00293699">
      <w:pPr>
        <w:rPr>
          <w:noProof/>
          <w:lang w:val="de-DE"/>
        </w:rPr>
      </w:pPr>
      <w:r w:rsidRPr="00EF2448">
        <w:rPr>
          <w:noProof/>
          <w:lang w:val="de-DE"/>
        </w:rPr>
        <w:t>79639 Grenzach-Wyhlen</w:t>
      </w:r>
    </w:p>
    <w:p w14:paraId="02AF401A" w14:textId="77777777" w:rsidR="00060B21" w:rsidRPr="008A106B" w:rsidRDefault="00293699" w:rsidP="00060B21">
      <w:pPr>
        <w:rPr>
          <w:lang w:val="es-ES"/>
        </w:rPr>
      </w:pPr>
      <w:r>
        <w:rPr>
          <w:noProof/>
          <w:lang w:val="en-GB"/>
        </w:rPr>
        <w:t>Alemania</w:t>
      </w:r>
    </w:p>
    <w:p w14:paraId="183AE297" w14:textId="77777777" w:rsidR="00060B21" w:rsidRDefault="00060B21" w:rsidP="00060B21">
      <w:pPr>
        <w:rPr>
          <w:lang w:val="es-ES"/>
        </w:rPr>
      </w:pPr>
    </w:p>
    <w:p w14:paraId="261376BA" w14:textId="77777777" w:rsidR="00387A47" w:rsidRPr="008A106B" w:rsidRDefault="00387A47"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41248" w14:paraId="5036BAAA" w14:textId="77777777" w:rsidTr="00FC7454">
        <w:tc>
          <w:tcPr>
            <w:tcW w:w="9620" w:type="dxa"/>
          </w:tcPr>
          <w:p w14:paraId="53BE8D11" w14:textId="77777777" w:rsidR="00060B21" w:rsidRPr="005A5612" w:rsidRDefault="00060B21" w:rsidP="00FC7454">
            <w:pPr>
              <w:ind w:left="567" w:hanging="567"/>
              <w:rPr>
                <w:b/>
                <w:lang w:val="es-ES"/>
              </w:rPr>
            </w:pPr>
            <w:r w:rsidRPr="005A5612">
              <w:rPr>
                <w:b/>
                <w:lang w:val="es-ES"/>
              </w:rPr>
              <w:t>12.</w:t>
            </w:r>
            <w:r w:rsidRPr="005A5612">
              <w:rPr>
                <w:b/>
                <w:lang w:val="es-ES"/>
              </w:rPr>
              <w:tab/>
              <w:t>NÚMERO(S) DE AUTORIZACIÓN DE COMERCIALIZACIÓN</w:t>
            </w:r>
          </w:p>
        </w:tc>
      </w:tr>
    </w:tbl>
    <w:p w14:paraId="5EA3DE67" w14:textId="77777777" w:rsidR="00060B21" w:rsidRPr="008A106B" w:rsidRDefault="00060B21" w:rsidP="00060B21">
      <w:pPr>
        <w:rPr>
          <w:lang w:val="es-ES"/>
        </w:rPr>
      </w:pPr>
    </w:p>
    <w:p w14:paraId="4F97FCAB" w14:textId="77777777" w:rsidR="00060B21" w:rsidRPr="00F30AB8" w:rsidRDefault="00060B21" w:rsidP="00060B21">
      <w:pPr>
        <w:rPr>
          <w:highlight w:val="lightGray"/>
          <w:lang w:val="es-ES"/>
        </w:rPr>
      </w:pPr>
      <w:r w:rsidRPr="00F30AB8">
        <w:rPr>
          <w:lang w:val="es-ES"/>
        </w:rPr>
        <w:t>EU/1/08/492/001</w:t>
      </w:r>
      <w:r w:rsidR="00FF79EF" w:rsidRPr="00F30AB8">
        <w:rPr>
          <w:lang w:val="es-ES"/>
        </w:rPr>
        <w:t xml:space="preserve"> </w:t>
      </w:r>
      <w:r w:rsidR="00FF79EF" w:rsidRPr="00F30AB8">
        <w:rPr>
          <w:highlight w:val="lightGray"/>
          <w:lang w:val="es-ES"/>
        </w:rPr>
        <w:t>1 vial de 4 ml</w:t>
      </w:r>
    </w:p>
    <w:p w14:paraId="14C51181" w14:textId="77777777" w:rsidR="00060B21" w:rsidRPr="00F30AB8" w:rsidRDefault="00060B21" w:rsidP="00060B21">
      <w:pPr>
        <w:rPr>
          <w:highlight w:val="lightGray"/>
          <w:lang w:val="es-ES"/>
        </w:rPr>
      </w:pPr>
      <w:r w:rsidRPr="00F30AB8">
        <w:rPr>
          <w:highlight w:val="lightGray"/>
          <w:lang w:val="es-ES"/>
        </w:rPr>
        <w:t>EU/1/08/492/002</w:t>
      </w:r>
      <w:r w:rsidR="00FF79EF" w:rsidRPr="00F30AB8">
        <w:rPr>
          <w:highlight w:val="lightGray"/>
          <w:lang w:val="es-ES"/>
        </w:rPr>
        <w:t xml:space="preserve"> 4 viales de 4 ml</w:t>
      </w:r>
    </w:p>
    <w:p w14:paraId="673D2C1F" w14:textId="77777777" w:rsidR="00FF79EF" w:rsidRPr="00F30AB8" w:rsidRDefault="00FF79EF" w:rsidP="00FF79EF">
      <w:pPr>
        <w:rPr>
          <w:highlight w:val="lightGray"/>
          <w:lang w:val="es-ES"/>
        </w:rPr>
      </w:pPr>
      <w:r w:rsidRPr="00F30AB8">
        <w:rPr>
          <w:highlight w:val="lightGray"/>
          <w:lang w:val="es-ES"/>
        </w:rPr>
        <w:t>EU/1/08/492/003 1 vial de 10 ml</w:t>
      </w:r>
    </w:p>
    <w:p w14:paraId="30D28C30" w14:textId="77777777" w:rsidR="00FF79EF" w:rsidRPr="00F30AB8" w:rsidRDefault="00FF79EF" w:rsidP="00FF79EF">
      <w:pPr>
        <w:rPr>
          <w:highlight w:val="lightGray"/>
          <w:lang w:val="es-ES"/>
        </w:rPr>
      </w:pPr>
      <w:r w:rsidRPr="00F30AB8">
        <w:rPr>
          <w:highlight w:val="lightGray"/>
          <w:lang w:val="es-ES"/>
        </w:rPr>
        <w:t>EU/1/08/492/004 4 viales de 10 ml</w:t>
      </w:r>
    </w:p>
    <w:p w14:paraId="1858C8A2" w14:textId="77777777" w:rsidR="00FF79EF" w:rsidRPr="00F30AB8" w:rsidRDefault="00FF79EF" w:rsidP="00FF79EF">
      <w:pPr>
        <w:rPr>
          <w:highlight w:val="lightGray"/>
          <w:lang w:val="es-ES"/>
        </w:rPr>
      </w:pPr>
      <w:r w:rsidRPr="00F30AB8">
        <w:rPr>
          <w:highlight w:val="lightGray"/>
          <w:lang w:val="es-ES"/>
        </w:rPr>
        <w:t xml:space="preserve">EU/1/08/492/005 1 vial de </w:t>
      </w:r>
      <w:r w:rsidRPr="00F30AB8">
        <w:rPr>
          <w:noProof/>
          <w:highlight w:val="lightGray"/>
          <w:lang w:val="es-ES"/>
        </w:rPr>
        <w:t>20 ml</w:t>
      </w:r>
    </w:p>
    <w:p w14:paraId="2115B55C" w14:textId="77777777" w:rsidR="00FF79EF" w:rsidRPr="00F30AB8" w:rsidRDefault="00FF79EF" w:rsidP="00FF79EF">
      <w:pPr>
        <w:rPr>
          <w:lang w:val="es-ES"/>
        </w:rPr>
      </w:pPr>
      <w:r w:rsidRPr="00F30AB8">
        <w:rPr>
          <w:highlight w:val="lightGray"/>
          <w:lang w:val="es-ES"/>
        </w:rPr>
        <w:t>EU/1/08/492/006 4 viales de 20 ml</w:t>
      </w:r>
    </w:p>
    <w:p w14:paraId="58DB6156" w14:textId="77777777" w:rsidR="00060B21" w:rsidRPr="00376697" w:rsidRDefault="00060B21" w:rsidP="00060B21">
      <w:pPr>
        <w:rPr>
          <w:lang w:val="es-ES"/>
        </w:rPr>
      </w:pPr>
    </w:p>
    <w:p w14:paraId="7332150D" w14:textId="77777777" w:rsidR="00060B21" w:rsidRPr="00376697"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3F635127" w14:textId="77777777" w:rsidTr="00FC7454">
        <w:tc>
          <w:tcPr>
            <w:tcW w:w="9620" w:type="dxa"/>
          </w:tcPr>
          <w:p w14:paraId="635E9ABE" w14:textId="77777777" w:rsidR="00060B21" w:rsidRPr="005A5612" w:rsidRDefault="00060B21" w:rsidP="00FC7454">
            <w:pPr>
              <w:ind w:left="567" w:hanging="567"/>
              <w:rPr>
                <w:b/>
                <w:lang w:val="es-ES"/>
              </w:rPr>
            </w:pPr>
            <w:r w:rsidRPr="005A5612">
              <w:rPr>
                <w:b/>
                <w:lang w:val="es-ES"/>
              </w:rPr>
              <w:t>13.</w:t>
            </w:r>
            <w:r w:rsidRPr="005A5612">
              <w:rPr>
                <w:b/>
                <w:lang w:val="es-ES"/>
              </w:rPr>
              <w:tab/>
              <w:t>NÚMERO DE LOTE</w:t>
            </w:r>
          </w:p>
        </w:tc>
      </w:tr>
    </w:tbl>
    <w:p w14:paraId="602D0EBF" w14:textId="77777777" w:rsidR="00060B21" w:rsidRPr="008A106B" w:rsidRDefault="00060B21" w:rsidP="00060B21">
      <w:pPr>
        <w:rPr>
          <w:lang w:val="es-ES"/>
        </w:rPr>
      </w:pPr>
    </w:p>
    <w:p w14:paraId="3B9B9D76" w14:textId="2451D80D" w:rsidR="00060B21" w:rsidRPr="008A106B" w:rsidRDefault="00060B21" w:rsidP="00060B21">
      <w:pPr>
        <w:rPr>
          <w:lang w:val="es-ES"/>
        </w:rPr>
      </w:pPr>
      <w:r w:rsidRPr="008A106B">
        <w:rPr>
          <w:lang w:val="es-ES"/>
        </w:rPr>
        <w:t>Lot</w:t>
      </w:r>
    </w:p>
    <w:p w14:paraId="5BF49D2B" w14:textId="77777777" w:rsidR="00060B21" w:rsidRPr="008A106B" w:rsidRDefault="00060B21" w:rsidP="00060B21">
      <w:pPr>
        <w:rPr>
          <w:lang w:val="es-ES"/>
        </w:rPr>
      </w:pPr>
    </w:p>
    <w:p w14:paraId="523E6AA3"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40946B29" w14:textId="77777777" w:rsidTr="00FC7454">
        <w:tc>
          <w:tcPr>
            <w:tcW w:w="9620" w:type="dxa"/>
          </w:tcPr>
          <w:p w14:paraId="3F8DDE42" w14:textId="77777777" w:rsidR="00060B21" w:rsidRPr="005A5612" w:rsidRDefault="00060B21" w:rsidP="00FC7454">
            <w:pPr>
              <w:ind w:left="567" w:hanging="567"/>
              <w:rPr>
                <w:b/>
                <w:lang w:val="es-ES"/>
              </w:rPr>
            </w:pPr>
            <w:r w:rsidRPr="005A5612">
              <w:rPr>
                <w:b/>
                <w:lang w:val="es-ES"/>
              </w:rPr>
              <w:t>14.</w:t>
            </w:r>
            <w:r w:rsidRPr="005A5612">
              <w:rPr>
                <w:b/>
                <w:lang w:val="es-ES"/>
              </w:rPr>
              <w:tab/>
              <w:t>CONDICIONES GENERALES DE DISPENSACIÓN</w:t>
            </w:r>
          </w:p>
        </w:tc>
      </w:tr>
    </w:tbl>
    <w:p w14:paraId="18DFCDED" w14:textId="77777777" w:rsidR="00060B21" w:rsidRPr="008A106B" w:rsidRDefault="00060B21" w:rsidP="00060B21">
      <w:pPr>
        <w:rPr>
          <w:lang w:val="es-ES"/>
        </w:rPr>
      </w:pPr>
    </w:p>
    <w:p w14:paraId="11D5557E" w14:textId="77777777" w:rsidR="00060B21" w:rsidRPr="008A106B" w:rsidRDefault="00060B21" w:rsidP="00060B21">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060B21" w:rsidRPr="005A5612" w14:paraId="10F126CC" w14:textId="77777777" w:rsidTr="00FC7454">
        <w:tc>
          <w:tcPr>
            <w:tcW w:w="9620" w:type="dxa"/>
          </w:tcPr>
          <w:p w14:paraId="403D7653" w14:textId="77777777" w:rsidR="00060B21" w:rsidRPr="005A5612" w:rsidRDefault="00060B21" w:rsidP="00FC7454">
            <w:pPr>
              <w:ind w:left="567" w:hanging="567"/>
              <w:rPr>
                <w:b/>
                <w:lang w:val="es-ES"/>
              </w:rPr>
            </w:pPr>
            <w:r w:rsidRPr="005A5612">
              <w:rPr>
                <w:b/>
                <w:lang w:val="es-ES"/>
              </w:rPr>
              <w:t>15.</w:t>
            </w:r>
            <w:r w:rsidRPr="005A5612">
              <w:rPr>
                <w:b/>
                <w:lang w:val="es-ES"/>
              </w:rPr>
              <w:tab/>
              <w:t>INSTRUCCIONES DE USO</w:t>
            </w:r>
          </w:p>
        </w:tc>
      </w:tr>
    </w:tbl>
    <w:p w14:paraId="0E6A0F05" w14:textId="77777777" w:rsidR="00060B21" w:rsidRPr="008A106B" w:rsidRDefault="00060B21" w:rsidP="00060B21">
      <w:pPr>
        <w:rPr>
          <w:lang w:val="es-ES"/>
        </w:rPr>
      </w:pPr>
    </w:p>
    <w:p w14:paraId="15CEDB0E" w14:textId="77777777" w:rsidR="00060B21" w:rsidRPr="008A106B" w:rsidRDefault="00060B21" w:rsidP="00060B21">
      <w:pPr>
        <w:rPr>
          <w:lang w:val="es-ES"/>
        </w:rPr>
      </w:pPr>
    </w:p>
    <w:p w14:paraId="3BB67051" w14:textId="77777777" w:rsidR="00060B21" w:rsidRPr="008A106B" w:rsidRDefault="00060B21" w:rsidP="00060B21">
      <w:pPr>
        <w:pBdr>
          <w:top w:val="single" w:sz="4" w:space="1" w:color="auto"/>
          <w:left w:val="single" w:sz="4" w:space="4" w:color="auto"/>
          <w:bottom w:val="single" w:sz="4" w:space="1" w:color="auto"/>
          <w:right w:val="single" w:sz="4" w:space="4" w:color="auto"/>
        </w:pBdr>
        <w:ind w:left="567" w:hanging="567"/>
        <w:rPr>
          <w:b/>
          <w:lang w:val="es-ES"/>
        </w:rPr>
      </w:pPr>
      <w:r w:rsidRPr="008A106B">
        <w:rPr>
          <w:b/>
          <w:lang w:val="es-ES"/>
        </w:rPr>
        <w:t>16.</w:t>
      </w:r>
      <w:r w:rsidRPr="008A106B">
        <w:rPr>
          <w:b/>
          <w:lang w:val="es-ES"/>
        </w:rPr>
        <w:tab/>
      </w:r>
      <w:r w:rsidRPr="008A106B">
        <w:rPr>
          <w:b/>
          <w:noProof/>
        </w:rPr>
        <w:t xml:space="preserve">INFORMACIÓN </w:t>
      </w:r>
      <w:r w:rsidRPr="008A106B">
        <w:rPr>
          <w:b/>
          <w:lang w:val="es-ES"/>
        </w:rPr>
        <w:t>EN BRAILLE</w:t>
      </w:r>
    </w:p>
    <w:p w14:paraId="60FFB129" w14:textId="77777777" w:rsidR="00060B21" w:rsidRPr="008A106B" w:rsidRDefault="00060B21" w:rsidP="00060B21">
      <w:pPr>
        <w:ind w:left="567" w:hanging="567"/>
        <w:rPr>
          <w:lang w:val="es-ES"/>
        </w:rPr>
      </w:pPr>
    </w:p>
    <w:p w14:paraId="4C3C54A6" w14:textId="77777777" w:rsidR="00060B21" w:rsidRDefault="00060B21" w:rsidP="00060B21">
      <w:pPr>
        <w:ind w:left="567" w:hanging="567"/>
        <w:rPr>
          <w:lang w:val="es-ES"/>
        </w:rPr>
      </w:pPr>
      <w:r w:rsidRPr="00F30AB8">
        <w:rPr>
          <w:highlight w:val="lightGray"/>
          <w:lang w:val="es-ES"/>
        </w:rPr>
        <w:t xml:space="preserve">Se acepta la justificación para no incluir </w:t>
      </w:r>
      <w:r w:rsidR="00060F6A" w:rsidRPr="00F30AB8">
        <w:rPr>
          <w:highlight w:val="lightGray"/>
          <w:lang w:val="es-ES"/>
        </w:rPr>
        <w:t>la información en Braille</w:t>
      </w:r>
    </w:p>
    <w:p w14:paraId="41884D94" w14:textId="77777777" w:rsidR="00571A84" w:rsidRDefault="00571A84" w:rsidP="00060B21">
      <w:pPr>
        <w:ind w:left="567" w:hanging="567"/>
        <w:rPr>
          <w:lang w:val="es-ES"/>
        </w:rPr>
      </w:pPr>
    </w:p>
    <w:p w14:paraId="25150879" w14:textId="77777777" w:rsidR="0006690B" w:rsidRDefault="0006690B" w:rsidP="00060B21">
      <w:pPr>
        <w:ind w:left="567" w:hanging="567"/>
        <w:rPr>
          <w:lang w:val="es-ES"/>
        </w:rPr>
      </w:pPr>
    </w:p>
    <w:p w14:paraId="32F2DE67" w14:textId="77777777" w:rsidR="00571A84" w:rsidRPr="00EF2448" w:rsidRDefault="002B29A0" w:rsidP="002B29A0">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lang w:val="pt-BR" w:eastAsia="es-ES" w:bidi="es-ES"/>
        </w:rPr>
      </w:pPr>
      <w:r w:rsidRPr="00EF2448">
        <w:rPr>
          <w:b/>
          <w:noProof/>
          <w:lang w:val="pt-BR" w:eastAsia="es-ES" w:bidi="es-ES"/>
        </w:rPr>
        <w:t>17.</w:t>
      </w:r>
      <w:r w:rsidRPr="00EF2448">
        <w:rPr>
          <w:b/>
          <w:noProof/>
          <w:lang w:val="pt-BR" w:eastAsia="es-ES" w:bidi="es-ES"/>
        </w:rPr>
        <w:tab/>
      </w:r>
      <w:r w:rsidR="00571A84" w:rsidRPr="00EF2448">
        <w:rPr>
          <w:b/>
          <w:noProof/>
          <w:lang w:val="pt-BR" w:eastAsia="es-ES" w:bidi="es-ES"/>
        </w:rPr>
        <w:t>IDENTIFICADOR ÚNICO - CÓDIGO DE BARRAS 2D</w:t>
      </w:r>
    </w:p>
    <w:p w14:paraId="2A4AE418" w14:textId="77777777" w:rsidR="00571A84" w:rsidRPr="00EF2448" w:rsidRDefault="00571A84" w:rsidP="00060B21">
      <w:pPr>
        <w:ind w:left="567" w:hanging="567"/>
        <w:rPr>
          <w:lang w:val="pt-BR"/>
        </w:rPr>
      </w:pPr>
    </w:p>
    <w:p w14:paraId="161D3BEC" w14:textId="77777777" w:rsidR="00571A84" w:rsidRPr="00571A84" w:rsidRDefault="00571A84" w:rsidP="00571A84">
      <w:pPr>
        <w:rPr>
          <w:noProof/>
          <w:szCs w:val="22"/>
          <w:shd w:val="clear" w:color="auto" w:fill="CCCCCC"/>
          <w:lang w:val="es-ES"/>
        </w:rPr>
      </w:pPr>
      <w:r w:rsidRPr="0017056A">
        <w:rPr>
          <w:noProof/>
          <w:highlight w:val="lightGray"/>
          <w:lang w:val="es-ES"/>
        </w:rPr>
        <w:t>Incluido el código de barras 2D qu</w:t>
      </w:r>
      <w:r w:rsidR="00667E4F" w:rsidRPr="0017056A">
        <w:rPr>
          <w:noProof/>
          <w:highlight w:val="lightGray"/>
          <w:lang w:val="es-ES"/>
        </w:rPr>
        <w:t>e lleva el identificador único.</w:t>
      </w:r>
    </w:p>
    <w:p w14:paraId="7A907FFB" w14:textId="77777777" w:rsidR="00571A84" w:rsidRPr="00571A84" w:rsidRDefault="00571A84" w:rsidP="00571A84">
      <w:pPr>
        <w:rPr>
          <w:noProof/>
          <w:szCs w:val="22"/>
          <w:shd w:val="clear" w:color="auto" w:fill="CCCCCC"/>
          <w:lang w:val="es-ES"/>
        </w:rPr>
      </w:pPr>
    </w:p>
    <w:p w14:paraId="148AC9AE" w14:textId="77777777" w:rsidR="00571A84" w:rsidRDefault="00571A84" w:rsidP="00060B21">
      <w:pPr>
        <w:ind w:left="567" w:hanging="567"/>
        <w:rPr>
          <w:lang w:val="es-ES"/>
        </w:rPr>
      </w:pPr>
    </w:p>
    <w:p w14:paraId="2B67D7AD" w14:textId="77777777" w:rsidR="00667E4F" w:rsidRPr="00667E4F" w:rsidRDefault="002B29A0" w:rsidP="002B29A0">
      <w:pPr>
        <w:keepNext/>
        <w:keepLines/>
        <w:pBdr>
          <w:top w:val="single" w:sz="4" w:space="1" w:color="auto"/>
          <w:left w:val="single" w:sz="4" w:space="4" w:color="auto"/>
          <w:bottom w:val="single" w:sz="4" w:space="1" w:color="auto"/>
          <w:right w:val="single" w:sz="4" w:space="4" w:color="auto"/>
        </w:pBdr>
        <w:tabs>
          <w:tab w:val="left" w:pos="567"/>
        </w:tabs>
        <w:ind w:left="-3"/>
        <w:outlineLvl w:val="0"/>
        <w:rPr>
          <w:i/>
          <w:noProof/>
          <w:lang w:val="es-ES"/>
        </w:rPr>
      </w:pPr>
      <w:r>
        <w:rPr>
          <w:b/>
          <w:noProof/>
          <w:lang w:val="es-ES"/>
        </w:rPr>
        <w:t>18.</w:t>
      </w:r>
      <w:r>
        <w:rPr>
          <w:b/>
          <w:noProof/>
          <w:lang w:val="es-ES"/>
        </w:rPr>
        <w:tab/>
      </w:r>
      <w:r w:rsidR="00667E4F" w:rsidRPr="00667E4F">
        <w:rPr>
          <w:b/>
          <w:noProof/>
          <w:lang w:val="es-ES"/>
        </w:rPr>
        <w:t>IDENTIFICADOR ÚNICO - INFORMACIÓN EN CARACTERES VISUALES</w:t>
      </w:r>
    </w:p>
    <w:p w14:paraId="49C9DBEB" w14:textId="77777777" w:rsidR="00667E4F" w:rsidRDefault="00667E4F" w:rsidP="0006690B">
      <w:pPr>
        <w:keepNext/>
        <w:keepLines/>
        <w:ind w:left="567" w:hanging="567"/>
        <w:rPr>
          <w:lang w:val="es-ES"/>
        </w:rPr>
      </w:pPr>
    </w:p>
    <w:p w14:paraId="60069891" w14:textId="77777777" w:rsidR="0006690B" w:rsidRDefault="00667E4F" w:rsidP="0006690B">
      <w:pPr>
        <w:keepNext/>
        <w:keepLines/>
        <w:rPr>
          <w:lang w:val="es-ES"/>
        </w:rPr>
      </w:pPr>
      <w:r w:rsidRPr="00667E4F">
        <w:rPr>
          <w:lang w:val="es-ES"/>
        </w:rPr>
        <w:t>PC</w:t>
      </w:r>
    </w:p>
    <w:p w14:paraId="7817D67A" w14:textId="77777777" w:rsidR="00667E4F" w:rsidRPr="00667E4F" w:rsidRDefault="00667E4F" w:rsidP="0006690B">
      <w:pPr>
        <w:keepNext/>
        <w:keepLines/>
        <w:rPr>
          <w:szCs w:val="22"/>
          <w:lang w:val="es-ES"/>
        </w:rPr>
      </w:pPr>
      <w:r w:rsidRPr="00667E4F">
        <w:rPr>
          <w:lang w:val="es-ES"/>
        </w:rPr>
        <w:t>SN</w:t>
      </w:r>
    </w:p>
    <w:p w14:paraId="458C046D" w14:textId="77777777" w:rsidR="00667E4F" w:rsidRDefault="00667E4F" w:rsidP="0006690B">
      <w:pPr>
        <w:keepNext/>
        <w:keepLines/>
        <w:rPr>
          <w:lang w:val="es-ES"/>
        </w:rPr>
      </w:pPr>
      <w:r w:rsidRPr="00667E4F">
        <w:rPr>
          <w:lang w:val="es-ES"/>
        </w:rPr>
        <w:t>NN</w:t>
      </w:r>
    </w:p>
    <w:p w14:paraId="2792980D" w14:textId="77777777" w:rsidR="00667E4F" w:rsidRPr="008A106B" w:rsidRDefault="00667E4F" w:rsidP="00060B21">
      <w:pPr>
        <w:ind w:left="567" w:hanging="567"/>
        <w:rPr>
          <w:lang w:val="es-ES"/>
        </w:rPr>
      </w:pPr>
    </w:p>
    <w:p w14:paraId="3DDFE504" w14:textId="77777777" w:rsidR="00E211AA" w:rsidRPr="008A106B" w:rsidRDefault="00060B21" w:rsidP="00E211AA">
      <w:pPr>
        <w:ind w:left="567" w:hanging="567"/>
        <w:rPr>
          <w:b/>
          <w:lang w:val="es-ES"/>
        </w:rPr>
      </w:pPr>
      <w:r w:rsidRPr="008A106B">
        <w:rPr>
          <w:b/>
          <w:lang w:val="es-ES"/>
        </w:rPr>
        <w:br w:type="page"/>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E211AA" w:rsidRPr="005A5612" w14:paraId="398BC9EA" w14:textId="77777777" w:rsidTr="001355D0">
        <w:trPr>
          <w:trHeight w:val="1070"/>
        </w:trPr>
        <w:tc>
          <w:tcPr>
            <w:tcW w:w="9620" w:type="dxa"/>
            <w:tcBorders>
              <w:bottom w:val="single" w:sz="4" w:space="0" w:color="auto"/>
            </w:tcBorders>
          </w:tcPr>
          <w:p w14:paraId="5161B06E" w14:textId="77777777" w:rsidR="00E211AA" w:rsidRPr="005A5612" w:rsidRDefault="00E211AA" w:rsidP="001355D0">
            <w:pPr>
              <w:rPr>
                <w:b/>
                <w:lang w:val="es-ES"/>
              </w:rPr>
            </w:pPr>
            <w:r w:rsidRPr="005A5612">
              <w:rPr>
                <w:b/>
                <w:lang w:val="es-ES"/>
              </w:rPr>
              <w:lastRenderedPageBreak/>
              <w:t>INFORMACIÓN MÍNIMA QUE DEBE INCLUIRSE EN PEQUEÑOS ACONDICIONAMIENTOS PRIMARIOS</w:t>
            </w:r>
          </w:p>
          <w:p w14:paraId="2BBA4DF8" w14:textId="77777777" w:rsidR="00E211AA" w:rsidRPr="005A5612" w:rsidRDefault="00E211AA" w:rsidP="001355D0">
            <w:pPr>
              <w:rPr>
                <w:b/>
                <w:lang w:val="es-ES"/>
              </w:rPr>
            </w:pPr>
          </w:p>
          <w:p w14:paraId="254DED0D" w14:textId="77777777" w:rsidR="00E211AA" w:rsidRPr="005A5612" w:rsidRDefault="00E211AA" w:rsidP="001355D0">
            <w:pPr>
              <w:rPr>
                <w:b/>
                <w:lang w:val="es-ES"/>
              </w:rPr>
            </w:pPr>
            <w:r w:rsidRPr="005A5612">
              <w:rPr>
                <w:b/>
                <w:lang w:val="es-ES"/>
              </w:rPr>
              <w:t>VIAL</w:t>
            </w:r>
          </w:p>
        </w:tc>
      </w:tr>
    </w:tbl>
    <w:p w14:paraId="42CDE6B5" w14:textId="77777777" w:rsidR="00E211AA" w:rsidRPr="008A106B" w:rsidRDefault="00E211AA" w:rsidP="00E211AA">
      <w:pPr>
        <w:rPr>
          <w:lang w:val="es-ES"/>
        </w:rPr>
      </w:pPr>
    </w:p>
    <w:p w14:paraId="70187947" w14:textId="77777777" w:rsidR="00E211AA" w:rsidRPr="008A106B" w:rsidRDefault="00E211AA" w:rsidP="00E211A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E211AA" w:rsidRPr="00541248" w14:paraId="51113A2D" w14:textId="77777777" w:rsidTr="001355D0">
        <w:tc>
          <w:tcPr>
            <w:tcW w:w="9620" w:type="dxa"/>
          </w:tcPr>
          <w:p w14:paraId="75F19C97" w14:textId="77777777" w:rsidR="00E211AA" w:rsidRPr="005A5612" w:rsidRDefault="00E211AA" w:rsidP="001355D0">
            <w:pPr>
              <w:ind w:left="567" w:hanging="567"/>
              <w:rPr>
                <w:b/>
                <w:lang w:val="es-ES"/>
              </w:rPr>
            </w:pPr>
            <w:r w:rsidRPr="005A5612">
              <w:rPr>
                <w:b/>
                <w:lang w:val="es-ES"/>
              </w:rPr>
              <w:t>1.</w:t>
            </w:r>
            <w:r w:rsidRPr="005A5612">
              <w:rPr>
                <w:b/>
                <w:lang w:val="es-ES"/>
              </w:rPr>
              <w:tab/>
            </w:r>
            <w:r w:rsidRPr="005A5612">
              <w:rPr>
                <w:b/>
                <w:noProof/>
                <w:lang w:val="es-ES"/>
              </w:rPr>
              <w:t>NOMBRE DEL MEDICAMENTO Y VÍA</w:t>
            </w:r>
            <w:del w:id="2270" w:author="AUTHOR">
              <w:r w:rsidRPr="005A5612" w:rsidDel="00541248">
                <w:rPr>
                  <w:b/>
                  <w:noProof/>
                  <w:lang w:val="es-ES"/>
                </w:rPr>
                <w:delText>(S)</w:delText>
              </w:r>
            </w:del>
            <w:r w:rsidRPr="005A5612">
              <w:rPr>
                <w:b/>
                <w:noProof/>
                <w:lang w:val="es-ES"/>
              </w:rPr>
              <w:t xml:space="preserve"> DE ADMINISTRACIÓN</w:t>
            </w:r>
          </w:p>
        </w:tc>
      </w:tr>
    </w:tbl>
    <w:p w14:paraId="1CF1AACA" w14:textId="77777777" w:rsidR="00E211AA" w:rsidRPr="008A106B" w:rsidRDefault="00E211AA" w:rsidP="00E211AA">
      <w:pPr>
        <w:ind w:left="567" w:hanging="567"/>
        <w:rPr>
          <w:lang w:val="es-ES"/>
        </w:rPr>
      </w:pPr>
    </w:p>
    <w:p w14:paraId="7E31C412" w14:textId="77777777" w:rsidR="00E211AA" w:rsidRPr="008A106B" w:rsidRDefault="00E211AA" w:rsidP="00E211AA">
      <w:pPr>
        <w:rPr>
          <w:noProof/>
          <w:lang w:val="es-ES"/>
        </w:rPr>
      </w:pPr>
      <w:r w:rsidRPr="008A106B">
        <w:rPr>
          <w:noProof/>
          <w:lang w:val="es-ES"/>
        </w:rPr>
        <w:t>RoActemra 20 mg/ml, concentrado est</w:t>
      </w:r>
      <w:r>
        <w:rPr>
          <w:noProof/>
          <w:lang w:val="es-ES"/>
        </w:rPr>
        <w:t>é</w:t>
      </w:r>
      <w:r w:rsidRPr="008A106B">
        <w:rPr>
          <w:noProof/>
          <w:lang w:val="es-ES"/>
        </w:rPr>
        <w:t>ril</w:t>
      </w:r>
    </w:p>
    <w:p w14:paraId="563BEBB0" w14:textId="77777777" w:rsidR="00E211AA" w:rsidRPr="008A106B" w:rsidRDefault="00E211AA" w:rsidP="00E211AA">
      <w:pPr>
        <w:rPr>
          <w:noProof/>
          <w:lang w:val="pt-PT"/>
        </w:rPr>
      </w:pPr>
      <w:r>
        <w:rPr>
          <w:noProof/>
          <w:lang w:val="pt-PT"/>
        </w:rPr>
        <w:t>t</w:t>
      </w:r>
      <w:r w:rsidRPr="008A106B">
        <w:rPr>
          <w:noProof/>
          <w:lang w:val="pt-PT"/>
        </w:rPr>
        <w:t>ocilizumab</w:t>
      </w:r>
    </w:p>
    <w:p w14:paraId="53CD903C" w14:textId="77777777" w:rsidR="00E211AA" w:rsidRPr="008A106B" w:rsidRDefault="00E211AA" w:rsidP="00E211AA">
      <w:pPr>
        <w:rPr>
          <w:lang w:val="es-ES"/>
        </w:rPr>
      </w:pPr>
      <w:r>
        <w:rPr>
          <w:lang w:val="es-ES"/>
        </w:rPr>
        <w:t>IV</w:t>
      </w:r>
    </w:p>
    <w:p w14:paraId="10232AB6" w14:textId="77777777" w:rsidR="00E211AA" w:rsidRPr="008A106B" w:rsidRDefault="00E211AA" w:rsidP="00E211AA">
      <w:pPr>
        <w:rPr>
          <w:lang w:val="es-ES"/>
        </w:rPr>
      </w:pPr>
    </w:p>
    <w:p w14:paraId="302A4496" w14:textId="77777777" w:rsidR="00E211AA" w:rsidRPr="008A106B" w:rsidRDefault="00E211AA" w:rsidP="00E211A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E211AA" w:rsidRPr="005A5612" w14:paraId="74663218" w14:textId="77777777" w:rsidTr="001355D0">
        <w:tc>
          <w:tcPr>
            <w:tcW w:w="9620" w:type="dxa"/>
          </w:tcPr>
          <w:p w14:paraId="6095F85F" w14:textId="77777777" w:rsidR="00E211AA" w:rsidRPr="005A5612" w:rsidRDefault="00E211AA" w:rsidP="001355D0">
            <w:pPr>
              <w:ind w:left="567" w:hanging="567"/>
              <w:rPr>
                <w:b/>
                <w:lang w:val="es-ES"/>
              </w:rPr>
            </w:pPr>
            <w:r w:rsidRPr="005A5612">
              <w:rPr>
                <w:b/>
                <w:lang w:val="es-ES"/>
              </w:rPr>
              <w:t>2.</w:t>
            </w:r>
            <w:r w:rsidRPr="005A5612">
              <w:rPr>
                <w:b/>
                <w:lang w:val="es-ES"/>
              </w:rPr>
              <w:tab/>
              <w:t>FORMA DE ADMINISTRACIÓN</w:t>
            </w:r>
          </w:p>
        </w:tc>
      </w:tr>
    </w:tbl>
    <w:p w14:paraId="0F9CBDE7" w14:textId="77777777" w:rsidR="00E211AA" w:rsidRPr="008A106B" w:rsidRDefault="00E211AA" w:rsidP="00E211AA">
      <w:pPr>
        <w:rPr>
          <w:lang w:val="es-ES"/>
        </w:rPr>
      </w:pPr>
    </w:p>
    <w:p w14:paraId="0B2E1213" w14:textId="77777777" w:rsidR="00E211AA" w:rsidRPr="008A106B" w:rsidRDefault="00E211AA" w:rsidP="00E211AA">
      <w:pPr>
        <w:rPr>
          <w:lang w:val="es-ES"/>
        </w:rPr>
      </w:pPr>
      <w:r w:rsidRPr="008A106B">
        <w:rPr>
          <w:lang w:val="es-ES"/>
        </w:rPr>
        <w:t xml:space="preserve">Perfusión IV </w:t>
      </w:r>
    </w:p>
    <w:p w14:paraId="01781D80" w14:textId="77777777" w:rsidR="00E211AA" w:rsidRPr="008A106B" w:rsidRDefault="00E211AA" w:rsidP="00E211AA">
      <w:pPr>
        <w:rPr>
          <w:lang w:val="es-ES"/>
        </w:rPr>
      </w:pPr>
    </w:p>
    <w:p w14:paraId="78106C9F" w14:textId="77777777" w:rsidR="00E211AA" w:rsidRPr="008A106B" w:rsidRDefault="00E211AA" w:rsidP="00E211A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E211AA" w:rsidRPr="005A5612" w14:paraId="6646424B" w14:textId="77777777" w:rsidTr="001355D0">
        <w:tc>
          <w:tcPr>
            <w:tcW w:w="9620" w:type="dxa"/>
          </w:tcPr>
          <w:p w14:paraId="292407A6" w14:textId="77777777" w:rsidR="00E211AA" w:rsidRPr="005A5612" w:rsidRDefault="00E211AA" w:rsidP="001355D0">
            <w:pPr>
              <w:ind w:left="567" w:hanging="567"/>
              <w:rPr>
                <w:b/>
                <w:lang w:val="es-ES"/>
              </w:rPr>
            </w:pPr>
            <w:r w:rsidRPr="005A5612">
              <w:rPr>
                <w:b/>
                <w:lang w:val="es-ES"/>
              </w:rPr>
              <w:t>3.</w:t>
            </w:r>
            <w:r w:rsidRPr="005A5612">
              <w:rPr>
                <w:b/>
                <w:lang w:val="es-ES"/>
              </w:rPr>
              <w:tab/>
              <w:t>FECHA DE CADUCIDAD</w:t>
            </w:r>
          </w:p>
        </w:tc>
      </w:tr>
    </w:tbl>
    <w:p w14:paraId="306A3307" w14:textId="77777777" w:rsidR="00E211AA" w:rsidRPr="008A106B" w:rsidRDefault="00E211AA" w:rsidP="00E211AA">
      <w:pPr>
        <w:rPr>
          <w:lang w:val="es-ES"/>
        </w:rPr>
      </w:pPr>
    </w:p>
    <w:p w14:paraId="75347014" w14:textId="77777777" w:rsidR="00E211AA" w:rsidRPr="008A106B" w:rsidRDefault="00E211AA" w:rsidP="00E211AA">
      <w:pPr>
        <w:rPr>
          <w:lang w:val="es-ES"/>
        </w:rPr>
      </w:pPr>
      <w:r w:rsidRPr="008A106B">
        <w:rPr>
          <w:lang w:val="es-ES"/>
        </w:rPr>
        <w:t>EXP</w:t>
      </w:r>
    </w:p>
    <w:p w14:paraId="77BC959D" w14:textId="77777777" w:rsidR="00E211AA" w:rsidRPr="008A106B" w:rsidRDefault="00E211AA" w:rsidP="00E211AA">
      <w:pPr>
        <w:rPr>
          <w:lang w:val="es-ES"/>
        </w:rPr>
      </w:pPr>
    </w:p>
    <w:p w14:paraId="18C4AD09" w14:textId="77777777" w:rsidR="00E211AA" w:rsidRPr="008A106B" w:rsidRDefault="00E211AA" w:rsidP="00E211AA">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E211AA" w:rsidRPr="005A5612" w14:paraId="409206A4" w14:textId="77777777" w:rsidTr="001355D0">
        <w:tc>
          <w:tcPr>
            <w:tcW w:w="9620" w:type="dxa"/>
          </w:tcPr>
          <w:p w14:paraId="4C2EF5A1" w14:textId="77777777" w:rsidR="00E211AA" w:rsidRPr="005A5612" w:rsidRDefault="00E211AA" w:rsidP="001355D0">
            <w:pPr>
              <w:ind w:left="567" w:hanging="567"/>
              <w:rPr>
                <w:b/>
                <w:lang w:val="es-ES"/>
              </w:rPr>
            </w:pPr>
            <w:r w:rsidRPr="005A5612">
              <w:rPr>
                <w:b/>
                <w:lang w:val="es-ES"/>
              </w:rPr>
              <w:t>4.</w:t>
            </w:r>
            <w:r w:rsidRPr="005A5612">
              <w:rPr>
                <w:b/>
                <w:lang w:val="es-ES"/>
              </w:rPr>
              <w:tab/>
              <w:t>NÚMERO DE LOTE</w:t>
            </w:r>
          </w:p>
        </w:tc>
      </w:tr>
    </w:tbl>
    <w:p w14:paraId="3D15A3A9" w14:textId="77777777" w:rsidR="00E211AA" w:rsidRPr="008A106B" w:rsidRDefault="00E211AA" w:rsidP="00E211AA">
      <w:pPr>
        <w:rPr>
          <w:lang w:val="es-ES"/>
        </w:rPr>
      </w:pPr>
    </w:p>
    <w:p w14:paraId="02345B52" w14:textId="77777777" w:rsidR="00E211AA" w:rsidRPr="008A106B" w:rsidRDefault="00E211AA" w:rsidP="00E211AA">
      <w:pPr>
        <w:rPr>
          <w:lang w:val="es-ES"/>
        </w:rPr>
      </w:pPr>
      <w:r w:rsidRPr="008A106B">
        <w:rPr>
          <w:lang w:val="es-ES"/>
        </w:rPr>
        <w:t>Lot</w:t>
      </w:r>
    </w:p>
    <w:p w14:paraId="2DA012DC" w14:textId="77777777" w:rsidR="00E211AA" w:rsidRPr="008A106B" w:rsidRDefault="00E211AA" w:rsidP="00E211AA">
      <w:pPr>
        <w:rPr>
          <w:lang w:val="es-ES"/>
        </w:rPr>
      </w:pPr>
    </w:p>
    <w:p w14:paraId="710052FE" w14:textId="77777777" w:rsidR="00E211AA" w:rsidRPr="008A106B" w:rsidRDefault="00E211AA" w:rsidP="00E211AA">
      <w:pPr>
        <w:ind w:right="113"/>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E211AA" w:rsidRPr="00541248" w14:paraId="359CA312" w14:textId="77777777" w:rsidTr="001355D0">
        <w:tc>
          <w:tcPr>
            <w:tcW w:w="9620" w:type="dxa"/>
          </w:tcPr>
          <w:p w14:paraId="347CDFA6" w14:textId="77777777" w:rsidR="00E211AA" w:rsidRPr="005A5612" w:rsidRDefault="00E211AA" w:rsidP="001355D0">
            <w:pPr>
              <w:ind w:left="567" w:hanging="567"/>
              <w:rPr>
                <w:b/>
                <w:lang w:val="es-ES"/>
              </w:rPr>
            </w:pPr>
            <w:r w:rsidRPr="005A5612">
              <w:rPr>
                <w:b/>
                <w:lang w:val="es-ES"/>
              </w:rPr>
              <w:t>5.</w:t>
            </w:r>
            <w:r w:rsidRPr="005A5612">
              <w:rPr>
                <w:b/>
                <w:lang w:val="es-ES"/>
              </w:rPr>
              <w:tab/>
            </w:r>
            <w:r w:rsidRPr="005A5612">
              <w:rPr>
                <w:b/>
                <w:noProof/>
                <w:lang w:val="es-ES"/>
              </w:rPr>
              <w:t>CONTENIDO EN PESO, EN VOLUMEN O EN UNIDADES</w:t>
            </w:r>
          </w:p>
        </w:tc>
      </w:tr>
    </w:tbl>
    <w:p w14:paraId="5528B31E" w14:textId="77777777" w:rsidR="00E211AA" w:rsidRDefault="00E211AA" w:rsidP="00E211AA">
      <w:pPr>
        <w:rPr>
          <w:lang w:val="es-ES"/>
        </w:rPr>
      </w:pPr>
    </w:p>
    <w:p w14:paraId="156C6DFA" w14:textId="77777777" w:rsidR="00E211AA" w:rsidRPr="00F30AB8" w:rsidRDefault="00E211AA" w:rsidP="00E211AA">
      <w:pPr>
        <w:rPr>
          <w:lang w:val="nl-NL"/>
        </w:rPr>
      </w:pPr>
      <w:r w:rsidRPr="00F30AB8">
        <w:rPr>
          <w:lang w:val="nl-NL"/>
        </w:rPr>
        <w:t>80 mg/4 ml</w:t>
      </w:r>
    </w:p>
    <w:p w14:paraId="7BC3CEC2" w14:textId="77777777" w:rsidR="00E211AA" w:rsidRPr="00F30AB8" w:rsidRDefault="00E211AA" w:rsidP="00E211AA">
      <w:pPr>
        <w:rPr>
          <w:highlight w:val="lightGray"/>
          <w:lang w:val="nl-NL"/>
        </w:rPr>
      </w:pPr>
      <w:r w:rsidRPr="00F30AB8">
        <w:rPr>
          <w:highlight w:val="lightGray"/>
          <w:lang w:val="nl-NL"/>
        </w:rPr>
        <w:t>200 mg/10 ml</w:t>
      </w:r>
    </w:p>
    <w:p w14:paraId="21DFD87F" w14:textId="77777777" w:rsidR="00E211AA" w:rsidRPr="00F30AB8" w:rsidRDefault="00E211AA" w:rsidP="00E211AA">
      <w:pPr>
        <w:rPr>
          <w:lang w:val="nl-NL"/>
        </w:rPr>
      </w:pPr>
      <w:r w:rsidRPr="00F30AB8">
        <w:rPr>
          <w:highlight w:val="lightGray"/>
          <w:lang w:val="nl-NL"/>
        </w:rPr>
        <w:t>400 mg/20 ml</w:t>
      </w:r>
    </w:p>
    <w:p w14:paraId="238148E5" w14:textId="77777777" w:rsidR="00E211AA" w:rsidRPr="00F30AB8" w:rsidRDefault="00E211AA" w:rsidP="00E211AA">
      <w:pPr>
        <w:rPr>
          <w:lang w:val="nl-NL"/>
        </w:rPr>
      </w:pPr>
    </w:p>
    <w:p w14:paraId="31D63AFB" w14:textId="77777777" w:rsidR="00E211AA" w:rsidRPr="00F30AB8" w:rsidRDefault="00E211AA" w:rsidP="00E211AA">
      <w:pPr>
        <w:rPr>
          <w:lang w:val="nl-NL"/>
        </w:rPr>
      </w:pPr>
    </w:p>
    <w:p w14:paraId="02A17519" w14:textId="77777777" w:rsidR="00E211AA" w:rsidRPr="008A106B" w:rsidRDefault="00E211AA" w:rsidP="00E211AA">
      <w:pPr>
        <w:pBdr>
          <w:top w:val="single" w:sz="4" w:space="1" w:color="auto"/>
          <w:left w:val="single" w:sz="4" w:space="4" w:color="auto"/>
          <w:bottom w:val="single" w:sz="4" w:space="1" w:color="auto"/>
          <w:right w:val="single" w:sz="4" w:space="4" w:color="auto"/>
        </w:pBdr>
        <w:ind w:left="567" w:hanging="567"/>
        <w:rPr>
          <w:b/>
          <w:lang w:val="es-ES"/>
        </w:rPr>
      </w:pPr>
      <w:r w:rsidRPr="008A106B">
        <w:rPr>
          <w:b/>
          <w:lang w:val="es-ES"/>
        </w:rPr>
        <w:t>6.</w:t>
      </w:r>
      <w:r w:rsidRPr="008A106B">
        <w:rPr>
          <w:b/>
          <w:lang w:val="es-ES"/>
        </w:rPr>
        <w:tab/>
        <w:t>OTROS</w:t>
      </w:r>
    </w:p>
    <w:p w14:paraId="0715DF42" w14:textId="77777777" w:rsidR="00060B21" w:rsidRPr="008A106B" w:rsidRDefault="00E211AA" w:rsidP="00060B21">
      <w:pPr>
        <w:ind w:left="567" w:hanging="567"/>
        <w:rPr>
          <w:b/>
          <w:lang w:val="es-ES"/>
        </w:rPr>
      </w:pPr>
      <w:r>
        <w:rPr>
          <w:b/>
          <w:lang w:val="es-ES"/>
        </w:rPr>
        <w:br w:type="page"/>
      </w:r>
    </w:p>
    <w:p w14:paraId="4A040511" w14:textId="55CC89C0" w:rsidR="00E96FFC" w:rsidRPr="008A106B" w:rsidRDefault="00E96FFC" w:rsidP="00097C58">
      <w:pPr>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0949021C" w14:textId="77777777" w:rsidTr="00E7089A">
        <w:tc>
          <w:tcPr>
            <w:tcW w:w="9620" w:type="dxa"/>
            <w:tcBorders>
              <w:bottom w:val="single" w:sz="4" w:space="0" w:color="auto"/>
            </w:tcBorders>
          </w:tcPr>
          <w:p w14:paraId="1743325F" w14:textId="77777777" w:rsidR="00F50412" w:rsidRPr="005A5612" w:rsidRDefault="00F50412" w:rsidP="00E7089A">
            <w:pPr>
              <w:rPr>
                <w:b/>
                <w:lang w:val="es-ES"/>
              </w:rPr>
            </w:pPr>
            <w:r w:rsidRPr="005A5612">
              <w:rPr>
                <w:b/>
                <w:noProof/>
                <w:lang w:val="es-ES"/>
              </w:rPr>
              <w:t>INFORMACIÓN QUE DEBE FIGURAR EN EL EMBALAJE EXTERIOR</w:t>
            </w:r>
          </w:p>
          <w:p w14:paraId="07F02E26" w14:textId="77777777" w:rsidR="00F50412" w:rsidRPr="005A5612" w:rsidRDefault="00F50412" w:rsidP="00E7089A">
            <w:pPr>
              <w:rPr>
                <w:b/>
                <w:lang w:val="es-ES"/>
              </w:rPr>
            </w:pPr>
          </w:p>
          <w:p w14:paraId="24270DCC" w14:textId="22CD7779" w:rsidR="00F50412" w:rsidRPr="005A5612" w:rsidRDefault="00F50412" w:rsidP="00E7089A">
            <w:pPr>
              <w:rPr>
                <w:b/>
                <w:lang w:val="es-ES"/>
              </w:rPr>
            </w:pPr>
            <w:r w:rsidRPr="005A5612">
              <w:rPr>
                <w:b/>
                <w:lang w:val="es-ES"/>
              </w:rPr>
              <w:t>ESTUCHE</w:t>
            </w:r>
          </w:p>
        </w:tc>
      </w:tr>
    </w:tbl>
    <w:p w14:paraId="50E2AC16" w14:textId="77777777" w:rsidR="00F50412" w:rsidRPr="008A106B" w:rsidRDefault="00F50412" w:rsidP="00F50412">
      <w:pPr>
        <w:rPr>
          <w:lang w:val="es-ES"/>
        </w:rPr>
      </w:pPr>
    </w:p>
    <w:p w14:paraId="22F09F83"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78A20B80" w14:textId="77777777" w:rsidTr="00E7089A">
        <w:tc>
          <w:tcPr>
            <w:tcW w:w="9620" w:type="dxa"/>
          </w:tcPr>
          <w:p w14:paraId="04241E10" w14:textId="77777777" w:rsidR="00F50412" w:rsidRPr="005A5612" w:rsidRDefault="00F50412" w:rsidP="00E7089A">
            <w:pPr>
              <w:ind w:left="567" w:hanging="567"/>
              <w:rPr>
                <w:b/>
                <w:lang w:val="es-ES"/>
              </w:rPr>
            </w:pPr>
            <w:r w:rsidRPr="005A5612">
              <w:rPr>
                <w:b/>
                <w:lang w:val="es-ES"/>
              </w:rPr>
              <w:t>1.</w:t>
            </w:r>
            <w:r w:rsidRPr="005A5612">
              <w:rPr>
                <w:b/>
                <w:lang w:val="es-ES"/>
              </w:rPr>
              <w:tab/>
            </w:r>
            <w:r w:rsidRPr="005A5612">
              <w:rPr>
                <w:b/>
                <w:noProof/>
              </w:rPr>
              <w:t>NOMBRE DEL MEDICAMENTO</w:t>
            </w:r>
          </w:p>
        </w:tc>
      </w:tr>
    </w:tbl>
    <w:p w14:paraId="7BA01679" w14:textId="77777777" w:rsidR="00F50412" w:rsidRPr="008A106B" w:rsidRDefault="00F50412" w:rsidP="00F50412">
      <w:pPr>
        <w:rPr>
          <w:lang w:val="es-ES"/>
        </w:rPr>
      </w:pPr>
    </w:p>
    <w:p w14:paraId="478B0C3A" w14:textId="77777777" w:rsidR="00F50412" w:rsidRDefault="00F50412" w:rsidP="00F50412">
      <w:pPr>
        <w:rPr>
          <w:noProof/>
          <w:lang w:val="es-ES"/>
        </w:rPr>
      </w:pPr>
      <w:r w:rsidRPr="008A106B">
        <w:rPr>
          <w:noProof/>
          <w:lang w:val="es-ES"/>
        </w:rPr>
        <w:t xml:space="preserve">RoActemra </w:t>
      </w:r>
      <w:r>
        <w:rPr>
          <w:noProof/>
          <w:lang w:val="es-ES"/>
        </w:rPr>
        <w:t>162</w:t>
      </w:r>
      <w:r w:rsidRPr="008A106B">
        <w:rPr>
          <w:noProof/>
          <w:lang w:val="es-ES"/>
        </w:rPr>
        <w:t xml:space="preserve"> mg, solución </w:t>
      </w:r>
      <w:r w:rsidR="006104C6">
        <w:rPr>
          <w:noProof/>
          <w:lang w:val="es-ES"/>
        </w:rPr>
        <w:t>inyectable</w:t>
      </w:r>
      <w:r>
        <w:rPr>
          <w:noProof/>
          <w:lang w:val="es-ES"/>
        </w:rPr>
        <w:t xml:space="preserve"> en jeringa precargada</w:t>
      </w:r>
      <w:r w:rsidRPr="008A106B">
        <w:rPr>
          <w:noProof/>
          <w:lang w:val="es-ES"/>
        </w:rPr>
        <w:t xml:space="preserve"> </w:t>
      </w:r>
    </w:p>
    <w:p w14:paraId="3C60F90B" w14:textId="77777777" w:rsidR="00F50412" w:rsidRPr="008A106B" w:rsidRDefault="00F50412" w:rsidP="00F50412">
      <w:pPr>
        <w:rPr>
          <w:noProof/>
          <w:lang w:val="es-ES"/>
        </w:rPr>
      </w:pPr>
    </w:p>
    <w:p w14:paraId="6F3EEB04" w14:textId="77777777" w:rsidR="00F50412" w:rsidRPr="008A106B" w:rsidRDefault="00194A4E" w:rsidP="00F50412">
      <w:pPr>
        <w:rPr>
          <w:lang w:val="es-ES"/>
        </w:rPr>
      </w:pPr>
      <w:r>
        <w:rPr>
          <w:noProof/>
          <w:lang w:val="es-ES"/>
        </w:rPr>
        <w:t>t</w:t>
      </w:r>
      <w:r w:rsidR="00F50412" w:rsidRPr="008A106B">
        <w:rPr>
          <w:noProof/>
          <w:lang w:val="es-ES"/>
        </w:rPr>
        <w:t>ocilizumab</w:t>
      </w:r>
    </w:p>
    <w:p w14:paraId="5BCAF85B" w14:textId="77777777" w:rsidR="00F50412" w:rsidRPr="008A106B" w:rsidRDefault="00F50412" w:rsidP="00F50412">
      <w:pPr>
        <w:rPr>
          <w:lang w:val="es-ES"/>
        </w:rPr>
      </w:pPr>
    </w:p>
    <w:p w14:paraId="14A6974C"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66F47FF5" w14:textId="77777777" w:rsidTr="00E7089A">
        <w:tc>
          <w:tcPr>
            <w:tcW w:w="9620" w:type="dxa"/>
          </w:tcPr>
          <w:p w14:paraId="56070916" w14:textId="77777777" w:rsidR="00F50412" w:rsidRPr="005A5612" w:rsidRDefault="00F50412" w:rsidP="00E7089A">
            <w:pPr>
              <w:ind w:left="567" w:hanging="567"/>
              <w:rPr>
                <w:b/>
                <w:lang w:val="es-ES"/>
              </w:rPr>
            </w:pPr>
            <w:r w:rsidRPr="005A5612">
              <w:rPr>
                <w:b/>
                <w:lang w:val="es-ES"/>
              </w:rPr>
              <w:t>2.</w:t>
            </w:r>
            <w:r w:rsidRPr="005A5612">
              <w:rPr>
                <w:b/>
                <w:lang w:val="es-ES"/>
              </w:rPr>
              <w:tab/>
              <w:t>PRINCIPIO</w:t>
            </w:r>
            <w:del w:id="2271" w:author="AUTHOR">
              <w:r w:rsidRPr="005A5612" w:rsidDel="00541248">
                <w:rPr>
                  <w:b/>
                  <w:lang w:val="es-ES"/>
                </w:rPr>
                <w:delText>(S)</w:delText>
              </w:r>
            </w:del>
            <w:r w:rsidRPr="005A5612">
              <w:rPr>
                <w:b/>
                <w:lang w:val="es-ES"/>
              </w:rPr>
              <w:t xml:space="preserve"> ACTIVO</w:t>
            </w:r>
            <w:del w:id="2272" w:author="AUTHOR">
              <w:r w:rsidRPr="005A5612" w:rsidDel="00541248">
                <w:rPr>
                  <w:b/>
                  <w:lang w:val="es-ES"/>
                </w:rPr>
                <w:delText>(S)</w:delText>
              </w:r>
            </w:del>
          </w:p>
        </w:tc>
      </w:tr>
    </w:tbl>
    <w:p w14:paraId="4CDDDA95" w14:textId="77777777" w:rsidR="00F50412" w:rsidRPr="008A106B" w:rsidRDefault="00F50412" w:rsidP="00F50412">
      <w:pPr>
        <w:rPr>
          <w:lang w:val="es-ES"/>
        </w:rPr>
      </w:pPr>
    </w:p>
    <w:p w14:paraId="76175447" w14:textId="77777777" w:rsidR="00F50412" w:rsidRPr="008A106B" w:rsidRDefault="00F50412" w:rsidP="00F50412">
      <w:pPr>
        <w:rPr>
          <w:lang w:val="es-ES"/>
        </w:rPr>
      </w:pPr>
      <w:r w:rsidRPr="008A106B">
        <w:rPr>
          <w:lang w:val="es-ES"/>
        </w:rPr>
        <w:t xml:space="preserve">1 </w:t>
      </w:r>
      <w:r>
        <w:rPr>
          <w:lang w:val="es-ES"/>
        </w:rPr>
        <w:t>jeringa precargada</w:t>
      </w:r>
      <w:r w:rsidRPr="008A106B">
        <w:rPr>
          <w:lang w:val="es-ES"/>
        </w:rPr>
        <w:t xml:space="preserve"> contiene </w:t>
      </w:r>
      <w:r>
        <w:rPr>
          <w:lang w:val="es-ES"/>
        </w:rPr>
        <w:t>162</w:t>
      </w:r>
      <w:r w:rsidRPr="008A106B">
        <w:rPr>
          <w:lang w:val="es-ES"/>
        </w:rPr>
        <w:t> mg de tocilizumab</w:t>
      </w:r>
    </w:p>
    <w:p w14:paraId="780912F0" w14:textId="77777777" w:rsidR="00F50412" w:rsidRPr="008A106B" w:rsidRDefault="00F50412" w:rsidP="00F50412">
      <w:pPr>
        <w:rPr>
          <w:lang w:val="es-ES"/>
        </w:rPr>
      </w:pPr>
    </w:p>
    <w:p w14:paraId="0F2877CD"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7E92E640" w14:textId="77777777" w:rsidTr="00E7089A">
        <w:tc>
          <w:tcPr>
            <w:tcW w:w="9620" w:type="dxa"/>
          </w:tcPr>
          <w:p w14:paraId="1E88BBA2" w14:textId="77777777" w:rsidR="00F50412" w:rsidRPr="005A5612" w:rsidRDefault="00F50412" w:rsidP="00E7089A">
            <w:pPr>
              <w:ind w:left="567" w:hanging="567"/>
              <w:rPr>
                <w:b/>
                <w:lang w:val="es-ES"/>
              </w:rPr>
            </w:pPr>
            <w:r w:rsidRPr="005A5612">
              <w:rPr>
                <w:b/>
                <w:lang w:val="es-ES"/>
              </w:rPr>
              <w:t>3.</w:t>
            </w:r>
            <w:r w:rsidRPr="005A5612">
              <w:rPr>
                <w:b/>
                <w:lang w:val="es-ES"/>
              </w:rPr>
              <w:tab/>
              <w:t>LISTA DE EXCIPIENTES</w:t>
            </w:r>
          </w:p>
        </w:tc>
      </w:tr>
    </w:tbl>
    <w:p w14:paraId="6498327D" w14:textId="77777777" w:rsidR="00F50412" w:rsidRPr="008A106B" w:rsidRDefault="00F50412" w:rsidP="00F50412">
      <w:pPr>
        <w:rPr>
          <w:lang w:val="es-ES"/>
        </w:rPr>
      </w:pPr>
    </w:p>
    <w:p w14:paraId="3DD5CE63" w14:textId="3A302FF6" w:rsidR="00F50412" w:rsidRPr="00EF2448" w:rsidRDefault="00E211AA" w:rsidP="00F50412">
      <w:pPr>
        <w:keepNext/>
        <w:ind w:left="567" w:hanging="567"/>
        <w:outlineLvl w:val="0"/>
        <w:rPr>
          <w:lang w:val="pt-BR"/>
        </w:rPr>
      </w:pPr>
      <w:r>
        <w:rPr>
          <w:lang w:val="pt-BR"/>
        </w:rPr>
        <w:t xml:space="preserve">También contiene </w:t>
      </w:r>
      <w:r w:rsidR="00F50412" w:rsidRPr="00EF2448">
        <w:rPr>
          <w:lang w:val="pt-BR"/>
        </w:rPr>
        <w:t>L-</w:t>
      </w:r>
      <w:r>
        <w:rPr>
          <w:lang w:val="pt-BR"/>
        </w:rPr>
        <w:t>h</w:t>
      </w:r>
      <w:r w:rsidR="00F50412" w:rsidRPr="00EF2448">
        <w:rPr>
          <w:lang w:val="pt-BR"/>
        </w:rPr>
        <w:t xml:space="preserve">istidina, Monohidrocloruro de L-histidina monohidrato, </w:t>
      </w:r>
      <w:r w:rsidR="00137C28" w:rsidRPr="00B947D0">
        <w:rPr>
          <w:highlight w:val="lightGray"/>
          <w:lang w:val="pt-BR"/>
        </w:rPr>
        <w:t>L-</w:t>
      </w:r>
      <w:r>
        <w:rPr>
          <w:highlight w:val="lightGray"/>
          <w:lang w:val="pt-BR"/>
        </w:rPr>
        <w:t>a</w:t>
      </w:r>
      <w:r w:rsidR="00137C28" w:rsidRPr="00B947D0">
        <w:rPr>
          <w:highlight w:val="lightGray"/>
          <w:lang w:val="pt-BR"/>
        </w:rPr>
        <w:t>rginina</w:t>
      </w:r>
      <w:r w:rsidR="00B947D0" w:rsidRPr="00B947D0">
        <w:rPr>
          <w:highlight w:val="lightGray"/>
          <w:lang w:val="pt-BR"/>
        </w:rPr>
        <w:t>/</w:t>
      </w:r>
      <w:r>
        <w:rPr>
          <w:lang w:val="pt-BR"/>
        </w:rPr>
        <w:t>h</w:t>
      </w:r>
      <w:r w:rsidR="00F50412" w:rsidRPr="00EF2448">
        <w:rPr>
          <w:lang w:val="pt-BR"/>
        </w:rPr>
        <w:t>idrocloruro de L-</w:t>
      </w:r>
      <w:r>
        <w:rPr>
          <w:lang w:val="pt-BR"/>
        </w:rPr>
        <w:t>a</w:t>
      </w:r>
      <w:r w:rsidR="00F50412" w:rsidRPr="00EF2448">
        <w:rPr>
          <w:lang w:val="pt-BR"/>
        </w:rPr>
        <w:t xml:space="preserve">rginina, </w:t>
      </w:r>
    </w:p>
    <w:p w14:paraId="4E5B71CC" w14:textId="74C23F69" w:rsidR="00F50412" w:rsidRPr="008A106B" w:rsidRDefault="00F50412" w:rsidP="00F50412">
      <w:pPr>
        <w:keepNext/>
        <w:ind w:left="567" w:hanging="567"/>
        <w:outlineLvl w:val="0"/>
        <w:rPr>
          <w:lang w:val="es-ES"/>
        </w:rPr>
      </w:pPr>
      <w:r>
        <w:rPr>
          <w:lang w:val="es-ES"/>
        </w:rPr>
        <w:t>L-</w:t>
      </w:r>
      <w:r w:rsidR="00E211AA">
        <w:rPr>
          <w:lang w:val="es-ES"/>
        </w:rPr>
        <w:t>m</w:t>
      </w:r>
      <w:r>
        <w:rPr>
          <w:lang w:val="es-ES"/>
        </w:rPr>
        <w:t xml:space="preserve">etionina, </w:t>
      </w:r>
      <w:r w:rsidR="00E211AA">
        <w:rPr>
          <w:lang w:val="es-ES_tradnl"/>
        </w:rPr>
        <w:t>p</w:t>
      </w:r>
      <w:r w:rsidRPr="008A106B">
        <w:rPr>
          <w:lang w:val="es-ES_tradnl"/>
        </w:rPr>
        <w:t>olisorbato 80</w:t>
      </w:r>
      <w:r>
        <w:rPr>
          <w:lang w:val="es-ES"/>
        </w:rPr>
        <w:t xml:space="preserve">, </w:t>
      </w:r>
      <w:r w:rsidR="00E211AA">
        <w:rPr>
          <w:lang w:val="es-ES_tradnl"/>
        </w:rPr>
        <w:t>a</w:t>
      </w:r>
      <w:r w:rsidRPr="008A106B">
        <w:rPr>
          <w:lang w:val="es-ES_tradnl"/>
        </w:rPr>
        <w:t>gua para preparaciones inyectables</w:t>
      </w:r>
      <w:r>
        <w:rPr>
          <w:lang w:val="es-ES_tradnl"/>
        </w:rPr>
        <w:t>.</w:t>
      </w:r>
      <w:r w:rsidR="00E211AA">
        <w:rPr>
          <w:lang w:val="es-ES_tradnl"/>
        </w:rPr>
        <w:t xml:space="preserve"> </w:t>
      </w:r>
      <w:r w:rsidR="00E211AA" w:rsidRPr="00467FFD">
        <w:rPr>
          <w:highlight w:val="lightGray"/>
          <w:lang w:val="es-ES_tradnl"/>
          <w:rPrChange w:id="2273" w:author="AUTHOR">
            <w:rPr>
              <w:lang w:val="es-ES_tradnl"/>
            </w:rPr>
          </w:rPrChange>
        </w:rPr>
        <w:t>Para más información consultar el prospecto.</w:t>
      </w:r>
    </w:p>
    <w:p w14:paraId="2529840A" w14:textId="77777777" w:rsidR="00F50412" w:rsidRPr="008A106B" w:rsidRDefault="00F50412" w:rsidP="00F50412">
      <w:pPr>
        <w:rPr>
          <w:lang w:val="es-ES"/>
        </w:rPr>
      </w:pPr>
    </w:p>
    <w:p w14:paraId="44BB40CF"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72E1CE5A" w14:textId="77777777" w:rsidTr="00E7089A">
        <w:tc>
          <w:tcPr>
            <w:tcW w:w="9620" w:type="dxa"/>
          </w:tcPr>
          <w:p w14:paraId="5EB2227C" w14:textId="77777777" w:rsidR="00F50412" w:rsidRPr="005A5612" w:rsidRDefault="00F50412" w:rsidP="00E7089A">
            <w:pPr>
              <w:ind w:left="567" w:hanging="567"/>
              <w:rPr>
                <w:b/>
                <w:lang w:val="es-ES"/>
              </w:rPr>
            </w:pPr>
            <w:r w:rsidRPr="005A5612">
              <w:rPr>
                <w:b/>
                <w:lang w:val="es-ES"/>
              </w:rPr>
              <w:t>4.</w:t>
            </w:r>
            <w:r w:rsidRPr="005A5612">
              <w:rPr>
                <w:b/>
                <w:lang w:val="es-ES"/>
              </w:rPr>
              <w:tab/>
              <w:t>FORMA FARMACÉUTICA Y CONTENIDO DEL ENVASE</w:t>
            </w:r>
          </w:p>
        </w:tc>
      </w:tr>
    </w:tbl>
    <w:p w14:paraId="5BB654B2" w14:textId="77777777" w:rsidR="00F50412" w:rsidRDefault="00F50412" w:rsidP="00F50412">
      <w:pPr>
        <w:rPr>
          <w:lang w:val="es-ES"/>
        </w:rPr>
      </w:pPr>
    </w:p>
    <w:p w14:paraId="7CDC1032" w14:textId="5B07A471" w:rsidR="00F50412" w:rsidRDefault="00F50412" w:rsidP="00F50412">
      <w:pPr>
        <w:rPr>
          <w:lang w:val="es-ES"/>
        </w:rPr>
      </w:pPr>
      <w:r w:rsidRPr="00F30AB8">
        <w:rPr>
          <w:highlight w:val="lightGray"/>
          <w:lang w:val="es-ES"/>
        </w:rPr>
        <w:t xml:space="preserve">Solución </w:t>
      </w:r>
      <w:r w:rsidR="006104C6" w:rsidRPr="00F30AB8">
        <w:rPr>
          <w:highlight w:val="lightGray"/>
          <w:lang w:val="es-ES"/>
        </w:rPr>
        <w:t>inyectable</w:t>
      </w:r>
      <w:r>
        <w:rPr>
          <w:lang w:val="es-ES"/>
        </w:rPr>
        <w:t xml:space="preserve"> </w:t>
      </w:r>
    </w:p>
    <w:p w14:paraId="21663EB5" w14:textId="77777777" w:rsidR="00F50412" w:rsidRDefault="00F50412" w:rsidP="00F50412">
      <w:pPr>
        <w:rPr>
          <w:lang w:val="es-ES"/>
        </w:rPr>
      </w:pPr>
      <w:r>
        <w:rPr>
          <w:lang w:val="es-ES"/>
        </w:rPr>
        <w:t>4 jeringas precargadas</w:t>
      </w:r>
    </w:p>
    <w:p w14:paraId="6A8078FF" w14:textId="77777777" w:rsidR="00E211AA" w:rsidRPr="00376697" w:rsidRDefault="00E211AA" w:rsidP="00F50412">
      <w:pPr>
        <w:rPr>
          <w:szCs w:val="22"/>
          <w:lang w:val="es-ES"/>
        </w:rPr>
      </w:pPr>
      <w:r w:rsidRPr="00F30AB8">
        <w:rPr>
          <w:szCs w:val="22"/>
          <w:highlight w:val="lightGray"/>
          <w:lang w:val="es-ES"/>
        </w:rPr>
        <w:t>Envase múltiple: 12 (3 envases de 4) jeringas precargadas</w:t>
      </w:r>
    </w:p>
    <w:p w14:paraId="5DAEC745" w14:textId="77777777" w:rsidR="00F50412" w:rsidRPr="008A106B" w:rsidRDefault="00F50412" w:rsidP="00F50412">
      <w:pPr>
        <w:rPr>
          <w:lang w:val="es-ES"/>
        </w:rPr>
      </w:pPr>
      <w:r>
        <w:rPr>
          <w:lang w:val="es-ES"/>
        </w:rPr>
        <w:t>162 mg/0,9 ml</w:t>
      </w:r>
    </w:p>
    <w:p w14:paraId="151F8CD8" w14:textId="77777777" w:rsidR="00F50412" w:rsidRDefault="00F50412" w:rsidP="00F50412">
      <w:pPr>
        <w:rPr>
          <w:lang w:val="es-ES"/>
        </w:rPr>
      </w:pPr>
    </w:p>
    <w:p w14:paraId="766AE7B9" w14:textId="77777777" w:rsidR="00D8471F" w:rsidRPr="008A106B" w:rsidRDefault="00D8471F" w:rsidP="00F50412">
      <w:pPr>
        <w:rPr>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422EB508" w14:textId="77777777" w:rsidTr="00E7089A">
        <w:tc>
          <w:tcPr>
            <w:tcW w:w="9620" w:type="dxa"/>
          </w:tcPr>
          <w:p w14:paraId="7E489951" w14:textId="77777777" w:rsidR="00F50412" w:rsidRPr="005A5612" w:rsidRDefault="00F50412" w:rsidP="00E7089A">
            <w:pPr>
              <w:ind w:left="567" w:hanging="567"/>
              <w:rPr>
                <w:b/>
                <w:lang w:val="es-ES"/>
              </w:rPr>
            </w:pPr>
            <w:r w:rsidRPr="005A5612">
              <w:rPr>
                <w:b/>
                <w:lang w:val="es-ES"/>
              </w:rPr>
              <w:t>5.</w:t>
            </w:r>
            <w:r w:rsidRPr="005A5612">
              <w:rPr>
                <w:b/>
                <w:lang w:val="es-ES"/>
              </w:rPr>
              <w:tab/>
            </w:r>
            <w:r w:rsidRPr="005A5612">
              <w:rPr>
                <w:b/>
                <w:noProof/>
                <w:lang w:val="es-ES"/>
              </w:rPr>
              <w:t>FORMA Y VÍA</w:t>
            </w:r>
            <w:del w:id="2274" w:author="AUTHOR">
              <w:r w:rsidRPr="005A5612" w:rsidDel="00541248">
                <w:rPr>
                  <w:b/>
                  <w:noProof/>
                  <w:lang w:val="es-ES"/>
                </w:rPr>
                <w:delText>(S)</w:delText>
              </w:r>
            </w:del>
            <w:r w:rsidRPr="005A5612">
              <w:rPr>
                <w:b/>
                <w:noProof/>
                <w:lang w:val="es-ES"/>
              </w:rPr>
              <w:t xml:space="preserve"> DE ADMINISTRACIÓN</w:t>
            </w:r>
          </w:p>
        </w:tc>
      </w:tr>
    </w:tbl>
    <w:p w14:paraId="14E3D072" w14:textId="77777777" w:rsidR="00F50412" w:rsidRDefault="00F50412" w:rsidP="00F50412">
      <w:pPr>
        <w:rPr>
          <w:lang w:val="es-ES"/>
        </w:rPr>
      </w:pPr>
    </w:p>
    <w:p w14:paraId="02C06568" w14:textId="77777777" w:rsidR="00F50412" w:rsidRPr="008A106B" w:rsidRDefault="00F50412" w:rsidP="00F50412">
      <w:pPr>
        <w:rPr>
          <w:lang w:val="es-ES"/>
        </w:rPr>
      </w:pPr>
      <w:r>
        <w:rPr>
          <w:lang w:val="es-ES"/>
        </w:rPr>
        <w:t xml:space="preserve">Vía subcutánea </w:t>
      </w:r>
    </w:p>
    <w:p w14:paraId="29FEFEE7" w14:textId="77777777" w:rsidR="00F50412" w:rsidRPr="008A106B" w:rsidRDefault="00F50412" w:rsidP="00F50412">
      <w:pPr>
        <w:rPr>
          <w:noProof/>
          <w:lang w:val="es-ES"/>
        </w:rPr>
      </w:pPr>
      <w:r w:rsidRPr="008A106B">
        <w:rPr>
          <w:noProof/>
          <w:lang w:val="es-ES"/>
        </w:rPr>
        <w:t xml:space="preserve">Leer el prospecto antes de utilizar este medicamento </w:t>
      </w:r>
    </w:p>
    <w:p w14:paraId="3685BFA2" w14:textId="77777777" w:rsidR="00F50412" w:rsidRPr="008A106B" w:rsidRDefault="00F50412" w:rsidP="00F50412">
      <w:pPr>
        <w:rPr>
          <w:lang w:val="es-ES"/>
        </w:rPr>
      </w:pPr>
    </w:p>
    <w:p w14:paraId="441580EB"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72D451E4" w14:textId="77777777" w:rsidTr="00E7089A">
        <w:tc>
          <w:tcPr>
            <w:tcW w:w="9620" w:type="dxa"/>
          </w:tcPr>
          <w:p w14:paraId="07FF93C3" w14:textId="77777777" w:rsidR="00F50412" w:rsidRPr="005A5612" w:rsidRDefault="00F50412" w:rsidP="00E7089A">
            <w:pPr>
              <w:ind w:left="567" w:hanging="567"/>
              <w:rPr>
                <w:b/>
                <w:lang w:val="es-ES"/>
              </w:rPr>
            </w:pPr>
            <w:r w:rsidRPr="005A5612">
              <w:rPr>
                <w:b/>
                <w:lang w:val="es-ES"/>
              </w:rPr>
              <w:t>6.</w:t>
            </w:r>
            <w:r w:rsidRPr="005A5612">
              <w:rPr>
                <w:b/>
                <w:lang w:val="es-ES"/>
              </w:rPr>
              <w:tab/>
              <w:t>ADVERTENCIA ESPECIAL DE QUE EL MEDICAMENTO DEBE MANTENERSE FUERA DE LA VISTA Y DEL ALCANCE DE LOS NIÑOS</w:t>
            </w:r>
          </w:p>
        </w:tc>
      </w:tr>
    </w:tbl>
    <w:p w14:paraId="56567E8E" w14:textId="77777777" w:rsidR="00F50412" w:rsidRPr="008A106B" w:rsidRDefault="00F50412" w:rsidP="00F50412">
      <w:pPr>
        <w:rPr>
          <w:lang w:val="es-ES"/>
        </w:rPr>
      </w:pPr>
    </w:p>
    <w:p w14:paraId="4F41E8A0" w14:textId="77777777" w:rsidR="00F50412" w:rsidRPr="008A106B" w:rsidRDefault="00F50412" w:rsidP="00F50412">
      <w:pPr>
        <w:rPr>
          <w:lang w:val="es-ES"/>
        </w:rPr>
      </w:pPr>
      <w:r w:rsidRPr="008A106B">
        <w:rPr>
          <w:lang w:val="es-ES"/>
        </w:rPr>
        <w:t>Mantener fuera de la vista y del alcance de los niños</w:t>
      </w:r>
    </w:p>
    <w:p w14:paraId="2E861034" w14:textId="77777777" w:rsidR="00F50412" w:rsidRPr="008A106B" w:rsidRDefault="00F50412" w:rsidP="00F50412">
      <w:pPr>
        <w:rPr>
          <w:lang w:val="es-ES"/>
        </w:rPr>
      </w:pPr>
    </w:p>
    <w:p w14:paraId="682858B4" w14:textId="77777777" w:rsidR="00F50412" w:rsidRPr="008A106B" w:rsidRDefault="00F50412" w:rsidP="00F50412">
      <w:pPr>
        <w:rPr>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1F6C8F98" w14:textId="77777777" w:rsidTr="00E7089A">
        <w:tc>
          <w:tcPr>
            <w:tcW w:w="9620" w:type="dxa"/>
          </w:tcPr>
          <w:p w14:paraId="6EDFEBF9" w14:textId="77777777" w:rsidR="00F50412" w:rsidRPr="005A5612" w:rsidRDefault="00F50412" w:rsidP="00E7089A">
            <w:pPr>
              <w:ind w:left="567" w:hanging="567"/>
              <w:rPr>
                <w:b/>
                <w:lang w:val="es-ES"/>
              </w:rPr>
            </w:pPr>
            <w:r w:rsidRPr="005A5612">
              <w:rPr>
                <w:b/>
                <w:lang w:val="es-ES"/>
              </w:rPr>
              <w:t>7.</w:t>
            </w:r>
            <w:r w:rsidRPr="005A5612">
              <w:rPr>
                <w:b/>
                <w:lang w:val="es-ES"/>
              </w:rPr>
              <w:tab/>
            </w:r>
            <w:r w:rsidRPr="005A5612">
              <w:rPr>
                <w:b/>
                <w:noProof/>
                <w:lang w:val="es-ES"/>
              </w:rPr>
              <w:t>OTRA(S) ADVERTENCIA(S) ESPECIAL(ES), SI ES NECESARIO</w:t>
            </w:r>
          </w:p>
        </w:tc>
      </w:tr>
    </w:tbl>
    <w:p w14:paraId="22CD6F7F" w14:textId="77777777" w:rsidR="00F50412" w:rsidRDefault="00F50412" w:rsidP="00F50412">
      <w:pPr>
        <w:rPr>
          <w:lang w:val="es-ES"/>
        </w:rPr>
      </w:pPr>
    </w:p>
    <w:p w14:paraId="3E3B143C" w14:textId="77777777" w:rsidR="00F50412" w:rsidRPr="008A106B" w:rsidRDefault="00F50412" w:rsidP="00F50412">
      <w:pPr>
        <w:rPr>
          <w:lang w:val="es-ES"/>
        </w:rPr>
      </w:pPr>
      <w:r>
        <w:rPr>
          <w:lang w:val="es-ES"/>
        </w:rPr>
        <w:t xml:space="preserve">Antes de su uso, deje que la jeringa alcance la temperatura ambiente fuera de la caja durante 25 a 30 minutos </w:t>
      </w:r>
    </w:p>
    <w:p w14:paraId="7B840501" w14:textId="77777777" w:rsidR="00F50412" w:rsidRDefault="00F50412" w:rsidP="00F50412">
      <w:pPr>
        <w:rPr>
          <w:lang w:val="es-ES"/>
        </w:rPr>
      </w:pPr>
    </w:p>
    <w:p w14:paraId="12C0F4F2" w14:textId="77777777" w:rsidR="00BC2D1B" w:rsidRPr="008A106B" w:rsidRDefault="00BC2D1B"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7CAB808B" w14:textId="77777777" w:rsidTr="00E7089A">
        <w:tc>
          <w:tcPr>
            <w:tcW w:w="9620" w:type="dxa"/>
          </w:tcPr>
          <w:p w14:paraId="0F81ABE1" w14:textId="77777777" w:rsidR="00F50412" w:rsidRPr="005A5612" w:rsidRDefault="00F50412" w:rsidP="00E7089A">
            <w:pPr>
              <w:ind w:left="567" w:hanging="567"/>
              <w:rPr>
                <w:b/>
                <w:lang w:val="es-ES"/>
              </w:rPr>
            </w:pPr>
            <w:r w:rsidRPr="005A5612">
              <w:rPr>
                <w:b/>
                <w:lang w:val="es-ES"/>
              </w:rPr>
              <w:t>8.</w:t>
            </w:r>
            <w:r w:rsidRPr="005A5612">
              <w:rPr>
                <w:b/>
                <w:lang w:val="es-ES"/>
              </w:rPr>
              <w:tab/>
              <w:t>FECHA DE CADUCIDAD</w:t>
            </w:r>
          </w:p>
        </w:tc>
      </w:tr>
    </w:tbl>
    <w:p w14:paraId="5A6F6256" w14:textId="77777777" w:rsidR="00F50412" w:rsidRPr="008A106B" w:rsidRDefault="00F50412" w:rsidP="00F50412">
      <w:pPr>
        <w:rPr>
          <w:lang w:val="es-ES"/>
        </w:rPr>
      </w:pPr>
    </w:p>
    <w:p w14:paraId="7E1C513C" w14:textId="4F3C6249" w:rsidR="00F50412" w:rsidRPr="008A106B" w:rsidRDefault="00116A4E" w:rsidP="00F50412">
      <w:pPr>
        <w:rPr>
          <w:lang w:val="es-ES"/>
        </w:rPr>
      </w:pPr>
      <w:r>
        <w:rPr>
          <w:lang w:val="es-ES"/>
        </w:rPr>
        <w:t>EXP</w:t>
      </w:r>
    </w:p>
    <w:p w14:paraId="1F655C64" w14:textId="77777777" w:rsidR="00F50412" w:rsidRDefault="00F50412" w:rsidP="00F50412">
      <w:pPr>
        <w:rPr>
          <w:lang w:val="es-ES"/>
        </w:rPr>
      </w:pPr>
    </w:p>
    <w:p w14:paraId="0E9629E5" w14:textId="77777777" w:rsidR="00F50412" w:rsidRPr="008A106B" w:rsidRDefault="00F50412" w:rsidP="00F50412">
      <w:pPr>
        <w:rPr>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5C9F3B0F" w14:textId="77777777" w:rsidTr="00E7089A">
        <w:tc>
          <w:tcPr>
            <w:tcW w:w="9620" w:type="dxa"/>
          </w:tcPr>
          <w:p w14:paraId="31D1E732" w14:textId="77777777" w:rsidR="00F50412" w:rsidRPr="005A5612" w:rsidRDefault="00F50412" w:rsidP="00E7089A">
            <w:pPr>
              <w:keepNext/>
              <w:ind w:left="567" w:hanging="567"/>
              <w:rPr>
                <w:b/>
                <w:lang w:val="es-ES"/>
              </w:rPr>
            </w:pPr>
            <w:r w:rsidRPr="005A5612">
              <w:rPr>
                <w:b/>
                <w:lang w:val="es-ES"/>
              </w:rPr>
              <w:t>9.</w:t>
            </w:r>
            <w:r w:rsidRPr="005A5612">
              <w:rPr>
                <w:b/>
                <w:lang w:val="es-ES"/>
              </w:rPr>
              <w:tab/>
              <w:t>CONDICIONES ESPECIALES DE CONSERVACIÓN</w:t>
            </w:r>
          </w:p>
        </w:tc>
      </w:tr>
    </w:tbl>
    <w:p w14:paraId="63A99CBE" w14:textId="77777777" w:rsidR="00F50412" w:rsidRPr="008A106B" w:rsidRDefault="00F50412" w:rsidP="00F50412">
      <w:pPr>
        <w:keepNext/>
        <w:rPr>
          <w:i/>
          <w:noProof/>
          <w:lang w:val="es-ES"/>
        </w:rPr>
      </w:pPr>
    </w:p>
    <w:p w14:paraId="7CEF0D3F" w14:textId="77777777" w:rsidR="00F50412" w:rsidRPr="008A106B" w:rsidRDefault="00F50412" w:rsidP="00F50412">
      <w:pPr>
        <w:keepNext/>
        <w:keepLines/>
        <w:rPr>
          <w:lang w:val="es-ES"/>
        </w:rPr>
      </w:pPr>
      <w:r w:rsidRPr="008A106B">
        <w:rPr>
          <w:noProof/>
          <w:lang w:val="es-ES"/>
        </w:rPr>
        <w:t>Conservar en nevera</w:t>
      </w:r>
      <w:r>
        <w:rPr>
          <w:noProof/>
          <w:lang w:val="es-ES"/>
        </w:rPr>
        <w:t xml:space="preserve"> </w:t>
      </w:r>
    </w:p>
    <w:p w14:paraId="79DC1D20" w14:textId="77777777" w:rsidR="00F50412" w:rsidRDefault="00F50412" w:rsidP="00F50412">
      <w:pPr>
        <w:keepNext/>
        <w:rPr>
          <w:noProof/>
          <w:lang w:val="es-ES"/>
        </w:rPr>
      </w:pPr>
      <w:r w:rsidRPr="008A106B">
        <w:rPr>
          <w:noProof/>
          <w:lang w:val="es-ES"/>
        </w:rPr>
        <w:t>No congelar</w:t>
      </w:r>
    </w:p>
    <w:p w14:paraId="0C563C8E" w14:textId="77777777" w:rsidR="00A634E7" w:rsidRPr="008A106B" w:rsidRDefault="00A634E7" w:rsidP="00F50412">
      <w:pPr>
        <w:keepNext/>
        <w:rPr>
          <w:noProof/>
          <w:lang w:val="es-ES"/>
        </w:rPr>
      </w:pPr>
      <w:r w:rsidRPr="00363FFA">
        <w:rPr>
          <w:lang w:val="es-ES_tradnl"/>
        </w:rPr>
        <w:t xml:space="preserve">Una vez fuera de la nevera, </w:t>
      </w:r>
      <w:r>
        <w:rPr>
          <w:lang w:val="es-ES_tradnl"/>
        </w:rPr>
        <w:t xml:space="preserve">la </w:t>
      </w:r>
      <w:r w:rsidRPr="00352A37">
        <w:rPr>
          <w:lang w:val="es-ES_tradnl"/>
        </w:rPr>
        <w:t>jeringa precargada</w:t>
      </w:r>
      <w:r>
        <w:rPr>
          <w:lang w:val="es-ES_tradnl"/>
        </w:rPr>
        <w:t xml:space="preserve"> se puede conservar hasta 2 semanas a una temperatura igual o inferior</w:t>
      </w:r>
      <w:r w:rsidRPr="00363FFA">
        <w:rPr>
          <w:lang w:val="es-ES_tradnl"/>
        </w:rPr>
        <w:t xml:space="preserve"> </w:t>
      </w:r>
      <w:r>
        <w:rPr>
          <w:lang w:val="es-ES_tradnl"/>
        </w:rPr>
        <w:t xml:space="preserve">a </w:t>
      </w:r>
      <w:r w:rsidRPr="00363FFA">
        <w:rPr>
          <w:lang w:val="es-ES_tradnl"/>
        </w:rPr>
        <w:t>30ºC</w:t>
      </w:r>
    </w:p>
    <w:p w14:paraId="635DC4AA" w14:textId="77777777" w:rsidR="00F50412" w:rsidRPr="008A106B" w:rsidRDefault="00F50412" w:rsidP="00F50412">
      <w:pPr>
        <w:keepNext/>
        <w:rPr>
          <w:lang w:val="es-ES"/>
        </w:rPr>
      </w:pPr>
      <w:r w:rsidRPr="008A106B">
        <w:rPr>
          <w:noProof/>
          <w:lang w:val="es-ES"/>
        </w:rPr>
        <w:t xml:space="preserve">Conservar </w:t>
      </w:r>
      <w:r>
        <w:rPr>
          <w:noProof/>
          <w:lang w:val="es-ES"/>
        </w:rPr>
        <w:t>la jeringa precargada</w:t>
      </w:r>
      <w:r w:rsidRPr="008A106B">
        <w:rPr>
          <w:noProof/>
          <w:lang w:val="es-ES"/>
        </w:rPr>
        <w:t xml:space="preserve"> en el embalaje exterior para proteger</w:t>
      </w:r>
      <w:r w:rsidR="00194A4E">
        <w:rPr>
          <w:noProof/>
          <w:lang w:val="es-ES"/>
        </w:rPr>
        <w:t>la</w:t>
      </w:r>
      <w:r w:rsidRPr="008A106B">
        <w:rPr>
          <w:noProof/>
          <w:lang w:val="es-ES"/>
        </w:rPr>
        <w:t xml:space="preserve"> de la luz</w:t>
      </w:r>
      <w:r>
        <w:rPr>
          <w:noProof/>
          <w:lang w:val="es-ES"/>
        </w:rPr>
        <w:t xml:space="preserve"> y la humedad</w:t>
      </w:r>
    </w:p>
    <w:p w14:paraId="1F4E86A0" w14:textId="77777777" w:rsidR="00F50412" w:rsidRPr="008A106B" w:rsidRDefault="00F50412" w:rsidP="00F50412">
      <w:pPr>
        <w:ind w:left="567" w:hanging="567"/>
        <w:rPr>
          <w:lang w:val="es-ES"/>
        </w:rPr>
      </w:pPr>
    </w:p>
    <w:p w14:paraId="228F6BF0" w14:textId="77777777" w:rsidR="00F50412" w:rsidRPr="008A106B" w:rsidRDefault="00F50412" w:rsidP="00F50412">
      <w:pPr>
        <w:ind w:left="567" w:hanging="567"/>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10E056F5" w14:textId="77777777" w:rsidTr="00E7089A">
        <w:tc>
          <w:tcPr>
            <w:tcW w:w="9620" w:type="dxa"/>
          </w:tcPr>
          <w:p w14:paraId="732C986C" w14:textId="77777777" w:rsidR="00F50412" w:rsidRPr="005A5612" w:rsidRDefault="00F50412" w:rsidP="00E7089A">
            <w:pPr>
              <w:ind w:left="567" w:hanging="567"/>
              <w:rPr>
                <w:b/>
                <w:lang w:val="es-ES"/>
              </w:rPr>
            </w:pPr>
            <w:r w:rsidRPr="005A5612">
              <w:rPr>
                <w:b/>
                <w:lang w:val="es-ES"/>
              </w:rPr>
              <w:t>10.</w:t>
            </w:r>
            <w:r w:rsidRPr="005A5612">
              <w:rPr>
                <w:b/>
                <w:lang w:val="es-ES"/>
              </w:rPr>
              <w:tab/>
            </w:r>
            <w:r w:rsidRPr="005A5612">
              <w:rPr>
                <w:b/>
                <w:noProof/>
                <w:lang w:val="es-ES"/>
              </w:rPr>
              <w:t>PRECAUCIONES ESPECIALES DE ELIMINACIÓN DEL MEDICAMENTO NO UTILIZADO Y DE LOS MATERIALES DERIVADOS DE SU USO</w:t>
            </w:r>
            <w:r w:rsidR="00996392">
              <w:rPr>
                <w:b/>
                <w:noProof/>
                <w:lang w:val="es-ES"/>
              </w:rPr>
              <w:t>,</w:t>
            </w:r>
            <w:r w:rsidRPr="005A5612">
              <w:rPr>
                <w:b/>
                <w:noProof/>
                <w:lang w:val="es-ES"/>
              </w:rPr>
              <w:t>CUANDO CORRESPONDA</w:t>
            </w:r>
          </w:p>
        </w:tc>
      </w:tr>
    </w:tbl>
    <w:p w14:paraId="0974A1E4" w14:textId="77777777" w:rsidR="00F50412" w:rsidRPr="008A106B" w:rsidRDefault="00F50412" w:rsidP="00F50412">
      <w:pPr>
        <w:rPr>
          <w:lang w:val="es-ES"/>
        </w:rPr>
      </w:pPr>
    </w:p>
    <w:p w14:paraId="5A7353BC"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283A0C29" w14:textId="77777777" w:rsidTr="00E7089A">
        <w:tc>
          <w:tcPr>
            <w:tcW w:w="9620" w:type="dxa"/>
          </w:tcPr>
          <w:p w14:paraId="15603E13" w14:textId="77777777" w:rsidR="00F50412" w:rsidRPr="005A5612" w:rsidRDefault="00F50412" w:rsidP="00E7089A">
            <w:pPr>
              <w:ind w:left="567" w:hanging="567"/>
              <w:rPr>
                <w:b/>
                <w:lang w:val="es-ES"/>
              </w:rPr>
            </w:pPr>
            <w:r w:rsidRPr="005A5612">
              <w:rPr>
                <w:b/>
                <w:lang w:val="es-ES"/>
              </w:rPr>
              <w:t>11.</w:t>
            </w:r>
            <w:r w:rsidRPr="005A5612">
              <w:rPr>
                <w:b/>
                <w:lang w:val="es-ES"/>
              </w:rPr>
              <w:tab/>
              <w:t>NOMBRE Y DIRECCIÓN DEL TITULAR DE LA AUTORIZACIÓN DE COMERCIALIZACIÓN</w:t>
            </w:r>
          </w:p>
        </w:tc>
      </w:tr>
    </w:tbl>
    <w:p w14:paraId="55F14FA5" w14:textId="77777777" w:rsidR="00F50412" w:rsidRPr="008A106B" w:rsidRDefault="00F50412" w:rsidP="00F50412">
      <w:pPr>
        <w:rPr>
          <w:lang w:val="es-ES"/>
        </w:rPr>
      </w:pPr>
    </w:p>
    <w:p w14:paraId="2589431C" w14:textId="77777777" w:rsidR="00CC09AC" w:rsidRPr="00EF2448" w:rsidRDefault="00CC09AC" w:rsidP="00CC09AC">
      <w:pPr>
        <w:rPr>
          <w:noProof/>
          <w:lang w:val="de-DE"/>
        </w:rPr>
      </w:pPr>
      <w:r w:rsidRPr="00EF2448">
        <w:rPr>
          <w:noProof/>
          <w:lang w:val="de-DE"/>
        </w:rPr>
        <w:t xml:space="preserve">Roche Registration GmbH </w:t>
      </w:r>
    </w:p>
    <w:p w14:paraId="1DE05EAB" w14:textId="77777777" w:rsidR="00CC09AC" w:rsidRPr="00EF2448" w:rsidRDefault="00CC09AC" w:rsidP="00CC09AC">
      <w:pPr>
        <w:rPr>
          <w:noProof/>
          <w:lang w:val="de-DE"/>
        </w:rPr>
      </w:pPr>
      <w:r w:rsidRPr="00EF2448">
        <w:rPr>
          <w:noProof/>
          <w:lang w:val="de-DE"/>
        </w:rPr>
        <w:t>Emil-Barell-Strasse 1</w:t>
      </w:r>
    </w:p>
    <w:p w14:paraId="439C8343" w14:textId="77777777" w:rsidR="00CC09AC" w:rsidRPr="00EF2448" w:rsidRDefault="00CC09AC" w:rsidP="00CC09AC">
      <w:pPr>
        <w:rPr>
          <w:noProof/>
          <w:lang w:val="de-DE"/>
        </w:rPr>
      </w:pPr>
      <w:r w:rsidRPr="00EF2448">
        <w:rPr>
          <w:noProof/>
          <w:lang w:val="de-DE"/>
        </w:rPr>
        <w:t>79639 Grenzach-Wyhlen</w:t>
      </w:r>
    </w:p>
    <w:p w14:paraId="66648392" w14:textId="77777777" w:rsidR="00F50412" w:rsidRPr="008A106B" w:rsidRDefault="00CC09AC" w:rsidP="00F50412">
      <w:pPr>
        <w:rPr>
          <w:lang w:val="es-ES"/>
        </w:rPr>
      </w:pPr>
      <w:r>
        <w:rPr>
          <w:noProof/>
          <w:lang w:val="en-GB"/>
        </w:rPr>
        <w:t>Alemania</w:t>
      </w:r>
    </w:p>
    <w:p w14:paraId="391856E6" w14:textId="77777777" w:rsidR="00F50412" w:rsidRDefault="00F50412" w:rsidP="00F50412">
      <w:pPr>
        <w:rPr>
          <w:lang w:val="es-ES"/>
        </w:rPr>
      </w:pPr>
    </w:p>
    <w:p w14:paraId="75CA8DBE" w14:textId="77777777" w:rsidR="00387A47" w:rsidRPr="008A106B" w:rsidRDefault="00387A47"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41248" w14:paraId="590A9A94" w14:textId="77777777" w:rsidTr="00E7089A">
        <w:tc>
          <w:tcPr>
            <w:tcW w:w="9620" w:type="dxa"/>
          </w:tcPr>
          <w:p w14:paraId="76ACAA35" w14:textId="77777777" w:rsidR="00F50412" w:rsidRPr="005A5612" w:rsidRDefault="00F50412" w:rsidP="00E7089A">
            <w:pPr>
              <w:ind w:left="567" w:hanging="567"/>
              <w:rPr>
                <w:b/>
                <w:lang w:val="es-ES"/>
              </w:rPr>
            </w:pPr>
            <w:r w:rsidRPr="005A5612">
              <w:rPr>
                <w:b/>
                <w:lang w:val="es-ES"/>
              </w:rPr>
              <w:t>12.</w:t>
            </w:r>
            <w:r w:rsidRPr="005A5612">
              <w:rPr>
                <w:b/>
                <w:lang w:val="es-ES"/>
              </w:rPr>
              <w:tab/>
              <w:t>NÚMERO(S) DE AUTORIZACIÓN DE COMERCIALIZACIÓN</w:t>
            </w:r>
          </w:p>
        </w:tc>
      </w:tr>
    </w:tbl>
    <w:p w14:paraId="06D90C31" w14:textId="77777777" w:rsidR="00F50412" w:rsidRPr="008A106B" w:rsidRDefault="00F50412" w:rsidP="00F50412">
      <w:pPr>
        <w:rPr>
          <w:lang w:val="es-ES"/>
        </w:rPr>
      </w:pPr>
    </w:p>
    <w:p w14:paraId="4FB560E8" w14:textId="77777777" w:rsidR="00F50412" w:rsidRPr="00F30AB8" w:rsidRDefault="00F50412" w:rsidP="00F50412">
      <w:pPr>
        <w:outlineLvl w:val="0"/>
        <w:rPr>
          <w:highlight w:val="lightGray"/>
          <w:lang w:val="pt-BR"/>
        </w:rPr>
      </w:pPr>
      <w:r w:rsidRPr="008A106B">
        <w:rPr>
          <w:lang w:val="pt-BR"/>
        </w:rPr>
        <w:t>EU/1/08/492/00</w:t>
      </w:r>
      <w:r w:rsidR="00F650FB">
        <w:rPr>
          <w:lang w:val="pt-BR"/>
        </w:rPr>
        <w:t>7</w:t>
      </w:r>
      <w:r w:rsidR="00E211AA">
        <w:rPr>
          <w:lang w:val="pt-BR"/>
        </w:rPr>
        <w:t xml:space="preserve"> </w:t>
      </w:r>
      <w:r w:rsidR="00E211AA" w:rsidRPr="00F30AB8">
        <w:rPr>
          <w:highlight w:val="lightGray"/>
          <w:lang w:val="pt-BR"/>
        </w:rPr>
        <w:t>4 jeringas precargadas</w:t>
      </w:r>
    </w:p>
    <w:p w14:paraId="1441CC15" w14:textId="5A935F30" w:rsidR="00113571" w:rsidRDefault="00E211AA" w:rsidP="00F50412">
      <w:pPr>
        <w:rPr>
          <w:lang w:val="es-ES"/>
        </w:rPr>
      </w:pPr>
      <w:r w:rsidRPr="00F30AB8">
        <w:rPr>
          <w:highlight w:val="lightGray"/>
          <w:lang w:val="es-ES"/>
        </w:rPr>
        <w:t>EU/1/08/492/008 Envase múltiple: 12 (3 envases de 4) jeringas precargadas</w:t>
      </w:r>
    </w:p>
    <w:p w14:paraId="792B6007" w14:textId="77777777" w:rsidR="00113571" w:rsidRPr="00376697" w:rsidRDefault="00113571" w:rsidP="00F50412">
      <w:pPr>
        <w:rPr>
          <w:lang w:val="es-ES"/>
        </w:rPr>
      </w:pPr>
    </w:p>
    <w:p w14:paraId="2C19E5EA" w14:textId="77777777" w:rsidR="00F50412" w:rsidRPr="00376697"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30F3AE4D" w14:textId="77777777" w:rsidTr="00E7089A">
        <w:tc>
          <w:tcPr>
            <w:tcW w:w="9620" w:type="dxa"/>
          </w:tcPr>
          <w:p w14:paraId="789616C0" w14:textId="77777777" w:rsidR="00F50412" w:rsidRPr="005A5612" w:rsidRDefault="00F50412" w:rsidP="00E7089A">
            <w:pPr>
              <w:ind w:left="567" w:hanging="567"/>
              <w:rPr>
                <w:b/>
                <w:lang w:val="es-ES"/>
              </w:rPr>
            </w:pPr>
            <w:r w:rsidRPr="005A5612">
              <w:rPr>
                <w:b/>
                <w:lang w:val="es-ES"/>
              </w:rPr>
              <w:t>13.</w:t>
            </w:r>
            <w:r w:rsidRPr="005A5612">
              <w:rPr>
                <w:b/>
                <w:lang w:val="es-ES"/>
              </w:rPr>
              <w:tab/>
              <w:t>NÚMERO DE LOTE</w:t>
            </w:r>
          </w:p>
        </w:tc>
      </w:tr>
    </w:tbl>
    <w:p w14:paraId="0F727ED7" w14:textId="77777777" w:rsidR="00F50412" w:rsidRPr="008A106B" w:rsidRDefault="00F50412" w:rsidP="00F50412">
      <w:pPr>
        <w:rPr>
          <w:lang w:val="es-ES"/>
        </w:rPr>
      </w:pPr>
    </w:p>
    <w:p w14:paraId="3678C0CB" w14:textId="62B79804" w:rsidR="00F50412" w:rsidRPr="008A106B" w:rsidRDefault="00F50412" w:rsidP="00F50412">
      <w:pPr>
        <w:rPr>
          <w:lang w:val="es-ES"/>
        </w:rPr>
      </w:pPr>
      <w:r w:rsidRPr="008A106B">
        <w:rPr>
          <w:lang w:val="es-ES"/>
        </w:rPr>
        <w:t>Lot</w:t>
      </w:r>
    </w:p>
    <w:p w14:paraId="5188F88C" w14:textId="77777777" w:rsidR="00F50412" w:rsidRPr="008A106B" w:rsidRDefault="00F50412" w:rsidP="00F50412">
      <w:pPr>
        <w:rPr>
          <w:lang w:val="es-ES"/>
        </w:rPr>
      </w:pPr>
    </w:p>
    <w:p w14:paraId="0EB3F3AC"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5EFB043F" w14:textId="77777777" w:rsidTr="00E7089A">
        <w:tc>
          <w:tcPr>
            <w:tcW w:w="9620" w:type="dxa"/>
          </w:tcPr>
          <w:p w14:paraId="2897B4AC" w14:textId="77777777" w:rsidR="00F50412" w:rsidRPr="005A5612" w:rsidRDefault="00F50412" w:rsidP="00E7089A">
            <w:pPr>
              <w:ind w:left="567" w:hanging="567"/>
              <w:rPr>
                <w:b/>
                <w:lang w:val="es-ES"/>
              </w:rPr>
            </w:pPr>
            <w:r w:rsidRPr="005A5612">
              <w:rPr>
                <w:b/>
                <w:lang w:val="es-ES"/>
              </w:rPr>
              <w:t>14.</w:t>
            </w:r>
            <w:r w:rsidRPr="005A5612">
              <w:rPr>
                <w:b/>
                <w:lang w:val="es-ES"/>
              </w:rPr>
              <w:tab/>
              <w:t>CONDICIONES GENERALES DE DISPENSACIÓN</w:t>
            </w:r>
          </w:p>
        </w:tc>
      </w:tr>
    </w:tbl>
    <w:p w14:paraId="5EDED5F4" w14:textId="77777777" w:rsidR="00F50412" w:rsidRPr="008A106B" w:rsidRDefault="00F50412" w:rsidP="00F50412">
      <w:pPr>
        <w:rPr>
          <w:lang w:val="es-ES"/>
        </w:rPr>
      </w:pPr>
    </w:p>
    <w:p w14:paraId="25C2CF27" w14:textId="77777777" w:rsidR="00F50412" w:rsidRPr="008A106B" w:rsidRDefault="00F50412" w:rsidP="00F50412">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F50412" w:rsidRPr="005A5612" w14:paraId="1F3F6418" w14:textId="77777777" w:rsidTr="00E7089A">
        <w:tc>
          <w:tcPr>
            <w:tcW w:w="9620" w:type="dxa"/>
          </w:tcPr>
          <w:p w14:paraId="3D91D905" w14:textId="77777777" w:rsidR="00F50412" w:rsidRPr="005A5612" w:rsidRDefault="00F50412" w:rsidP="00E7089A">
            <w:pPr>
              <w:ind w:left="567" w:hanging="567"/>
              <w:rPr>
                <w:b/>
                <w:lang w:val="es-ES"/>
              </w:rPr>
            </w:pPr>
            <w:r w:rsidRPr="005A5612">
              <w:rPr>
                <w:b/>
                <w:lang w:val="es-ES"/>
              </w:rPr>
              <w:t>15.</w:t>
            </w:r>
            <w:r w:rsidRPr="005A5612">
              <w:rPr>
                <w:b/>
                <w:lang w:val="es-ES"/>
              </w:rPr>
              <w:tab/>
              <w:t>INSTRUCCIONES DE USO</w:t>
            </w:r>
          </w:p>
        </w:tc>
      </w:tr>
    </w:tbl>
    <w:p w14:paraId="5DEFA6F0" w14:textId="77777777" w:rsidR="00F50412" w:rsidRPr="008A106B" w:rsidRDefault="00F50412" w:rsidP="00F50412">
      <w:pPr>
        <w:rPr>
          <w:lang w:val="es-ES"/>
        </w:rPr>
      </w:pPr>
    </w:p>
    <w:p w14:paraId="4DE42432" w14:textId="77777777" w:rsidR="00F50412" w:rsidRPr="008A106B" w:rsidRDefault="00F50412" w:rsidP="00F50412">
      <w:pPr>
        <w:rPr>
          <w:lang w:val="es-ES"/>
        </w:rPr>
      </w:pPr>
    </w:p>
    <w:p w14:paraId="444D784B" w14:textId="77777777" w:rsidR="00F50412" w:rsidRPr="008A106B" w:rsidRDefault="00F50412" w:rsidP="00F50412">
      <w:pPr>
        <w:pBdr>
          <w:top w:val="single" w:sz="4" w:space="1" w:color="auto"/>
          <w:left w:val="single" w:sz="4" w:space="4" w:color="auto"/>
          <w:bottom w:val="single" w:sz="4" w:space="1" w:color="auto"/>
          <w:right w:val="single" w:sz="4" w:space="4" w:color="auto"/>
        </w:pBdr>
        <w:ind w:left="567" w:hanging="567"/>
        <w:rPr>
          <w:b/>
          <w:lang w:val="es-ES"/>
        </w:rPr>
      </w:pPr>
      <w:r w:rsidRPr="008A106B">
        <w:rPr>
          <w:b/>
          <w:lang w:val="es-ES"/>
        </w:rPr>
        <w:t>16.</w:t>
      </w:r>
      <w:r w:rsidRPr="008A106B">
        <w:rPr>
          <w:b/>
          <w:lang w:val="es-ES"/>
        </w:rPr>
        <w:tab/>
      </w:r>
      <w:r w:rsidRPr="008A106B">
        <w:rPr>
          <w:b/>
          <w:noProof/>
        </w:rPr>
        <w:t xml:space="preserve">INFORMACIÓN </w:t>
      </w:r>
      <w:r w:rsidRPr="008A106B">
        <w:rPr>
          <w:b/>
          <w:lang w:val="es-ES"/>
        </w:rPr>
        <w:t>EN BRAILLE</w:t>
      </w:r>
    </w:p>
    <w:p w14:paraId="6B0C9ED3" w14:textId="77777777" w:rsidR="00F50412" w:rsidRPr="008A106B" w:rsidRDefault="00F50412" w:rsidP="00F50412">
      <w:pPr>
        <w:ind w:left="567" w:hanging="567"/>
        <w:rPr>
          <w:lang w:val="es-ES"/>
        </w:rPr>
      </w:pPr>
    </w:p>
    <w:p w14:paraId="5E35ECBA" w14:textId="384FBAA7" w:rsidR="00F50412" w:rsidRPr="008A106B" w:rsidRDefault="00F50412" w:rsidP="00F50412">
      <w:pPr>
        <w:ind w:left="567" w:hanging="567"/>
        <w:rPr>
          <w:lang w:val="es-ES"/>
        </w:rPr>
      </w:pPr>
      <w:r>
        <w:rPr>
          <w:lang w:val="es-ES"/>
        </w:rPr>
        <w:t>roactemra 162 mg</w:t>
      </w:r>
      <w:r w:rsidRPr="008A106B">
        <w:rPr>
          <w:lang w:val="es-ES"/>
        </w:rPr>
        <w:t xml:space="preserve"> </w:t>
      </w:r>
      <w:r w:rsidR="00E211AA">
        <w:rPr>
          <w:lang w:val="es-ES"/>
        </w:rPr>
        <w:t>jeringa</w:t>
      </w:r>
    </w:p>
    <w:p w14:paraId="55C780F3" w14:textId="77777777" w:rsidR="00667E4F" w:rsidRDefault="00667E4F" w:rsidP="007D4B98">
      <w:pPr>
        <w:rPr>
          <w:b/>
          <w:lang w:val="es-ES"/>
        </w:rPr>
      </w:pPr>
    </w:p>
    <w:p w14:paraId="61AABAE6" w14:textId="77777777" w:rsidR="00667E4F" w:rsidRDefault="00667E4F" w:rsidP="00667E4F">
      <w:pPr>
        <w:ind w:left="567" w:hanging="567"/>
        <w:rPr>
          <w:lang w:val="es-ES"/>
        </w:rPr>
      </w:pPr>
    </w:p>
    <w:p w14:paraId="6DD0F47A" w14:textId="77777777" w:rsidR="00667E4F" w:rsidRPr="00EF2448" w:rsidRDefault="0040250B" w:rsidP="0040250B">
      <w:pPr>
        <w:pBdr>
          <w:top w:val="single" w:sz="4" w:space="1" w:color="auto"/>
          <w:left w:val="single" w:sz="4" w:space="4" w:color="auto"/>
          <w:bottom w:val="single" w:sz="4" w:space="1" w:color="auto"/>
          <w:right w:val="single" w:sz="4" w:space="4" w:color="auto"/>
        </w:pBdr>
        <w:ind w:left="567" w:hanging="567"/>
        <w:rPr>
          <w:i/>
          <w:noProof/>
          <w:lang w:val="pt-BR" w:eastAsia="es-ES" w:bidi="es-ES"/>
        </w:rPr>
      </w:pPr>
      <w:r w:rsidRPr="00EF2448">
        <w:rPr>
          <w:b/>
          <w:noProof/>
          <w:lang w:val="pt-BR" w:eastAsia="es-ES" w:bidi="es-ES"/>
        </w:rPr>
        <w:t>17.</w:t>
      </w:r>
      <w:r w:rsidRPr="00EF2448">
        <w:rPr>
          <w:b/>
          <w:noProof/>
          <w:lang w:val="pt-BR" w:eastAsia="es-ES" w:bidi="es-ES"/>
        </w:rPr>
        <w:tab/>
      </w:r>
      <w:r w:rsidR="00667E4F" w:rsidRPr="00EF2448">
        <w:rPr>
          <w:b/>
          <w:noProof/>
          <w:lang w:val="pt-BR" w:eastAsia="es-ES" w:bidi="es-ES"/>
        </w:rPr>
        <w:t>IDENTIFICADOR ÚNICO - CÓDIGO DE BARRAS 2D</w:t>
      </w:r>
    </w:p>
    <w:p w14:paraId="043FCDE2" w14:textId="77777777" w:rsidR="00667E4F" w:rsidRPr="00EF2448" w:rsidRDefault="00667E4F" w:rsidP="00667E4F">
      <w:pPr>
        <w:ind w:left="567" w:hanging="567"/>
        <w:rPr>
          <w:lang w:val="pt-BR"/>
        </w:rPr>
      </w:pPr>
    </w:p>
    <w:p w14:paraId="1EC9F766" w14:textId="77777777" w:rsidR="00667E4F" w:rsidRPr="00385139" w:rsidRDefault="00667E4F" w:rsidP="00667E4F">
      <w:pPr>
        <w:rPr>
          <w:noProof/>
          <w:szCs w:val="22"/>
          <w:shd w:val="clear" w:color="auto" w:fill="CCCCCC"/>
          <w:lang w:val="es-ES"/>
        </w:rPr>
      </w:pPr>
      <w:r w:rsidRPr="0017056A">
        <w:rPr>
          <w:noProof/>
          <w:highlight w:val="lightGray"/>
          <w:lang w:val="es-ES"/>
        </w:rPr>
        <w:t>Incluido el código de barras 2D que lleva el identificador único.</w:t>
      </w:r>
    </w:p>
    <w:p w14:paraId="4524C28B" w14:textId="77777777" w:rsidR="00667E4F" w:rsidRPr="00385139" w:rsidRDefault="00667E4F" w:rsidP="00667E4F">
      <w:pPr>
        <w:rPr>
          <w:noProof/>
          <w:szCs w:val="22"/>
          <w:shd w:val="clear" w:color="auto" w:fill="CCCCCC"/>
          <w:lang w:val="es-ES"/>
        </w:rPr>
      </w:pPr>
    </w:p>
    <w:p w14:paraId="2E483B12" w14:textId="77777777" w:rsidR="00667E4F" w:rsidRDefault="00667E4F" w:rsidP="00667E4F">
      <w:pPr>
        <w:ind w:left="567" w:hanging="567"/>
        <w:rPr>
          <w:lang w:val="es-ES"/>
        </w:rPr>
      </w:pPr>
    </w:p>
    <w:p w14:paraId="240EDC96" w14:textId="77777777" w:rsidR="00667E4F" w:rsidRPr="0040250B" w:rsidRDefault="0040250B" w:rsidP="00536969">
      <w:pPr>
        <w:keepNext/>
        <w:keepLines/>
        <w:pBdr>
          <w:top w:val="single" w:sz="4" w:space="1" w:color="auto"/>
          <w:left w:val="single" w:sz="4" w:space="4" w:color="auto"/>
          <w:bottom w:val="single" w:sz="4" w:space="1" w:color="auto"/>
          <w:right w:val="single" w:sz="4" w:space="4" w:color="auto"/>
        </w:pBdr>
        <w:ind w:left="567" w:hanging="567"/>
        <w:rPr>
          <w:b/>
          <w:noProof/>
          <w:lang w:val="es-ES" w:eastAsia="es-ES" w:bidi="es-ES"/>
        </w:rPr>
      </w:pPr>
      <w:r w:rsidRPr="0040250B">
        <w:rPr>
          <w:b/>
          <w:noProof/>
          <w:lang w:val="es-ES" w:eastAsia="es-ES" w:bidi="es-ES"/>
        </w:rPr>
        <w:lastRenderedPageBreak/>
        <w:t>18.</w:t>
      </w:r>
      <w:r w:rsidRPr="0040250B">
        <w:rPr>
          <w:b/>
          <w:noProof/>
          <w:lang w:val="es-ES" w:eastAsia="es-ES" w:bidi="es-ES"/>
        </w:rPr>
        <w:tab/>
      </w:r>
      <w:r w:rsidR="00667E4F" w:rsidRPr="0040250B">
        <w:rPr>
          <w:b/>
          <w:noProof/>
          <w:lang w:val="es-ES" w:eastAsia="es-ES" w:bidi="es-ES"/>
        </w:rPr>
        <w:t>IDENTIFICADOR ÚNICO - INFORMACIÓN EN CARACTERES VISUALES</w:t>
      </w:r>
    </w:p>
    <w:p w14:paraId="69311F10" w14:textId="77777777" w:rsidR="00667E4F" w:rsidRDefault="00667E4F" w:rsidP="00536969">
      <w:pPr>
        <w:keepNext/>
        <w:keepLines/>
        <w:ind w:left="567" w:hanging="567"/>
        <w:rPr>
          <w:lang w:val="es-ES"/>
        </w:rPr>
      </w:pPr>
    </w:p>
    <w:p w14:paraId="1C8187F9" w14:textId="77777777" w:rsidR="00536969" w:rsidRDefault="00667E4F" w:rsidP="00536969">
      <w:pPr>
        <w:keepNext/>
        <w:keepLines/>
        <w:rPr>
          <w:lang w:val="es-ES"/>
        </w:rPr>
      </w:pPr>
      <w:r w:rsidRPr="00385139">
        <w:rPr>
          <w:lang w:val="es-ES"/>
        </w:rPr>
        <w:t>PC</w:t>
      </w:r>
    </w:p>
    <w:p w14:paraId="304A2929" w14:textId="77777777" w:rsidR="00667E4F" w:rsidRPr="00385139" w:rsidRDefault="00667E4F" w:rsidP="00536969">
      <w:pPr>
        <w:keepNext/>
        <w:keepLines/>
        <w:rPr>
          <w:szCs w:val="22"/>
          <w:lang w:val="es-ES"/>
        </w:rPr>
      </w:pPr>
      <w:r w:rsidRPr="00385139">
        <w:rPr>
          <w:lang w:val="es-ES"/>
        </w:rPr>
        <w:t>SN</w:t>
      </w:r>
    </w:p>
    <w:p w14:paraId="2819CB3C" w14:textId="77777777" w:rsidR="00667E4F" w:rsidRPr="00385139" w:rsidRDefault="00667E4F" w:rsidP="00536969">
      <w:pPr>
        <w:keepNext/>
        <w:keepLines/>
        <w:rPr>
          <w:szCs w:val="22"/>
          <w:lang w:val="es-ES"/>
        </w:rPr>
      </w:pPr>
      <w:r w:rsidRPr="00385139">
        <w:rPr>
          <w:lang w:val="es-ES"/>
        </w:rPr>
        <w:t>NN</w:t>
      </w:r>
    </w:p>
    <w:p w14:paraId="00967F43" w14:textId="100FF763" w:rsidR="00113571" w:rsidRDefault="00113571">
      <w:pPr>
        <w:rPr>
          <w:lang w:val="es-ES"/>
        </w:rPr>
      </w:pPr>
      <w:r>
        <w:rPr>
          <w:lang w:val="es-ES"/>
        </w:rPr>
        <w:br w:type="page"/>
      </w:r>
    </w:p>
    <w:p w14:paraId="01136715" w14:textId="77777777" w:rsidR="00A36FC1" w:rsidRPr="00A36FC1" w:rsidRDefault="00A36FC1" w:rsidP="00A36FC1">
      <w:pPr>
        <w:pBdr>
          <w:top w:val="single" w:sz="4" w:space="1" w:color="auto"/>
          <w:left w:val="single" w:sz="4" w:space="4" w:color="auto"/>
          <w:bottom w:val="single" w:sz="4" w:space="1" w:color="auto"/>
          <w:right w:val="single" w:sz="4" w:space="4" w:color="auto"/>
        </w:pBdr>
        <w:ind w:left="567" w:hanging="567"/>
        <w:rPr>
          <w:b/>
          <w:bCs/>
          <w:szCs w:val="22"/>
          <w:lang w:val="es-ES"/>
        </w:rPr>
      </w:pPr>
      <w:r w:rsidRPr="00A36FC1">
        <w:rPr>
          <w:b/>
          <w:bCs/>
          <w:szCs w:val="22"/>
          <w:lang w:val="es-ES"/>
        </w:rPr>
        <w:lastRenderedPageBreak/>
        <w:t>INFORMACIÓN QUE DEBE FIGURAR EN EL EMBALAJE EXTERIOR</w:t>
      </w:r>
    </w:p>
    <w:p w14:paraId="3708BE84"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rPr>
          <w:bCs/>
          <w:szCs w:val="22"/>
          <w:lang w:val="es-ES"/>
        </w:rPr>
      </w:pPr>
    </w:p>
    <w:p w14:paraId="65819343" w14:textId="77777777" w:rsidR="007D4B98" w:rsidRPr="00883E95" w:rsidRDefault="007D4B98" w:rsidP="007D4B98">
      <w:pPr>
        <w:pBdr>
          <w:top w:val="single" w:sz="4" w:space="1" w:color="auto"/>
          <w:left w:val="single" w:sz="4" w:space="4" w:color="auto"/>
          <w:bottom w:val="single" w:sz="4" w:space="1" w:color="auto"/>
          <w:right w:val="single" w:sz="4" w:space="4" w:color="auto"/>
        </w:pBdr>
        <w:rPr>
          <w:bCs/>
          <w:szCs w:val="22"/>
          <w:lang w:val="es-ES"/>
        </w:rPr>
      </w:pPr>
      <w:r w:rsidRPr="00883E95">
        <w:rPr>
          <w:b/>
          <w:szCs w:val="22"/>
          <w:lang w:val="es-ES"/>
        </w:rPr>
        <w:t>ESTUCHE DE LA JERINGA PRECARGADA</w:t>
      </w:r>
      <w:r>
        <w:rPr>
          <w:b/>
          <w:szCs w:val="22"/>
          <w:lang w:val="es-ES"/>
        </w:rPr>
        <w:t xml:space="preserve"> </w:t>
      </w:r>
      <w:r w:rsidRPr="001E7230">
        <w:rPr>
          <w:b/>
          <w:szCs w:val="22"/>
          <w:lang w:val="es-ES"/>
        </w:rPr>
        <w:t xml:space="preserve">(SIN BLUE BOX) </w:t>
      </w:r>
      <w:r w:rsidR="00194A4E">
        <w:rPr>
          <w:b/>
          <w:szCs w:val="22"/>
          <w:lang w:val="es-ES"/>
        </w:rPr>
        <w:t>–</w:t>
      </w:r>
      <w:r w:rsidRPr="001E7230">
        <w:rPr>
          <w:b/>
          <w:szCs w:val="22"/>
          <w:lang w:val="es-ES"/>
        </w:rPr>
        <w:t xml:space="preserve"> </w:t>
      </w:r>
      <w:r w:rsidR="00194A4E">
        <w:rPr>
          <w:b/>
          <w:szCs w:val="22"/>
          <w:lang w:val="es-ES"/>
        </w:rPr>
        <w:t>Envase múltiple</w:t>
      </w:r>
    </w:p>
    <w:p w14:paraId="36FB4BDB" w14:textId="77777777" w:rsidR="007D4B98" w:rsidRPr="00883E95" w:rsidRDefault="007D4B98" w:rsidP="007D4B98">
      <w:pPr>
        <w:rPr>
          <w:szCs w:val="22"/>
          <w:lang w:val="es-ES"/>
        </w:rPr>
      </w:pPr>
    </w:p>
    <w:p w14:paraId="6199D438" w14:textId="77777777" w:rsidR="007D4B98" w:rsidRPr="00883E95" w:rsidRDefault="007D4B98" w:rsidP="007D4B98">
      <w:pPr>
        <w:rPr>
          <w:szCs w:val="22"/>
          <w:lang w:val="es-ES"/>
        </w:rPr>
      </w:pPr>
    </w:p>
    <w:p w14:paraId="656F4301"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w:t>
      </w:r>
      <w:r w:rsidRPr="00883E95">
        <w:rPr>
          <w:b/>
          <w:szCs w:val="22"/>
          <w:lang w:val="es-ES"/>
        </w:rPr>
        <w:tab/>
        <w:t>NOMBRE DEL MEDICAMENTO</w:t>
      </w:r>
    </w:p>
    <w:p w14:paraId="786A7552" w14:textId="77777777" w:rsidR="007D4B98" w:rsidRPr="00883E95" w:rsidRDefault="007D4B98" w:rsidP="007D4B98">
      <w:pPr>
        <w:rPr>
          <w:szCs w:val="22"/>
          <w:lang w:val="es-ES"/>
        </w:rPr>
      </w:pPr>
    </w:p>
    <w:p w14:paraId="2723C393" w14:textId="77777777" w:rsidR="007D4B98" w:rsidRPr="00883E95" w:rsidRDefault="007D4B98" w:rsidP="007D4B98">
      <w:pPr>
        <w:rPr>
          <w:iCs/>
          <w:szCs w:val="22"/>
          <w:lang w:val="es-ES"/>
        </w:rPr>
      </w:pPr>
      <w:r w:rsidRPr="00883E95">
        <w:rPr>
          <w:szCs w:val="22"/>
          <w:lang w:val="es-ES"/>
        </w:rPr>
        <w:t xml:space="preserve">RoActemra </w:t>
      </w:r>
      <w:r w:rsidRPr="00883E95">
        <w:rPr>
          <w:iCs/>
          <w:szCs w:val="22"/>
          <w:lang w:val="es-ES"/>
        </w:rPr>
        <w:t>162 mg, solución inyectable en jeringa precargada</w:t>
      </w:r>
    </w:p>
    <w:p w14:paraId="2212B0C0" w14:textId="77777777" w:rsidR="007D4B98" w:rsidRPr="00883E95" w:rsidRDefault="007D4B98" w:rsidP="007D4B98">
      <w:pPr>
        <w:rPr>
          <w:szCs w:val="22"/>
          <w:lang w:val="es-ES"/>
        </w:rPr>
      </w:pPr>
    </w:p>
    <w:p w14:paraId="42138121" w14:textId="77777777" w:rsidR="007D4B98" w:rsidRPr="00EF2448" w:rsidRDefault="00194A4E" w:rsidP="007D4B98">
      <w:pPr>
        <w:rPr>
          <w:szCs w:val="22"/>
          <w:lang w:val="pt-BR"/>
        </w:rPr>
      </w:pPr>
      <w:r w:rsidRPr="00EF2448">
        <w:rPr>
          <w:szCs w:val="22"/>
          <w:lang w:val="pt-BR"/>
        </w:rPr>
        <w:t>t</w:t>
      </w:r>
      <w:r w:rsidR="007D4B98" w:rsidRPr="00EF2448">
        <w:rPr>
          <w:szCs w:val="22"/>
          <w:lang w:val="pt-BR"/>
        </w:rPr>
        <w:t>ocilizumab</w:t>
      </w:r>
    </w:p>
    <w:p w14:paraId="014D9E7E" w14:textId="77777777" w:rsidR="007D4B98" w:rsidRPr="00EF2448" w:rsidRDefault="007D4B98" w:rsidP="007D4B98">
      <w:pPr>
        <w:rPr>
          <w:szCs w:val="22"/>
          <w:lang w:val="pt-BR"/>
        </w:rPr>
      </w:pPr>
    </w:p>
    <w:p w14:paraId="19C5F089" w14:textId="77777777" w:rsidR="007D4B98" w:rsidRPr="00EF2448" w:rsidRDefault="007D4B98" w:rsidP="007D4B98">
      <w:pPr>
        <w:rPr>
          <w:szCs w:val="22"/>
          <w:lang w:val="pt-BR"/>
        </w:rPr>
      </w:pPr>
    </w:p>
    <w:p w14:paraId="59A98A6A" w14:textId="77777777" w:rsidR="007D4B98" w:rsidRPr="00EF2448" w:rsidRDefault="007D4B98" w:rsidP="007D4B98">
      <w:pPr>
        <w:pBdr>
          <w:top w:val="single" w:sz="4" w:space="1" w:color="auto"/>
          <w:left w:val="single" w:sz="4" w:space="4" w:color="auto"/>
          <w:bottom w:val="single" w:sz="4" w:space="1" w:color="auto"/>
          <w:right w:val="single" w:sz="4" w:space="4" w:color="auto"/>
        </w:pBdr>
        <w:ind w:left="567" w:hanging="567"/>
        <w:outlineLvl w:val="0"/>
        <w:rPr>
          <w:b/>
          <w:szCs w:val="22"/>
          <w:lang w:val="pt-BR"/>
        </w:rPr>
      </w:pPr>
      <w:r w:rsidRPr="00EF2448">
        <w:rPr>
          <w:b/>
          <w:szCs w:val="22"/>
          <w:lang w:val="pt-BR"/>
        </w:rPr>
        <w:t>2.</w:t>
      </w:r>
      <w:r w:rsidRPr="00EF2448">
        <w:rPr>
          <w:b/>
          <w:szCs w:val="22"/>
          <w:lang w:val="pt-BR"/>
        </w:rPr>
        <w:tab/>
        <w:t>PRINCIPIO</w:t>
      </w:r>
      <w:del w:id="2275" w:author="AUTHOR">
        <w:r w:rsidRPr="00EF2448" w:rsidDel="00541248">
          <w:rPr>
            <w:b/>
            <w:szCs w:val="22"/>
            <w:lang w:val="pt-BR"/>
          </w:rPr>
          <w:delText>(S)</w:delText>
        </w:r>
      </w:del>
      <w:r w:rsidRPr="00EF2448">
        <w:rPr>
          <w:b/>
          <w:szCs w:val="22"/>
          <w:lang w:val="pt-BR"/>
        </w:rPr>
        <w:t xml:space="preserve"> ACTIVO</w:t>
      </w:r>
      <w:del w:id="2276" w:author="AUTHOR">
        <w:r w:rsidRPr="00EF2448" w:rsidDel="00541248">
          <w:rPr>
            <w:b/>
            <w:szCs w:val="22"/>
            <w:lang w:val="pt-BR"/>
          </w:rPr>
          <w:delText>(S)</w:delText>
        </w:r>
      </w:del>
    </w:p>
    <w:p w14:paraId="582FF742" w14:textId="77777777" w:rsidR="007D4B98" w:rsidRPr="00EF2448" w:rsidRDefault="007D4B98" w:rsidP="007D4B98">
      <w:pPr>
        <w:rPr>
          <w:szCs w:val="22"/>
          <w:lang w:val="pt-BR"/>
        </w:rPr>
      </w:pPr>
    </w:p>
    <w:p w14:paraId="432D92F7" w14:textId="77777777" w:rsidR="007D4B98" w:rsidRPr="00EF2448" w:rsidRDefault="007D4B98" w:rsidP="007D4B98">
      <w:pPr>
        <w:rPr>
          <w:szCs w:val="22"/>
          <w:lang w:val="pt-BR"/>
        </w:rPr>
      </w:pPr>
      <w:r w:rsidRPr="00EF2448">
        <w:rPr>
          <w:szCs w:val="22"/>
          <w:lang w:val="pt-BR"/>
        </w:rPr>
        <w:t>1 jeringa precargada contiene 162 mg de tocilizumab</w:t>
      </w:r>
    </w:p>
    <w:p w14:paraId="466BEE76" w14:textId="77777777" w:rsidR="007D4B98" w:rsidRPr="00EF2448" w:rsidRDefault="007D4B98" w:rsidP="007D4B98">
      <w:pPr>
        <w:rPr>
          <w:szCs w:val="22"/>
          <w:lang w:val="pt-BR"/>
        </w:rPr>
      </w:pPr>
    </w:p>
    <w:p w14:paraId="35A811D0" w14:textId="77777777" w:rsidR="007D4B98" w:rsidRPr="00EF2448" w:rsidRDefault="007D4B98" w:rsidP="007D4B98">
      <w:pPr>
        <w:rPr>
          <w:szCs w:val="22"/>
          <w:lang w:val="pt-BR"/>
        </w:rPr>
      </w:pPr>
    </w:p>
    <w:p w14:paraId="0BC03673" w14:textId="77777777" w:rsidR="007D4B98" w:rsidRPr="00EF2448"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pt-BR"/>
        </w:rPr>
      </w:pPr>
      <w:r w:rsidRPr="00EF2448">
        <w:rPr>
          <w:b/>
          <w:szCs w:val="22"/>
          <w:lang w:val="pt-BR"/>
        </w:rPr>
        <w:t>3.</w:t>
      </w:r>
      <w:r w:rsidRPr="00EF2448">
        <w:rPr>
          <w:b/>
          <w:szCs w:val="22"/>
          <w:lang w:val="pt-BR"/>
        </w:rPr>
        <w:tab/>
        <w:t>LISTA DE EXCIPIENTES</w:t>
      </w:r>
    </w:p>
    <w:p w14:paraId="67F5A41B" w14:textId="77777777" w:rsidR="007D4B98" w:rsidRPr="00EF2448" w:rsidRDefault="007D4B98" w:rsidP="007D4B98">
      <w:pPr>
        <w:rPr>
          <w:szCs w:val="22"/>
          <w:lang w:val="pt-BR"/>
        </w:rPr>
      </w:pPr>
    </w:p>
    <w:p w14:paraId="55A580D7" w14:textId="15DF67A8" w:rsidR="007D4B98" w:rsidRPr="00EF2448" w:rsidRDefault="003C0746" w:rsidP="00376697">
      <w:pPr>
        <w:ind w:left="567" w:hanging="567"/>
        <w:outlineLvl w:val="0"/>
        <w:rPr>
          <w:bCs/>
          <w:szCs w:val="22"/>
          <w:lang w:val="pt-BR"/>
        </w:rPr>
      </w:pPr>
      <w:r>
        <w:rPr>
          <w:bCs/>
          <w:szCs w:val="22"/>
          <w:lang w:val="pt-BR"/>
        </w:rPr>
        <w:t xml:space="preserve">También contiene </w:t>
      </w:r>
      <w:r w:rsidR="007D4B98" w:rsidRPr="00EF2448">
        <w:rPr>
          <w:bCs/>
          <w:szCs w:val="22"/>
          <w:lang w:val="pt-BR"/>
        </w:rPr>
        <w:t>L-</w:t>
      </w:r>
      <w:r>
        <w:rPr>
          <w:bCs/>
          <w:szCs w:val="22"/>
          <w:lang w:val="pt-BR"/>
        </w:rPr>
        <w:t>h</w:t>
      </w:r>
      <w:r w:rsidR="007D4B98" w:rsidRPr="00EF2448">
        <w:rPr>
          <w:bCs/>
          <w:szCs w:val="22"/>
          <w:lang w:val="pt-BR"/>
        </w:rPr>
        <w:t xml:space="preserve">istidina, </w:t>
      </w:r>
      <w:r>
        <w:rPr>
          <w:bCs/>
          <w:szCs w:val="22"/>
          <w:lang w:val="pt-BR"/>
        </w:rPr>
        <w:t>m</w:t>
      </w:r>
      <w:r w:rsidR="007D4B98" w:rsidRPr="00EF2448">
        <w:rPr>
          <w:bCs/>
          <w:szCs w:val="22"/>
          <w:lang w:val="pt-BR"/>
        </w:rPr>
        <w:t>onohidrocloruro de L-</w:t>
      </w:r>
      <w:r>
        <w:rPr>
          <w:bCs/>
          <w:szCs w:val="22"/>
          <w:lang w:val="pt-BR"/>
        </w:rPr>
        <w:t>h</w:t>
      </w:r>
      <w:r w:rsidR="007D4B98" w:rsidRPr="00EF2448">
        <w:rPr>
          <w:bCs/>
          <w:szCs w:val="22"/>
          <w:lang w:val="pt-BR"/>
        </w:rPr>
        <w:t>istidina monohidrato</w:t>
      </w:r>
      <w:r w:rsidR="007D4B98" w:rsidRPr="00F312B9">
        <w:rPr>
          <w:bCs/>
          <w:szCs w:val="22"/>
          <w:shd w:val="clear" w:color="auto" w:fill="FFFFFF"/>
          <w:lang w:val="pt-BR"/>
        </w:rPr>
        <w:t xml:space="preserve">, </w:t>
      </w:r>
      <w:r w:rsidR="00137C28" w:rsidRPr="00750F8B">
        <w:rPr>
          <w:highlight w:val="lightGray"/>
          <w:lang w:val="pt-BR"/>
        </w:rPr>
        <w:t>L-</w:t>
      </w:r>
      <w:r>
        <w:rPr>
          <w:highlight w:val="lightGray"/>
          <w:lang w:val="pt-BR"/>
        </w:rPr>
        <w:t>a</w:t>
      </w:r>
      <w:r w:rsidR="00137C28" w:rsidRPr="00750F8B">
        <w:rPr>
          <w:highlight w:val="lightGray"/>
          <w:lang w:val="pt-BR"/>
        </w:rPr>
        <w:t>rginina</w:t>
      </w:r>
      <w:r w:rsidR="00B947D0" w:rsidRPr="00750F8B">
        <w:rPr>
          <w:bCs/>
          <w:szCs w:val="22"/>
          <w:highlight w:val="lightGray"/>
          <w:lang w:val="pt-BR"/>
        </w:rPr>
        <w:t>/</w:t>
      </w:r>
      <w:r>
        <w:rPr>
          <w:bCs/>
          <w:szCs w:val="22"/>
          <w:shd w:val="clear" w:color="auto" w:fill="FFFFFF"/>
          <w:lang w:val="pt-BR"/>
        </w:rPr>
        <w:t>h</w:t>
      </w:r>
      <w:r w:rsidR="007D4B98" w:rsidRPr="00F312B9">
        <w:rPr>
          <w:bCs/>
          <w:szCs w:val="22"/>
          <w:shd w:val="clear" w:color="auto" w:fill="FFFFFF"/>
          <w:lang w:val="pt-BR"/>
        </w:rPr>
        <w:t>idrocloruro</w:t>
      </w:r>
      <w:r w:rsidR="007D4B98" w:rsidRPr="00EF2448">
        <w:rPr>
          <w:bCs/>
          <w:szCs w:val="22"/>
          <w:lang w:val="pt-BR"/>
        </w:rPr>
        <w:t xml:space="preserve"> de L-</w:t>
      </w:r>
      <w:r>
        <w:rPr>
          <w:bCs/>
          <w:szCs w:val="22"/>
          <w:lang w:val="pt-BR"/>
        </w:rPr>
        <w:t>a</w:t>
      </w:r>
      <w:r w:rsidR="007D4B98" w:rsidRPr="00EF2448">
        <w:rPr>
          <w:bCs/>
          <w:szCs w:val="22"/>
          <w:lang w:val="pt-BR"/>
        </w:rPr>
        <w:t xml:space="preserve">rginina, </w:t>
      </w:r>
    </w:p>
    <w:p w14:paraId="494C9A90" w14:textId="7F37EAB5" w:rsidR="007D4B98" w:rsidRPr="00883E95" w:rsidRDefault="007D4B98" w:rsidP="00F30AB8">
      <w:pPr>
        <w:shd w:val="clear" w:color="auto" w:fill="FFFFFF" w:themeFill="background1"/>
        <w:ind w:left="567" w:hanging="567"/>
        <w:outlineLvl w:val="0"/>
        <w:rPr>
          <w:bCs/>
          <w:szCs w:val="22"/>
          <w:lang w:val="es-ES"/>
        </w:rPr>
      </w:pPr>
      <w:r w:rsidRPr="00F30AB8">
        <w:rPr>
          <w:bCs/>
          <w:szCs w:val="22"/>
          <w:shd w:val="clear" w:color="auto" w:fill="FFFFFF" w:themeFill="background1"/>
          <w:lang w:val="es-ES"/>
        </w:rPr>
        <w:t>L-</w:t>
      </w:r>
      <w:r w:rsidR="003C0746" w:rsidRPr="00F30AB8">
        <w:rPr>
          <w:bCs/>
          <w:szCs w:val="22"/>
          <w:shd w:val="clear" w:color="auto" w:fill="FFFFFF" w:themeFill="background1"/>
          <w:lang w:val="es-ES"/>
        </w:rPr>
        <w:t>m</w:t>
      </w:r>
      <w:r w:rsidRPr="00F30AB8">
        <w:rPr>
          <w:bCs/>
          <w:szCs w:val="22"/>
          <w:shd w:val="clear" w:color="auto" w:fill="FFFFFF" w:themeFill="background1"/>
          <w:lang w:val="es-ES"/>
        </w:rPr>
        <w:t xml:space="preserve">etionina, </w:t>
      </w:r>
      <w:r w:rsidR="003C0746" w:rsidRPr="00F30AB8">
        <w:rPr>
          <w:bCs/>
          <w:szCs w:val="22"/>
          <w:shd w:val="clear" w:color="auto" w:fill="FFFFFF" w:themeFill="background1"/>
          <w:lang w:val="es-ES"/>
        </w:rPr>
        <w:t>p</w:t>
      </w:r>
      <w:r w:rsidRPr="00F30AB8">
        <w:rPr>
          <w:bCs/>
          <w:szCs w:val="22"/>
          <w:shd w:val="clear" w:color="auto" w:fill="FFFFFF" w:themeFill="background1"/>
          <w:lang w:val="es-ES"/>
        </w:rPr>
        <w:t xml:space="preserve">olisorbato 80, </w:t>
      </w:r>
      <w:r w:rsidR="003C0746" w:rsidRPr="00F30AB8">
        <w:rPr>
          <w:bCs/>
          <w:szCs w:val="22"/>
          <w:shd w:val="clear" w:color="auto" w:fill="FFFFFF" w:themeFill="background1"/>
          <w:lang w:val="es-ES"/>
        </w:rPr>
        <w:t>a</w:t>
      </w:r>
      <w:r w:rsidRPr="00F30AB8">
        <w:rPr>
          <w:bCs/>
          <w:szCs w:val="22"/>
          <w:shd w:val="clear" w:color="auto" w:fill="FFFFFF" w:themeFill="background1"/>
          <w:lang w:val="es-ES"/>
        </w:rPr>
        <w:t>gua para preparaciones inyectables</w:t>
      </w:r>
      <w:r w:rsidRPr="00883E95">
        <w:rPr>
          <w:bCs/>
          <w:szCs w:val="22"/>
          <w:lang w:val="es-ES"/>
        </w:rPr>
        <w:t>.</w:t>
      </w:r>
      <w:r w:rsidRPr="00883E95">
        <w:rPr>
          <w:bCs/>
          <w:szCs w:val="22"/>
          <w:lang w:val="es-ES" w:eastAsia="zh-CN"/>
        </w:rPr>
        <w:t xml:space="preserve"> </w:t>
      </w:r>
      <w:r w:rsidR="003C0746" w:rsidRPr="00F30AB8">
        <w:rPr>
          <w:bCs/>
          <w:szCs w:val="22"/>
          <w:highlight w:val="lightGray"/>
          <w:lang w:val="es-ES" w:eastAsia="zh-CN"/>
        </w:rPr>
        <w:t>Para más información consulte el prospecto.</w:t>
      </w:r>
    </w:p>
    <w:p w14:paraId="1AD253B7" w14:textId="77777777" w:rsidR="007D4B98" w:rsidRPr="00883E95" w:rsidRDefault="007D4B98" w:rsidP="007D4B98">
      <w:pPr>
        <w:rPr>
          <w:szCs w:val="22"/>
          <w:lang w:val="es-ES"/>
        </w:rPr>
      </w:pPr>
    </w:p>
    <w:p w14:paraId="11E25F50" w14:textId="77777777" w:rsidR="007D4B98" w:rsidRPr="00883E95" w:rsidRDefault="007D4B98" w:rsidP="007D4B98">
      <w:pPr>
        <w:rPr>
          <w:szCs w:val="22"/>
          <w:lang w:val="es-ES"/>
        </w:rPr>
      </w:pPr>
    </w:p>
    <w:p w14:paraId="346F2CA5"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4.</w:t>
      </w:r>
      <w:r w:rsidRPr="00883E95">
        <w:rPr>
          <w:b/>
          <w:szCs w:val="22"/>
          <w:lang w:val="es-ES"/>
        </w:rPr>
        <w:tab/>
        <w:t>FORMA FARMACÉUTICA Y CONTENIDO DEL ENVASE</w:t>
      </w:r>
    </w:p>
    <w:p w14:paraId="281092B4" w14:textId="77777777" w:rsidR="007D4B98" w:rsidRPr="00883E95" w:rsidRDefault="007D4B98" w:rsidP="007D4B98">
      <w:pPr>
        <w:rPr>
          <w:szCs w:val="22"/>
          <w:lang w:val="es-ES"/>
        </w:rPr>
      </w:pPr>
    </w:p>
    <w:p w14:paraId="1ED8D849" w14:textId="1F3413B9" w:rsidR="007D4B98" w:rsidRPr="00883E95" w:rsidRDefault="007D4B98" w:rsidP="007D4B98">
      <w:pPr>
        <w:rPr>
          <w:szCs w:val="22"/>
          <w:lang w:val="es-ES"/>
        </w:rPr>
      </w:pPr>
      <w:r w:rsidRPr="00F30AB8">
        <w:rPr>
          <w:szCs w:val="22"/>
          <w:highlight w:val="lightGray"/>
          <w:lang w:val="es-ES"/>
        </w:rPr>
        <w:t xml:space="preserve">Solución inyectable </w:t>
      </w:r>
    </w:p>
    <w:p w14:paraId="7FEE3AA3" w14:textId="77777777" w:rsidR="007D4B98" w:rsidRPr="00883E95" w:rsidRDefault="007D4B98" w:rsidP="007D4B98">
      <w:pPr>
        <w:tabs>
          <w:tab w:val="left" w:pos="284"/>
          <w:tab w:val="left" w:pos="567"/>
        </w:tabs>
        <w:rPr>
          <w:szCs w:val="22"/>
          <w:lang w:val="es-ES"/>
        </w:rPr>
      </w:pPr>
      <w:r>
        <w:rPr>
          <w:szCs w:val="22"/>
          <w:lang w:val="es-ES"/>
        </w:rPr>
        <w:t xml:space="preserve">4 </w:t>
      </w:r>
      <w:r w:rsidRPr="00883E95">
        <w:rPr>
          <w:szCs w:val="22"/>
          <w:lang w:val="es-ES"/>
        </w:rPr>
        <w:t>jeringas precargadas</w:t>
      </w:r>
      <w:r>
        <w:rPr>
          <w:szCs w:val="22"/>
          <w:lang w:val="es-ES"/>
        </w:rPr>
        <w:t xml:space="preserve">. </w:t>
      </w:r>
      <w:r w:rsidRPr="00A73C15">
        <w:rPr>
          <w:szCs w:val="22"/>
          <w:lang w:val="es-ES"/>
        </w:rPr>
        <w:t>L</w:t>
      </w:r>
      <w:r w:rsidR="00A97AEF">
        <w:rPr>
          <w:szCs w:val="22"/>
          <w:lang w:val="es-ES"/>
        </w:rPr>
        <w:t xml:space="preserve">as subunidades </w:t>
      </w:r>
      <w:r w:rsidRPr="00A73C15">
        <w:rPr>
          <w:szCs w:val="22"/>
          <w:lang w:val="es-ES"/>
        </w:rPr>
        <w:t xml:space="preserve">del </w:t>
      </w:r>
      <w:r w:rsidR="00194A4E">
        <w:rPr>
          <w:szCs w:val="22"/>
          <w:lang w:val="es-ES"/>
        </w:rPr>
        <w:t>envase múltiple</w:t>
      </w:r>
      <w:r w:rsidRPr="00A73C15">
        <w:rPr>
          <w:szCs w:val="22"/>
          <w:lang w:val="es-ES"/>
        </w:rPr>
        <w:t xml:space="preserve"> no </w:t>
      </w:r>
      <w:r w:rsidR="00A97AEF">
        <w:rPr>
          <w:szCs w:val="22"/>
          <w:lang w:val="es-ES"/>
        </w:rPr>
        <w:t xml:space="preserve">pueden </w:t>
      </w:r>
      <w:r w:rsidRPr="00A73C15">
        <w:rPr>
          <w:szCs w:val="22"/>
          <w:lang w:val="es-ES"/>
        </w:rPr>
        <w:t>vende</w:t>
      </w:r>
      <w:r w:rsidR="00A97AEF">
        <w:rPr>
          <w:szCs w:val="22"/>
          <w:lang w:val="es-ES"/>
        </w:rPr>
        <w:t>rse</w:t>
      </w:r>
      <w:r w:rsidRPr="00A73C15">
        <w:rPr>
          <w:szCs w:val="22"/>
          <w:lang w:val="es-ES"/>
        </w:rPr>
        <w:t xml:space="preserve"> por separado</w:t>
      </w:r>
    </w:p>
    <w:p w14:paraId="714C8269" w14:textId="77777777" w:rsidR="007D4B98" w:rsidRPr="00686B43" w:rsidRDefault="007D4B98" w:rsidP="007D4B98">
      <w:pPr>
        <w:tabs>
          <w:tab w:val="left" w:pos="284"/>
          <w:tab w:val="left" w:pos="567"/>
        </w:tabs>
        <w:rPr>
          <w:szCs w:val="22"/>
          <w:lang w:val="es-ES"/>
        </w:rPr>
      </w:pPr>
      <w:r w:rsidRPr="00686B43">
        <w:rPr>
          <w:szCs w:val="22"/>
          <w:lang w:val="es-ES"/>
        </w:rPr>
        <w:t>162 mg/0</w:t>
      </w:r>
      <w:r w:rsidR="002014A7">
        <w:rPr>
          <w:szCs w:val="22"/>
          <w:lang w:val="es-ES"/>
        </w:rPr>
        <w:t>,</w:t>
      </w:r>
      <w:r w:rsidRPr="00686B43">
        <w:rPr>
          <w:szCs w:val="22"/>
          <w:lang w:val="es-ES"/>
        </w:rPr>
        <w:t>9 ml</w:t>
      </w:r>
    </w:p>
    <w:p w14:paraId="1F33F872" w14:textId="77777777" w:rsidR="007D4B98" w:rsidRPr="00883E95" w:rsidRDefault="007D4B98" w:rsidP="007D4B98">
      <w:pPr>
        <w:rPr>
          <w:szCs w:val="22"/>
          <w:lang w:val="es-ES"/>
        </w:rPr>
      </w:pPr>
    </w:p>
    <w:p w14:paraId="27CF0276" w14:textId="77777777" w:rsidR="007D4B98" w:rsidRPr="00883E95" w:rsidRDefault="007D4B98" w:rsidP="007D4B98">
      <w:pPr>
        <w:rPr>
          <w:szCs w:val="22"/>
          <w:lang w:val="es-ES"/>
        </w:rPr>
      </w:pPr>
    </w:p>
    <w:p w14:paraId="4B9E2290"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5.</w:t>
      </w:r>
      <w:r w:rsidRPr="00883E95">
        <w:rPr>
          <w:b/>
          <w:szCs w:val="22"/>
          <w:lang w:val="es-ES"/>
        </w:rPr>
        <w:tab/>
        <w:t>FORMA Y VÍA</w:t>
      </w:r>
      <w:del w:id="2277" w:author="AUTHOR">
        <w:r w:rsidRPr="00883E95" w:rsidDel="00541248">
          <w:rPr>
            <w:b/>
            <w:szCs w:val="22"/>
            <w:lang w:val="es-ES"/>
          </w:rPr>
          <w:delText>(S)</w:delText>
        </w:r>
      </w:del>
      <w:r w:rsidRPr="00883E95">
        <w:rPr>
          <w:b/>
          <w:szCs w:val="22"/>
          <w:lang w:val="es-ES"/>
        </w:rPr>
        <w:t xml:space="preserve"> DE ADMINISTRACI</w:t>
      </w:r>
      <w:r>
        <w:rPr>
          <w:b/>
          <w:szCs w:val="22"/>
          <w:lang w:val="es-ES"/>
        </w:rPr>
        <w:t>ÓN</w:t>
      </w:r>
    </w:p>
    <w:p w14:paraId="0CA0C2E9" w14:textId="77777777" w:rsidR="007D4B98" w:rsidRPr="00883E95" w:rsidRDefault="007D4B98" w:rsidP="007D4B98">
      <w:pPr>
        <w:rPr>
          <w:i/>
          <w:szCs w:val="22"/>
          <w:lang w:val="es-ES"/>
        </w:rPr>
      </w:pPr>
    </w:p>
    <w:p w14:paraId="0E621AE5" w14:textId="77777777" w:rsidR="007D4B98" w:rsidRPr="00883E95" w:rsidRDefault="007D4B98" w:rsidP="007D4B98">
      <w:pPr>
        <w:tabs>
          <w:tab w:val="left" w:pos="284"/>
          <w:tab w:val="left" w:pos="567"/>
        </w:tabs>
        <w:outlineLvl w:val="0"/>
        <w:rPr>
          <w:szCs w:val="22"/>
          <w:lang w:val="es-ES"/>
        </w:rPr>
      </w:pPr>
      <w:r w:rsidRPr="00883E95">
        <w:rPr>
          <w:szCs w:val="22"/>
          <w:lang w:val="es-ES"/>
        </w:rPr>
        <w:t>Vía subcutánea</w:t>
      </w:r>
    </w:p>
    <w:p w14:paraId="64AE8A26" w14:textId="77777777" w:rsidR="007D4B98" w:rsidRPr="00883E95" w:rsidRDefault="007D4B98" w:rsidP="007D4B98">
      <w:pPr>
        <w:rPr>
          <w:szCs w:val="22"/>
          <w:lang w:val="es-ES"/>
        </w:rPr>
      </w:pPr>
      <w:r w:rsidRPr="00883E95">
        <w:rPr>
          <w:szCs w:val="22"/>
          <w:lang w:val="es-ES"/>
        </w:rPr>
        <w:t xml:space="preserve">Leer el prospecto antes de </w:t>
      </w:r>
      <w:r w:rsidRPr="00415850">
        <w:rPr>
          <w:szCs w:val="22"/>
          <w:lang w:val="es-ES"/>
        </w:rPr>
        <w:t>utiliz</w:t>
      </w:r>
      <w:r>
        <w:rPr>
          <w:szCs w:val="22"/>
          <w:lang w:val="es-ES"/>
        </w:rPr>
        <w:t>a</w:t>
      </w:r>
      <w:r w:rsidRPr="00883E95">
        <w:rPr>
          <w:szCs w:val="22"/>
          <w:lang w:val="es-ES"/>
        </w:rPr>
        <w:t>r este medicamento</w:t>
      </w:r>
    </w:p>
    <w:p w14:paraId="16F6AE2C" w14:textId="77777777" w:rsidR="007D4B98" w:rsidRPr="00883E95" w:rsidRDefault="007D4B98" w:rsidP="007D4B98">
      <w:pPr>
        <w:rPr>
          <w:szCs w:val="22"/>
          <w:lang w:val="es-ES"/>
        </w:rPr>
      </w:pPr>
    </w:p>
    <w:p w14:paraId="108483B6" w14:textId="77777777" w:rsidR="007D4B98" w:rsidRPr="00883E95" w:rsidRDefault="007D4B98" w:rsidP="007D4B98">
      <w:pPr>
        <w:rPr>
          <w:szCs w:val="22"/>
          <w:lang w:val="es-ES"/>
        </w:rPr>
      </w:pPr>
    </w:p>
    <w:p w14:paraId="46BD99A9"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6.</w:t>
      </w:r>
      <w:r w:rsidRPr="00883E95">
        <w:rPr>
          <w:b/>
          <w:szCs w:val="22"/>
          <w:lang w:val="es-ES"/>
        </w:rPr>
        <w:tab/>
        <w:t>ADVERTENCIA ESPECIAL DE QUE EL MEDICAMENTO DEBE MANTENERSE FUERA DE LA VISTA Y DEL ALCANCE DE LOS NIÑOS</w:t>
      </w:r>
    </w:p>
    <w:p w14:paraId="72BCB93D" w14:textId="77777777" w:rsidR="007D4B98" w:rsidRPr="00883E95" w:rsidRDefault="007D4B98" w:rsidP="007D4B98">
      <w:pPr>
        <w:rPr>
          <w:szCs w:val="22"/>
          <w:lang w:val="es-ES"/>
        </w:rPr>
      </w:pPr>
    </w:p>
    <w:p w14:paraId="4D1B58FD" w14:textId="77777777" w:rsidR="007D4B98" w:rsidRPr="00883E95" w:rsidRDefault="007D4B98" w:rsidP="007D4B98">
      <w:pPr>
        <w:outlineLvl w:val="0"/>
        <w:rPr>
          <w:szCs w:val="22"/>
          <w:lang w:val="es-ES"/>
        </w:rPr>
      </w:pPr>
      <w:r w:rsidRPr="00883E95">
        <w:rPr>
          <w:szCs w:val="22"/>
          <w:lang w:val="es-ES"/>
        </w:rPr>
        <w:t>Mantener fuera de la vista y del alcance de los niños</w:t>
      </w:r>
    </w:p>
    <w:p w14:paraId="2D31B741" w14:textId="77777777" w:rsidR="007D4B98" w:rsidRPr="00883E95" w:rsidRDefault="007D4B98" w:rsidP="007D4B98">
      <w:pPr>
        <w:rPr>
          <w:szCs w:val="22"/>
          <w:lang w:val="es-ES"/>
        </w:rPr>
      </w:pPr>
    </w:p>
    <w:p w14:paraId="67500E2E" w14:textId="77777777" w:rsidR="007D4B98" w:rsidRPr="00883E95" w:rsidRDefault="007D4B98" w:rsidP="007D4B98">
      <w:pPr>
        <w:rPr>
          <w:szCs w:val="22"/>
          <w:lang w:val="es-ES"/>
        </w:rPr>
      </w:pPr>
    </w:p>
    <w:p w14:paraId="053CE530"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7.</w:t>
      </w:r>
      <w:r w:rsidRPr="00883E95">
        <w:rPr>
          <w:b/>
          <w:szCs w:val="22"/>
          <w:lang w:val="es-ES"/>
        </w:rPr>
        <w:tab/>
        <w:t>OTRA(S) ADVERTENCIA(S) ESPECIAL(ES), SI ES NECESARIO</w:t>
      </w:r>
    </w:p>
    <w:p w14:paraId="0C311A30" w14:textId="77777777" w:rsidR="007D4B98" w:rsidRPr="00883E95" w:rsidRDefault="007D4B98" w:rsidP="007D4B98">
      <w:pPr>
        <w:rPr>
          <w:szCs w:val="22"/>
          <w:lang w:val="es-ES"/>
        </w:rPr>
      </w:pPr>
    </w:p>
    <w:p w14:paraId="52C65C4F" w14:textId="77777777" w:rsidR="007D4B98" w:rsidRPr="00883E95" w:rsidRDefault="007D4B98" w:rsidP="007D4B98">
      <w:pPr>
        <w:rPr>
          <w:szCs w:val="22"/>
          <w:lang w:val="es-ES"/>
        </w:rPr>
      </w:pPr>
      <w:r w:rsidRPr="00883E95">
        <w:rPr>
          <w:szCs w:val="22"/>
          <w:lang w:val="es-ES"/>
        </w:rPr>
        <w:t xml:space="preserve">Antes de su uso, deje que la jeringa alcance la </w:t>
      </w:r>
      <w:r w:rsidRPr="00415850">
        <w:rPr>
          <w:szCs w:val="22"/>
          <w:lang w:val="es-ES"/>
        </w:rPr>
        <w:t>temperatur</w:t>
      </w:r>
      <w:r>
        <w:rPr>
          <w:szCs w:val="22"/>
          <w:lang w:val="es-ES"/>
        </w:rPr>
        <w:t>a</w:t>
      </w:r>
      <w:r w:rsidRPr="00883E95">
        <w:rPr>
          <w:szCs w:val="22"/>
          <w:lang w:val="es-ES"/>
        </w:rPr>
        <w:t xml:space="preserve"> ambiente fuera de la caja durante 25 a 30 minutos</w:t>
      </w:r>
    </w:p>
    <w:p w14:paraId="1ED0175F" w14:textId="77777777" w:rsidR="007D4B98" w:rsidRDefault="007D4B98" w:rsidP="007D4B98">
      <w:pPr>
        <w:rPr>
          <w:szCs w:val="22"/>
          <w:lang w:val="es-ES"/>
        </w:rPr>
      </w:pPr>
    </w:p>
    <w:p w14:paraId="301D54BB" w14:textId="77777777" w:rsidR="007D4B98" w:rsidRPr="00883E95" w:rsidRDefault="007D4B98" w:rsidP="007D4B98">
      <w:pPr>
        <w:rPr>
          <w:szCs w:val="22"/>
          <w:lang w:val="es-ES"/>
        </w:rPr>
      </w:pPr>
    </w:p>
    <w:p w14:paraId="70484CC4" w14:textId="77777777" w:rsidR="007D4B98" w:rsidRPr="00686B43"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686B43">
        <w:rPr>
          <w:b/>
          <w:szCs w:val="22"/>
          <w:lang w:val="es-ES"/>
        </w:rPr>
        <w:t>8.</w:t>
      </w:r>
      <w:r w:rsidRPr="00686B43">
        <w:rPr>
          <w:b/>
          <w:szCs w:val="22"/>
          <w:lang w:val="es-ES"/>
        </w:rPr>
        <w:tab/>
        <w:t>FECHA DE CADUCIDAD</w:t>
      </w:r>
    </w:p>
    <w:p w14:paraId="20B5FC4F" w14:textId="77777777" w:rsidR="007D4B98" w:rsidRPr="00686B43" w:rsidRDefault="007D4B98" w:rsidP="007D4B98">
      <w:pPr>
        <w:rPr>
          <w:szCs w:val="22"/>
          <w:lang w:val="es-ES"/>
        </w:rPr>
      </w:pPr>
    </w:p>
    <w:p w14:paraId="009D14FB" w14:textId="2BE55E53" w:rsidR="007D4B98" w:rsidRPr="00686B43" w:rsidRDefault="003C0746" w:rsidP="007D4B98">
      <w:pPr>
        <w:rPr>
          <w:szCs w:val="22"/>
          <w:lang w:val="es-ES"/>
        </w:rPr>
      </w:pPr>
      <w:r>
        <w:rPr>
          <w:szCs w:val="22"/>
          <w:lang w:val="es-ES"/>
        </w:rPr>
        <w:t>EXP</w:t>
      </w:r>
    </w:p>
    <w:p w14:paraId="253A9017" w14:textId="77777777" w:rsidR="007D4B98" w:rsidRPr="00883E95" w:rsidRDefault="007D4B98" w:rsidP="007D4B98">
      <w:pPr>
        <w:rPr>
          <w:szCs w:val="22"/>
          <w:lang w:val="es-ES"/>
        </w:rPr>
      </w:pPr>
    </w:p>
    <w:p w14:paraId="52B690F5" w14:textId="77777777" w:rsidR="007D4B98" w:rsidRPr="00883E95" w:rsidRDefault="007D4B98" w:rsidP="007D4B98">
      <w:pPr>
        <w:rPr>
          <w:szCs w:val="22"/>
          <w:lang w:val="es-ES"/>
        </w:rPr>
      </w:pPr>
    </w:p>
    <w:p w14:paraId="40E3DABD" w14:textId="77777777" w:rsidR="007D4B98" w:rsidRPr="00883E95" w:rsidRDefault="007D4B98" w:rsidP="007D4B98">
      <w:pPr>
        <w:keepNext/>
        <w:keepLines/>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lastRenderedPageBreak/>
        <w:t>9.</w:t>
      </w:r>
      <w:r w:rsidRPr="00883E95">
        <w:rPr>
          <w:b/>
          <w:szCs w:val="22"/>
          <w:lang w:val="es-ES"/>
        </w:rPr>
        <w:tab/>
        <w:t>CONDICIONES ESPECIALES DE CONSERVACIÓN</w:t>
      </w:r>
    </w:p>
    <w:p w14:paraId="004B4AA6" w14:textId="77777777" w:rsidR="007D4B98" w:rsidRPr="00883E95" w:rsidRDefault="007D4B98" w:rsidP="007D4B98">
      <w:pPr>
        <w:keepNext/>
        <w:keepLines/>
        <w:ind w:left="567" w:hanging="567"/>
        <w:rPr>
          <w:szCs w:val="22"/>
          <w:lang w:val="es-ES"/>
        </w:rPr>
      </w:pPr>
    </w:p>
    <w:p w14:paraId="637B6871" w14:textId="77777777" w:rsidR="007D4B98" w:rsidRPr="00883E95" w:rsidRDefault="007D4B98" w:rsidP="007D4B98">
      <w:pPr>
        <w:keepNext/>
        <w:keepLines/>
        <w:rPr>
          <w:szCs w:val="22"/>
          <w:lang w:val="es-ES"/>
        </w:rPr>
      </w:pPr>
      <w:r w:rsidRPr="00883E95">
        <w:rPr>
          <w:szCs w:val="22"/>
          <w:lang w:val="es-ES"/>
        </w:rPr>
        <w:t xml:space="preserve">Conservar en nevera </w:t>
      </w:r>
    </w:p>
    <w:p w14:paraId="1062A25A" w14:textId="77777777" w:rsidR="00363FFA" w:rsidRDefault="007D4B98" w:rsidP="00363FFA">
      <w:pPr>
        <w:rPr>
          <w:szCs w:val="22"/>
          <w:lang w:val="es-ES"/>
        </w:rPr>
      </w:pPr>
      <w:r w:rsidRPr="00883E95">
        <w:rPr>
          <w:szCs w:val="22"/>
          <w:lang w:val="es-ES"/>
        </w:rPr>
        <w:t>No congelar</w:t>
      </w:r>
    </w:p>
    <w:p w14:paraId="32FB1CC1" w14:textId="77777777" w:rsidR="00352A37" w:rsidRPr="00883E95" w:rsidRDefault="00352A37" w:rsidP="007D4B98">
      <w:pPr>
        <w:rPr>
          <w:szCs w:val="22"/>
          <w:lang w:val="es-ES"/>
        </w:rPr>
      </w:pPr>
      <w:r w:rsidRPr="00363FFA">
        <w:rPr>
          <w:lang w:val="es-ES_tradnl"/>
        </w:rPr>
        <w:t xml:space="preserve">Una vez fuera de la nevera, </w:t>
      </w:r>
      <w:r w:rsidR="00004756">
        <w:rPr>
          <w:lang w:val="es-ES_tradnl"/>
        </w:rPr>
        <w:t>la jeringa</w:t>
      </w:r>
      <w:r>
        <w:rPr>
          <w:lang w:val="es-ES_tradnl"/>
        </w:rPr>
        <w:t xml:space="preserve"> precargada</w:t>
      </w:r>
      <w:r w:rsidRPr="00363FFA">
        <w:rPr>
          <w:lang w:val="es-ES_tradnl"/>
        </w:rPr>
        <w:t xml:space="preserve"> </w:t>
      </w:r>
      <w:r>
        <w:rPr>
          <w:lang w:val="es-ES_tradnl"/>
        </w:rPr>
        <w:t>se puede conservar hasta 2 semanas a una temperatura igual o inferior</w:t>
      </w:r>
      <w:r w:rsidRPr="00363FFA">
        <w:rPr>
          <w:lang w:val="es-ES_tradnl"/>
        </w:rPr>
        <w:t xml:space="preserve"> </w:t>
      </w:r>
      <w:r>
        <w:rPr>
          <w:lang w:val="es-ES_tradnl"/>
        </w:rPr>
        <w:t>a</w:t>
      </w:r>
      <w:r w:rsidR="00004756">
        <w:rPr>
          <w:lang w:val="es-ES_tradnl"/>
        </w:rPr>
        <w:t xml:space="preserve"> </w:t>
      </w:r>
      <w:r w:rsidRPr="00363FFA">
        <w:rPr>
          <w:lang w:val="es-ES_tradnl"/>
        </w:rPr>
        <w:t>30ºC</w:t>
      </w:r>
    </w:p>
    <w:p w14:paraId="668AEB95" w14:textId="77777777" w:rsidR="007D4B98" w:rsidRPr="00883E95" w:rsidRDefault="007D4B98" w:rsidP="007D4B98">
      <w:pPr>
        <w:rPr>
          <w:b/>
          <w:bCs/>
          <w:szCs w:val="22"/>
          <w:lang w:val="es-ES" w:eastAsia="zh-TW"/>
        </w:rPr>
      </w:pPr>
      <w:r w:rsidRPr="00883E95">
        <w:rPr>
          <w:szCs w:val="22"/>
          <w:lang w:val="es-ES"/>
        </w:rPr>
        <w:t>Conservar la jeringa preca</w:t>
      </w:r>
      <w:r w:rsidRPr="00415850">
        <w:rPr>
          <w:szCs w:val="22"/>
          <w:lang w:val="es-ES"/>
        </w:rPr>
        <w:t xml:space="preserve">rgada en el </w:t>
      </w:r>
      <w:r>
        <w:rPr>
          <w:szCs w:val="22"/>
          <w:lang w:val="es-ES"/>
        </w:rPr>
        <w:t>e</w:t>
      </w:r>
      <w:r w:rsidRPr="00883E95">
        <w:rPr>
          <w:szCs w:val="22"/>
          <w:lang w:val="es-ES"/>
        </w:rPr>
        <w:t>mbalaje exterior para proteger</w:t>
      </w:r>
      <w:r w:rsidR="00194A4E">
        <w:rPr>
          <w:szCs w:val="22"/>
          <w:lang w:val="es-ES"/>
        </w:rPr>
        <w:t>la</w:t>
      </w:r>
      <w:r w:rsidRPr="00883E95">
        <w:rPr>
          <w:szCs w:val="22"/>
          <w:lang w:val="es-ES"/>
        </w:rPr>
        <w:t xml:space="preserve"> de la luz y la humedad</w:t>
      </w:r>
    </w:p>
    <w:p w14:paraId="7A7C9A4D" w14:textId="77777777" w:rsidR="007D4B98" w:rsidRPr="00883E95" w:rsidRDefault="007D4B98" w:rsidP="007D4B98">
      <w:pPr>
        <w:ind w:left="567" w:hanging="567"/>
        <w:rPr>
          <w:szCs w:val="22"/>
          <w:lang w:val="es-ES"/>
        </w:rPr>
      </w:pPr>
    </w:p>
    <w:p w14:paraId="193880C0" w14:textId="77777777" w:rsidR="007D4B98" w:rsidRPr="00883E95" w:rsidRDefault="007D4B98" w:rsidP="007D4B98">
      <w:pPr>
        <w:ind w:left="567" w:hanging="567"/>
        <w:rPr>
          <w:szCs w:val="22"/>
          <w:lang w:val="es-ES"/>
        </w:rPr>
      </w:pPr>
    </w:p>
    <w:p w14:paraId="27AFF422"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883E95">
        <w:rPr>
          <w:b/>
          <w:szCs w:val="22"/>
          <w:lang w:val="es-ES"/>
        </w:rPr>
        <w:t>10.</w:t>
      </w:r>
      <w:r w:rsidRPr="00883E95">
        <w:rPr>
          <w:b/>
          <w:szCs w:val="22"/>
          <w:lang w:val="es-ES"/>
        </w:rPr>
        <w:tab/>
        <w:t>PRECAUCIONES ESPECIALES DE ELIMINACIÓN DEL MEDICAMENTO NO UTILIZADO Y DE LOS MATERIALES DERIVADOS DE SU USO</w:t>
      </w:r>
      <w:r w:rsidR="00996392">
        <w:rPr>
          <w:b/>
          <w:szCs w:val="22"/>
          <w:lang w:val="es-ES"/>
        </w:rPr>
        <w:t>,</w:t>
      </w:r>
      <w:r w:rsidR="00C25E5D">
        <w:rPr>
          <w:b/>
          <w:szCs w:val="22"/>
          <w:lang w:val="es-ES"/>
        </w:rPr>
        <w:t xml:space="preserve"> </w:t>
      </w:r>
      <w:r w:rsidRPr="00883E95">
        <w:rPr>
          <w:b/>
          <w:szCs w:val="22"/>
          <w:lang w:val="es-ES"/>
        </w:rPr>
        <w:t>CUANDO CORRESPONDA</w:t>
      </w:r>
    </w:p>
    <w:p w14:paraId="2435808A" w14:textId="77777777" w:rsidR="007D4B98" w:rsidRPr="00883E95" w:rsidRDefault="007D4B98" w:rsidP="007D4B98">
      <w:pPr>
        <w:rPr>
          <w:szCs w:val="22"/>
          <w:lang w:val="es-ES"/>
        </w:rPr>
      </w:pPr>
    </w:p>
    <w:p w14:paraId="3390ECD9" w14:textId="77777777" w:rsidR="007D4B98" w:rsidRPr="00883E95" w:rsidRDefault="007D4B98" w:rsidP="007D4B98">
      <w:pPr>
        <w:rPr>
          <w:szCs w:val="22"/>
          <w:lang w:val="es-ES"/>
        </w:rPr>
      </w:pPr>
    </w:p>
    <w:p w14:paraId="59DB1BF2"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883E95">
        <w:rPr>
          <w:b/>
          <w:szCs w:val="22"/>
          <w:lang w:val="es-ES"/>
        </w:rPr>
        <w:t>11.</w:t>
      </w:r>
      <w:r w:rsidRPr="00883E95">
        <w:rPr>
          <w:b/>
          <w:szCs w:val="22"/>
          <w:lang w:val="es-ES"/>
        </w:rPr>
        <w:tab/>
        <w:t>NOMBRE Y DIRECCI</w:t>
      </w:r>
      <w:r w:rsidRPr="00415850">
        <w:rPr>
          <w:b/>
          <w:szCs w:val="22"/>
          <w:lang w:val="es-ES"/>
        </w:rPr>
        <w:t>ÓN DEL TITULAR DE LA AUTORIZACI</w:t>
      </w:r>
      <w:r>
        <w:rPr>
          <w:b/>
          <w:szCs w:val="22"/>
          <w:lang w:val="es-ES"/>
        </w:rPr>
        <w:t>ÓN DE COMERCIALIZACIÓN</w:t>
      </w:r>
    </w:p>
    <w:p w14:paraId="45CBE7F5" w14:textId="77777777" w:rsidR="007D4B98" w:rsidRPr="00883E95" w:rsidRDefault="007D4B98" w:rsidP="007D4B98">
      <w:pPr>
        <w:rPr>
          <w:szCs w:val="22"/>
          <w:lang w:val="es-ES"/>
        </w:rPr>
      </w:pPr>
    </w:p>
    <w:p w14:paraId="3A8E8210" w14:textId="77777777" w:rsidR="00CC09AC" w:rsidRPr="00EF2448" w:rsidRDefault="00CC09AC" w:rsidP="00CC09AC">
      <w:pPr>
        <w:rPr>
          <w:noProof/>
          <w:lang w:val="de-DE"/>
        </w:rPr>
      </w:pPr>
      <w:r w:rsidRPr="00EF2448">
        <w:rPr>
          <w:noProof/>
          <w:lang w:val="de-DE"/>
        </w:rPr>
        <w:t xml:space="preserve">Roche Registration GmbH </w:t>
      </w:r>
    </w:p>
    <w:p w14:paraId="08207469" w14:textId="77777777" w:rsidR="00CC09AC" w:rsidRPr="00EF2448" w:rsidRDefault="00CC09AC" w:rsidP="00CC09AC">
      <w:pPr>
        <w:rPr>
          <w:noProof/>
          <w:lang w:val="de-DE"/>
        </w:rPr>
      </w:pPr>
      <w:r w:rsidRPr="00EF2448">
        <w:rPr>
          <w:noProof/>
          <w:lang w:val="de-DE"/>
        </w:rPr>
        <w:t>Emil-Barell-Strasse 1</w:t>
      </w:r>
    </w:p>
    <w:p w14:paraId="601E9664" w14:textId="77777777" w:rsidR="00CC09AC" w:rsidRPr="00F30AB8" w:rsidRDefault="00CC09AC" w:rsidP="00CC09AC">
      <w:pPr>
        <w:rPr>
          <w:noProof/>
          <w:lang w:val="pt-PT"/>
        </w:rPr>
      </w:pPr>
      <w:r w:rsidRPr="00F30AB8">
        <w:rPr>
          <w:noProof/>
          <w:lang w:val="pt-PT"/>
        </w:rPr>
        <w:t>79639 Grenzach-Wyhlen</w:t>
      </w:r>
    </w:p>
    <w:p w14:paraId="107C67A7" w14:textId="77777777" w:rsidR="007D4B98" w:rsidRPr="006868F5" w:rsidRDefault="00CC09AC" w:rsidP="007D4B98">
      <w:pPr>
        <w:rPr>
          <w:szCs w:val="22"/>
          <w:lang w:val="es-ES"/>
        </w:rPr>
      </w:pPr>
      <w:r w:rsidRPr="00EF2448">
        <w:rPr>
          <w:noProof/>
          <w:lang w:val="es-ES"/>
        </w:rPr>
        <w:t>Alemania</w:t>
      </w:r>
    </w:p>
    <w:p w14:paraId="0FA125AC" w14:textId="77777777" w:rsidR="007D4B98" w:rsidRDefault="007D4B98" w:rsidP="007D4B98">
      <w:pPr>
        <w:rPr>
          <w:szCs w:val="22"/>
          <w:lang w:val="es-ES"/>
        </w:rPr>
      </w:pPr>
    </w:p>
    <w:p w14:paraId="342EED36" w14:textId="77777777" w:rsidR="00E92D5F" w:rsidRPr="006868F5" w:rsidRDefault="00E92D5F" w:rsidP="007D4B98">
      <w:pPr>
        <w:rPr>
          <w:szCs w:val="22"/>
          <w:lang w:val="es-ES"/>
        </w:rPr>
      </w:pPr>
    </w:p>
    <w:p w14:paraId="074EED2A"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12.</w:t>
      </w:r>
      <w:r w:rsidRPr="00883E95">
        <w:rPr>
          <w:b/>
          <w:szCs w:val="22"/>
          <w:lang w:val="es-ES"/>
        </w:rPr>
        <w:tab/>
        <w:t xml:space="preserve">NÚMERO(S) DE AUTORIZACIÓN DE COMERCIALIZACIÓN </w:t>
      </w:r>
    </w:p>
    <w:p w14:paraId="79ED0EBD" w14:textId="77777777" w:rsidR="007D4B98" w:rsidRPr="00883E95" w:rsidRDefault="007D4B98" w:rsidP="007D4B98">
      <w:pPr>
        <w:rPr>
          <w:szCs w:val="22"/>
          <w:lang w:val="es-ES"/>
        </w:rPr>
      </w:pPr>
    </w:p>
    <w:p w14:paraId="165B687E" w14:textId="77777777" w:rsidR="007D4B98" w:rsidRPr="00686B43" w:rsidRDefault="008A3FDA" w:rsidP="007D4B98">
      <w:pPr>
        <w:rPr>
          <w:szCs w:val="22"/>
          <w:lang w:val="es-ES"/>
        </w:rPr>
      </w:pPr>
      <w:r w:rsidRPr="002640D8">
        <w:rPr>
          <w:szCs w:val="22"/>
          <w:lang w:val="es-ES"/>
        </w:rPr>
        <w:t>EU/1/08/492/00</w:t>
      </w:r>
      <w:r w:rsidR="002014A7" w:rsidRPr="00F31128">
        <w:rPr>
          <w:szCs w:val="22"/>
          <w:lang w:val="es-ES"/>
        </w:rPr>
        <w:t>8</w:t>
      </w:r>
    </w:p>
    <w:p w14:paraId="4BC458C1" w14:textId="77777777" w:rsidR="007D4B98" w:rsidRPr="00686B43" w:rsidRDefault="007D4B98" w:rsidP="007D4B98">
      <w:pPr>
        <w:rPr>
          <w:szCs w:val="22"/>
          <w:lang w:val="es-ES"/>
        </w:rPr>
      </w:pPr>
    </w:p>
    <w:p w14:paraId="468DB9AE" w14:textId="77777777" w:rsidR="007D4B98" w:rsidRPr="00686B43" w:rsidRDefault="007D4B98" w:rsidP="007D4B98">
      <w:pPr>
        <w:rPr>
          <w:szCs w:val="22"/>
          <w:lang w:val="es-ES"/>
        </w:rPr>
      </w:pPr>
    </w:p>
    <w:p w14:paraId="461932AF"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13.</w:t>
      </w:r>
      <w:r w:rsidRPr="00883E95">
        <w:rPr>
          <w:b/>
          <w:szCs w:val="22"/>
          <w:lang w:val="es-ES"/>
        </w:rPr>
        <w:tab/>
        <w:t>NÚMERO DE LOTE</w:t>
      </w:r>
    </w:p>
    <w:p w14:paraId="4FBA41AF" w14:textId="77777777" w:rsidR="007D4B98" w:rsidRPr="00883E95" w:rsidRDefault="007D4B98" w:rsidP="007D4B98">
      <w:pPr>
        <w:rPr>
          <w:szCs w:val="22"/>
          <w:lang w:val="es-ES"/>
        </w:rPr>
      </w:pPr>
    </w:p>
    <w:p w14:paraId="3776B5CF" w14:textId="19605FE2" w:rsidR="007D4B98" w:rsidRPr="00883E95" w:rsidRDefault="007D4B98" w:rsidP="007D4B98">
      <w:pPr>
        <w:rPr>
          <w:szCs w:val="22"/>
          <w:lang w:val="es-ES"/>
        </w:rPr>
      </w:pPr>
      <w:r w:rsidRPr="00883E95">
        <w:rPr>
          <w:szCs w:val="22"/>
          <w:lang w:val="es-ES"/>
        </w:rPr>
        <w:t>Lot</w:t>
      </w:r>
    </w:p>
    <w:p w14:paraId="60299ADE" w14:textId="77777777" w:rsidR="007D4B98" w:rsidRPr="00883E95" w:rsidRDefault="007D4B98" w:rsidP="007D4B98">
      <w:pPr>
        <w:rPr>
          <w:szCs w:val="22"/>
          <w:lang w:val="es-ES"/>
        </w:rPr>
      </w:pPr>
    </w:p>
    <w:p w14:paraId="37271A3B" w14:textId="77777777" w:rsidR="007D4B98" w:rsidRPr="00883E95" w:rsidRDefault="007D4B98" w:rsidP="007D4B98">
      <w:pPr>
        <w:rPr>
          <w:szCs w:val="22"/>
          <w:lang w:val="es-ES"/>
        </w:rPr>
      </w:pPr>
    </w:p>
    <w:p w14:paraId="72260C44"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14.</w:t>
      </w:r>
      <w:r w:rsidRPr="00883E95">
        <w:rPr>
          <w:b/>
          <w:szCs w:val="22"/>
          <w:lang w:val="es-ES"/>
        </w:rPr>
        <w:tab/>
        <w:t>CONDICIONES GENERALES DE DISPENSACI</w:t>
      </w:r>
      <w:r>
        <w:rPr>
          <w:b/>
          <w:szCs w:val="22"/>
          <w:lang w:val="es-ES"/>
        </w:rPr>
        <w:t>ÓN</w:t>
      </w:r>
    </w:p>
    <w:p w14:paraId="38B18DCE" w14:textId="77777777" w:rsidR="007D4B98" w:rsidRPr="00883E95" w:rsidRDefault="007D4B98" w:rsidP="007D4B98">
      <w:pPr>
        <w:rPr>
          <w:szCs w:val="22"/>
          <w:lang w:val="es-ES"/>
        </w:rPr>
      </w:pPr>
    </w:p>
    <w:p w14:paraId="0E99F07B" w14:textId="77777777" w:rsidR="007D4B98" w:rsidRPr="00883E95" w:rsidRDefault="007D4B98" w:rsidP="007D4B98">
      <w:pPr>
        <w:rPr>
          <w:szCs w:val="22"/>
          <w:lang w:val="es-ES"/>
        </w:rPr>
      </w:pPr>
    </w:p>
    <w:p w14:paraId="42AB4D97" w14:textId="77777777" w:rsidR="007D4B98" w:rsidRPr="00883E9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15.</w:t>
      </w:r>
      <w:r w:rsidRPr="00883E95">
        <w:rPr>
          <w:b/>
          <w:szCs w:val="22"/>
          <w:lang w:val="es-ES"/>
        </w:rPr>
        <w:tab/>
        <w:t>INSTRUCCIONES DE USO</w:t>
      </w:r>
    </w:p>
    <w:p w14:paraId="40CC6875" w14:textId="77777777" w:rsidR="007D4B98" w:rsidRPr="00883E95" w:rsidRDefault="007D4B98" w:rsidP="007D4B98">
      <w:pPr>
        <w:rPr>
          <w:szCs w:val="22"/>
          <w:lang w:val="es-ES"/>
        </w:rPr>
      </w:pPr>
    </w:p>
    <w:p w14:paraId="7CD018BB" w14:textId="77777777" w:rsidR="007D4B98" w:rsidRPr="00883E95" w:rsidRDefault="007D4B98" w:rsidP="007D4B98">
      <w:pPr>
        <w:rPr>
          <w:szCs w:val="22"/>
          <w:lang w:val="es-ES"/>
        </w:rPr>
      </w:pPr>
    </w:p>
    <w:p w14:paraId="5651C208" w14:textId="77777777" w:rsidR="007D4B98" w:rsidRPr="006868F5" w:rsidRDefault="007D4B98" w:rsidP="007D4B98">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6868F5">
        <w:rPr>
          <w:b/>
          <w:szCs w:val="22"/>
          <w:lang w:val="es-ES"/>
        </w:rPr>
        <w:t>16.</w:t>
      </w:r>
      <w:r w:rsidRPr="006868F5">
        <w:rPr>
          <w:b/>
          <w:szCs w:val="22"/>
          <w:lang w:val="es-ES"/>
        </w:rPr>
        <w:tab/>
        <w:t>INFORMACIÓN EN BRAILLE</w:t>
      </w:r>
    </w:p>
    <w:p w14:paraId="198D8FBD" w14:textId="77777777" w:rsidR="007D4B98" w:rsidRPr="006868F5" w:rsidRDefault="007D4B98" w:rsidP="007D4B98">
      <w:pPr>
        <w:rPr>
          <w:szCs w:val="22"/>
          <w:lang w:val="es-ES"/>
        </w:rPr>
      </w:pPr>
    </w:p>
    <w:p w14:paraId="66D00F8A" w14:textId="77777777" w:rsidR="007D4B98" w:rsidRPr="00F30AB8" w:rsidRDefault="007D4B98" w:rsidP="007D4B98">
      <w:pPr>
        <w:rPr>
          <w:szCs w:val="22"/>
          <w:lang w:val="de-DE"/>
        </w:rPr>
      </w:pPr>
      <w:r w:rsidRPr="00F30AB8">
        <w:rPr>
          <w:szCs w:val="22"/>
          <w:lang w:val="de-DE"/>
        </w:rPr>
        <w:t>roactemra 162 mg</w:t>
      </w:r>
      <w:r w:rsidR="003C0746" w:rsidRPr="00F30AB8">
        <w:rPr>
          <w:szCs w:val="22"/>
          <w:lang w:val="de-DE"/>
        </w:rPr>
        <w:t xml:space="preserve"> jeringa</w:t>
      </w:r>
      <w:del w:id="2278" w:author="AUTHOR">
        <w:r w:rsidR="006E6E69" w:rsidRPr="00F30AB8" w:rsidDel="00541248">
          <w:rPr>
            <w:szCs w:val="22"/>
            <w:lang w:val="de-DE"/>
          </w:rPr>
          <w:delText>.</w:delText>
        </w:r>
      </w:del>
    </w:p>
    <w:p w14:paraId="56F0FEB8" w14:textId="77777777" w:rsidR="00667E4F" w:rsidRPr="00F30AB8" w:rsidRDefault="00667E4F" w:rsidP="007D4B98">
      <w:pPr>
        <w:rPr>
          <w:szCs w:val="22"/>
          <w:lang w:val="de-DE"/>
        </w:rPr>
      </w:pPr>
    </w:p>
    <w:p w14:paraId="7668ADA9" w14:textId="77777777" w:rsidR="00667E4F" w:rsidRPr="00F30AB8" w:rsidRDefault="00667E4F" w:rsidP="00667E4F">
      <w:pPr>
        <w:ind w:left="567" w:hanging="567"/>
        <w:rPr>
          <w:lang w:val="de-DE"/>
        </w:rPr>
      </w:pPr>
    </w:p>
    <w:p w14:paraId="28DB1DEA" w14:textId="77777777" w:rsidR="00667E4F" w:rsidRPr="00EF2448" w:rsidRDefault="009B5C8E" w:rsidP="009B5C8E">
      <w:pPr>
        <w:pBdr>
          <w:top w:val="single" w:sz="4" w:space="1" w:color="auto"/>
          <w:left w:val="single" w:sz="4" w:space="4" w:color="auto"/>
          <w:bottom w:val="single" w:sz="4" w:space="1" w:color="auto"/>
          <w:right w:val="single" w:sz="4" w:space="4" w:color="auto"/>
        </w:pBdr>
        <w:ind w:left="567" w:hanging="567"/>
        <w:outlineLvl w:val="0"/>
        <w:rPr>
          <w:i/>
          <w:noProof/>
          <w:lang w:val="pt-BR" w:eastAsia="es-ES" w:bidi="es-ES"/>
        </w:rPr>
      </w:pPr>
      <w:r w:rsidRPr="00EF2448">
        <w:rPr>
          <w:b/>
          <w:noProof/>
          <w:lang w:val="pt-BR" w:eastAsia="es-ES" w:bidi="es-ES"/>
        </w:rPr>
        <w:t>17.</w:t>
      </w:r>
      <w:r w:rsidRPr="00EF2448">
        <w:rPr>
          <w:b/>
          <w:noProof/>
          <w:lang w:val="pt-BR" w:eastAsia="es-ES" w:bidi="es-ES"/>
        </w:rPr>
        <w:tab/>
      </w:r>
      <w:r w:rsidR="00667E4F" w:rsidRPr="00EF2448">
        <w:rPr>
          <w:b/>
          <w:noProof/>
          <w:lang w:val="pt-BR" w:eastAsia="es-ES" w:bidi="es-ES"/>
        </w:rPr>
        <w:t>IDENTIFICADOR ÚNICO - CÓDIGO DE BARRAS 2D</w:t>
      </w:r>
    </w:p>
    <w:p w14:paraId="791754AC" w14:textId="77777777" w:rsidR="00667E4F" w:rsidRPr="00EF2448" w:rsidRDefault="00667E4F" w:rsidP="00667E4F">
      <w:pPr>
        <w:ind w:left="567" w:hanging="567"/>
        <w:rPr>
          <w:lang w:val="pt-BR"/>
        </w:rPr>
      </w:pPr>
    </w:p>
    <w:p w14:paraId="5202723A" w14:textId="77777777" w:rsidR="00667E4F" w:rsidRDefault="00667E4F" w:rsidP="00667E4F">
      <w:pPr>
        <w:ind w:left="567" w:hanging="567"/>
        <w:rPr>
          <w:lang w:val="es-ES"/>
        </w:rPr>
      </w:pPr>
    </w:p>
    <w:p w14:paraId="42E50C23" w14:textId="77777777" w:rsidR="00667E4F" w:rsidRPr="00F54706" w:rsidRDefault="00F54706" w:rsidP="00003865">
      <w:pPr>
        <w:keepNext/>
        <w:keepLines/>
        <w:pBdr>
          <w:top w:val="single" w:sz="4" w:space="1" w:color="auto"/>
          <w:left w:val="single" w:sz="4" w:space="4" w:color="auto"/>
          <w:bottom w:val="single" w:sz="4" w:space="1" w:color="auto"/>
          <w:right w:val="single" w:sz="4" w:space="4" w:color="auto"/>
        </w:pBdr>
        <w:ind w:left="567" w:hanging="567"/>
        <w:outlineLvl w:val="0"/>
        <w:rPr>
          <w:b/>
          <w:noProof/>
          <w:lang w:val="es-ES" w:eastAsia="es-ES" w:bidi="es-ES"/>
        </w:rPr>
      </w:pPr>
      <w:r w:rsidRPr="00F54706">
        <w:rPr>
          <w:b/>
          <w:noProof/>
          <w:lang w:val="es-ES" w:eastAsia="es-ES" w:bidi="es-ES"/>
        </w:rPr>
        <w:t>18.</w:t>
      </w:r>
      <w:r w:rsidRPr="00F54706">
        <w:rPr>
          <w:b/>
          <w:noProof/>
          <w:lang w:val="es-ES" w:eastAsia="es-ES" w:bidi="es-ES"/>
        </w:rPr>
        <w:tab/>
      </w:r>
      <w:r w:rsidR="00667E4F" w:rsidRPr="00F54706">
        <w:rPr>
          <w:b/>
          <w:noProof/>
          <w:lang w:val="es-ES" w:eastAsia="es-ES" w:bidi="es-ES"/>
        </w:rPr>
        <w:t>IDENTIFICADOR ÚNICO - INFORMACIÓN EN CARACTERES VISUALES</w:t>
      </w:r>
    </w:p>
    <w:p w14:paraId="4C2ECC4F" w14:textId="62CA0EBB" w:rsidR="003534D8" w:rsidRPr="00F30AB8" w:rsidRDefault="003534D8" w:rsidP="00957972">
      <w:pPr>
        <w:keepNext/>
        <w:keepLines/>
        <w:rPr>
          <w:b/>
          <w:caps/>
          <w:lang w:val="es-ES"/>
        </w:rPr>
      </w:pPr>
    </w:p>
    <w:p w14:paraId="3A60D1B5" w14:textId="77777777" w:rsidR="003534D8" w:rsidRPr="008A106B" w:rsidRDefault="003534D8" w:rsidP="003534D8">
      <w:pPr>
        <w:rPr>
          <w:b/>
          <w:lang w:val="es-ES"/>
        </w:rPr>
      </w:pPr>
      <w:r w:rsidRPr="00F30AB8">
        <w:rPr>
          <w:b/>
          <w:caps/>
          <w:lang w:val="es-ES"/>
        </w:rPr>
        <w:br w:type="page"/>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534D8" w:rsidRPr="00541248" w14:paraId="4B40DDD2" w14:textId="77777777" w:rsidTr="00146716">
        <w:trPr>
          <w:trHeight w:val="1070"/>
        </w:trPr>
        <w:tc>
          <w:tcPr>
            <w:tcW w:w="9620" w:type="dxa"/>
            <w:tcBorders>
              <w:bottom w:val="single" w:sz="4" w:space="0" w:color="auto"/>
            </w:tcBorders>
          </w:tcPr>
          <w:p w14:paraId="2F59F2E2" w14:textId="77777777" w:rsidR="003534D8" w:rsidRPr="005A5612" w:rsidRDefault="003534D8" w:rsidP="00146716">
            <w:pPr>
              <w:rPr>
                <w:b/>
                <w:lang w:val="es-ES"/>
              </w:rPr>
            </w:pPr>
            <w:r w:rsidRPr="005A5612">
              <w:rPr>
                <w:b/>
                <w:lang w:val="es-ES"/>
              </w:rPr>
              <w:lastRenderedPageBreak/>
              <w:t>INFORMACIÓN MÍNIMA QUE DEBE INCLUIRSE EN PEQUEÑOS ACONDICIONAMIENTOS PRIMARIOS</w:t>
            </w:r>
          </w:p>
          <w:p w14:paraId="28C791AF" w14:textId="77777777" w:rsidR="003534D8" w:rsidRPr="005A5612" w:rsidRDefault="003534D8" w:rsidP="00146716">
            <w:pPr>
              <w:rPr>
                <w:b/>
                <w:lang w:val="es-ES"/>
              </w:rPr>
            </w:pPr>
          </w:p>
          <w:p w14:paraId="0B2CA84A" w14:textId="77777777" w:rsidR="003534D8" w:rsidRPr="005A5612" w:rsidRDefault="003534D8" w:rsidP="00146716">
            <w:pPr>
              <w:rPr>
                <w:b/>
                <w:lang w:val="es-ES"/>
              </w:rPr>
            </w:pPr>
            <w:r w:rsidRPr="005A5612">
              <w:rPr>
                <w:b/>
                <w:lang w:val="es-ES"/>
              </w:rPr>
              <w:t>ETIQUETA DE LA JERINGA PRECARGADA</w:t>
            </w:r>
          </w:p>
        </w:tc>
      </w:tr>
    </w:tbl>
    <w:p w14:paraId="128AB14F" w14:textId="77777777" w:rsidR="003534D8" w:rsidRPr="008A106B" w:rsidRDefault="003534D8" w:rsidP="003534D8">
      <w:pPr>
        <w:rPr>
          <w:lang w:val="es-ES"/>
        </w:rPr>
      </w:pPr>
    </w:p>
    <w:p w14:paraId="6DC0EC61" w14:textId="77777777" w:rsidR="003534D8" w:rsidRPr="008A106B" w:rsidRDefault="003534D8" w:rsidP="003534D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534D8" w:rsidRPr="00541248" w14:paraId="3483C757" w14:textId="77777777" w:rsidTr="00146716">
        <w:tc>
          <w:tcPr>
            <w:tcW w:w="9620" w:type="dxa"/>
          </w:tcPr>
          <w:p w14:paraId="1D39266C" w14:textId="77777777" w:rsidR="003534D8" w:rsidRPr="005A5612" w:rsidRDefault="003534D8" w:rsidP="00146716">
            <w:pPr>
              <w:ind w:left="567" w:hanging="567"/>
              <w:rPr>
                <w:b/>
                <w:lang w:val="es-ES"/>
              </w:rPr>
            </w:pPr>
            <w:r w:rsidRPr="005A5612">
              <w:rPr>
                <w:b/>
                <w:lang w:val="es-ES"/>
              </w:rPr>
              <w:t>1.</w:t>
            </w:r>
            <w:r w:rsidRPr="005A5612">
              <w:rPr>
                <w:b/>
                <w:lang w:val="es-ES"/>
              </w:rPr>
              <w:tab/>
            </w:r>
            <w:r w:rsidRPr="005A5612">
              <w:rPr>
                <w:b/>
                <w:noProof/>
                <w:lang w:val="es-ES"/>
              </w:rPr>
              <w:t>NOMBRE DEL MEDICAMENTO Y VÍA(S) DE ADMINISTRACIÓN</w:t>
            </w:r>
          </w:p>
        </w:tc>
      </w:tr>
    </w:tbl>
    <w:p w14:paraId="3E8320BC" w14:textId="77777777" w:rsidR="003534D8" w:rsidRPr="008A106B" w:rsidRDefault="003534D8" w:rsidP="003534D8">
      <w:pPr>
        <w:ind w:left="567" w:hanging="567"/>
        <w:rPr>
          <w:lang w:val="es-ES"/>
        </w:rPr>
      </w:pPr>
    </w:p>
    <w:p w14:paraId="478B94C1" w14:textId="77777777" w:rsidR="003534D8" w:rsidRPr="006616E4" w:rsidRDefault="003534D8" w:rsidP="003534D8">
      <w:pPr>
        <w:rPr>
          <w:szCs w:val="22"/>
          <w:lang w:val="en-GB"/>
        </w:rPr>
      </w:pPr>
      <w:r w:rsidRPr="006616E4">
        <w:rPr>
          <w:szCs w:val="22"/>
          <w:lang w:val="en-GB"/>
        </w:rPr>
        <w:t>RoActemra 162 mg inyectable</w:t>
      </w:r>
    </w:p>
    <w:p w14:paraId="50D67C64" w14:textId="77777777" w:rsidR="003534D8" w:rsidRPr="006616E4" w:rsidRDefault="003534D8" w:rsidP="003534D8">
      <w:pPr>
        <w:rPr>
          <w:szCs w:val="22"/>
          <w:lang w:val="en-GB"/>
        </w:rPr>
      </w:pPr>
      <w:proofErr w:type="gramStart"/>
      <w:r>
        <w:rPr>
          <w:szCs w:val="22"/>
          <w:lang w:val="en-GB"/>
        </w:rPr>
        <w:t>t</w:t>
      </w:r>
      <w:r w:rsidRPr="006616E4">
        <w:rPr>
          <w:szCs w:val="22"/>
          <w:lang w:val="en-GB"/>
        </w:rPr>
        <w:t>ocilizumab</w:t>
      </w:r>
      <w:proofErr w:type="gramEnd"/>
    </w:p>
    <w:p w14:paraId="4F6EDEB8" w14:textId="77777777" w:rsidR="003534D8" w:rsidRPr="008A106B" w:rsidRDefault="003534D8" w:rsidP="003534D8">
      <w:pPr>
        <w:rPr>
          <w:lang w:val="es-ES"/>
        </w:rPr>
      </w:pPr>
      <w:r>
        <w:rPr>
          <w:lang w:val="es-ES"/>
        </w:rPr>
        <w:t>SC</w:t>
      </w:r>
    </w:p>
    <w:p w14:paraId="6B63233D" w14:textId="77777777" w:rsidR="003534D8" w:rsidRPr="008A106B" w:rsidRDefault="003534D8" w:rsidP="003534D8">
      <w:pPr>
        <w:rPr>
          <w:lang w:val="es-ES"/>
        </w:rPr>
      </w:pPr>
    </w:p>
    <w:p w14:paraId="554BD8AA" w14:textId="77777777" w:rsidR="003534D8" w:rsidRPr="008A106B" w:rsidRDefault="003534D8" w:rsidP="003534D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534D8" w:rsidRPr="005A5612" w14:paraId="48D66DB3" w14:textId="77777777" w:rsidTr="00146716">
        <w:tc>
          <w:tcPr>
            <w:tcW w:w="9620" w:type="dxa"/>
          </w:tcPr>
          <w:p w14:paraId="59C3D530" w14:textId="77777777" w:rsidR="003534D8" w:rsidRPr="005A5612" w:rsidRDefault="003534D8" w:rsidP="00146716">
            <w:pPr>
              <w:ind w:left="567" w:hanging="567"/>
              <w:rPr>
                <w:b/>
                <w:lang w:val="es-ES"/>
              </w:rPr>
            </w:pPr>
            <w:r w:rsidRPr="005A5612">
              <w:rPr>
                <w:b/>
                <w:lang w:val="es-ES"/>
              </w:rPr>
              <w:t>2.</w:t>
            </w:r>
            <w:r w:rsidRPr="005A5612">
              <w:rPr>
                <w:b/>
                <w:lang w:val="es-ES"/>
              </w:rPr>
              <w:tab/>
              <w:t>FORMA DE ADMINISTRACIÓN</w:t>
            </w:r>
          </w:p>
        </w:tc>
      </w:tr>
    </w:tbl>
    <w:p w14:paraId="653B4F01" w14:textId="77777777" w:rsidR="003534D8" w:rsidRPr="008A106B" w:rsidRDefault="003534D8" w:rsidP="003534D8">
      <w:pPr>
        <w:rPr>
          <w:lang w:val="es-ES"/>
        </w:rPr>
      </w:pPr>
    </w:p>
    <w:p w14:paraId="2F52D78B" w14:textId="77777777" w:rsidR="003534D8" w:rsidRPr="008A106B" w:rsidRDefault="003534D8" w:rsidP="003534D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534D8" w:rsidRPr="005A5612" w14:paraId="2F4341AD" w14:textId="77777777" w:rsidTr="00146716">
        <w:tc>
          <w:tcPr>
            <w:tcW w:w="9620" w:type="dxa"/>
          </w:tcPr>
          <w:p w14:paraId="1823C4D8" w14:textId="77777777" w:rsidR="003534D8" w:rsidRPr="005A5612" w:rsidRDefault="003534D8" w:rsidP="00146716">
            <w:pPr>
              <w:ind w:left="567" w:hanging="567"/>
              <w:rPr>
                <w:b/>
                <w:lang w:val="es-ES"/>
              </w:rPr>
            </w:pPr>
            <w:r w:rsidRPr="005A5612">
              <w:rPr>
                <w:b/>
                <w:lang w:val="es-ES"/>
              </w:rPr>
              <w:t>3.</w:t>
            </w:r>
            <w:r w:rsidRPr="005A5612">
              <w:rPr>
                <w:b/>
                <w:lang w:val="es-ES"/>
              </w:rPr>
              <w:tab/>
              <w:t>FECHA DE CADUCIDAD</w:t>
            </w:r>
          </w:p>
        </w:tc>
      </w:tr>
    </w:tbl>
    <w:p w14:paraId="423B4DF5" w14:textId="77777777" w:rsidR="003534D8" w:rsidRPr="008A106B" w:rsidRDefault="003534D8" w:rsidP="003534D8">
      <w:pPr>
        <w:rPr>
          <w:lang w:val="es-ES"/>
        </w:rPr>
      </w:pPr>
    </w:p>
    <w:p w14:paraId="782A8E1C" w14:textId="77777777" w:rsidR="003534D8" w:rsidRPr="008A106B" w:rsidRDefault="003534D8" w:rsidP="003534D8">
      <w:pPr>
        <w:rPr>
          <w:lang w:val="es-ES"/>
        </w:rPr>
      </w:pPr>
      <w:r>
        <w:rPr>
          <w:lang w:val="es-ES"/>
        </w:rPr>
        <w:t>EXP</w:t>
      </w:r>
    </w:p>
    <w:p w14:paraId="139ACDC6" w14:textId="77777777" w:rsidR="003534D8" w:rsidRPr="008A106B" w:rsidRDefault="003534D8" w:rsidP="003534D8">
      <w:pPr>
        <w:rPr>
          <w:lang w:val="es-ES"/>
        </w:rPr>
      </w:pPr>
    </w:p>
    <w:p w14:paraId="34D4D350" w14:textId="77777777" w:rsidR="003534D8" w:rsidRPr="008A106B" w:rsidRDefault="003534D8" w:rsidP="003534D8">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534D8" w:rsidRPr="005A5612" w14:paraId="279B1DF8" w14:textId="77777777" w:rsidTr="00146716">
        <w:tc>
          <w:tcPr>
            <w:tcW w:w="9620" w:type="dxa"/>
          </w:tcPr>
          <w:p w14:paraId="63BB683F" w14:textId="77777777" w:rsidR="003534D8" w:rsidRPr="005A5612" w:rsidRDefault="003534D8" w:rsidP="00146716">
            <w:pPr>
              <w:ind w:left="567" w:hanging="567"/>
              <w:rPr>
                <w:b/>
                <w:lang w:val="es-ES"/>
              </w:rPr>
            </w:pPr>
            <w:r w:rsidRPr="005A5612">
              <w:rPr>
                <w:b/>
                <w:lang w:val="es-ES"/>
              </w:rPr>
              <w:t>4.</w:t>
            </w:r>
            <w:r w:rsidRPr="005A5612">
              <w:rPr>
                <w:b/>
                <w:lang w:val="es-ES"/>
              </w:rPr>
              <w:tab/>
              <w:t>NÚMERO DE LOTE</w:t>
            </w:r>
          </w:p>
        </w:tc>
      </w:tr>
    </w:tbl>
    <w:p w14:paraId="04D967D9" w14:textId="77777777" w:rsidR="003534D8" w:rsidRPr="008A106B" w:rsidRDefault="003534D8" w:rsidP="003534D8">
      <w:pPr>
        <w:rPr>
          <w:lang w:val="es-ES"/>
        </w:rPr>
      </w:pPr>
    </w:p>
    <w:p w14:paraId="23719E84" w14:textId="77777777" w:rsidR="003534D8" w:rsidRPr="008A106B" w:rsidRDefault="003534D8" w:rsidP="003534D8">
      <w:pPr>
        <w:rPr>
          <w:lang w:val="es-ES"/>
        </w:rPr>
      </w:pPr>
      <w:r w:rsidRPr="008A106B">
        <w:rPr>
          <w:lang w:val="es-ES"/>
        </w:rPr>
        <w:t>Lot</w:t>
      </w:r>
    </w:p>
    <w:p w14:paraId="58DAE7A6" w14:textId="77777777" w:rsidR="003534D8" w:rsidRPr="008A106B" w:rsidRDefault="003534D8" w:rsidP="003534D8">
      <w:pPr>
        <w:rPr>
          <w:lang w:val="es-ES"/>
        </w:rPr>
      </w:pPr>
    </w:p>
    <w:p w14:paraId="60F59FE6" w14:textId="77777777" w:rsidR="003534D8" w:rsidRPr="008A106B" w:rsidRDefault="003534D8" w:rsidP="003534D8">
      <w:pPr>
        <w:ind w:right="113"/>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3534D8" w:rsidRPr="00541248" w14:paraId="19F99395" w14:textId="77777777" w:rsidTr="00146716">
        <w:tc>
          <w:tcPr>
            <w:tcW w:w="9620" w:type="dxa"/>
          </w:tcPr>
          <w:p w14:paraId="4A04172A" w14:textId="77777777" w:rsidR="003534D8" w:rsidRPr="005A5612" w:rsidRDefault="003534D8" w:rsidP="00146716">
            <w:pPr>
              <w:ind w:left="567" w:hanging="567"/>
              <w:rPr>
                <w:b/>
                <w:lang w:val="es-ES"/>
              </w:rPr>
            </w:pPr>
            <w:r w:rsidRPr="005A5612">
              <w:rPr>
                <w:b/>
                <w:lang w:val="es-ES"/>
              </w:rPr>
              <w:t>5.</w:t>
            </w:r>
            <w:r w:rsidRPr="005A5612">
              <w:rPr>
                <w:b/>
                <w:lang w:val="es-ES"/>
              </w:rPr>
              <w:tab/>
            </w:r>
            <w:r w:rsidRPr="005A5612">
              <w:rPr>
                <w:b/>
                <w:noProof/>
                <w:lang w:val="es-ES"/>
              </w:rPr>
              <w:t>CONTENIDO EN PESO, EN VOLUMEN O EN UNIDADES</w:t>
            </w:r>
          </w:p>
        </w:tc>
      </w:tr>
    </w:tbl>
    <w:p w14:paraId="169F6F22" w14:textId="77777777" w:rsidR="003534D8" w:rsidRPr="008A106B" w:rsidRDefault="003534D8" w:rsidP="003534D8">
      <w:pPr>
        <w:rPr>
          <w:lang w:val="es-ES"/>
        </w:rPr>
      </w:pPr>
    </w:p>
    <w:p w14:paraId="7D772112" w14:textId="77777777" w:rsidR="003534D8" w:rsidRPr="008A106B" w:rsidRDefault="003534D8" w:rsidP="003534D8">
      <w:pPr>
        <w:rPr>
          <w:lang w:val="es-ES"/>
        </w:rPr>
      </w:pPr>
      <w:r>
        <w:rPr>
          <w:lang w:val="es-ES"/>
        </w:rPr>
        <w:t>162</w:t>
      </w:r>
      <w:r w:rsidR="007D3D9F">
        <w:rPr>
          <w:szCs w:val="22"/>
          <w:lang w:val="en-GB"/>
        </w:rPr>
        <w:t> </w:t>
      </w:r>
      <w:r>
        <w:rPr>
          <w:lang w:val="es-ES"/>
        </w:rPr>
        <w:t>mg/0,9</w:t>
      </w:r>
      <w:r w:rsidR="007D3D9F">
        <w:rPr>
          <w:szCs w:val="22"/>
          <w:lang w:val="en-GB"/>
        </w:rPr>
        <w:t> </w:t>
      </w:r>
      <w:r>
        <w:rPr>
          <w:lang w:val="es-ES"/>
        </w:rPr>
        <w:t>ml</w:t>
      </w:r>
    </w:p>
    <w:p w14:paraId="5E3CB8CE" w14:textId="77777777" w:rsidR="003534D8" w:rsidRPr="008A106B" w:rsidRDefault="003534D8" w:rsidP="003534D8">
      <w:pPr>
        <w:rPr>
          <w:lang w:val="es-ES"/>
        </w:rPr>
      </w:pPr>
    </w:p>
    <w:p w14:paraId="5A8AAE0C" w14:textId="77777777" w:rsidR="003534D8" w:rsidRPr="008A106B" w:rsidRDefault="003534D8" w:rsidP="003534D8">
      <w:pPr>
        <w:rPr>
          <w:lang w:val="es-ES"/>
        </w:rPr>
      </w:pPr>
    </w:p>
    <w:p w14:paraId="1543DBD4" w14:textId="77777777" w:rsidR="003534D8" w:rsidRPr="008A106B" w:rsidRDefault="003534D8" w:rsidP="003534D8">
      <w:pPr>
        <w:pBdr>
          <w:top w:val="single" w:sz="4" w:space="1" w:color="auto"/>
          <w:left w:val="single" w:sz="4" w:space="4" w:color="auto"/>
          <w:bottom w:val="single" w:sz="4" w:space="1" w:color="auto"/>
          <w:right w:val="single" w:sz="4" w:space="4" w:color="auto"/>
        </w:pBdr>
        <w:ind w:left="567" w:hanging="567"/>
        <w:rPr>
          <w:b/>
          <w:lang w:val="es-ES"/>
        </w:rPr>
      </w:pPr>
      <w:r w:rsidRPr="008A106B">
        <w:rPr>
          <w:b/>
          <w:lang w:val="es-ES"/>
        </w:rPr>
        <w:t>6.</w:t>
      </w:r>
      <w:r w:rsidRPr="008A106B">
        <w:rPr>
          <w:b/>
          <w:lang w:val="es-ES"/>
        </w:rPr>
        <w:tab/>
        <w:t>OTROS</w:t>
      </w:r>
    </w:p>
    <w:p w14:paraId="675502D8" w14:textId="77777777" w:rsidR="003534D8" w:rsidRDefault="003534D8" w:rsidP="003534D8">
      <w:pPr>
        <w:ind w:left="567" w:hanging="567"/>
        <w:rPr>
          <w:noProof/>
          <w:lang w:val="es-ES"/>
        </w:rPr>
      </w:pPr>
    </w:p>
    <w:p w14:paraId="1613CF96" w14:textId="77777777" w:rsidR="00667E4F" w:rsidRPr="008A106B" w:rsidRDefault="00667E4F" w:rsidP="00667E4F">
      <w:pPr>
        <w:ind w:left="567" w:hanging="567"/>
        <w:rPr>
          <w:lang w:val="es-ES"/>
        </w:rPr>
      </w:pPr>
    </w:p>
    <w:p w14:paraId="110F647E" w14:textId="77777777" w:rsidR="00585EFC" w:rsidRPr="00254952" w:rsidRDefault="00585EFC" w:rsidP="00585EFC">
      <w:pPr>
        <w:ind w:left="567" w:hanging="567"/>
        <w:rPr>
          <w:b/>
          <w:lang w:val="es-ES"/>
        </w:rPr>
      </w:pPr>
      <w:r>
        <w:rPr>
          <w:szCs w:val="22"/>
          <w:lang w:val="es-E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506DCB82" w14:textId="77777777" w:rsidTr="0072377D">
        <w:tc>
          <w:tcPr>
            <w:tcW w:w="9620" w:type="dxa"/>
            <w:tcBorders>
              <w:bottom w:val="single" w:sz="4" w:space="0" w:color="auto"/>
            </w:tcBorders>
          </w:tcPr>
          <w:p w14:paraId="168EF5B1" w14:textId="77777777" w:rsidR="00585EFC" w:rsidRPr="00254952" w:rsidRDefault="00585EFC" w:rsidP="0072377D">
            <w:pPr>
              <w:ind w:left="567" w:hanging="567"/>
              <w:rPr>
                <w:b/>
                <w:lang w:val="es-ES"/>
              </w:rPr>
            </w:pPr>
            <w:r w:rsidRPr="00254952">
              <w:rPr>
                <w:b/>
                <w:lang w:val="es-ES"/>
              </w:rPr>
              <w:lastRenderedPageBreak/>
              <w:t>INFORMACIÓN QUE DEBE FIGURAR EN EL EMBALAJE EXTERIOR</w:t>
            </w:r>
          </w:p>
          <w:p w14:paraId="05743875" w14:textId="77777777" w:rsidR="00585EFC" w:rsidRPr="00254952" w:rsidRDefault="00585EFC" w:rsidP="0072377D">
            <w:pPr>
              <w:ind w:left="567" w:hanging="567"/>
              <w:rPr>
                <w:b/>
                <w:lang w:val="es-ES"/>
              </w:rPr>
            </w:pPr>
          </w:p>
          <w:p w14:paraId="56A699F9" w14:textId="77777777" w:rsidR="00585EFC" w:rsidRPr="00254952" w:rsidRDefault="00585EFC" w:rsidP="0072377D">
            <w:pPr>
              <w:ind w:left="567" w:hanging="567"/>
              <w:rPr>
                <w:b/>
                <w:lang w:val="es-ES"/>
              </w:rPr>
            </w:pPr>
            <w:r>
              <w:rPr>
                <w:b/>
                <w:lang w:val="es-ES"/>
              </w:rPr>
              <w:t>ESTUCHE DE LA PLUM</w:t>
            </w:r>
            <w:r w:rsidRPr="00254952">
              <w:rPr>
                <w:b/>
                <w:lang w:val="es-ES"/>
              </w:rPr>
              <w:t>A PRECARGADA</w:t>
            </w:r>
          </w:p>
        </w:tc>
      </w:tr>
    </w:tbl>
    <w:p w14:paraId="1F252334" w14:textId="77777777" w:rsidR="00585EFC" w:rsidRPr="00254952" w:rsidRDefault="00585EFC" w:rsidP="00585EFC">
      <w:pPr>
        <w:ind w:left="567" w:hanging="567"/>
        <w:rPr>
          <w:b/>
          <w:lang w:val="es-ES"/>
        </w:rPr>
      </w:pPr>
    </w:p>
    <w:p w14:paraId="6EC447B9"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59CE30F7" w14:textId="77777777" w:rsidTr="0072377D">
        <w:tc>
          <w:tcPr>
            <w:tcW w:w="9620" w:type="dxa"/>
          </w:tcPr>
          <w:p w14:paraId="7B006922" w14:textId="77777777" w:rsidR="00585EFC" w:rsidRPr="00254952" w:rsidRDefault="00585EFC" w:rsidP="0072377D">
            <w:pPr>
              <w:ind w:left="567" w:hanging="567"/>
              <w:rPr>
                <w:b/>
                <w:lang w:val="es-ES"/>
              </w:rPr>
            </w:pPr>
            <w:r w:rsidRPr="00254952">
              <w:rPr>
                <w:b/>
                <w:lang w:val="es-ES"/>
              </w:rPr>
              <w:t>1.</w:t>
            </w:r>
            <w:r w:rsidRPr="00254952">
              <w:rPr>
                <w:b/>
                <w:lang w:val="es-ES"/>
              </w:rPr>
              <w:tab/>
            </w:r>
            <w:r w:rsidRPr="00254952">
              <w:rPr>
                <w:b/>
              </w:rPr>
              <w:t>NOMBRE DEL MEDICAMENTO</w:t>
            </w:r>
          </w:p>
        </w:tc>
      </w:tr>
    </w:tbl>
    <w:p w14:paraId="5639580F" w14:textId="77777777" w:rsidR="00585EFC" w:rsidRPr="00254952" w:rsidRDefault="00585EFC" w:rsidP="00585EFC">
      <w:pPr>
        <w:ind w:left="567" w:hanging="567"/>
        <w:rPr>
          <w:b/>
          <w:lang w:val="es-ES"/>
        </w:rPr>
      </w:pPr>
    </w:p>
    <w:p w14:paraId="70F4199A" w14:textId="77777777" w:rsidR="00585EFC" w:rsidRPr="00C555F2" w:rsidRDefault="00585EFC" w:rsidP="00585EFC">
      <w:pPr>
        <w:ind w:left="567" w:hanging="567"/>
        <w:rPr>
          <w:iCs/>
          <w:szCs w:val="22"/>
          <w:lang w:val="es-ES"/>
        </w:rPr>
      </w:pPr>
      <w:r w:rsidRPr="00C555F2">
        <w:rPr>
          <w:iCs/>
          <w:szCs w:val="22"/>
          <w:lang w:val="es-ES"/>
        </w:rPr>
        <w:t xml:space="preserve">RoActemra 162 mg, solución inyectable en pluma precargada. </w:t>
      </w:r>
    </w:p>
    <w:p w14:paraId="5F872733" w14:textId="77777777" w:rsidR="00585EFC" w:rsidRPr="00C555F2" w:rsidRDefault="00585EFC" w:rsidP="00585EFC">
      <w:pPr>
        <w:ind w:left="567" w:hanging="567"/>
        <w:rPr>
          <w:iCs/>
          <w:szCs w:val="22"/>
          <w:lang w:val="es-ES"/>
        </w:rPr>
      </w:pPr>
    </w:p>
    <w:p w14:paraId="5EF7ABEA" w14:textId="77777777" w:rsidR="00585EFC" w:rsidRPr="00C555F2" w:rsidRDefault="008C4526">
      <w:pPr>
        <w:rPr>
          <w:iCs/>
          <w:szCs w:val="22"/>
          <w:lang w:val="en-GB"/>
        </w:rPr>
        <w:pPrChange w:id="2279" w:author="AUTHOR">
          <w:pPr>
            <w:ind w:left="567" w:hanging="567"/>
          </w:pPr>
        </w:pPrChange>
      </w:pPr>
      <w:proofErr w:type="gramStart"/>
      <w:r>
        <w:rPr>
          <w:iCs/>
          <w:szCs w:val="22"/>
          <w:lang w:val="en-GB"/>
        </w:rPr>
        <w:t>t</w:t>
      </w:r>
      <w:r w:rsidR="00585EFC" w:rsidRPr="00C555F2">
        <w:rPr>
          <w:iCs/>
          <w:szCs w:val="22"/>
          <w:lang w:val="en-GB"/>
        </w:rPr>
        <w:t>ocilizumab</w:t>
      </w:r>
      <w:proofErr w:type="gramEnd"/>
    </w:p>
    <w:p w14:paraId="5E8B086C" w14:textId="77777777" w:rsidR="00585EFC" w:rsidRPr="00254952" w:rsidRDefault="00585EFC" w:rsidP="00585EFC">
      <w:pPr>
        <w:ind w:left="567" w:hanging="567"/>
        <w:rPr>
          <w:b/>
          <w:lang w:val="es-ES"/>
        </w:rPr>
      </w:pPr>
    </w:p>
    <w:p w14:paraId="16CEFDF7"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59C700FC" w14:textId="77777777" w:rsidTr="0072377D">
        <w:tc>
          <w:tcPr>
            <w:tcW w:w="9620" w:type="dxa"/>
          </w:tcPr>
          <w:p w14:paraId="1DF1A155" w14:textId="77777777" w:rsidR="00585EFC" w:rsidRPr="00254952" w:rsidRDefault="00585EFC" w:rsidP="0072377D">
            <w:pPr>
              <w:ind w:left="567" w:hanging="567"/>
              <w:rPr>
                <w:b/>
                <w:lang w:val="es-ES"/>
              </w:rPr>
            </w:pPr>
            <w:r w:rsidRPr="00254952">
              <w:rPr>
                <w:b/>
                <w:lang w:val="es-ES"/>
              </w:rPr>
              <w:t>2.</w:t>
            </w:r>
            <w:r w:rsidRPr="00254952">
              <w:rPr>
                <w:b/>
                <w:lang w:val="es-ES"/>
              </w:rPr>
              <w:tab/>
              <w:t>PRINCIPIO</w:t>
            </w:r>
            <w:del w:id="2280" w:author="AUTHOR">
              <w:r w:rsidRPr="00254952" w:rsidDel="00541248">
                <w:rPr>
                  <w:b/>
                  <w:lang w:val="es-ES"/>
                </w:rPr>
                <w:delText>(S)</w:delText>
              </w:r>
            </w:del>
            <w:r w:rsidRPr="00254952">
              <w:rPr>
                <w:b/>
                <w:lang w:val="es-ES"/>
              </w:rPr>
              <w:t xml:space="preserve"> ACTIVO</w:t>
            </w:r>
            <w:del w:id="2281" w:author="AUTHOR">
              <w:r w:rsidRPr="00254952" w:rsidDel="00541248">
                <w:rPr>
                  <w:b/>
                  <w:lang w:val="es-ES"/>
                </w:rPr>
                <w:delText>(S)</w:delText>
              </w:r>
            </w:del>
          </w:p>
        </w:tc>
      </w:tr>
    </w:tbl>
    <w:p w14:paraId="427DABD9" w14:textId="77777777" w:rsidR="00585EFC" w:rsidRPr="00254952" w:rsidRDefault="00585EFC" w:rsidP="00585EFC">
      <w:pPr>
        <w:ind w:left="567" w:hanging="567"/>
        <w:rPr>
          <w:b/>
          <w:lang w:val="es-ES"/>
        </w:rPr>
      </w:pPr>
    </w:p>
    <w:p w14:paraId="6A3677AD" w14:textId="77777777" w:rsidR="00585EFC" w:rsidRPr="00C555F2" w:rsidRDefault="00585EFC" w:rsidP="00585EFC">
      <w:pPr>
        <w:ind w:left="567" w:hanging="567"/>
        <w:rPr>
          <w:iCs/>
          <w:szCs w:val="22"/>
          <w:lang w:val="es-ES"/>
        </w:rPr>
      </w:pPr>
      <w:r w:rsidRPr="00C555F2">
        <w:rPr>
          <w:iCs/>
          <w:szCs w:val="22"/>
          <w:lang w:val="es-ES"/>
        </w:rPr>
        <w:t>1 pluma precargada contiene 162 mg de tocilizumab.</w:t>
      </w:r>
    </w:p>
    <w:p w14:paraId="469A0B81" w14:textId="77777777" w:rsidR="00585EFC" w:rsidRPr="00254952" w:rsidRDefault="00585EFC" w:rsidP="00585EFC">
      <w:pPr>
        <w:ind w:left="567" w:hanging="567"/>
        <w:rPr>
          <w:b/>
          <w:lang w:val="es-ES"/>
        </w:rPr>
      </w:pPr>
    </w:p>
    <w:p w14:paraId="1EB81DAC"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5C9DCE99" w14:textId="77777777" w:rsidTr="0072377D">
        <w:tc>
          <w:tcPr>
            <w:tcW w:w="9620" w:type="dxa"/>
          </w:tcPr>
          <w:p w14:paraId="1856FFBE" w14:textId="77777777" w:rsidR="00585EFC" w:rsidRPr="00254952" w:rsidRDefault="00585EFC" w:rsidP="0072377D">
            <w:pPr>
              <w:ind w:left="567" w:hanging="567"/>
              <w:rPr>
                <w:b/>
                <w:lang w:val="es-ES"/>
              </w:rPr>
            </w:pPr>
            <w:r w:rsidRPr="00254952">
              <w:rPr>
                <w:b/>
                <w:lang w:val="es-ES"/>
              </w:rPr>
              <w:t>3.</w:t>
            </w:r>
            <w:r w:rsidRPr="00254952">
              <w:rPr>
                <w:b/>
                <w:lang w:val="es-ES"/>
              </w:rPr>
              <w:tab/>
              <w:t>LISTA DE EXCIPIENTES</w:t>
            </w:r>
          </w:p>
        </w:tc>
      </w:tr>
    </w:tbl>
    <w:p w14:paraId="2D0BB4BA" w14:textId="77777777" w:rsidR="00585EFC" w:rsidRPr="00254952" w:rsidRDefault="00585EFC" w:rsidP="00585EFC">
      <w:pPr>
        <w:ind w:left="567" w:hanging="567"/>
        <w:rPr>
          <w:b/>
          <w:lang w:val="es-ES"/>
        </w:rPr>
      </w:pPr>
    </w:p>
    <w:p w14:paraId="352101B0" w14:textId="543E84EC" w:rsidR="00585EFC" w:rsidRPr="00C555F2" w:rsidRDefault="003534D8" w:rsidP="00585EFC">
      <w:pPr>
        <w:ind w:left="567" w:hanging="567"/>
        <w:rPr>
          <w:iCs/>
          <w:szCs w:val="22"/>
          <w:lang w:val="pt-BR"/>
        </w:rPr>
      </w:pPr>
      <w:r>
        <w:rPr>
          <w:iCs/>
          <w:szCs w:val="22"/>
          <w:lang w:val="pt-BR"/>
        </w:rPr>
        <w:t xml:space="preserve">También contiene </w:t>
      </w:r>
      <w:r w:rsidR="00585EFC" w:rsidRPr="00C555F2">
        <w:rPr>
          <w:iCs/>
          <w:szCs w:val="22"/>
          <w:lang w:val="pt-BR"/>
        </w:rPr>
        <w:t>L-</w:t>
      </w:r>
      <w:r>
        <w:rPr>
          <w:iCs/>
          <w:szCs w:val="22"/>
          <w:lang w:val="pt-BR"/>
        </w:rPr>
        <w:t>h</w:t>
      </w:r>
      <w:r w:rsidRPr="00C555F2">
        <w:rPr>
          <w:iCs/>
          <w:szCs w:val="22"/>
          <w:lang w:val="pt-BR"/>
        </w:rPr>
        <w:t>istidina</w:t>
      </w:r>
      <w:r w:rsidR="00585EFC" w:rsidRPr="00C555F2">
        <w:rPr>
          <w:iCs/>
          <w:szCs w:val="22"/>
          <w:lang w:val="pt-BR"/>
        </w:rPr>
        <w:t xml:space="preserve">, Monohidrocloruro de L-histidina monohidrato, </w:t>
      </w:r>
      <w:r w:rsidR="00137C28" w:rsidRPr="00B947D0">
        <w:rPr>
          <w:highlight w:val="lightGray"/>
          <w:lang w:val="pt-BR"/>
        </w:rPr>
        <w:t>L-</w:t>
      </w:r>
      <w:r>
        <w:rPr>
          <w:highlight w:val="lightGray"/>
          <w:lang w:val="pt-BR"/>
        </w:rPr>
        <w:t>a</w:t>
      </w:r>
      <w:r w:rsidRPr="00B947D0">
        <w:rPr>
          <w:highlight w:val="lightGray"/>
          <w:lang w:val="pt-BR"/>
        </w:rPr>
        <w:t>rginina</w:t>
      </w:r>
      <w:r w:rsidR="00B947D0" w:rsidRPr="00B947D0">
        <w:rPr>
          <w:iCs/>
          <w:szCs w:val="22"/>
          <w:highlight w:val="lightGray"/>
          <w:lang w:val="pt-BR"/>
        </w:rPr>
        <w:t>/</w:t>
      </w:r>
      <w:r w:rsidR="00585EFC" w:rsidRPr="00C555F2">
        <w:rPr>
          <w:iCs/>
          <w:szCs w:val="22"/>
          <w:lang w:val="pt-BR"/>
        </w:rPr>
        <w:t>Hidrocloruro de L-</w:t>
      </w:r>
      <w:r>
        <w:rPr>
          <w:iCs/>
          <w:szCs w:val="22"/>
          <w:lang w:val="pt-BR"/>
        </w:rPr>
        <w:t>a</w:t>
      </w:r>
      <w:r w:rsidRPr="00C555F2">
        <w:rPr>
          <w:iCs/>
          <w:szCs w:val="22"/>
          <w:lang w:val="pt-BR"/>
        </w:rPr>
        <w:t>rginina</w:t>
      </w:r>
      <w:r w:rsidR="00585EFC" w:rsidRPr="00C555F2">
        <w:rPr>
          <w:iCs/>
          <w:szCs w:val="22"/>
          <w:lang w:val="pt-BR"/>
        </w:rPr>
        <w:t xml:space="preserve">, </w:t>
      </w:r>
    </w:p>
    <w:p w14:paraId="4E4A86AB" w14:textId="7AC8342C" w:rsidR="00585EFC" w:rsidRPr="00C555F2" w:rsidRDefault="00585EFC" w:rsidP="00585EFC">
      <w:pPr>
        <w:ind w:left="567" w:hanging="567"/>
        <w:rPr>
          <w:iCs/>
          <w:szCs w:val="22"/>
          <w:lang w:val="es-ES"/>
        </w:rPr>
      </w:pPr>
      <w:r w:rsidRPr="00C555F2">
        <w:rPr>
          <w:iCs/>
          <w:szCs w:val="22"/>
          <w:lang w:val="es-ES"/>
        </w:rPr>
        <w:t>L-</w:t>
      </w:r>
      <w:r w:rsidR="003534D8">
        <w:rPr>
          <w:iCs/>
          <w:szCs w:val="22"/>
          <w:lang w:val="es-ES"/>
        </w:rPr>
        <w:t>m</w:t>
      </w:r>
      <w:r w:rsidR="003534D8" w:rsidRPr="00C555F2">
        <w:rPr>
          <w:iCs/>
          <w:szCs w:val="22"/>
          <w:lang w:val="es-ES"/>
        </w:rPr>
        <w:t>etionina</w:t>
      </w:r>
      <w:r w:rsidRPr="00C555F2">
        <w:rPr>
          <w:iCs/>
          <w:szCs w:val="22"/>
          <w:lang w:val="es-ES"/>
        </w:rPr>
        <w:t xml:space="preserve">, </w:t>
      </w:r>
      <w:r w:rsidR="003534D8">
        <w:rPr>
          <w:iCs/>
          <w:szCs w:val="22"/>
          <w:lang w:val="es-ES"/>
        </w:rPr>
        <w:t>p</w:t>
      </w:r>
      <w:r w:rsidR="003534D8" w:rsidRPr="00C555F2">
        <w:rPr>
          <w:iCs/>
          <w:szCs w:val="22"/>
          <w:lang w:val="es-ES"/>
        </w:rPr>
        <w:t xml:space="preserve">olisorbato </w:t>
      </w:r>
      <w:r w:rsidRPr="00C555F2">
        <w:rPr>
          <w:iCs/>
          <w:szCs w:val="22"/>
          <w:lang w:val="es-ES"/>
        </w:rPr>
        <w:t xml:space="preserve">80, </w:t>
      </w:r>
      <w:r w:rsidR="003534D8">
        <w:rPr>
          <w:iCs/>
          <w:szCs w:val="22"/>
          <w:lang w:val="es-ES"/>
        </w:rPr>
        <w:t>a</w:t>
      </w:r>
      <w:r w:rsidR="003534D8" w:rsidRPr="00C555F2">
        <w:rPr>
          <w:iCs/>
          <w:szCs w:val="22"/>
          <w:lang w:val="es-ES"/>
        </w:rPr>
        <w:t xml:space="preserve">gua </w:t>
      </w:r>
      <w:r w:rsidRPr="00C555F2">
        <w:rPr>
          <w:iCs/>
          <w:szCs w:val="22"/>
          <w:lang w:val="es-ES"/>
        </w:rPr>
        <w:t>para preparaciones inyectables.</w:t>
      </w:r>
    </w:p>
    <w:p w14:paraId="1C1D1DC6" w14:textId="77777777" w:rsidR="00585EFC" w:rsidRPr="00254952" w:rsidRDefault="00585EFC" w:rsidP="00585EFC">
      <w:pPr>
        <w:ind w:left="567" w:hanging="567"/>
        <w:rPr>
          <w:b/>
          <w:lang w:val="es-ES"/>
        </w:rPr>
      </w:pPr>
    </w:p>
    <w:p w14:paraId="240BEBA1"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612E97D4" w14:textId="77777777" w:rsidTr="0072377D">
        <w:tc>
          <w:tcPr>
            <w:tcW w:w="9620" w:type="dxa"/>
          </w:tcPr>
          <w:p w14:paraId="785B49E4" w14:textId="77777777" w:rsidR="00585EFC" w:rsidRPr="00254952" w:rsidRDefault="00585EFC" w:rsidP="0072377D">
            <w:pPr>
              <w:ind w:left="567" w:hanging="567"/>
              <w:rPr>
                <w:b/>
                <w:lang w:val="es-ES"/>
              </w:rPr>
            </w:pPr>
            <w:r w:rsidRPr="00254952">
              <w:rPr>
                <w:b/>
                <w:lang w:val="es-ES"/>
              </w:rPr>
              <w:t>4.</w:t>
            </w:r>
            <w:r w:rsidRPr="00254952">
              <w:rPr>
                <w:b/>
                <w:lang w:val="es-ES"/>
              </w:rPr>
              <w:tab/>
              <w:t>FORMA FARMACÉUTICA Y CONTENIDO DEL ENVASE</w:t>
            </w:r>
          </w:p>
        </w:tc>
      </w:tr>
    </w:tbl>
    <w:p w14:paraId="53837E59" w14:textId="77777777" w:rsidR="00585EFC" w:rsidRPr="00254952" w:rsidRDefault="00585EFC" w:rsidP="00585EFC">
      <w:pPr>
        <w:ind w:left="567" w:hanging="567"/>
        <w:rPr>
          <w:b/>
          <w:lang w:val="es-ES"/>
        </w:rPr>
      </w:pPr>
    </w:p>
    <w:p w14:paraId="76931078" w14:textId="371A8762" w:rsidR="00585EFC" w:rsidRPr="00C555F2" w:rsidRDefault="00585EFC" w:rsidP="00585EFC">
      <w:pPr>
        <w:ind w:left="567" w:hanging="567"/>
        <w:rPr>
          <w:iCs/>
          <w:szCs w:val="22"/>
          <w:lang w:val="es-ES"/>
        </w:rPr>
      </w:pPr>
      <w:r w:rsidRPr="00F30AB8">
        <w:rPr>
          <w:iCs/>
          <w:szCs w:val="22"/>
          <w:highlight w:val="lightGray"/>
          <w:lang w:val="es-ES"/>
        </w:rPr>
        <w:t>Solución inyectable</w:t>
      </w:r>
      <w:r w:rsidRPr="00254952">
        <w:rPr>
          <w:iCs/>
          <w:szCs w:val="22"/>
          <w:lang w:val="es-ES"/>
        </w:rPr>
        <w:t xml:space="preserve"> </w:t>
      </w:r>
    </w:p>
    <w:p w14:paraId="02EBBA44" w14:textId="77777777" w:rsidR="00585EFC" w:rsidRPr="00C555F2" w:rsidRDefault="00585EFC" w:rsidP="00585EFC">
      <w:pPr>
        <w:ind w:left="567" w:hanging="567"/>
        <w:rPr>
          <w:iCs/>
          <w:szCs w:val="22"/>
          <w:lang w:val="es-ES"/>
        </w:rPr>
      </w:pPr>
      <w:r w:rsidRPr="00254952">
        <w:rPr>
          <w:iCs/>
          <w:szCs w:val="22"/>
          <w:lang w:val="es-ES"/>
        </w:rPr>
        <w:t xml:space="preserve">4 </w:t>
      </w:r>
      <w:r>
        <w:rPr>
          <w:iCs/>
          <w:szCs w:val="22"/>
          <w:lang w:val="es-ES"/>
        </w:rPr>
        <w:t>plum</w:t>
      </w:r>
      <w:r w:rsidRPr="00C555F2">
        <w:rPr>
          <w:iCs/>
          <w:szCs w:val="22"/>
          <w:lang w:val="es-ES"/>
        </w:rPr>
        <w:t>as precargadas</w:t>
      </w:r>
      <w:r w:rsidR="003534D8" w:rsidRPr="003534D8">
        <w:rPr>
          <w:iCs/>
          <w:szCs w:val="22"/>
          <w:lang w:val="es-ES"/>
        </w:rPr>
        <w:t xml:space="preserve"> </w:t>
      </w:r>
      <w:r w:rsidR="003534D8">
        <w:rPr>
          <w:iCs/>
          <w:szCs w:val="22"/>
          <w:lang w:val="es-ES"/>
        </w:rPr>
        <w:t>ACTPluma</w:t>
      </w:r>
    </w:p>
    <w:p w14:paraId="2855811F" w14:textId="77777777" w:rsidR="003534D8" w:rsidRPr="00F30AB8" w:rsidRDefault="003534D8" w:rsidP="003534D8">
      <w:pPr>
        <w:pStyle w:val="Standard1"/>
        <w:tabs>
          <w:tab w:val="left" w:pos="284"/>
          <w:tab w:val="left" w:pos="567"/>
        </w:tabs>
        <w:rPr>
          <w:rFonts w:ascii="Times New Roman" w:eastAsia="Times New Roman" w:hAnsi="Times New Roman"/>
          <w:iCs/>
          <w:sz w:val="22"/>
          <w:szCs w:val="22"/>
          <w:lang w:val="es-ES" w:eastAsia="ja-JP"/>
        </w:rPr>
      </w:pPr>
      <w:r w:rsidRPr="00F30AB8">
        <w:rPr>
          <w:rFonts w:ascii="Times New Roman" w:eastAsia="Times New Roman" w:hAnsi="Times New Roman"/>
          <w:iCs/>
          <w:sz w:val="22"/>
          <w:szCs w:val="22"/>
          <w:highlight w:val="lightGray"/>
          <w:lang w:val="es-ES" w:eastAsia="ja-JP"/>
        </w:rPr>
        <w:t xml:space="preserve">Envase múltiple: 12 (3 </w:t>
      </w:r>
      <w:r w:rsidR="00DE55C8">
        <w:rPr>
          <w:rFonts w:ascii="Times New Roman" w:eastAsia="Times New Roman" w:hAnsi="Times New Roman"/>
          <w:iCs/>
          <w:sz w:val="22"/>
          <w:szCs w:val="22"/>
          <w:highlight w:val="lightGray"/>
          <w:lang w:val="es-ES" w:eastAsia="ja-JP"/>
        </w:rPr>
        <w:t>envases</w:t>
      </w:r>
      <w:r w:rsidRPr="00F30AB8">
        <w:rPr>
          <w:rFonts w:ascii="Times New Roman" w:eastAsia="Times New Roman" w:hAnsi="Times New Roman"/>
          <w:iCs/>
          <w:sz w:val="22"/>
          <w:szCs w:val="22"/>
          <w:highlight w:val="lightGray"/>
          <w:lang w:val="es-ES" w:eastAsia="ja-JP"/>
        </w:rPr>
        <w:t xml:space="preserve"> de 4) plumas precargadas ACTPluma</w:t>
      </w:r>
    </w:p>
    <w:p w14:paraId="73474180" w14:textId="77777777" w:rsidR="00585EFC" w:rsidRPr="00C555F2" w:rsidRDefault="00585EFC" w:rsidP="00585EFC">
      <w:pPr>
        <w:ind w:left="567" w:hanging="567"/>
        <w:rPr>
          <w:iCs/>
          <w:szCs w:val="22"/>
          <w:lang w:val="es-ES"/>
        </w:rPr>
      </w:pPr>
      <w:r w:rsidRPr="00C555F2">
        <w:rPr>
          <w:iCs/>
          <w:szCs w:val="22"/>
          <w:lang w:val="es-ES"/>
        </w:rPr>
        <w:t>162 mg/0,9 ml</w:t>
      </w:r>
    </w:p>
    <w:p w14:paraId="0FA8C809" w14:textId="77777777" w:rsidR="00585EFC" w:rsidRPr="00254952" w:rsidRDefault="00585EFC" w:rsidP="00585EFC">
      <w:pPr>
        <w:ind w:left="567" w:hanging="567"/>
        <w:rPr>
          <w:b/>
          <w:lang w:val="es-ES"/>
        </w:rPr>
      </w:pPr>
    </w:p>
    <w:p w14:paraId="590EB08C" w14:textId="77777777" w:rsidR="00585EFC" w:rsidRPr="00254952" w:rsidRDefault="00585EFC" w:rsidP="00585EFC">
      <w:pPr>
        <w:ind w:left="567" w:hanging="567"/>
        <w:rPr>
          <w:b/>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13EB4FF7" w14:textId="77777777" w:rsidTr="0072377D">
        <w:tc>
          <w:tcPr>
            <w:tcW w:w="9620" w:type="dxa"/>
          </w:tcPr>
          <w:p w14:paraId="2397DC4E" w14:textId="77777777" w:rsidR="00585EFC" w:rsidRPr="00254952" w:rsidRDefault="00585EFC" w:rsidP="0072377D">
            <w:pPr>
              <w:ind w:left="567" w:hanging="567"/>
              <w:rPr>
                <w:b/>
                <w:lang w:val="es-ES"/>
              </w:rPr>
            </w:pPr>
            <w:r w:rsidRPr="00254952">
              <w:rPr>
                <w:b/>
                <w:lang w:val="es-ES"/>
              </w:rPr>
              <w:t>5.</w:t>
            </w:r>
            <w:r w:rsidRPr="00254952">
              <w:rPr>
                <w:b/>
                <w:lang w:val="es-ES"/>
              </w:rPr>
              <w:tab/>
              <w:t>FORMA Y VÍA</w:t>
            </w:r>
            <w:del w:id="2282" w:author="AUTHOR">
              <w:r w:rsidRPr="00254952" w:rsidDel="00541248">
                <w:rPr>
                  <w:b/>
                  <w:lang w:val="es-ES"/>
                </w:rPr>
                <w:delText>(S)</w:delText>
              </w:r>
            </w:del>
            <w:r w:rsidRPr="00254952">
              <w:rPr>
                <w:b/>
                <w:lang w:val="es-ES"/>
              </w:rPr>
              <w:t xml:space="preserve"> DE ADMINISTRACIÓN</w:t>
            </w:r>
          </w:p>
        </w:tc>
      </w:tr>
    </w:tbl>
    <w:p w14:paraId="45676FFA" w14:textId="77777777" w:rsidR="00585EFC" w:rsidRPr="00254952" w:rsidRDefault="00585EFC" w:rsidP="00585EFC">
      <w:pPr>
        <w:ind w:left="567" w:hanging="567"/>
        <w:rPr>
          <w:b/>
          <w:lang w:val="es-ES"/>
        </w:rPr>
      </w:pPr>
    </w:p>
    <w:p w14:paraId="2C3F9AF8" w14:textId="77777777" w:rsidR="00585EFC" w:rsidRPr="00C555F2" w:rsidRDefault="00585EFC" w:rsidP="00585EFC">
      <w:pPr>
        <w:ind w:left="567" w:hanging="567"/>
        <w:rPr>
          <w:iCs/>
          <w:szCs w:val="22"/>
          <w:lang w:val="es-ES"/>
        </w:rPr>
      </w:pPr>
      <w:r w:rsidRPr="00C555F2">
        <w:rPr>
          <w:iCs/>
          <w:szCs w:val="22"/>
          <w:lang w:val="es-ES"/>
        </w:rPr>
        <w:t xml:space="preserve">Vía subcutánea </w:t>
      </w:r>
    </w:p>
    <w:p w14:paraId="1F28EB12" w14:textId="77777777" w:rsidR="00585EFC" w:rsidRPr="00C555F2" w:rsidRDefault="00585EFC" w:rsidP="00585EFC">
      <w:pPr>
        <w:ind w:left="567" w:hanging="567"/>
        <w:rPr>
          <w:iCs/>
          <w:szCs w:val="22"/>
          <w:lang w:val="es-ES"/>
        </w:rPr>
      </w:pPr>
      <w:r w:rsidRPr="00C555F2">
        <w:rPr>
          <w:iCs/>
          <w:szCs w:val="22"/>
          <w:lang w:val="es-ES"/>
        </w:rPr>
        <w:t xml:space="preserve">Leer el prospecto antes de utilizar este medicamento. </w:t>
      </w:r>
    </w:p>
    <w:p w14:paraId="7FCED63F" w14:textId="77777777" w:rsidR="00585EFC" w:rsidRPr="00254952" w:rsidRDefault="00585EFC" w:rsidP="00585EFC">
      <w:pPr>
        <w:ind w:left="567" w:hanging="567"/>
        <w:rPr>
          <w:b/>
          <w:lang w:val="es-ES"/>
        </w:rPr>
      </w:pPr>
    </w:p>
    <w:p w14:paraId="3CFE1E61"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67FE4350" w14:textId="77777777" w:rsidTr="0072377D">
        <w:tc>
          <w:tcPr>
            <w:tcW w:w="9620" w:type="dxa"/>
          </w:tcPr>
          <w:p w14:paraId="7BE053DD" w14:textId="77777777" w:rsidR="00585EFC" w:rsidRPr="00254952" w:rsidRDefault="00585EFC" w:rsidP="0072377D">
            <w:pPr>
              <w:ind w:left="567" w:hanging="567"/>
              <w:rPr>
                <w:b/>
                <w:lang w:val="es-ES"/>
              </w:rPr>
            </w:pPr>
            <w:r w:rsidRPr="00254952">
              <w:rPr>
                <w:b/>
                <w:lang w:val="es-ES"/>
              </w:rPr>
              <w:t>6.</w:t>
            </w:r>
            <w:r w:rsidRPr="00254952">
              <w:rPr>
                <w:b/>
                <w:lang w:val="es-ES"/>
              </w:rPr>
              <w:tab/>
              <w:t>ADVERTENCIA ESPECIAL DE QUE EL MEDICAMENTO DEBE MANTENERSE FUERA DE LA VISTA Y DEL ALCANCE DE LOS NIÑOS</w:t>
            </w:r>
          </w:p>
        </w:tc>
      </w:tr>
    </w:tbl>
    <w:p w14:paraId="206941FC" w14:textId="77777777" w:rsidR="00585EFC" w:rsidRPr="00254952" w:rsidRDefault="00585EFC" w:rsidP="00585EFC">
      <w:pPr>
        <w:ind w:left="567" w:hanging="567"/>
        <w:rPr>
          <w:b/>
          <w:lang w:val="es-ES"/>
        </w:rPr>
      </w:pPr>
    </w:p>
    <w:p w14:paraId="011525EF" w14:textId="77777777" w:rsidR="00585EFC" w:rsidRPr="00C555F2" w:rsidRDefault="00585EFC" w:rsidP="00585EFC">
      <w:pPr>
        <w:ind w:left="567" w:hanging="567"/>
        <w:rPr>
          <w:iCs/>
          <w:szCs w:val="22"/>
          <w:lang w:val="es-ES"/>
        </w:rPr>
      </w:pPr>
      <w:r w:rsidRPr="00C555F2">
        <w:rPr>
          <w:iCs/>
          <w:szCs w:val="22"/>
          <w:lang w:val="es-ES"/>
        </w:rPr>
        <w:t>Mantener fuera de la vista y del alcance de los niños.</w:t>
      </w:r>
    </w:p>
    <w:p w14:paraId="235CFCF2" w14:textId="77777777" w:rsidR="00585EFC" w:rsidRPr="00254952" w:rsidRDefault="00585EFC" w:rsidP="00585EFC">
      <w:pPr>
        <w:ind w:left="567" w:hanging="567"/>
        <w:rPr>
          <w:b/>
          <w:lang w:val="es-ES"/>
        </w:rPr>
      </w:pPr>
    </w:p>
    <w:p w14:paraId="41608F74" w14:textId="77777777" w:rsidR="00585EFC" w:rsidRPr="00254952" w:rsidRDefault="00585EFC" w:rsidP="00585EFC">
      <w:pPr>
        <w:ind w:left="567" w:hanging="567"/>
        <w:rPr>
          <w:b/>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433A5EF9" w14:textId="77777777" w:rsidTr="0072377D">
        <w:tc>
          <w:tcPr>
            <w:tcW w:w="9620" w:type="dxa"/>
          </w:tcPr>
          <w:p w14:paraId="306C3BAE" w14:textId="77777777" w:rsidR="00585EFC" w:rsidRPr="00254952" w:rsidRDefault="00585EFC" w:rsidP="0072377D">
            <w:pPr>
              <w:ind w:left="567" w:hanging="567"/>
              <w:rPr>
                <w:b/>
                <w:lang w:val="es-ES"/>
              </w:rPr>
            </w:pPr>
            <w:r w:rsidRPr="00254952">
              <w:rPr>
                <w:b/>
                <w:lang w:val="es-ES"/>
              </w:rPr>
              <w:t>7.</w:t>
            </w:r>
            <w:r w:rsidRPr="00254952">
              <w:rPr>
                <w:b/>
                <w:lang w:val="es-ES"/>
              </w:rPr>
              <w:tab/>
              <w:t>OTRA(S) ADVERTENCIA(S) ESPECIAL(ES), SI ES NECESARIO</w:t>
            </w:r>
          </w:p>
        </w:tc>
      </w:tr>
    </w:tbl>
    <w:p w14:paraId="315A4B5A" w14:textId="77777777" w:rsidR="00585EFC" w:rsidRPr="00254952" w:rsidRDefault="00585EFC" w:rsidP="00585EFC">
      <w:pPr>
        <w:ind w:left="567" w:hanging="567"/>
        <w:rPr>
          <w:b/>
          <w:lang w:val="es-ES"/>
        </w:rPr>
      </w:pPr>
    </w:p>
    <w:p w14:paraId="70098DD0" w14:textId="77777777" w:rsidR="00585EFC" w:rsidRPr="00C555F2" w:rsidRDefault="00585EFC" w:rsidP="00585EFC">
      <w:pPr>
        <w:rPr>
          <w:iCs/>
          <w:szCs w:val="22"/>
          <w:lang w:val="es-ES"/>
        </w:rPr>
      </w:pPr>
      <w:r w:rsidRPr="00C555F2">
        <w:rPr>
          <w:iCs/>
          <w:szCs w:val="22"/>
          <w:lang w:val="es-ES"/>
        </w:rPr>
        <w:t xml:space="preserve">Antes de su uso, deje que la </w:t>
      </w:r>
      <w:r>
        <w:rPr>
          <w:iCs/>
          <w:szCs w:val="22"/>
          <w:lang w:val="es-ES"/>
        </w:rPr>
        <w:t>pluma</w:t>
      </w:r>
      <w:r w:rsidRPr="00C555F2">
        <w:rPr>
          <w:iCs/>
          <w:szCs w:val="22"/>
          <w:lang w:val="es-ES"/>
        </w:rPr>
        <w:t xml:space="preserve"> alcance la temperatura amb</w:t>
      </w:r>
      <w:r w:rsidRPr="00254952">
        <w:rPr>
          <w:iCs/>
          <w:szCs w:val="22"/>
          <w:lang w:val="es-ES"/>
        </w:rPr>
        <w:t xml:space="preserve">iente fuera de la caja durante </w:t>
      </w:r>
      <w:r>
        <w:rPr>
          <w:iCs/>
          <w:szCs w:val="22"/>
          <w:lang w:val="es-ES"/>
        </w:rPr>
        <w:t>4</w:t>
      </w:r>
      <w:r w:rsidRPr="00C555F2">
        <w:rPr>
          <w:iCs/>
          <w:szCs w:val="22"/>
          <w:lang w:val="es-ES"/>
        </w:rPr>
        <w:t>5</w:t>
      </w:r>
      <w:r>
        <w:rPr>
          <w:iCs/>
          <w:szCs w:val="22"/>
          <w:lang w:val="es-ES"/>
        </w:rPr>
        <w:t xml:space="preserve"> </w:t>
      </w:r>
      <w:r w:rsidRPr="00C555F2">
        <w:rPr>
          <w:iCs/>
          <w:szCs w:val="22"/>
          <w:lang w:val="es-ES"/>
        </w:rPr>
        <w:t>minutos.</w:t>
      </w:r>
    </w:p>
    <w:p w14:paraId="399267C3" w14:textId="77777777" w:rsidR="00585EFC" w:rsidRPr="00254952" w:rsidRDefault="00585EFC" w:rsidP="00585EFC">
      <w:pPr>
        <w:ind w:left="567" w:hanging="567"/>
        <w:rPr>
          <w:b/>
          <w:lang w:val="es-ES"/>
        </w:rPr>
      </w:pPr>
    </w:p>
    <w:p w14:paraId="40A37FC7"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0481456F" w14:textId="77777777" w:rsidTr="0072377D">
        <w:tc>
          <w:tcPr>
            <w:tcW w:w="9620" w:type="dxa"/>
          </w:tcPr>
          <w:p w14:paraId="5B69CA43" w14:textId="77777777" w:rsidR="00585EFC" w:rsidRPr="00254952" w:rsidRDefault="00585EFC" w:rsidP="0072377D">
            <w:pPr>
              <w:ind w:left="567" w:hanging="567"/>
              <w:rPr>
                <w:b/>
                <w:lang w:val="es-ES"/>
              </w:rPr>
            </w:pPr>
            <w:r w:rsidRPr="00254952">
              <w:rPr>
                <w:b/>
                <w:lang w:val="es-ES"/>
              </w:rPr>
              <w:t>8.</w:t>
            </w:r>
            <w:r w:rsidRPr="00254952">
              <w:rPr>
                <w:b/>
                <w:lang w:val="es-ES"/>
              </w:rPr>
              <w:tab/>
              <w:t>FECHA DE CADUCIDAD</w:t>
            </w:r>
          </w:p>
        </w:tc>
      </w:tr>
    </w:tbl>
    <w:p w14:paraId="6E5165AC" w14:textId="77777777" w:rsidR="00585EFC" w:rsidRPr="00254952" w:rsidRDefault="00585EFC" w:rsidP="00585EFC">
      <w:pPr>
        <w:ind w:left="567" w:hanging="567"/>
        <w:rPr>
          <w:b/>
          <w:lang w:val="es-ES"/>
        </w:rPr>
      </w:pPr>
    </w:p>
    <w:p w14:paraId="43B67A16" w14:textId="0FC87D97" w:rsidR="00585EFC" w:rsidRPr="00C555F2" w:rsidRDefault="00DE55C8" w:rsidP="00585EFC">
      <w:pPr>
        <w:ind w:left="567" w:hanging="567"/>
        <w:rPr>
          <w:iCs/>
          <w:szCs w:val="22"/>
          <w:lang w:val="es-ES"/>
        </w:rPr>
      </w:pPr>
      <w:r>
        <w:rPr>
          <w:iCs/>
          <w:szCs w:val="22"/>
          <w:lang w:val="es-ES"/>
        </w:rPr>
        <w:t>EXP</w:t>
      </w:r>
      <w:r w:rsidRPr="00C555F2">
        <w:rPr>
          <w:iCs/>
          <w:szCs w:val="22"/>
          <w:lang w:val="es-ES"/>
        </w:rPr>
        <w:t xml:space="preserve"> </w:t>
      </w:r>
    </w:p>
    <w:p w14:paraId="4A76688C" w14:textId="77777777" w:rsidR="00585EFC" w:rsidRPr="00254952" w:rsidRDefault="00585EFC" w:rsidP="00585EFC">
      <w:pPr>
        <w:ind w:left="567" w:hanging="567"/>
        <w:rPr>
          <w:b/>
          <w:lang w:val="es-ES"/>
        </w:rPr>
      </w:pPr>
    </w:p>
    <w:p w14:paraId="3B95926F" w14:textId="77777777" w:rsidR="00585EFC" w:rsidRPr="00254952" w:rsidRDefault="00585EFC" w:rsidP="00585EFC">
      <w:pPr>
        <w:ind w:left="567" w:hanging="567"/>
        <w:rPr>
          <w:b/>
          <w:lang w:val="es-ES"/>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77DB1165" w14:textId="77777777" w:rsidTr="0072377D">
        <w:tc>
          <w:tcPr>
            <w:tcW w:w="9620" w:type="dxa"/>
          </w:tcPr>
          <w:p w14:paraId="741F826A" w14:textId="77777777" w:rsidR="00585EFC" w:rsidRPr="00254952" w:rsidRDefault="00585EFC" w:rsidP="00957972">
            <w:pPr>
              <w:keepNext/>
              <w:keepLines/>
              <w:ind w:left="567" w:hanging="567"/>
              <w:rPr>
                <w:b/>
                <w:lang w:val="es-ES"/>
              </w:rPr>
            </w:pPr>
            <w:r w:rsidRPr="00254952">
              <w:rPr>
                <w:b/>
                <w:lang w:val="es-ES"/>
              </w:rPr>
              <w:lastRenderedPageBreak/>
              <w:t>9.</w:t>
            </w:r>
            <w:r w:rsidRPr="00254952">
              <w:rPr>
                <w:b/>
                <w:lang w:val="es-ES"/>
              </w:rPr>
              <w:tab/>
              <w:t>CONDICIONES ESPECIALES DE CONSERVACIÓN</w:t>
            </w:r>
          </w:p>
        </w:tc>
      </w:tr>
    </w:tbl>
    <w:p w14:paraId="2A373752" w14:textId="77777777" w:rsidR="00585EFC" w:rsidRPr="00254952" w:rsidRDefault="00585EFC" w:rsidP="00957972">
      <w:pPr>
        <w:keepNext/>
        <w:keepLines/>
        <w:ind w:left="567" w:hanging="567"/>
        <w:rPr>
          <w:b/>
          <w:i/>
          <w:lang w:val="es-ES"/>
        </w:rPr>
      </w:pPr>
    </w:p>
    <w:p w14:paraId="2352005C" w14:textId="77777777" w:rsidR="00585EFC" w:rsidRPr="00C555F2" w:rsidRDefault="00585EFC" w:rsidP="00957972">
      <w:pPr>
        <w:keepNext/>
        <w:keepLines/>
        <w:ind w:left="567" w:hanging="567"/>
        <w:rPr>
          <w:iCs/>
          <w:szCs w:val="22"/>
          <w:lang w:val="es-ES"/>
        </w:rPr>
      </w:pPr>
      <w:r w:rsidRPr="00C555F2">
        <w:rPr>
          <w:iCs/>
          <w:szCs w:val="22"/>
          <w:lang w:val="es-ES"/>
        </w:rPr>
        <w:t xml:space="preserve">Conservar en nevera </w:t>
      </w:r>
    </w:p>
    <w:p w14:paraId="1BE48C69" w14:textId="77777777" w:rsidR="00363FFA" w:rsidRDefault="00585EFC" w:rsidP="00957972">
      <w:pPr>
        <w:keepNext/>
        <w:keepLines/>
        <w:rPr>
          <w:iCs/>
          <w:szCs w:val="22"/>
          <w:lang w:val="es-ES"/>
        </w:rPr>
      </w:pPr>
      <w:r w:rsidRPr="00C555F2">
        <w:rPr>
          <w:iCs/>
          <w:szCs w:val="22"/>
          <w:lang w:val="es-ES"/>
        </w:rPr>
        <w:t>No congelar</w:t>
      </w:r>
    </w:p>
    <w:p w14:paraId="29EB5A75" w14:textId="77777777" w:rsidR="00004756" w:rsidRPr="00004756" w:rsidRDefault="00004756" w:rsidP="00957972">
      <w:pPr>
        <w:keepNext/>
        <w:keepLines/>
        <w:rPr>
          <w:iCs/>
          <w:szCs w:val="22"/>
          <w:lang w:val="es-ES"/>
        </w:rPr>
      </w:pPr>
      <w:r w:rsidRPr="00363FFA">
        <w:rPr>
          <w:lang w:val="es-ES_tradnl"/>
        </w:rPr>
        <w:t xml:space="preserve">Una vez fuera de la nevera, </w:t>
      </w:r>
      <w:r>
        <w:rPr>
          <w:lang w:val="es-ES_tradnl"/>
        </w:rPr>
        <w:t>la pluma precargada</w:t>
      </w:r>
      <w:r w:rsidRPr="00363FFA">
        <w:rPr>
          <w:lang w:val="es-ES_tradnl"/>
        </w:rPr>
        <w:t xml:space="preserve"> </w:t>
      </w:r>
      <w:r>
        <w:rPr>
          <w:lang w:val="es-ES_tradnl"/>
        </w:rPr>
        <w:t>se puede conservar hasta 2 semanas a una temperatura igual o inferior</w:t>
      </w:r>
      <w:r w:rsidRPr="00363FFA">
        <w:rPr>
          <w:lang w:val="es-ES_tradnl"/>
        </w:rPr>
        <w:t xml:space="preserve"> </w:t>
      </w:r>
      <w:r>
        <w:rPr>
          <w:lang w:val="es-ES_tradnl"/>
        </w:rPr>
        <w:t xml:space="preserve">a </w:t>
      </w:r>
      <w:r w:rsidRPr="00363FFA">
        <w:rPr>
          <w:lang w:val="es-ES_tradnl"/>
        </w:rPr>
        <w:t>30ºC</w:t>
      </w:r>
    </w:p>
    <w:p w14:paraId="44FA0AD4" w14:textId="77777777" w:rsidR="00004756" w:rsidRPr="00C555F2" w:rsidRDefault="00004756" w:rsidP="00957972">
      <w:pPr>
        <w:rPr>
          <w:iCs/>
          <w:szCs w:val="22"/>
          <w:lang w:val="es-ES"/>
        </w:rPr>
      </w:pPr>
    </w:p>
    <w:p w14:paraId="477E3611" w14:textId="77777777" w:rsidR="00585EFC" w:rsidRPr="00C555F2" w:rsidRDefault="00585EFC">
      <w:pPr>
        <w:rPr>
          <w:iCs/>
          <w:szCs w:val="22"/>
          <w:lang w:val="es-ES"/>
        </w:rPr>
        <w:pPrChange w:id="2283" w:author="AUTHOR">
          <w:pPr>
            <w:ind w:left="567" w:hanging="567"/>
          </w:pPr>
        </w:pPrChange>
      </w:pPr>
      <w:r w:rsidRPr="00C555F2">
        <w:rPr>
          <w:iCs/>
          <w:szCs w:val="22"/>
          <w:lang w:val="es-ES"/>
        </w:rPr>
        <w:t xml:space="preserve">Conservar </w:t>
      </w:r>
      <w:r w:rsidRPr="00762660">
        <w:rPr>
          <w:iCs/>
          <w:szCs w:val="22"/>
          <w:lang w:val="es-ES"/>
        </w:rPr>
        <w:t xml:space="preserve">la </w:t>
      </w:r>
      <w:r>
        <w:rPr>
          <w:iCs/>
          <w:szCs w:val="22"/>
          <w:lang w:val="es-ES"/>
        </w:rPr>
        <w:t>plum</w:t>
      </w:r>
      <w:r w:rsidRPr="00C555F2">
        <w:rPr>
          <w:iCs/>
          <w:szCs w:val="22"/>
          <w:lang w:val="es-ES"/>
        </w:rPr>
        <w:t>a precargada en el embalaje exterior para proteger</w:t>
      </w:r>
      <w:r w:rsidR="007965EC">
        <w:rPr>
          <w:iCs/>
          <w:szCs w:val="22"/>
          <w:lang w:val="es-ES"/>
        </w:rPr>
        <w:t>la</w:t>
      </w:r>
      <w:r w:rsidRPr="00C555F2">
        <w:rPr>
          <w:iCs/>
          <w:szCs w:val="22"/>
          <w:lang w:val="es-ES"/>
        </w:rPr>
        <w:t xml:space="preserve"> de la luz y la humedad.</w:t>
      </w:r>
    </w:p>
    <w:p w14:paraId="4FECF5DA" w14:textId="77777777" w:rsidR="00585EFC" w:rsidRPr="00254952" w:rsidRDefault="00585EFC" w:rsidP="00585EFC">
      <w:pPr>
        <w:ind w:left="567" w:hanging="567"/>
        <w:rPr>
          <w:b/>
          <w:lang w:val="es-ES"/>
        </w:rPr>
      </w:pPr>
    </w:p>
    <w:p w14:paraId="50A09791"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20E6395C" w14:textId="77777777" w:rsidTr="0072377D">
        <w:tc>
          <w:tcPr>
            <w:tcW w:w="9620" w:type="dxa"/>
          </w:tcPr>
          <w:p w14:paraId="3BE37AAE" w14:textId="77777777" w:rsidR="00585EFC" w:rsidRPr="00254952" w:rsidRDefault="00585EFC" w:rsidP="0072377D">
            <w:pPr>
              <w:ind w:left="567" w:hanging="567"/>
              <w:rPr>
                <w:b/>
                <w:lang w:val="es-ES"/>
              </w:rPr>
            </w:pPr>
            <w:r w:rsidRPr="00254952">
              <w:rPr>
                <w:b/>
                <w:lang w:val="es-ES"/>
              </w:rPr>
              <w:t>10.</w:t>
            </w:r>
            <w:r w:rsidRPr="00254952">
              <w:rPr>
                <w:b/>
                <w:lang w:val="es-ES"/>
              </w:rPr>
              <w:tab/>
              <w:t>PRECAUCIONES ESPECIALES DE ELIMINACIÓN DEL MEDICAMENTO NO UTILIZADO Y DE LOS MATERIALES DERIVADOS DE SU USO,CUANDO CORRESPONDA</w:t>
            </w:r>
          </w:p>
        </w:tc>
      </w:tr>
    </w:tbl>
    <w:p w14:paraId="3B333139" w14:textId="77777777" w:rsidR="00585EFC" w:rsidRPr="00254952" w:rsidRDefault="00585EFC" w:rsidP="00585EFC">
      <w:pPr>
        <w:ind w:left="567" w:hanging="567"/>
        <w:rPr>
          <w:b/>
          <w:lang w:val="es-ES"/>
        </w:rPr>
      </w:pPr>
    </w:p>
    <w:p w14:paraId="35F43764"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480C1344" w14:textId="77777777" w:rsidTr="0072377D">
        <w:tc>
          <w:tcPr>
            <w:tcW w:w="9620" w:type="dxa"/>
          </w:tcPr>
          <w:p w14:paraId="74FDCF71" w14:textId="77777777" w:rsidR="00585EFC" w:rsidRPr="00254952" w:rsidRDefault="00585EFC" w:rsidP="0072377D">
            <w:pPr>
              <w:ind w:left="567" w:hanging="567"/>
              <w:rPr>
                <w:b/>
                <w:lang w:val="es-ES"/>
              </w:rPr>
            </w:pPr>
            <w:r w:rsidRPr="00254952">
              <w:rPr>
                <w:b/>
                <w:lang w:val="es-ES"/>
              </w:rPr>
              <w:t>11.</w:t>
            </w:r>
            <w:r w:rsidRPr="00254952">
              <w:rPr>
                <w:b/>
                <w:lang w:val="es-ES"/>
              </w:rPr>
              <w:tab/>
              <w:t>NOMBRE Y DIRECCIÓN DEL TITULAR DE LA AUTORIZACIÓN DE COMERCIALIZACIÓN</w:t>
            </w:r>
          </w:p>
        </w:tc>
      </w:tr>
    </w:tbl>
    <w:p w14:paraId="124C033A" w14:textId="77777777" w:rsidR="00585EFC" w:rsidRPr="00254952" w:rsidRDefault="00585EFC" w:rsidP="00585EFC">
      <w:pPr>
        <w:ind w:left="567" w:hanging="567"/>
        <w:rPr>
          <w:b/>
          <w:lang w:val="es-ES"/>
        </w:rPr>
      </w:pPr>
    </w:p>
    <w:p w14:paraId="092494A7" w14:textId="77777777" w:rsidR="00CC09AC" w:rsidRPr="00EF2448" w:rsidRDefault="00CC09AC" w:rsidP="00CC09AC">
      <w:pPr>
        <w:rPr>
          <w:noProof/>
          <w:lang w:val="de-DE"/>
        </w:rPr>
      </w:pPr>
      <w:r w:rsidRPr="00EF2448">
        <w:rPr>
          <w:noProof/>
          <w:lang w:val="de-DE"/>
        </w:rPr>
        <w:t xml:space="preserve">Roche Registration GmbH </w:t>
      </w:r>
    </w:p>
    <w:p w14:paraId="5B677035" w14:textId="77777777" w:rsidR="00CC09AC" w:rsidRPr="00EF2448" w:rsidRDefault="00CC09AC" w:rsidP="00CC09AC">
      <w:pPr>
        <w:rPr>
          <w:noProof/>
          <w:lang w:val="de-DE"/>
        </w:rPr>
      </w:pPr>
      <w:r w:rsidRPr="00EF2448">
        <w:rPr>
          <w:noProof/>
          <w:lang w:val="de-DE"/>
        </w:rPr>
        <w:t>Emil-Barell-Strasse 1</w:t>
      </w:r>
    </w:p>
    <w:p w14:paraId="2A487B2B" w14:textId="77777777" w:rsidR="00CC09AC" w:rsidRPr="00EF2448" w:rsidRDefault="00CC09AC" w:rsidP="00CC09AC">
      <w:pPr>
        <w:rPr>
          <w:noProof/>
          <w:lang w:val="de-DE"/>
        </w:rPr>
      </w:pPr>
      <w:r w:rsidRPr="00EF2448">
        <w:rPr>
          <w:noProof/>
          <w:lang w:val="de-DE"/>
        </w:rPr>
        <w:t>79639 Grenzach-Wyhlen</w:t>
      </w:r>
    </w:p>
    <w:p w14:paraId="39A9F943" w14:textId="77777777" w:rsidR="00585EFC" w:rsidRPr="00254952" w:rsidRDefault="00CC09AC" w:rsidP="00585EFC">
      <w:pPr>
        <w:ind w:left="567" w:hanging="567"/>
        <w:rPr>
          <w:b/>
          <w:lang w:val="es-ES"/>
        </w:rPr>
      </w:pPr>
      <w:r>
        <w:rPr>
          <w:noProof/>
          <w:lang w:val="en-GB"/>
        </w:rPr>
        <w:t>Alemania</w:t>
      </w:r>
    </w:p>
    <w:p w14:paraId="48CC549C" w14:textId="77777777" w:rsidR="00585EFC" w:rsidRDefault="00585EFC" w:rsidP="00585EFC">
      <w:pPr>
        <w:ind w:left="567" w:hanging="567"/>
        <w:rPr>
          <w:b/>
          <w:lang w:val="es-ES"/>
        </w:rPr>
      </w:pPr>
    </w:p>
    <w:p w14:paraId="61D6B345" w14:textId="77777777" w:rsidR="00E92D5F" w:rsidRPr="00254952" w:rsidRDefault="00E92D5F"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541248" w14:paraId="4791CD21" w14:textId="77777777" w:rsidTr="0072377D">
        <w:tc>
          <w:tcPr>
            <w:tcW w:w="9620" w:type="dxa"/>
          </w:tcPr>
          <w:p w14:paraId="04A84CAA" w14:textId="77777777" w:rsidR="00585EFC" w:rsidRPr="00254952" w:rsidRDefault="00585EFC" w:rsidP="0072377D">
            <w:pPr>
              <w:ind w:left="567" w:hanging="567"/>
              <w:rPr>
                <w:b/>
                <w:lang w:val="es-ES"/>
              </w:rPr>
            </w:pPr>
            <w:r w:rsidRPr="00254952">
              <w:rPr>
                <w:b/>
                <w:lang w:val="es-ES"/>
              </w:rPr>
              <w:t>12.</w:t>
            </w:r>
            <w:r w:rsidRPr="00254952">
              <w:rPr>
                <w:b/>
                <w:lang w:val="es-ES"/>
              </w:rPr>
              <w:tab/>
              <w:t>NÚMERO(S) DE AUTORIZACIÓN DE COMERCIALIZACIÓN</w:t>
            </w:r>
          </w:p>
        </w:tc>
      </w:tr>
    </w:tbl>
    <w:p w14:paraId="3F774DBE" w14:textId="77777777" w:rsidR="00585EFC" w:rsidRPr="00254952" w:rsidRDefault="00585EFC" w:rsidP="00585EFC">
      <w:pPr>
        <w:ind w:left="567" w:hanging="567"/>
        <w:rPr>
          <w:b/>
          <w:lang w:val="es-ES"/>
        </w:rPr>
      </w:pPr>
    </w:p>
    <w:p w14:paraId="5EEE5B4C" w14:textId="77777777" w:rsidR="003534D8" w:rsidRPr="00F30AB8" w:rsidRDefault="00585EFC" w:rsidP="003534D8">
      <w:pPr>
        <w:pStyle w:val="Standard1"/>
        <w:tabs>
          <w:tab w:val="left" w:pos="284"/>
          <w:tab w:val="left" w:pos="567"/>
        </w:tabs>
        <w:rPr>
          <w:rFonts w:ascii="Times New Roman" w:eastAsia="Times New Roman" w:hAnsi="Times New Roman"/>
          <w:noProof/>
          <w:sz w:val="22"/>
          <w:szCs w:val="20"/>
          <w:highlight w:val="lightGray"/>
          <w:lang w:val="pt-PT" w:eastAsia="ja-JP"/>
        </w:rPr>
      </w:pPr>
      <w:r w:rsidRPr="00F30AB8">
        <w:rPr>
          <w:rFonts w:ascii="Times New Roman" w:eastAsia="Times New Roman" w:hAnsi="Times New Roman"/>
          <w:noProof/>
          <w:sz w:val="22"/>
          <w:szCs w:val="20"/>
          <w:lang w:val="pt-PT" w:eastAsia="ja-JP"/>
        </w:rPr>
        <w:t>EU/1/08/492/009</w:t>
      </w:r>
      <w:r w:rsidR="003534D8" w:rsidRPr="00F30AB8">
        <w:rPr>
          <w:rFonts w:ascii="Times New Roman" w:eastAsia="Times New Roman" w:hAnsi="Times New Roman"/>
          <w:noProof/>
          <w:sz w:val="22"/>
          <w:szCs w:val="20"/>
          <w:lang w:val="pt-PT" w:eastAsia="ja-JP"/>
        </w:rPr>
        <w:t xml:space="preserve"> </w:t>
      </w:r>
      <w:r w:rsidR="003534D8" w:rsidRPr="00F30AB8">
        <w:rPr>
          <w:rFonts w:ascii="Times New Roman" w:eastAsia="Times New Roman" w:hAnsi="Times New Roman"/>
          <w:noProof/>
          <w:sz w:val="22"/>
          <w:szCs w:val="20"/>
          <w:highlight w:val="lightGray"/>
          <w:lang w:val="pt-PT" w:eastAsia="ja-JP"/>
        </w:rPr>
        <w:t xml:space="preserve">4 plumas precargadas </w:t>
      </w:r>
    </w:p>
    <w:p w14:paraId="79315450" w14:textId="77777777" w:rsidR="003534D8" w:rsidRPr="00F30AB8" w:rsidRDefault="003534D8" w:rsidP="003534D8">
      <w:pPr>
        <w:pStyle w:val="Standard1"/>
        <w:tabs>
          <w:tab w:val="left" w:pos="284"/>
          <w:tab w:val="left" w:pos="567"/>
        </w:tabs>
        <w:rPr>
          <w:rFonts w:ascii="Times New Roman" w:eastAsia="Times New Roman" w:hAnsi="Times New Roman"/>
          <w:noProof/>
          <w:sz w:val="22"/>
          <w:szCs w:val="20"/>
          <w:lang w:val="pt-PT" w:eastAsia="ja-JP"/>
        </w:rPr>
      </w:pPr>
      <w:r w:rsidRPr="00F30AB8">
        <w:rPr>
          <w:rFonts w:ascii="Times New Roman" w:eastAsia="Times New Roman" w:hAnsi="Times New Roman"/>
          <w:noProof/>
          <w:sz w:val="22"/>
          <w:szCs w:val="20"/>
          <w:highlight w:val="lightGray"/>
          <w:lang w:val="pt-PT" w:eastAsia="ja-JP"/>
        </w:rPr>
        <w:t xml:space="preserve">EU/1/08/492/010: 12 (3 </w:t>
      </w:r>
      <w:r w:rsidR="00DE55C8" w:rsidRPr="00F30AB8">
        <w:rPr>
          <w:rFonts w:ascii="Times New Roman" w:eastAsia="Times New Roman" w:hAnsi="Times New Roman"/>
          <w:noProof/>
          <w:sz w:val="22"/>
          <w:szCs w:val="20"/>
          <w:highlight w:val="lightGray"/>
          <w:lang w:val="pt-PT" w:eastAsia="ja-JP"/>
        </w:rPr>
        <w:t>envases</w:t>
      </w:r>
      <w:r w:rsidRPr="00F30AB8">
        <w:rPr>
          <w:rFonts w:ascii="Times New Roman" w:eastAsia="Times New Roman" w:hAnsi="Times New Roman"/>
          <w:noProof/>
          <w:sz w:val="22"/>
          <w:szCs w:val="20"/>
          <w:highlight w:val="lightGray"/>
          <w:lang w:val="pt-PT" w:eastAsia="ja-JP"/>
        </w:rPr>
        <w:t xml:space="preserve"> de 4) plumas precargadas s</w:t>
      </w:r>
    </w:p>
    <w:p w14:paraId="66A8E8C2" w14:textId="77777777" w:rsidR="00585EFC" w:rsidRPr="003534D8" w:rsidRDefault="00585EFC" w:rsidP="00585EFC">
      <w:pPr>
        <w:ind w:left="567" w:hanging="567"/>
        <w:rPr>
          <w:b/>
          <w:lang w:val="es-ES"/>
        </w:rPr>
      </w:pPr>
    </w:p>
    <w:p w14:paraId="78F65714" w14:textId="77777777" w:rsidR="00585EFC" w:rsidRPr="003534D8"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10D25AE4" w14:textId="77777777" w:rsidTr="0072377D">
        <w:tc>
          <w:tcPr>
            <w:tcW w:w="9620" w:type="dxa"/>
          </w:tcPr>
          <w:p w14:paraId="1D779D18" w14:textId="77777777" w:rsidR="00585EFC" w:rsidRPr="00254952" w:rsidRDefault="00585EFC" w:rsidP="0072377D">
            <w:pPr>
              <w:ind w:left="567" w:hanging="567"/>
              <w:rPr>
                <w:b/>
                <w:lang w:val="es-ES"/>
              </w:rPr>
            </w:pPr>
            <w:r w:rsidRPr="00254952">
              <w:rPr>
                <w:b/>
                <w:lang w:val="es-ES"/>
              </w:rPr>
              <w:t>13.</w:t>
            </w:r>
            <w:r w:rsidRPr="00254952">
              <w:rPr>
                <w:b/>
                <w:lang w:val="es-ES"/>
              </w:rPr>
              <w:tab/>
              <w:t>NÚMERO DE LOTE</w:t>
            </w:r>
          </w:p>
        </w:tc>
      </w:tr>
    </w:tbl>
    <w:p w14:paraId="70F5A701" w14:textId="77777777" w:rsidR="00585EFC" w:rsidRPr="00254952" w:rsidRDefault="00585EFC" w:rsidP="00585EFC">
      <w:pPr>
        <w:ind w:left="567" w:hanging="567"/>
        <w:rPr>
          <w:b/>
          <w:lang w:val="es-ES"/>
        </w:rPr>
      </w:pPr>
    </w:p>
    <w:p w14:paraId="1B14CAD3" w14:textId="1986CC2B" w:rsidR="00585EFC" w:rsidRPr="00C555F2" w:rsidRDefault="00585EFC" w:rsidP="00585EFC">
      <w:pPr>
        <w:ind w:left="567" w:hanging="567"/>
        <w:rPr>
          <w:lang w:val="es-ES"/>
        </w:rPr>
      </w:pPr>
      <w:r w:rsidRPr="00C555F2">
        <w:rPr>
          <w:lang w:val="es-ES"/>
        </w:rPr>
        <w:t>Lot</w:t>
      </w:r>
    </w:p>
    <w:p w14:paraId="07B5C511" w14:textId="77777777" w:rsidR="00585EFC" w:rsidRPr="00254952" w:rsidRDefault="00585EFC" w:rsidP="00585EFC">
      <w:pPr>
        <w:ind w:left="567" w:hanging="567"/>
        <w:rPr>
          <w:b/>
          <w:lang w:val="es-ES"/>
        </w:rPr>
      </w:pPr>
    </w:p>
    <w:p w14:paraId="6355CA6E"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5E055612" w14:textId="77777777" w:rsidTr="0072377D">
        <w:tc>
          <w:tcPr>
            <w:tcW w:w="9620" w:type="dxa"/>
          </w:tcPr>
          <w:p w14:paraId="6D43D312" w14:textId="77777777" w:rsidR="00585EFC" w:rsidRPr="00254952" w:rsidRDefault="00585EFC" w:rsidP="0072377D">
            <w:pPr>
              <w:ind w:left="567" w:hanging="567"/>
              <w:rPr>
                <w:b/>
                <w:lang w:val="es-ES"/>
              </w:rPr>
            </w:pPr>
            <w:r w:rsidRPr="00254952">
              <w:rPr>
                <w:b/>
                <w:lang w:val="es-ES"/>
              </w:rPr>
              <w:t>14.</w:t>
            </w:r>
            <w:r w:rsidRPr="00254952">
              <w:rPr>
                <w:b/>
                <w:lang w:val="es-ES"/>
              </w:rPr>
              <w:tab/>
              <w:t>CONDICIONES GENERALES DE DISPENSACIÓN</w:t>
            </w:r>
          </w:p>
        </w:tc>
      </w:tr>
    </w:tbl>
    <w:p w14:paraId="0DC3C62F" w14:textId="77777777" w:rsidR="00585EFC" w:rsidRPr="00254952" w:rsidRDefault="00585EFC" w:rsidP="00585EFC">
      <w:pPr>
        <w:ind w:left="567" w:hanging="567"/>
        <w:rPr>
          <w:b/>
          <w:lang w:val="es-ES"/>
        </w:rPr>
      </w:pPr>
    </w:p>
    <w:p w14:paraId="2A96C427" w14:textId="77777777" w:rsidR="00585EFC" w:rsidRPr="00254952" w:rsidRDefault="00585EFC" w:rsidP="00585EFC">
      <w:pPr>
        <w:ind w:left="567" w:hanging="567"/>
        <w:rPr>
          <w:b/>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585EFC" w:rsidRPr="00254952" w14:paraId="325D6C24" w14:textId="77777777" w:rsidTr="0072377D">
        <w:tc>
          <w:tcPr>
            <w:tcW w:w="9620" w:type="dxa"/>
          </w:tcPr>
          <w:p w14:paraId="74EFE627" w14:textId="77777777" w:rsidR="00585EFC" w:rsidRPr="00254952" w:rsidRDefault="00585EFC" w:rsidP="0072377D">
            <w:pPr>
              <w:ind w:left="567" w:hanging="567"/>
              <w:rPr>
                <w:b/>
                <w:lang w:val="es-ES"/>
              </w:rPr>
            </w:pPr>
            <w:r w:rsidRPr="00254952">
              <w:rPr>
                <w:b/>
                <w:lang w:val="es-ES"/>
              </w:rPr>
              <w:t>15.</w:t>
            </w:r>
            <w:r w:rsidRPr="00254952">
              <w:rPr>
                <w:b/>
                <w:lang w:val="es-ES"/>
              </w:rPr>
              <w:tab/>
              <w:t>INSTRUCCIONES DE USO</w:t>
            </w:r>
          </w:p>
        </w:tc>
      </w:tr>
    </w:tbl>
    <w:p w14:paraId="450A723A" w14:textId="77777777" w:rsidR="00585EFC" w:rsidRDefault="00585EFC" w:rsidP="00585EFC">
      <w:pPr>
        <w:ind w:left="567" w:hanging="567"/>
        <w:rPr>
          <w:b/>
          <w:lang w:val="es-ES"/>
        </w:rPr>
      </w:pPr>
    </w:p>
    <w:p w14:paraId="3CCCEA0C" w14:textId="77777777" w:rsidR="00585EFC" w:rsidRPr="00254952" w:rsidRDefault="00585EFC" w:rsidP="00585EFC">
      <w:pPr>
        <w:ind w:left="567" w:hanging="567"/>
        <w:rPr>
          <w:b/>
          <w:lang w:val="es-ES"/>
        </w:rPr>
      </w:pPr>
    </w:p>
    <w:p w14:paraId="1C3B9312" w14:textId="77777777" w:rsidR="00585EFC" w:rsidRPr="008B5E8B"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n-GB"/>
        </w:rPr>
      </w:pPr>
      <w:r>
        <w:rPr>
          <w:b/>
          <w:szCs w:val="22"/>
          <w:lang w:val="en-GB"/>
        </w:rPr>
        <w:t>16.</w:t>
      </w:r>
      <w:r>
        <w:rPr>
          <w:b/>
          <w:szCs w:val="22"/>
          <w:lang w:val="en-GB"/>
        </w:rPr>
        <w:tab/>
        <w:t>INFORMACIÓN E</w:t>
      </w:r>
      <w:r w:rsidRPr="008B5E8B">
        <w:rPr>
          <w:b/>
          <w:szCs w:val="22"/>
          <w:lang w:val="en-GB"/>
        </w:rPr>
        <w:t>N BRAILLE</w:t>
      </w:r>
    </w:p>
    <w:p w14:paraId="3485E2AC" w14:textId="77777777" w:rsidR="00585EFC" w:rsidRPr="008B5E8B" w:rsidRDefault="00585EFC" w:rsidP="00585EFC">
      <w:pPr>
        <w:rPr>
          <w:szCs w:val="22"/>
          <w:lang w:val="en-GB"/>
        </w:rPr>
      </w:pPr>
    </w:p>
    <w:p w14:paraId="0F559EC1" w14:textId="77777777" w:rsidR="00585EFC" w:rsidRDefault="00585EFC" w:rsidP="00585EFC">
      <w:pPr>
        <w:rPr>
          <w:szCs w:val="22"/>
          <w:lang w:val="en-GB"/>
        </w:rPr>
      </w:pPr>
      <w:proofErr w:type="gramStart"/>
      <w:r w:rsidRPr="008B5E8B">
        <w:rPr>
          <w:szCs w:val="22"/>
          <w:lang w:val="en-GB"/>
        </w:rPr>
        <w:t>roactemra</w:t>
      </w:r>
      <w:proofErr w:type="gramEnd"/>
      <w:r>
        <w:rPr>
          <w:szCs w:val="22"/>
          <w:lang w:val="en-GB"/>
        </w:rPr>
        <w:t xml:space="preserve"> pluma</w:t>
      </w:r>
      <w:r w:rsidRPr="008B5E8B">
        <w:rPr>
          <w:szCs w:val="22"/>
          <w:lang w:val="en-GB"/>
        </w:rPr>
        <w:t xml:space="preserve"> 162 mg</w:t>
      </w:r>
    </w:p>
    <w:p w14:paraId="62B8036A" w14:textId="77777777" w:rsidR="00585EFC" w:rsidRPr="008B5E8B" w:rsidRDefault="00585EFC" w:rsidP="00585EFC">
      <w:pPr>
        <w:rPr>
          <w:szCs w:val="22"/>
          <w:lang w:val="en-GB"/>
        </w:rPr>
      </w:pPr>
    </w:p>
    <w:p w14:paraId="4867E747" w14:textId="77777777" w:rsidR="00585EFC" w:rsidRDefault="00585EFC" w:rsidP="00585EFC">
      <w:pPr>
        <w:rPr>
          <w:lang w:val="en-GB"/>
        </w:rPr>
      </w:pPr>
    </w:p>
    <w:p w14:paraId="55206C9A" w14:textId="77777777" w:rsidR="00585EFC" w:rsidRPr="00C555F2" w:rsidRDefault="00585EFC" w:rsidP="00585EFC">
      <w:pPr>
        <w:pBdr>
          <w:top w:val="single" w:sz="4" w:space="1" w:color="auto"/>
          <w:left w:val="single" w:sz="4" w:space="4" w:color="auto"/>
          <w:bottom w:val="single" w:sz="4" w:space="0" w:color="auto"/>
          <w:right w:val="single" w:sz="4" w:space="4" w:color="auto"/>
        </w:pBdr>
        <w:rPr>
          <w:i/>
          <w:noProof/>
          <w:lang w:val="pt-BR"/>
        </w:rPr>
      </w:pPr>
      <w:r w:rsidRPr="00C555F2">
        <w:rPr>
          <w:b/>
          <w:noProof/>
          <w:lang w:val="pt-BR"/>
        </w:rPr>
        <w:t>17.</w:t>
      </w:r>
      <w:r w:rsidRPr="00C555F2">
        <w:rPr>
          <w:b/>
          <w:noProof/>
          <w:lang w:val="pt-BR"/>
        </w:rPr>
        <w:tab/>
      </w:r>
      <w:r w:rsidRPr="00C555F2">
        <w:rPr>
          <w:b/>
          <w:noProof/>
          <w:lang w:val="pt-BR" w:bidi="es-ES"/>
        </w:rPr>
        <w:t>IDENTIFICADOR ÚNICO - CÓDIGO DE BARRAS 2D</w:t>
      </w:r>
    </w:p>
    <w:p w14:paraId="57F339AB" w14:textId="77777777" w:rsidR="00585EFC" w:rsidRPr="00C555F2" w:rsidRDefault="00585EFC" w:rsidP="00585EFC">
      <w:pPr>
        <w:rPr>
          <w:noProof/>
          <w:lang w:val="pt-BR"/>
        </w:rPr>
      </w:pPr>
    </w:p>
    <w:p w14:paraId="28F83A47" w14:textId="77777777" w:rsidR="00585EFC" w:rsidRPr="00C555F2" w:rsidRDefault="00585EFC" w:rsidP="00585EFC">
      <w:pPr>
        <w:ind w:left="567" w:hanging="567"/>
        <w:rPr>
          <w:noProof/>
          <w:highlight w:val="lightGray"/>
          <w:lang w:val="es-ES"/>
        </w:rPr>
      </w:pPr>
      <w:r w:rsidRPr="00C555F2">
        <w:rPr>
          <w:noProof/>
          <w:highlight w:val="lightGray"/>
          <w:lang w:val="es-ES"/>
        </w:rPr>
        <w:t>Incluido el código de barras 2D que lleva el identificador únic</w:t>
      </w:r>
      <w:r>
        <w:rPr>
          <w:noProof/>
          <w:highlight w:val="lightGray"/>
          <w:lang w:val="es-ES"/>
        </w:rPr>
        <w:t>o</w:t>
      </w:r>
    </w:p>
    <w:p w14:paraId="55E07183" w14:textId="77777777" w:rsidR="00585EFC" w:rsidRPr="00C555F2" w:rsidRDefault="00585EFC" w:rsidP="00585EFC">
      <w:pPr>
        <w:rPr>
          <w:noProof/>
          <w:szCs w:val="22"/>
          <w:shd w:val="clear" w:color="auto" w:fill="CCCCCC"/>
          <w:lang w:val="es-ES"/>
        </w:rPr>
      </w:pPr>
    </w:p>
    <w:p w14:paraId="1E6F7F84" w14:textId="77777777" w:rsidR="00585EFC" w:rsidRPr="00C555F2" w:rsidRDefault="00585EFC" w:rsidP="00585EFC">
      <w:pPr>
        <w:rPr>
          <w:noProof/>
          <w:lang w:val="es-ES"/>
        </w:rPr>
      </w:pPr>
    </w:p>
    <w:p w14:paraId="367BA506" w14:textId="77777777" w:rsidR="00585EFC" w:rsidRPr="00C555F2" w:rsidRDefault="00585EFC" w:rsidP="00585EFC">
      <w:pPr>
        <w:keepNext/>
        <w:pBdr>
          <w:top w:val="single" w:sz="4" w:space="1" w:color="auto"/>
          <w:left w:val="single" w:sz="4" w:space="4" w:color="auto"/>
          <w:bottom w:val="single" w:sz="4" w:space="0" w:color="auto"/>
          <w:right w:val="single" w:sz="4" w:space="4" w:color="auto"/>
        </w:pBdr>
        <w:rPr>
          <w:i/>
          <w:noProof/>
          <w:lang w:val="es-ES"/>
        </w:rPr>
      </w:pPr>
      <w:r w:rsidRPr="00C555F2">
        <w:rPr>
          <w:b/>
          <w:noProof/>
          <w:lang w:val="es-ES"/>
        </w:rPr>
        <w:t>18.</w:t>
      </w:r>
      <w:r w:rsidRPr="00C555F2">
        <w:rPr>
          <w:b/>
          <w:noProof/>
          <w:lang w:val="es-ES"/>
        </w:rPr>
        <w:tab/>
      </w:r>
      <w:r w:rsidRPr="00C555F2">
        <w:rPr>
          <w:b/>
          <w:noProof/>
          <w:lang w:val="es-ES" w:bidi="es-ES"/>
        </w:rPr>
        <w:t>IDENTIFICADOR ÚNICO - INFORMACIÓN EN CARACTERES VISUALES</w:t>
      </w:r>
    </w:p>
    <w:p w14:paraId="4076A841" w14:textId="77777777" w:rsidR="00585EFC" w:rsidRPr="00C555F2" w:rsidRDefault="00585EFC" w:rsidP="00585EFC">
      <w:pPr>
        <w:keepNext/>
        <w:rPr>
          <w:noProof/>
          <w:lang w:val="es-ES"/>
        </w:rPr>
      </w:pPr>
    </w:p>
    <w:p w14:paraId="23218D9F" w14:textId="77777777" w:rsidR="00585EFC" w:rsidRPr="00C555F2" w:rsidRDefault="00585EFC" w:rsidP="00585EFC">
      <w:pPr>
        <w:keepNext/>
        <w:rPr>
          <w:szCs w:val="22"/>
          <w:lang w:val="es-ES"/>
        </w:rPr>
      </w:pPr>
      <w:r w:rsidRPr="00C555F2">
        <w:rPr>
          <w:szCs w:val="22"/>
          <w:lang w:val="es-ES"/>
        </w:rPr>
        <w:t xml:space="preserve">PC </w:t>
      </w:r>
    </w:p>
    <w:p w14:paraId="5942D597" w14:textId="77777777" w:rsidR="00585EFC" w:rsidRPr="00C555F2" w:rsidRDefault="00585EFC" w:rsidP="00585EFC">
      <w:pPr>
        <w:keepNext/>
        <w:rPr>
          <w:szCs w:val="22"/>
          <w:lang w:val="es-ES"/>
        </w:rPr>
      </w:pPr>
      <w:r w:rsidRPr="00C555F2">
        <w:rPr>
          <w:szCs w:val="22"/>
          <w:lang w:val="es-ES"/>
        </w:rPr>
        <w:t>SN</w:t>
      </w:r>
    </w:p>
    <w:p w14:paraId="7408F0F9" w14:textId="77777777" w:rsidR="00585EFC" w:rsidRPr="00C555F2" w:rsidRDefault="00585EFC" w:rsidP="00585EFC">
      <w:pPr>
        <w:rPr>
          <w:szCs w:val="22"/>
          <w:lang w:val="es-ES"/>
        </w:rPr>
      </w:pPr>
      <w:r w:rsidRPr="00C555F2">
        <w:rPr>
          <w:szCs w:val="22"/>
          <w:lang w:val="es-ES"/>
        </w:rPr>
        <w:t>NN</w:t>
      </w:r>
    </w:p>
    <w:p w14:paraId="3459ACD0" w14:textId="791B11D8" w:rsidR="000D6381" w:rsidRPr="000D6381" w:rsidRDefault="00585EFC" w:rsidP="000D6381">
      <w:pPr>
        <w:pBdr>
          <w:top w:val="single" w:sz="4" w:space="1" w:color="auto"/>
          <w:left w:val="single" w:sz="4" w:space="4" w:color="auto"/>
          <w:bottom w:val="single" w:sz="4" w:space="1" w:color="auto"/>
          <w:right w:val="single" w:sz="4" w:space="4" w:color="auto"/>
        </w:pBdr>
        <w:rPr>
          <w:b/>
          <w:bCs/>
          <w:szCs w:val="22"/>
          <w:lang w:val="es-ES"/>
        </w:rPr>
      </w:pPr>
      <w:r>
        <w:rPr>
          <w:b/>
          <w:lang w:val="es-ES"/>
        </w:rPr>
        <w:br w:type="page"/>
      </w:r>
      <w:r w:rsidR="000D6381" w:rsidRPr="000D6381">
        <w:rPr>
          <w:b/>
          <w:bCs/>
          <w:szCs w:val="22"/>
          <w:lang w:val="es-ES"/>
        </w:rPr>
        <w:lastRenderedPageBreak/>
        <w:t>INFORMACIÓN QUE DEBE FIGURAR EN EL EMBALAJE EXTERIOR</w:t>
      </w:r>
    </w:p>
    <w:p w14:paraId="58CEA5C0" w14:textId="77777777" w:rsidR="000D6381" w:rsidRDefault="000D6381" w:rsidP="00585EFC">
      <w:pPr>
        <w:pBdr>
          <w:top w:val="single" w:sz="4" w:space="1" w:color="auto"/>
          <w:left w:val="single" w:sz="4" w:space="4" w:color="auto"/>
          <w:bottom w:val="single" w:sz="4" w:space="1" w:color="auto"/>
          <w:right w:val="single" w:sz="4" w:space="4" w:color="auto"/>
        </w:pBdr>
        <w:rPr>
          <w:b/>
          <w:szCs w:val="22"/>
          <w:lang w:val="es-ES"/>
        </w:rPr>
      </w:pPr>
    </w:p>
    <w:p w14:paraId="529C9A08" w14:textId="48ED75D7" w:rsidR="00585EFC" w:rsidRPr="00883E95" w:rsidRDefault="00585EFC" w:rsidP="00585EFC">
      <w:pPr>
        <w:pBdr>
          <w:top w:val="single" w:sz="4" w:space="1" w:color="auto"/>
          <w:left w:val="single" w:sz="4" w:space="4" w:color="auto"/>
          <w:bottom w:val="single" w:sz="4" w:space="1" w:color="auto"/>
          <w:right w:val="single" w:sz="4" w:space="4" w:color="auto"/>
        </w:pBdr>
        <w:rPr>
          <w:bCs/>
          <w:szCs w:val="22"/>
          <w:lang w:val="es-ES"/>
        </w:rPr>
      </w:pPr>
      <w:r>
        <w:rPr>
          <w:b/>
          <w:szCs w:val="22"/>
          <w:lang w:val="es-ES"/>
        </w:rPr>
        <w:t>ESTUCHE DE LA PLUM</w:t>
      </w:r>
      <w:r w:rsidRPr="00883E95">
        <w:rPr>
          <w:b/>
          <w:szCs w:val="22"/>
          <w:lang w:val="es-ES"/>
        </w:rPr>
        <w:t>A PRECARGADA</w:t>
      </w:r>
      <w:r>
        <w:rPr>
          <w:b/>
          <w:szCs w:val="22"/>
          <w:lang w:val="es-ES"/>
        </w:rPr>
        <w:t xml:space="preserve"> </w:t>
      </w:r>
      <w:r w:rsidRPr="001E7230">
        <w:rPr>
          <w:b/>
          <w:szCs w:val="22"/>
          <w:lang w:val="es-ES"/>
        </w:rPr>
        <w:t xml:space="preserve">(SIN BLUE BOX) </w:t>
      </w:r>
      <w:r w:rsidR="007965EC">
        <w:rPr>
          <w:b/>
          <w:szCs w:val="22"/>
          <w:lang w:val="es-ES"/>
        </w:rPr>
        <w:t>–</w:t>
      </w:r>
      <w:r w:rsidRPr="001E7230">
        <w:rPr>
          <w:b/>
          <w:szCs w:val="22"/>
          <w:lang w:val="es-ES"/>
        </w:rPr>
        <w:t xml:space="preserve"> </w:t>
      </w:r>
      <w:r w:rsidR="007965EC">
        <w:rPr>
          <w:b/>
          <w:szCs w:val="22"/>
          <w:lang w:val="es-ES"/>
        </w:rPr>
        <w:t>Envase múltiple</w:t>
      </w:r>
    </w:p>
    <w:p w14:paraId="5CCDFFA5" w14:textId="77777777" w:rsidR="00585EFC" w:rsidRPr="00883E95" w:rsidRDefault="00585EFC" w:rsidP="00585EFC">
      <w:pPr>
        <w:rPr>
          <w:szCs w:val="22"/>
          <w:lang w:val="es-ES"/>
        </w:rPr>
      </w:pPr>
    </w:p>
    <w:p w14:paraId="65D53581" w14:textId="77777777" w:rsidR="00585EFC" w:rsidRPr="00883E95" w:rsidRDefault="00585EFC" w:rsidP="00585EFC">
      <w:pPr>
        <w:rPr>
          <w:szCs w:val="22"/>
          <w:lang w:val="es-ES"/>
        </w:rPr>
      </w:pPr>
    </w:p>
    <w:p w14:paraId="3F728A87"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w:t>
      </w:r>
      <w:r w:rsidRPr="00883E95">
        <w:rPr>
          <w:b/>
          <w:szCs w:val="22"/>
          <w:lang w:val="es-ES"/>
        </w:rPr>
        <w:tab/>
        <w:t>NOMBRE DEL MEDICAMENTO</w:t>
      </w:r>
    </w:p>
    <w:p w14:paraId="28392FC4" w14:textId="77777777" w:rsidR="00585EFC" w:rsidRPr="00883E95" w:rsidRDefault="00585EFC" w:rsidP="00585EFC">
      <w:pPr>
        <w:rPr>
          <w:szCs w:val="22"/>
          <w:lang w:val="es-ES"/>
        </w:rPr>
      </w:pPr>
    </w:p>
    <w:p w14:paraId="34EA3A0F" w14:textId="77777777" w:rsidR="00585EFC" w:rsidRPr="00883E95" w:rsidRDefault="00585EFC" w:rsidP="00585EFC">
      <w:pPr>
        <w:rPr>
          <w:iCs/>
          <w:szCs w:val="22"/>
          <w:lang w:val="es-ES"/>
        </w:rPr>
      </w:pPr>
      <w:r w:rsidRPr="00883E95">
        <w:rPr>
          <w:szCs w:val="22"/>
          <w:lang w:val="es-ES"/>
        </w:rPr>
        <w:t xml:space="preserve">RoActemra </w:t>
      </w:r>
      <w:r w:rsidRPr="00883E95">
        <w:rPr>
          <w:iCs/>
          <w:szCs w:val="22"/>
          <w:lang w:val="es-ES"/>
        </w:rPr>
        <w:t>162 m</w:t>
      </w:r>
      <w:r>
        <w:rPr>
          <w:iCs/>
          <w:szCs w:val="22"/>
          <w:lang w:val="es-ES"/>
        </w:rPr>
        <w:t>g, solución inyectable en plum</w:t>
      </w:r>
      <w:r w:rsidRPr="00883E95">
        <w:rPr>
          <w:iCs/>
          <w:szCs w:val="22"/>
          <w:lang w:val="es-ES"/>
        </w:rPr>
        <w:t>a precargada</w:t>
      </w:r>
      <w:r>
        <w:rPr>
          <w:iCs/>
          <w:szCs w:val="22"/>
          <w:lang w:val="es-ES"/>
        </w:rPr>
        <w:t>.</w:t>
      </w:r>
    </w:p>
    <w:p w14:paraId="18C232B5" w14:textId="77777777" w:rsidR="00585EFC" w:rsidRPr="00883E95" w:rsidRDefault="00585EFC" w:rsidP="00585EFC">
      <w:pPr>
        <w:rPr>
          <w:szCs w:val="22"/>
          <w:lang w:val="es-ES"/>
        </w:rPr>
      </w:pPr>
    </w:p>
    <w:p w14:paraId="6D201AC0" w14:textId="77777777" w:rsidR="00585EFC" w:rsidRPr="00C555F2" w:rsidRDefault="00194A4E" w:rsidP="00585EFC">
      <w:pPr>
        <w:rPr>
          <w:szCs w:val="22"/>
          <w:lang w:val="pt-BR"/>
        </w:rPr>
      </w:pPr>
      <w:r>
        <w:rPr>
          <w:szCs w:val="22"/>
          <w:lang w:val="pt-BR"/>
        </w:rPr>
        <w:t>t</w:t>
      </w:r>
      <w:r w:rsidR="00585EFC" w:rsidRPr="00C555F2">
        <w:rPr>
          <w:szCs w:val="22"/>
          <w:lang w:val="pt-BR"/>
        </w:rPr>
        <w:t>ocilizumab</w:t>
      </w:r>
    </w:p>
    <w:p w14:paraId="03AF1F28" w14:textId="77777777" w:rsidR="00585EFC" w:rsidRPr="00C555F2" w:rsidRDefault="00585EFC" w:rsidP="00585EFC">
      <w:pPr>
        <w:rPr>
          <w:szCs w:val="22"/>
          <w:lang w:val="pt-BR"/>
        </w:rPr>
      </w:pPr>
    </w:p>
    <w:p w14:paraId="704AE81E" w14:textId="77777777" w:rsidR="00585EFC" w:rsidRPr="00C555F2" w:rsidRDefault="00585EFC" w:rsidP="00585EFC">
      <w:pPr>
        <w:rPr>
          <w:szCs w:val="22"/>
          <w:lang w:val="pt-BR"/>
        </w:rPr>
      </w:pPr>
    </w:p>
    <w:p w14:paraId="04B7B5A5"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pt-BR"/>
        </w:rPr>
      </w:pPr>
      <w:r w:rsidRPr="00C555F2">
        <w:rPr>
          <w:b/>
          <w:szCs w:val="22"/>
          <w:lang w:val="pt-BR"/>
        </w:rPr>
        <w:t>2.</w:t>
      </w:r>
      <w:r w:rsidRPr="00C555F2">
        <w:rPr>
          <w:b/>
          <w:szCs w:val="22"/>
          <w:lang w:val="pt-BR"/>
        </w:rPr>
        <w:tab/>
        <w:t>PRINCIPIO</w:t>
      </w:r>
      <w:del w:id="2284" w:author="AUTHOR">
        <w:r w:rsidRPr="00C555F2" w:rsidDel="00541248">
          <w:rPr>
            <w:b/>
            <w:szCs w:val="22"/>
            <w:lang w:val="pt-BR"/>
          </w:rPr>
          <w:delText>(S)</w:delText>
        </w:r>
      </w:del>
      <w:r w:rsidRPr="00C555F2">
        <w:rPr>
          <w:b/>
          <w:szCs w:val="22"/>
          <w:lang w:val="pt-BR"/>
        </w:rPr>
        <w:t xml:space="preserve"> ACTIVO</w:t>
      </w:r>
      <w:del w:id="2285" w:author="AUTHOR">
        <w:r w:rsidRPr="00C555F2" w:rsidDel="00541248">
          <w:rPr>
            <w:b/>
            <w:szCs w:val="22"/>
            <w:lang w:val="pt-BR"/>
          </w:rPr>
          <w:delText>(S)</w:delText>
        </w:r>
      </w:del>
    </w:p>
    <w:p w14:paraId="16C04067" w14:textId="77777777" w:rsidR="00585EFC" w:rsidRPr="00C555F2" w:rsidRDefault="00585EFC" w:rsidP="00585EFC">
      <w:pPr>
        <w:rPr>
          <w:szCs w:val="22"/>
          <w:lang w:val="pt-BR"/>
        </w:rPr>
      </w:pPr>
    </w:p>
    <w:p w14:paraId="68737181" w14:textId="77777777" w:rsidR="00585EFC" w:rsidRPr="00C555F2" w:rsidRDefault="00585EFC" w:rsidP="00585EFC">
      <w:pPr>
        <w:rPr>
          <w:szCs w:val="22"/>
          <w:lang w:val="pt-BR"/>
        </w:rPr>
      </w:pPr>
      <w:r w:rsidRPr="00C555F2">
        <w:rPr>
          <w:szCs w:val="22"/>
          <w:lang w:val="pt-BR"/>
        </w:rPr>
        <w:t>1 pluma precargada contiene 162 mg de tocilizumab</w:t>
      </w:r>
    </w:p>
    <w:p w14:paraId="2FD643A5" w14:textId="77777777" w:rsidR="00585EFC" w:rsidRPr="00C555F2" w:rsidRDefault="00585EFC" w:rsidP="00585EFC">
      <w:pPr>
        <w:rPr>
          <w:szCs w:val="22"/>
          <w:lang w:val="pt-BR"/>
        </w:rPr>
      </w:pPr>
    </w:p>
    <w:p w14:paraId="49EDEC5B" w14:textId="77777777" w:rsidR="00585EFC" w:rsidRPr="00C555F2" w:rsidRDefault="00585EFC" w:rsidP="00585EFC">
      <w:pPr>
        <w:rPr>
          <w:szCs w:val="22"/>
          <w:lang w:val="pt-BR"/>
        </w:rPr>
      </w:pPr>
    </w:p>
    <w:p w14:paraId="4791299D"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pt-BR"/>
        </w:rPr>
      </w:pPr>
      <w:r w:rsidRPr="00C555F2">
        <w:rPr>
          <w:b/>
          <w:szCs w:val="22"/>
          <w:lang w:val="pt-BR"/>
        </w:rPr>
        <w:t>3.</w:t>
      </w:r>
      <w:r w:rsidRPr="00C555F2">
        <w:rPr>
          <w:b/>
          <w:szCs w:val="22"/>
          <w:lang w:val="pt-BR"/>
        </w:rPr>
        <w:tab/>
        <w:t>LISTA DE EXCIPIENTES</w:t>
      </w:r>
    </w:p>
    <w:p w14:paraId="26F63B9C" w14:textId="77777777" w:rsidR="00585EFC" w:rsidRPr="00C555F2" w:rsidRDefault="00585EFC" w:rsidP="00585EFC">
      <w:pPr>
        <w:rPr>
          <w:szCs w:val="22"/>
          <w:lang w:val="pt-BR"/>
        </w:rPr>
      </w:pPr>
    </w:p>
    <w:p w14:paraId="4F59A5C4" w14:textId="5C3892AB" w:rsidR="00585EFC" w:rsidRPr="00CD1F47" w:rsidRDefault="003534D8" w:rsidP="002D7489">
      <w:pPr>
        <w:outlineLvl w:val="0"/>
        <w:rPr>
          <w:bCs/>
          <w:szCs w:val="22"/>
          <w:lang w:val="pt-BR"/>
        </w:rPr>
      </w:pPr>
      <w:r>
        <w:rPr>
          <w:bCs/>
          <w:szCs w:val="22"/>
          <w:lang w:val="pt-BR"/>
        </w:rPr>
        <w:t xml:space="preserve">También contiene </w:t>
      </w:r>
      <w:r w:rsidR="00585EFC" w:rsidRPr="00CD1F47">
        <w:rPr>
          <w:bCs/>
          <w:szCs w:val="22"/>
          <w:lang w:val="pt-BR"/>
        </w:rPr>
        <w:t>L-</w:t>
      </w:r>
      <w:r>
        <w:rPr>
          <w:bCs/>
          <w:szCs w:val="22"/>
          <w:lang w:val="pt-BR"/>
        </w:rPr>
        <w:t>h</w:t>
      </w:r>
      <w:r w:rsidRPr="00CD1F47">
        <w:rPr>
          <w:bCs/>
          <w:szCs w:val="22"/>
          <w:lang w:val="pt-BR"/>
        </w:rPr>
        <w:t>istidina</w:t>
      </w:r>
      <w:r w:rsidR="00585EFC" w:rsidRPr="00CD1F47">
        <w:rPr>
          <w:bCs/>
          <w:szCs w:val="22"/>
          <w:lang w:val="pt-BR"/>
        </w:rPr>
        <w:t xml:space="preserve">, </w:t>
      </w:r>
      <w:r>
        <w:rPr>
          <w:bCs/>
          <w:szCs w:val="22"/>
          <w:lang w:val="pt-BR"/>
        </w:rPr>
        <w:t>m</w:t>
      </w:r>
      <w:r w:rsidRPr="00CD1F47">
        <w:rPr>
          <w:bCs/>
          <w:szCs w:val="22"/>
          <w:lang w:val="pt-BR"/>
        </w:rPr>
        <w:t xml:space="preserve">onohidrocloruro </w:t>
      </w:r>
      <w:r w:rsidR="00585EFC" w:rsidRPr="00CD1F47">
        <w:rPr>
          <w:bCs/>
          <w:szCs w:val="22"/>
          <w:lang w:val="pt-BR"/>
        </w:rPr>
        <w:t>de L-</w:t>
      </w:r>
      <w:r>
        <w:rPr>
          <w:bCs/>
          <w:szCs w:val="22"/>
          <w:lang w:val="pt-BR"/>
        </w:rPr>
        <w:t>h</w:t>
      </w:r>
      <w:r w:rsidRPr="00CD1F47">
        <w:rPr>
          <w:bCs/>
          <w:szCs w:val="22"/>
          <w:lang w:val="pt-BR"/>
        </w:rPr>
        <w:t xml:space="preserve">istidina </w:t>
      </w:r>
      <w:r w:rsidR="00585EFC" w:rsidRPr="00CD1F47">
        <w:rPr>
          <w:bCs/>
          <w:szCs w:val="22"/>
          <w:lang w:val="pt-BR"/>
        </w:rPr>
        <w:t xml:space="preserve">monohidrato, </w:t>
      </w:r>
      <w:r w:rsidR="00137C28" w:rsidRPr="00B947D0">
        <w:rPr>
          <w:highlight w:val="lightGray"/>
          <w:lang w:val="pt-BR"/>
        </w:rPr>
        <w:t>L-</w:t>
      </w:r>
      <w:r>
        <w:rPr>
          <w:highlight w:val="lightGray"/>
          <w:lang w:val="pt-BR"/>
        </w:rPr>
        <w:t>a</w:t>
      </w:r>
      <w:r w:rsidRPr="00B947D0">
        <w:rPr>
          <w:highlight w:val="lightGray"/>
          <w:lang w:val="pt-BR"/>
        </w:rPr>
        <w:t>rginina</w:t>
      </w:r>
      <w:r w:rsidR="00B947D0" w:rsidRPr="00B947D0">
        <w:rPr>
          <w:bCs/>
          <w:szCs w:val="22"/>
          <w:highlight w:val="lightGray"/>
          <w:lang w:val="pt-BR"/>
        </w:rPr>
        <w:t>/</w:t>
      </w:r>
      <w:r w:rsidR="00CA5466">
        <w:rPr>
          <w:bCs/>
          <w:szCs w:val="22"/>
          <w:lang w:val="pt-BR"/>
        </w:rPr>
        <w:t>h</w:t>
      </w:r>
      <w:r w:rsidR="00CA5466" w:rsidRPr="00CD1F47">
        <w:rPr>
          <w:bCs/>
          <w:szCs w:val="22"/>
          <w:lang w:val="pt-BR"/>
        </w:rPr>
        <w:t xml:space="preserve">idrocloruro </w:t>
      </w:r>
      <w:r w:rsidR="00585EFC" w:rsidRPr="00CD1F47">
        <w:rPr>
          <w:bCs/>
          <w:szCs w:val="22"/>
          <w:lang w:val="pt-BR"/>
        </w:rPr>
        <w:t xml:space="preserve">de </w:t>
      </w:r>
      <w:r w:rsidR="002D7489" w:rsidRPr="00CD1F47">
        <w:rPr>
          <w:bCs/>
          <w:szCs w:val="22"/>
          <w:lang w:val="pt-BR"/>
        </w:rPr>
        <w:t>L-</w:t>
      </w:r>
      <w:r w:rsidR="00CA5466">
        <w:rPr>
          <w:bCs/>
          <w:szCs w:val="22"/>
          <w:lang w:val="pt-BR"/>
        </w:rPr>
        <w:t>a</w:t>
      </w:r>
      <w:r w:rsidR="00CA5466" w:rsidRPr="00CD1F47">
        <w:rPr>
          <w:bCs/>
          <w:szCs w:val="22"/>
          <w:lang w:val="pt-BR"/>
        </w:rPr>
        <w:t xml:space="preserve">rginina </w:t>
      </w:r>
      <w:r w:rsidR="002D7489" w:rsidRPr="00CD1F47">
        <w:rPr>
          <w:bCs/>
          <w:szCs w:val="22"/>
          <w:lang w:val="pt-BR"/>
        </w:rPr>
        <w:t>, L-</w:t>
      </w:r>
      <w:r w:rsidR="00CA5466">
        <w:rPr>
          <w:bCs/>
          <w:szCs w:val="22"/>
          <w:lang w:val="pt-BR"/>
        </w:rPr>
        <w:t>m</w:t>
      </w:r>
      <w:r w:rsidR="00CA5466" w:rsidRPr="00CD1F47">
        <w:rPr>
          <w:bCs/>
          <w:szCs w:val="22"/>
          <w:lang w:val="pt-BR"/>
        </w:rPr>
        <w:t>etionina</w:t>
      </w:r>
      <w:r w:rsidR="002D7489" w:rsidRPr="00CD1F47">
        <w:rPr>
          <w:bCs/>
          <w:szCs w:val="22"/>
          <w:lang w:val="pt-BR"/>
        </w:rPr>
        <w:t xml:space="preserve">, </w:t>
      </w:r>
      <w:r w:rsidR="00CA5466">
        <w:rPr>
          <w:bCs/>
          <w:szCs w:val="22"/>
          <w:lang w:val="pt-BR"/>
        </w:rPr>
        <w:t>p</w:t>
      </w:r>
      <w:r w:rsidR="00CA5466" w:rsidRPr="00CD1F47">
        <w:rPr>
          <w:bCs/>
          <w:szCs w:val="22"/>
          <w:lang w:val="pt-BR"/>
        </w:rPr>
        <w:t xml:space="preserve">olisorbato </w:t>
      </w:r>
      <w:r w:rsidR="002D7489" w:rsidRPr="00CD1F47">
        <w:rPr>
          <w:bCs/>
          <w:szCs w:val="22"/>
          <w:lang w:val="pt-BR"/>
        </w:rPr>
        <w:t xml:space="preserve">80, </w:t>
      </w:r>
      <w:r w:rsidR="00CA5466">
        <w:rPr>
          <w:bCs/>
          <w:szCs w:val="22"/>
          <w:lang w:val="pt-BR"/>
        </w:rPr>
        <w:t>a</w:t>
      </w:r>
      <w:r w:rsidR="00CA5466" w:rsidRPr="00CD1F47">
        <w:rPr>
          <w:bCs/>
          <w:szCs w:val="22"/>
          <w:lang w:val="pt-BR"/>
        </w:rPr>
        <w:t xml:space="preserve">gua </w:t>
      </w:r>
      <w:r w:rsidR="002D7489" w:rsidRPr="00CD1F47">
        <w:rPr>
          <w:bCs/>
          <w:szCs w:val="22"/>
          <w:lang w:val="pt-BR"/>
        </w:rPr>
        <w:t xml:space="preserve">para preparaciones inyectables. </w:t>
      </w:r>
      <w:r w:rsidRPr="00467FFD">
        <w:rPr>
          <w:bCs/>
          <w:szCs w:val="22"/>
          <w:highlight w:val="lightGray"/>
          <w:lang w:val="pt-BR"/>
          <w:rPrChange w:id="2286" w:author="AUTHOR">
            <w:rPr>
              <w:bCs/>
              <w:szCs w:val="22"/>
              <w:lang w:val="pt-BR"/>
            </w:rPr>
          </w:rPrChange>
        </w:rPr>
        <w:t>Para mayor información consultar el prospecto</w:t>
      </w:r>
    </w:p>
    <w:p w14:paraId="3D391EBA" w14:textId="77777777" w:rsidR="00585EFC" w:rsidRPr="00CD1F47" w:rsidRDefault="00585EFC" w:rsidP="00585EFC">
      <w:pPr>
        <w:rPr>
          <w:szCs w:val="22"/>
          <w:lang w:val="pt-BR"/>
        </w:rPr>
      </w:pPr>
    </w:p>
    <w:p w14:paraId="535CAD32" w14:textId="77777777" w:rsidR="00585EFC" w:rsidRPr="00CD1F47" w:rsidRDefault="00585EFC" w:rsidP="00585EFC">
      <w:pPr>
        <w:rPr>
          <w:szCs w:val="22"/>
          <w:lang w:val="pt-BR"/>
        </w:rPr>
      </w:pPr>
    </w:p>
    <w:p w14:paraId="256D3906"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4.</w:t>
      </w:r>
      <w:r w:rsidRPr="00883E95">
        <w:rPr>
          <w:b/>
          <w:szCs w:val="22"/>
          <w:lang w:val="es-ES"/>
        </w:rPr>
        <w:tab/>
        <w:t>FORMA FARMACÉUTICA Y CONTENIDO DEL ENVASE</w:t>
      </w:r>
    </w:p>
    <w:p w14:paraId="6A315732" w14:textId="77777777" w:rsidR="00585EFC" w:rsidRPr="00883E95" w:rsidRDefault="00585EFC" w:rsidP="00585EFC">
      <w:pPr>
        <w:rPr>
          <w:szCs w:val="22"/>
          <w:lang w:val="es-ES"/>
        </w:rPr>
      </w:pPr>
    </w:p>
    <w:p w14:paraId="01EB05F7" w14:textId="23E9E69A" w:rsidR="00585EFC" w:rsidRPr="00C555F2" w:rsidRDefault="00585EFC" w:rsidP="00585EFC">
      <w:pPr>
        <w:rPr>
          <w:szCs w:val="22"/>
          <w:lang w:val="es-ES"/>
        </w:rPr>
      </w:pPr>
      <w:r w:rsidRPr="00F30AB8">
        <w:rPr>
          <w:szCs w:val="22"/>
          <w:highlight w:val="lightGray"/>
          <w:lang w:val="es-ES"/>
        </w:rPr>
        <w:t>Solución inyectable</w:t>
      </w:r>
    </w:p>
    <w:p w14:paraId="30507E51" w14:textId="77777777" w:rsidR="00585EFC" w:rsidRPr="00883E95" w:rsidRDefault="00585EFC" w:rsidP="00585EFC">
      <w:pPr>
        <w:tabs>
          <w:tab w:val="left" w:pos="284"/>
          <w:tab w:val="left" w:pos="567"/>
        </w:tabs>
        <w:rPr>
          <w:szCs w:val="22"/>
          <w:lang w:val="es-ES"/>
        </w:rPr>
      </w:pPr>
      <w:r>
        <w:rPr>
          <w:szCs w:val="22"/>
          <w:lang w:val="es-ES"/>
        </w:rPr>
        <w:t>4 plum</w:t>
      </w:r>
      <w:r w:rsidRPr="00883E95">
        <w:rPr>
          <w:szCs w:val="22"/>
          <w:lang w:val="es-ES"/>
        </w:rPr>
        <w:t>as precargadas</w:t>
      </w:r>
      <w:r w:rsidR="003534D8">
        <w:rPr>
          <w:szCs w:val="22"/>
          <w:lang w:val="es-ES"/>
        </w:rPr>
        <w:t xml:space="preserve"> </w:t>
      </w:r>
      <w:r w:rsidR="003534D8" w:rsidRPr="006B06CC">
        <w:rPr>
          <w:szCs w:val="22"/>
          <w:lang w:val="es-ES"/>
        </w:rPr>
        <w:t>ACTP</w:t>
      </w:r>
      <w:r w:rsidR="003534D8">
        <w:rPr>
          <w:szCs w:val="22"/>
          <w:lang w:val="es-ES"/>
        </w:rPr>
        <w:t>luma</w:t>
      </w:r>
      <w:r>
        <w:rPr>
          <w:szCs w:val="22"/>
          <w:lang w:val="es-ES"/>
        </w:rPr>
        <w:t xml:space="preserve">. </w:t>
      </w:r>
      <w:r w:rsidRPr="00A73C15">
        <w:rPr>
          <w:szCs w:val="22"/>
          <w:lang w:val="es-ES"/>
        </w:rPr>
        <w:t>L</w:t>
      </w:r>
      <w:r w:rsidR="00A97AEF">
        <w:rPr>
          <w:szCs w:val="22"/>
          <w:lang w:val="es-ES"/>
        </w:rPr>
        <w:t>as subunidades</w:t>
      </w:r>
      <w:r w:rsidRPr="00A73C15">
        <w:rPr>
          <w:szCs w:val="22"/>
          <w:lang w:val="es-ES"/>
        </w:rPr>
        <w:t xml:space="preserve"> del </w:t>
      </w:r>
      <w:r w:rsidR="007965EC">
        <w:rPr>
          <w:szCs w:val="22"/>
          <w:lang w:val="es-ES"/>
        </w:rPr>
        <w:t>envase múltiple</w:t>
      </w:r>
      <w:r w:rsidRPr="00A73C15">
        <w:rPr>
          <w:szCs w:val="22"/>
          <w:lang w:val="es-ES"/>
        </w:rPr>
        <w:t xml:space="preserve"> no </w:t>
      </w:r>
      <w:r w:rsidR="00A97AEF">
        <w:rPr>
          <w:szCs w:val="22"/>
          <w:lang w:val="es-ES"/>
        </w:rPr>
        <w:t>pueden</w:t>
      </w:r>
      <w:r w:rsidRPr="00A73C15">
        <w:rPr>
          <w:szCs w:val="22"/>
          <w:lang w:val="es-ES"/>
        </w:rPr>
        <w:t xml:space="preserve"> vende</w:t>
      </w:r>
      <w:r w:rsidR="00A97AEF">
        <w:rPr>
          <w:szCs w:val="22"/>
          <w:lang w:val="es-ES"/>
        </w:rPr>
        <w:t>rse</w:t>
      </w:r>
      <w:r w:rsidRPr="00A73C15">
        <w:rPr>
          <w:szCs w:val="22"/>
          <w:lang w:val="es-ES"/>
        </w:rPr>
        <w:t xml:space="preserve"> por separado</w:t>
      </w:r>
    </w:p>
    <w:p w14:paraId="1B0ABC00" w14:textId="77777777" w:rsidR="00585EFC" w:rsidRPr="00686B43" w:rsidRDefault="00585EFC" w:rsidP="00585EFC">
      <w:pPr>
        <w:tabs>
          <w:tab w:val="left" w:pos="284"/>
          <w:tab w:val="left" w:pos="567"/>
        </w:tabs>
        <w:rPr>
          <w:szCs w:val="22"/>
          <w:lang w:val="es-ES"/>
        </w:rPr>
      </w:pPr>
      <w:r w:rsidRPr="00686B43">
        <w:rPr>
          <w:szCs w:val="22"/>
          <w:lang w:val="es-ES"/>
        </w:rPr>
        <w:t>162 mg/0</w:t>
      </w:r>
      <w:r>
        <w:rPr>
          <w:szCs w:val="22"/>
          <w:lang w:val="es-ES"/>
        </w:rPr>
        <w:t>,</w:t>
      </w:r>
      <w:r w:rsidRPr="00686B43">
        <w:rPr>
          <w:szCs w:val="22"/>
          <w:lang w:val="es-ES"/>
        </w:rPr>
        <w:t>9 ml</w:t>
      </w:r>
    </w:p>
    <w:p w14:paraId="05DB1CED" w14:textId="77777777" w:rsidR="00585EFC" w:rsidRPr="00883E95" w:rsidRDefault="00585EFC" w:rsidP="00585EFC">
      <w:pPr>
        <w:rPr>
          <w:szCs w:val="22"/>
          <w:lang w:val="es-ES"/>
        </w:rPr>
      </w:pPr>
    </w:p>
    <w:p w14:paraId="41F16A2B" w14:textId="77777777" w:rsidR="00585EFC" w:rsidRPr="00883E95" w:rsidRDefault="00585EFC" w:rsidP="00585EFC">
      <w:pPr>
        <w:rPr>
          <w:szCs w:val="22"/>
          <w:lang w:val="es-ES"/>
        </w:rPr>
      </w:pPr>
    </w:p>
    <w:p w14:paraId="6582C4B1"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5.</w:t>
      </w:r>
      <w:r w:rsidRPr="00883E95">
        <w:rPr>
          <w:b/>
          <w:szCs w:val="22"/>
          <w:lang w:val="es-ES"/>
        </w:rPr>
        <w:tab/>
        <w:t>FORMA Y VÍA</w:t>
      </w:r>
      <w:del w:id="2287" w:author="AUTHOR">
        <w:r w:rsidRPr="00883E95" w:rsidDel="00541248">
          <w:rPr>
            <w:b/>
            <w:szCs w:val="22"/>
            <w:lang w:val="es-ES"/>
          </w:rPr>
          <w:delText>(S)</w:delText>
        </w:r>
      </w:del>
      <w:r w:rsidRPr="00883E95">
        <w:rPr>
          <w:b/>
          <w:szCs w:val="22"/>
          <w:lang w:val="es-ES"/>
        </w:rPr>
        <w:t xml:space="preserve"> DE ADMINISTRACI</w:t>
      </w:r>
      <w:r>
        <w:rPr>
          <w:b/>
          <w:szCs w:val="22"/>
          <w:lang w:val="es-ES"/>
        </w:rPr>
        <w:t>ÓN</w:t>
      </w:r>
    </w:p>
    <w:p w14:paraId="64C0A8AB" w14:textId="77777777" w:rsidR="00585EFC" w:rsidRPr="00883E95" w:rsidRDefault="00585EFC" w:rsidP="00585EFC">
      <w:pPr>
        <w:rPr>
          <w:i/>
          <w:szCs w:val="22"/>
          <w:lang w:val="es-ES"/>
        </w:rPr>
      </w:pPr>
    </w:p>
    <w:p w14:paraId="4E139750" w14:textId="77777777" w:rsidR="00585EFC" w:rsidRPr="00883E95" w:rsidRDefault="00585EFC" w:rsidP="00585EFC">
      <w:pPr>
        <w:tabs>
          <w:tab w:val="left" w:pos="284"/>
          <w:tab w:val="left" w:pos="567"/>
        </w:tabs>
        <w:outlineLvl w:val="0"/>
        <w:rPr>
          <w:szCs w:val="22"/>
          <w:lang w:val="es-ES"/>
        </w:rPr>
      </w:pPr>
      <w:r w:rsidRPr="00883E95">
        <w:rPr>
          <w:szCs w:val="22"/>
          <w:lang w:val="es-ES"/>
        </w:rPr>
        <w:t>Vía subcutánea</w:t>
      </w:r>
      <w:r>
        <w:rPr>
          <w:szCs w:val="22"/>
          <w:lang w:val="es-ES"/>
        </w:rPr>
        <w:t>.</w:t>
      </w:r>
    </w:p>
    <w:p w14:paraId="60A0C72E" w14:textId="77777777" w:rsidR="00585EFC" w:rsidRPr="00883E95" w:rsidRDefault="00585EFC" w:rsidP="00585EFC">
      <w:pPr>
        <w:rPr>
          <w:szCs w:val="22"/>
          <w:lang w:val="es-ES"/>
        </w:rPr>
      </w:pPr>
      <w:r w:rsidRPr="00883E95">
        <w:rPr>
          <w:szCs w:val="22"/>
          <w:lang w:val="es-ES"/>
        </w:rPr>
        <w:t xml:space="preserve">Leer el prospecto antes de </w:t>
      </w:r>
      <w:r w:rsidRPr="00415850">
        <w:rPr>
          <w:szCs w:val="22"/>
          <w:lang w:val="es-ES"/>
        </w:rPr>
        <w:t>utiliz</w:t>
      </w:r>
      <w:r>
        <w:rPr>
          <w:szCs w:val="22"/>
          <w:lang w:val="es-ES"/>
        </w:rPr>
        <w:t>a</w:t>
      </w:r>
      <w:r w:rsidRPr="00883E95">
        <w:rPr>
          <w:szCs w:val="22"/>
          <w:lang w:val="es-ES"/>
        </w:rPr>
        <w:t>r este medicamento</w:t>
      </w:r>
      <w:r>
        <w:rPr>
          <w:szCs w:val="22"/>
          <w:lang w:val="es-ES"/>
        </w:rPr>
        <w:t>.</w:t>
      </w:r>
    </w:p>
    <w:p w14:paraId="130617DD" w14:textId="77777777" w:rsidR="00585EFC" w:rsidRPr="00883E95" w:rsidRDefault="00585EFC" w:rsidP="00585EFC">
      <w:pPr>
        <w:rPr>
          <w:szCs w:val="22"/>
          <w:lang w:val="es-ES"/>
        </w:rPr>
      </w:pPr>
    </w:p>
    <w:p w14:paraId="6BCE3F31" w14:textId="77777777" w:rsidR="00585EFC" w:rsidRPr="00883E95" w:rsidRDefault="00585EFC" w:rsidP="00585EFC">
      <w:pPr>
        <w:rPr>
          <w:szCs w:val="22"/>
          <w:lang w:val="es-ES"/>
        </w:rPr>
      </w:pPr>
    </w:p>
    <w:p w14:paraId="625B26B2"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6.</w:t>
      </w:r>
      <w:r w:rsidRPr="00883E95">
        <w:rPr>
          <w:b/>
          <w:szCs w:val="22"/>
          <w:lang w:val="es-ES"/>
        </w:rPr>
        <w:tab/>
        <w:t>ADVERTENCIA ESPECIAL DE QUE EL MEDICAMENTO DEBE MANTENERSE FUERA DE LA VISTA Y DEL ALCANCE DE LOS NIÑOS</w:t>
      </w:r>
    </w:p>
    <w:p w14:paraId="5DE86A15" w14:textId="77777777" w:rsidR="00585EFC" w:rsidRPr="00883E95" w:rsidRDefault="00585EFC" w:rsidP="00585EFC">
      <w:pPr>
        <w:rPr>
          <w:szCs w:val="22"/>
          <w:lang w:val="es-ES"/>
        </w:rPr>
      </w:pPr>
    </w:p>
    <w:p w14:paraId="383A854A" w14:textId="77777777" w:rsidR="00585EFC" w:rsidRPr="00883E95" w:rsidRDefault="00585EFC" w:rsidP="00585EFC">
      <w:pPr>
        <w:outlineLvl w:val="0"/>
        <w:rPr>
          <w:szCs w:val="22"/>
          <w:lang w:val="es-ES"/>
        </w:rPr>
      </w:pPr>
      <w:r w:rsidRPr="00883E95">
        <w:rPr>
          <w:szCs w:val="22"/>
          <w:lang w:val="es-ES"/>
        </w:rPr>
        <w:t>Mantener fuera de la vista y del alcance de los niños</w:t>
      </w:r>
      <w:r>
        <w:rPr>
          <w:szCs w:val="22"/>
          <w:lang w:val="es-ES"/>
        </w:rPr>
        <w:t>.</w:t>
      </w:r>
    </w:p>
    <w:p w14:paraId="381843AC" w14:textId="77777777" w:rsidR="00585EFC" w:rsidRPr="00883E95" w:rsidRDefault="00585EFC" w:rsidP="00585EFC">
      <w:pPr>
        <w:rPr>
          <w:szCs w:val="22"/>
          <w:lang w:val="es-ES"/>
        </w:rPr>
      </w:pPr>
    </w:p>
    <w:p w14:paraId="15E8E485" w14:textId="77777777" w:rsidR="00585EFC" w:rsidRPr="00883E95" w:rsidRDefault="00585EFC" w:rsidP="00585EFC">
      <w:pPr>
        <w:rPr>
          <w:szCs w:val="22"/>
          <w:lang w:val="es-ES"/>
        </w:rPr>
      </w:pPr>
    </w:p>
    <w:p w14:paraId="22937D49"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7.</w:t>
      </w:r>
      <w:r w:rsidRPr="00883E95">
        <w:rPr>
          <w:b/>
          <w:szCs w:val="22"/>
          <w:lang w:val="es-ES"/>
        </w:rPr>
        <w:tab/>
        <w:t>OTRA(S) ADVERTENCIA(S) ESPECIAL(ES), SI ES NECESARIO</w:t>
      </w:r>
    </w:p>
    <w:p w14:paraId="0F3A317D" w14:textId="77777777" w:rsidR="00585EFC" w:rsidRPr="00883E95" w:rsidRDefault="00585EFC" w:rsidP="00585EFC">
      <w:pPr>
        <w:rPr>
          <w:szCs w:val="22"/>
          <w:lang w:val="es-ES"/>
        </w:rPr>
      </w:pPr>
    </w:p>
    <w:p w14:paraId="46894554" w14:textId="77777777" w:rsidR="00585EFC" w:rsidRPr="00883E95" w:rsidRDefault="00585EFC" w:rsidP="00585EFC">
      <w:pPr>
        <w:rPr>
          <w:szCs w:val="22"/>
          <w:lang w:val="es-ES"/>
        </w:rPr>
      </w:pPr>
      <w:r w:rsidRPr="00883E95">
        <w:rPr>
          <w:szCs w:val="22"/>
          <w:lang w:val="es-ES"/>
        </w:rPr>
        <w:t xml:space="preserve">Antes de su uso, deje que la </w:t>
      </w:r>
      <w:r>
        <w:rPr>
          <w:szCs w:val="22"/>
          <w:lang w:val="es-ES"/>
        </w:rPr>
        <w:t>plum</w:t>
      </w:r>
      <w:r w:rsidRPr="00883E95">
        <w:rPr>
          <w:szCs w:val="22"/>
          <w:lang w:val="es-ES"/>
        </w:rPr>
        <w:t>a</w:t>
      </w:r>
      <w:r>
        <w:rPr>
          <w:szCs w:val="22"/>
          <w:lang w:val="es-ES"/>
        </w:rPr>
        <w:t xml:space="preserve"> precargada</w:t>
      </w:r>
      <w:r w:rsidRPr="00883E95">
        <w:rPr>
          <w:szCs w:val="22"/>
          <w:lang w:val="es-ES"/>
        </w:rPr>
        <w:t xml:space="preserve"> alcance la </w:t>
      </w:r>
      <w:r w:rsidRPr="00415850">
        <w:rPr>
          <w:szCs w:val="22"/>
          <w:lang w:val="es-ES"/>
        </w:rPr>
        <w:t>temperatur</w:t>
      </w:r>
      <w:r>
        <w:rPr>
          <w:szCs w:val="22"/>
          <w:lang w:val="es-ES"/>
        </w:rPr>
        <w:t>a</w:t>
      </w:r>
      <w:r w:rsidRPr="00883E95">
        <w:rPr>
          <w:szCs w:val="22"/>
          <w:lang w:val="es-ES"/>
        </w:rPr>
        <w:t xml:space="preserve"> ambiente fuera de la caja durante </w:t>
      </w:r>
      <w:r>
        <w:rPr>
          <w:szCs w:val="22"/>
          <w:lang w:val="es-ES"/>
        </w:rPr>
        <w:t>4</w:t>
      </w:r>
      <w:r w:rsidRPr="00883E95">
        <w:rPr>
          <w:szCs w:val="22"/>
          <w:lang w:val="es-ES"/>
        </w:rPr>
        <w:t>5 minutos</w:t>
      </w:r>
      <w:r>
        <w:rPr>
          <w:szCs w:val="22"/>
          <w:lang w:val="es-ES"/>
        </w:rPr>
        <w:t>.</w:t>
      </w:r>
    </w:p>
    <w:p w14:paraId="1B3574D8" w14:textId="77777777" w:rsidR="00585EFC" w:rsidRDefault="00585EFC" w:rsidP="00585EFC">
      <w:pPr>
        <w:rPr>
          <w:szCs w:val="22"/>
          <w:lang w:val="es-ES"/>
        </w:rPr>
      </w:pPr>
    </w:p>
    <w:p w14:paraId="6CD04753" w14:textId="77777777" w:rsidR="00585EFC" w:rsidRPr="00883E95" w:rsidRDefault="00585EFC" w:rsidP="00585EFC">
      <w:pPr>
        <w:rPr>
          <w:szCs w:val="22"/>
          <w:lang w:val="es-ES"/>
        </w:rPr>
      </w:pPr>
    </w:p>
    <w:p w14:paraId="0D4D3896" w14:textId="77777777" w:rsidR="00585EFC" w:rsidRPr="00686B43"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686B43">
        <w:rPr>
          <w:b/>
          <w:szCs w:val="22"/>
          <w:lang w:val="es-ES"/>
        </w:rPr>
        <w:t>8.</w:t>
      </w:r>
      <w:r w:rsidRPr="00686B43">
        <w:rPr>
          <w:b/>
          <w:szCs w:val="22"/>
          <w:lang w:val="es-ES"/>
        </w:rPr>
        <w:tab/>
        <w:t>FECHA DE CADUCIDAD</w:t>
      </w:r>
    </w:p>
    <w:p w14:paraId="668088AA" w14:textId="77777777" w:rsidR="00585EFC" w:rsidRPr="00686B43" w:rsidRDefault="00585EFC" w:rsidP="00585EFC">
      <w:pPr>
        <w:rPr>
          <w:szCs w:val="22"/>
          <w:lang w:val="es-ES"/>
        </w:rPr>
      </w:pPr>
    </w:p>
    <w:p w14:paraId="6C07C81C" w14:textId="5F406741" w:rsidR="00585EFC" w:rsidRPr="00686B43" w:rsidRDefault="00DE55C8" w:rsidP="00585EFC">
      <w:pPr>
        <w:rPr>
          <w:szCs w:val="22"/>
          <w:lang w:val="es-ES"/>
        </w:rPr>
      </w:pPr>
      <w:r>
        <w:rPr>
          <w:szCs w:val="22"/>
          <w:lang w:val="es-ES"/>
        </w:rPr>
        <w:t>EXP</w:t>
      </w:r>
    </w:p>
    <w:p w14:paraId="0194B8A9" w14:textId="77777777" w:rsidR="00585EFC" w:rsidRPr="00883E95" w:rsidRDefault="00585EFC" w:rsidP="00585EFC">
      <w:pPr>
        <w:rPr>
          <w:szCs w:val="22"/>
          <w:lang w:val="es-ES"/>
        </w:rPr>
      </w:pPr>
    </w:p>
    <w:p w14:paraId="417CE0D2" w14:textId="77777777" w:rsidR="00585EFC" w:rsidRPr="00883E95" w:rsidRDefault="00585EFC" w:rsidP="00585EFC">
      <w:pPr>
        <w:rPr>
          <w:szCs w:val="22"/>
          <w:lang w:val="es-ES"/>
        </w:rPr>
      </w:pPr>
    </w:p>
    <w:p w14:paraId="6EC99F52" w14:textId="77777777" w:rsidR="00585EFC" w:rsidRPr="00883E95" w:rsidRDefault="00585EFC" w:rsidP="00585EFC">
      <w:pPr>
        <w:keepNext/>
        <w:keepLines/>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lastRenderedPageBreak/>
        <w:t>9.</w:t>
      </w:r>
      <w:r w:rsidRPr="00883E95">
        <w:rPr>
          <w:b/>
          <w:szCs w:val="22"/>
          <w:lang w:val="es-ES"/>
        </w:rPr>
        <w:tab/>
        <w:t>CONDICIONES ESPECIALES DE CONSERVACIÓN</w:t>
      </w:r>
    </w:p>
    <w:p w14:paraId="47F1F996" w14:textId="77777777" w:rsidR="00585EFC" w:rsidRPr="00883E95" w:rsidRDefault="00585EFC" w:rsidP="00585EFC">
      <w:pPr>
        <w:keepNext/>
        <w:keepLines/>
        <w:ind w:left="567" w:hanging="567"/>
        <w:rPr>
          <w:szCs w:val="22"/>
          <w:lang w:val="es-ES"/>
        </w:rPr>
      </w:pPr>
    </w:p>
    <w:p w14:paraId="2900BF71" w14:textId="77777777" w:rsidR="00585EFC" w:rsidRPr="00883E95" w:rsidRDefault="00585EFC" w:rsidP="00585EFC">
      <w:pPr>
        <w:keepNext/>
        <w:keepLines/>
        <w:rPr>
          <w:szCs w:val="22"/>
          <w:lang w:val="es-ES"/>
        </w:rPr>
      </w:pPr>
      <w:r w:rsidRPr="00883E95">
        <w:rPr>
          <w:szCs w:val="22"/>
          <w:lang w:val="es-ES"/>
        </w:rPr>
        <w:t xml:space="preserve">Conservar en nevera </w:t>
      </w:r>
    </w:p>
    <w:p w14:paraId="1CBD24A0" w14:textId="77777777" w:rsidR="00363FFA" w:rsidRDefault="00585EFC" w:rsidP="00585EFC">
      <w:pPr>
        <w:rPr>
          <w:lang w:val="es-ES"/>
        </w:rPr>
      </w:pPr>
      <w:r w:rsidRPr="00883E95">
        <w:rPr>
          <w:szCs w:val="22"/>
          <w:lang w:val="es-ES"/>
        </w:rPr>
        <w:t>No congelar</w:t>
      </w:r>
    </w:p>
    <w:p w14:paraId="1F32C80C" w14:textId="77777777" w:rsidR="00004756" w:rsidRPr="00883E95" w:rsidRDefault="00004756" w:rsidP="00004756">
      <w:pPr>
        <w:rPr>
          <w:szCs w:val="22"/>
          <w:lang w:val="es-ES"/>
        </w:rPr>
      </w:pPr>
      <w:r w:rsidRPr="00004756">
        <w:rPr>
          <w:lang w:val="es-ES_tradnl"/>
        </w:rPr>
        <w:t xml:space="preserve"> </w:t>
      </w:r>
      <w:r w:rsidRPr="00363FFA">
        <w:rPr>
          <w:lang w:val="es-ES_tradnl"/>
        </w:rPr>
        <w:t xml:space="preserve">Una vez fuera de la nevera, </w:t>
      </w:r>
      <w:r>
        <w:rPr>
          <w:lang w:val="es-ES_tradnl"/>
        </w:rPr>
        <w:t>la pluma precargada</w:t>
      </w:r>
      <w:r w:rsidRPr="00363FFA">
        <w:rPr>
          <w:lang w:val="es-ES_tradnl"/>
        </w:rPr>
        <w:t xml:space="preserve"> </w:t>
      </w:r>
      <w:r>
        <w:rPr>
          <w:lang w:val="es-ES_tradnl"/>
        </w:rPr>
        <w:t>se puede conservar hasta 2 semanas a una temperatura igual o inferior</w:t>
      </w:r>
      <w:r w:rsidRPr="00363FFA">
        <w:rPr>
          <w:lang w:val="es-ES_tradnl"/>
        </w:rPr>
        <w:t xml:space="preserve"> </w:t>
      </w:r>
      <w:r>
        <w:rPr>
          <w:lang w:val="es-ES_tradnl"/>
        </w:rPr>
        <w:t xml:space="preserve">a </w:t>
      </w:r>
      <w:r w:rsidRPr="00363FFA">
        <w:rPr>
          <w:lang w:val="es-ES_tradnl"/>
        </w:rPr>
        <w:t>30ºC</w:t>
      </w:r>
    </w:p>
    <w:p w14:paraId="7A31377E" w14:textId="77777777" w:rsidR="00585EFC" w:rsidRPr="00883E95" w:rsidRDefault="00585EFC" w:rsidP="00585EFC">
      <w:pPr>
        <w:rPr>
          <w:b/>
          <w:bCs/>
          <w:szCs w:val="22"/>
          <w:lang w:val="es-ES" w:eastAsia="zh-TW"/>
        </w:rPr>
      </w:pPr>
      <w:r w:rsidRPr="00883E95">
        <w:rPr>
          <w:szCs w:val="22"/>
          <w:lang w:val="es-ES"/>
        </w:rPr>
        <w:t>Conservar la</w:t>
      </w:r>
      <w:r>
        <w:rPr>
          <w:szCs w:val="22"/>
          <w:lang w:val="es-ES"/>
        </w:rPr>
        <w:t xml:space="preserve"> plum</w:t>
      </w:r>
      <w:r w:rsidRPr="00883E95">
        <w:rPr>
          <w:szCs w:val="22"/>
          <w:lang w:val="es-ES"/>
        </w:rPr>
        <w:t>a preca</w:t>
      </w:r>
      <w:r w:rsidRPr="00415850">
        <w:rPr>
          <w:szCs w:val="22"/>
          <w:lang w:val="es-ES"/>
        </w:rPr>
        <w:t xml:space="preserve">rgada en el </w:t>
      </w:r>
      <w:r>
        <w:rPr>
          <w:szCs w:val="22"/>
          <w:lang w:val="es-ES"/>
        </w:rPr>
        <w:t>e</w:t>
      </w:r>
      <w:r w:rsidRPr="00883E95">
        <w:rPr>
          <w:szCs w:val="22"/>
          <w:lang w:val="es-ES"/>
        </w:rPr>
        <w:t>mbalaje exterior para proteger</w:t>
      </w:r>
      <w:r w:rsidR="007965EC">
        <w:rPr>
          <w:szCs w:val="22"/>
          <w:lang w:val="es-ES"/>
        </w:rPr>
        <w:t>la</w:t>
      </w:r>
      <w:r w:rsidRPr="00883E95">
        <w:rPr>
          <w:szCs w:val="22"/>
          <w:lang w:val="es-ES"/>
        </w:rPr>
        <w:t xml:space="preserve"> de la luz y la humedad.</w:t>
      </w:r>
    </w:p>
    <w:p w14:paraId="4D2AD362" w14:textId="77777777" w:rsidR="00585EFC" w:rsidRPr="00883E95" w:rsidRDefault="00585EFC" w:rsidP="00585EFC">
      <w:pPr>
        <w:ind w:left="567" w:hanging="567"/>
        <w:rPr>
          <w:szCs w:val="22"/>
          <w:lang w:val="es-ES"/>
        </w:rPr>
      </w:pPr>
    </w:p>
    <w:p w14:paraId="7EFC451E" w14:textId="77777777" w:rsidR="00585EFC" w:rsidRPr="00883E95" w:rsidRDefault="00585EFC" w:rsidP="00585EFC">
      <w:pPr>
        <w:ind w:left="567" w:hanging="567"/>
        <w:rPr>
          <w:szCs w:val="22"/>
          <w:lang w:val="es-ES"/>
        </w:rPr>
      </w:pPr>
    </w:p>
    <w:p w14:paraId="2EF48D08"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883E95">
        <w:rPr>
          <w:b/>
          <w:szCs w:val="22"/>
          <w:lang w:val="es-ES"/>
        </w:rPr>
        <w:t>10.</w:t>
      </w:r>
      <w:r w:rsidRPr="00883E95">
        <w:rPr>
          <w:b/>
          <w:szCs w:val="22"/>
          <w:lang w:val="es-ES"/>
        </w:rPr>
        <w:tab/>
        <w:t>PRECAUCIONES ESPECIALES DE ELIMINACIÓN DEL MEDICAMENTO NO UTILIZADO Y DE LOS MATERIALES DERIVADOS DE SU USO</w:t>
      </w:r>
      <w:r>
        <w:rPr>
          <w:b/>
          <w:szCs w:val="22"/>
          <w:lang w:val="es-ES"/>
        </w:rPr>
        <w:t xml:space="preserve">, </w:t>
      </w:r>
      <w:r w:rsidRPr="00883E95">
        <w:rPr>
          <w:b/>
          <w:szCs w:val="22"/>
          <w:lang w:val="es-ES"/>
        </w:rPr>
        <w:t>CUANDO CORRESPONDA</w:t>
      </w:r>
    </w:p>
    <w:p w14:paraId="76D32C91" w14:textId="77777777" w:rsidR="00585EFC" w:rsidRPr="00883E95" w:rsidRDefault="00585EFC" w:rsidP="00585EFC">
      <w:pPr>
        <w:rPr>
          <w:szCs w:val="22"/>
          <w:lang w:val="es-ES"/>
        </w:rPr>
      </w:pPr>
    </w:p>
    <w:p w14:paraId="1E61AD84" w14:textId="77777777" w:rsidR="00585EFC" w:rsidRPr="00883E95" w:rsidRDefault="00585EFC" w:rsidP="00585EFC">
      <w:pPr>
        <w:rPr>
          <w:szCs w:val="22"/>
          <w:lang w:val="es-ES"/>
        </w:rPr>
      </w:pPr>
    </w:p>
    <w:p w14:paraId="244A57BA"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883E95">
        <w:rPr>
          <w:b/>
          <w:szCs w:val="22"/>
          <w:lang w:val="es-ES"/>
        </w:rPr>
        <w:t>11.</w:t>
      </w:r>
      <w:r w:rsidRPr="00883E95">
        <w:rPr>
          <w:b/>
          <w:szCs w:val="22"/>
          <w:lang w:val="es-ES"/>
        </w:rPr>
        <w:tab/>
        <w:t>NOMBRE Y DIRECCI</w:t>
      </w:r>
      <w:r w:rsidRPr="00415850">
        <w:rPr>
          <w:b/>
          <w:szCs w:val="22"/>
          <w:lang w:val="es-ES"/>
        </w:rPr>
        <w:t>ÓN DEL TITULAR DE LA AUTORIZACI</w:t>
      </w:r>
      <w:r>
        <w:rPr>
          <w:b/>
          <w:szCs w:val="22"/>
          <w:lang w:val="es-ES"/>
        </w:rPr>
        <w:t>ÓN DE COMERCIALIZACIÓN</w:t>
      </w:r>
    </w:p>
    <w:p w14:paraId="53144BF1" w14:textId="77777777" w:rsidR="00585EFC" w:rsidRPr="00883E95" w:rsidRDefault="00585EFC" w:rsidP="00585EFC">
      <w:pPr>
        <w:rPr>
          <w:szCs w:val="22"/>
          <w:lang w:val="es-ES"/>
        </w:rPr>
      </w:pPr>
    </w:p>
    <w:p w14:paraId="4CB2406E" w14:textId="77777777" w:rsidR="00CC09AC" w:rsidRPr="00EF2448" w:rsidRDefault="00CC09AC" w:rsidP="00CC09AC">
      <w:pPr>
        <w:rPr>
          <w:noProof/>
          <w:lang w:val="de-DE"/>
        </w:rPr>
      </w:pPr>
      <w:r w:rsidRPr="00EF2448">
        <w:rPr>
          <w:noProof/>
          <w:lang w:val="de-DE"/>
        </w:rPr>
        <w:t xml:space="preserve">Roche Registration GmbH </w:t>
      </w:r>
    </w:p>
    <w:p w14:paraId="6D5E9AAB" w14:textId="77777777" w:rsidR="00CC09AC" w:rsidRPr="00EF2448" w:rsidRDefault="00CC09AC" w:rsidP="00CC09AC">
      <w:pPr>
        <w:rPr>
          <w:noProof/>
          <w:lang w:val="de-DE"/>
        </w:rPr>
      </w:pPr>
      <w:r w:rsidRPr="00EF2448">
        <w:rPr>
          <w:noProof/>
          <w:lang w:val="de-DE"/>
        </w:rPr>
        <w:t>Emil-Barell-Strasse 1</w:t>
      </w:r>
    </w:p>
    <w:p w14:paraId="616082BD" w14:textId="77777777" w:rsidR="00CC09AC" w:rsidRPr="00F30AB8" w:rsidRDefault="00CC09AC" w:rsidP="00CC09AC">
      <w:pPr>
        <w:rPr>
          <w:noProof/>
          <w:lang w:val="pt-PT"/>
        </w:rPr>
      </w:pPr>
      <w:r w:rsidRPr="00F30AB8">
        <w:rPr>
          <w:noProof/>
          <w:lang w:val="pt-PT"/>
        </w:rPr>
        <w:t>79639 Grenzach-Wyhlen</w:t>
      </w:r>
    </w:p>
    <w:p w14:paraId="4E8466CC" w14:textId="77777777" w:rsidR="00585EFC" w:rsidRPr="006868F5" w:rsidRDefault="00CC09AC" w:rsidP="00585EFC">
      <w:pPr>
        <w:rPr>
          <w:szCs w:val="22"/>
          <w:lang w:val="es-ES"/>
        </w:rPr>
      </w:pPr>
      <w:r w:rsidRPr="00EF2448">
        <w:rPr>
          <w:noProof/>
          <w:lang w:val="es-ES"/>
        </w:rPr>
        <w:t>Alemania</w:t>
      </w:r>
    </w:p>
    <w:p w14:paraId="48688DA8" w14:textId="77777777" w:rsidR="00585EFC" w:rsidRDefault="00585EFC" w:rsidP="00585EFC">
      <w:pPr>
        <w:rPr>
          <w:szCs w:val="22"/>
          <w:lang w:val="es-ES"/>
        </w:rPr>
      </w:pPr>
    </w:p>
    <w:p w14:paraId="6E0F2EEF" w14:textId="77777777" w:rsidR="00E92D5F" w:rsidRPr="006868F5" w:rsidRDefault="00E92D5F" w:rsidP="00585EFC">
      <w:pPr>
        <w:rPr>
          <w:szCs w:val="22"/>
          <w:lang w:val="es-ES"/>
        </w:rPr>
      </w:pPr>
    </w:p>
    <w:p w14:paraId="57887CE9"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12.</w:t>
      </w:r>
      <w:r w:rsidRPr="00883E95">
        <w:rPr>
          <w:b/>
          <w:szCs w:val="22"/>
          <w:lang w:val="es-ES"/>
        </w:rPr>
        <w:tab/>
        <w:t xml:space="preserve">NÚMERO(S) DE AUTORIZACIÓN DE COMERCIALIZACIÓN </w:t>
      </w:r>
    </w:p>
    <w:p w14:paraId="2A2CDAAD" w14:textId="77777777" w:rsidR="00585EFC" w:rsidRPr="00883E95" w:rsidRDefault="00585EFC" w:rsidP="00585EFC">
      <w:pPr>
        <w:rPr>
          <w:szCs w:val="22"/>
          <w:lang w:val="es-ES"/>
        </w:rPr>
      </w:pPr>
    </w:p>
    <w:p w14:paraId="15CDE522" w14:textId="77777777" w:rsidR="00585EFC" w:rsidRPr="00C555F2" w:rsidRDefault="00585EFC" w:rsidP="00585EFC">
      <w:pPr>
        <w:rPr>
          <w:szCs w:val="22"/>
          <w:lang w:val="es-ES"/>
        </w:rPr>
      </w:pPr>
      <w:r w:rsidRPr="00C555F2">
        <w:rPr>
          <w:szCs w:val="22"/>
          <w:lang w:val="es-ES"/>
        </w:rPr>
        <w:t>EU/1/08/492/010</w:t>
      </w:r>
    </w:p>
    <w:p w14:paraId="16DC0B5E" w14:textId="77777777" w:rsidR="00585EFC" w:rsidRPr="00C555F2" w:rsidRDefault="00585EFC" w:rsidP="00585EFC">
      <w:pPr>
        <w:rPr>
          <w:szCs w:val="22"/>
          <w:lang w:val="es-ES"/>
        </w:rPr>
      </w:pPr>
    </w:p>
    <w:p w14:paraId="12ACC99A" w14:textId="77777777" w:rsidR="00585EFC" w:rsidRPr="00686B43" w:rsidRDefault="00585EFC" w:rsidP="00585EFC">
      <w:pPr>
        <w:rPr>
          <w:szCs w:val="22"/>
          <w:lang w:val="es-ES"/>
        </w:rPr>
      </w:pPr>
    </w:p>
    <w:p w14:paraId="09BED21F"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13.</w:t>
      </w:r>
      <w:r w:rsidRPr="00883E95">
        <w:rPr>
          <w:b/>
          <w:szCs w:val="22"/>
          <w:lang w:val="es-ES"/>
        </w:rPr>
        <w:tab/>
        <w:t>NÚMERO DE LOTE</w:t>
      </w:r>
    </w:p>
    <w:p w14:paraId="788F9313" w14:textId="77777777" w:rsidR="00585EFC" w:rsidRPr="00883E95" w:rsidRDefault="00585EFC" w:rsidP="00585EFC">
      <w:pPr>
        <w:rPr>
          <w:szCs w:val="22"/>
          <w:lang w:val="es-ES"/>
        </w:rPr>
      </w:pPr>
    </w:p>
    <w:p w14:paraId="370A395D" w14:textId="44C60320" w:rsidR="00585EFC" w:rsidRPr="00883E95" w:rsidRDefault="00585EFC" w:rsidP="00585EFC">
      <w:pPr>
        <w:rPr>
          <w:szCs w:val="22"/>
          <w:lang w:val="es-ES"/>
        </w:rPr>
      </w:pPr>
      <w:r w:rsidRPr="00883E95">
        <w:rPr>
          <w:szCs w:val="22"/>
          <w:lang w:val="es-ES"/>
        </w:rPr>
        <w:t xml:space="preserve">Lot </w:t>
      </w:r>
    </w:p>
    <w:p w14:paraId="1E476932" w14:textId="77777777" w:rsidR="00585EFC" w:rsidRPr="00883E95" w:rsidRDefault="00585EFC" w:rsidP="00585EFC">
      <w:pPr>
        <w:rPr>
          <w:szCs w:val="22"/>
          <w:lang w:val="es-ES"/>
        </w:rPr>
      </w:pPr>
    </w:p>
    <w:p w14:paraId="349B76C9" w14:textId="77777777" w:rsidR="00585EFC" w:rsidRPr="00883E95" w:rsidRDefault="00585EFC" w:rsidP="00585EFC">
      <w:pPr>
        <w:rPr>
          <w:szCs w:val="22"/>
          <w:lang w:val="es-ES"/>
        </w:rPr>
      </w:pPr>
    </w:p>
    <w:p w14:paraId="4B28CBC5"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14.</w:t>
      </w:r>
      <w:r w:rsidRPr="00883E95">
        <w:rPr>
          <w:b/>
          <w:szCs w:val="22"/>
          <w:lang w:val="es-ES"/>
        </w:rPr>
        <w:tab/>
        <w:t>CONDICIONES GENERALES DE DISPENSACI</w:t>
      </w:r>
      <w:r>
        <w:rPr>
          <w:b/>
          <w:szCs w:val="22"/>
          <w:lang w:val="es-ES"/>
        </w:rPr>
        <w:t>ÓN</w:t>
      </w:r>
    </w:p>
    <w:p w14:paraId="771E1ABB" w14:textId="77777777" w:rsidR="00585EFC" w:rsidRPr="00883E95" w:rsidRDefault="00585EFC" w:rsidP="00585EFC">
      <w:pPr>
        <w:rPr>
          <w:szCs w:val="22"/>
          <w:lang w:val="es-ES"/>
        </w:rPr>
      </w:pPr>
    </w:p>
    <w:p w14:paraId="58F473CA" w14:textId="77777777" w:rsidR="00585EFC" w:rsidRPr="00883E95" w:rsidRDefault="00585EFC" w:rsidP="00585EFC">
      <w:pPr>
        <w:rPr>
          <w:szCs w:val="22"/>
          <w:lang w:val="es-ES"/>
        </w:rPr>
      </w:pPr>
    </w:p>
    <w:p w14:paraId="350AEFF7" w14:textId="77777777" w:rsidR="00585EFC" w:rsidRPr="00883E9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883E95">
        <w:rPr>
          <w:b/>
          <w:szCs w:val="22"/>
          <w:lang w:val="es-ES"/>
        </w:rPr>
        <w:t>15.</w:t>
      </w:r>
      <w:r w:rsidRPr="00883E95">
        <w:rPr>
          <w:b/>
          <w:szCs w:val="22"/>
          <w:lang w:val="es-ES"/>
        </w:rPr>
        <w:tab/>
        <w:t>INSTRUCCIONES DE USO</w:t>
      </w:r>
    </w:p>
    <w:p w14:paraId="7FA49990" w14:textId="77777777" w:rsidR="00585EFC" w:rsidRPr="00883E95" w:rsidRDefault="00585EFC" w:rsidP="00585EFC">
      <w:pPr>
        <w:rPr>
          <w:szCs w:val="22"/>
          <w:lang w:val="es-ES"/>
        </w:rPr>
      </w:pPr>
    </w:p>
    <w:p w14:paraId="68A42A69" w14:textId="77777777" w:rsidR="00585EFC" w:rsidRPr="00883E95" w:rsidRDefault="00585EFC" w:rsidP="00585EFC">
      <w:pPr>
        <w:rPr>
          <w:szCs w:val="22"/>
          <w:lang w:val="es-ES"/>
        </w:rPr>
      </w:pPr>
    </w:p>
    <w:p w14:paraId="7CFBFD25" w14:textId="77777777" w:rsidR="00585EFC" w:rsidRPr="006868F5" w:rsidRDefault="00585EFC" w:rsidP="00585EFC">
      <w:pPr>
        <w:pBdr>
          <w:top w:val="single" w:sz="4" w:space="1" w:color="auto"/>
          <w:left w:val="single" w:sz="4" w:space="4" w:color="auto"/>
          <w:bottom w:val="single" w:sz="4" w:space="1" w:color="auto"/>
          <w:right w:val="single" w:sz="4" w:space="4" w:color="auto"/>
        </w:pBdr>
        <w:ind w:left="567" w:hanging="567"/>
        <w:outlineLvl w:val="0"/>
        <w:rPr>
          <w:szCs w:val="22"/>
          <w:lang w:val="es-ES"/>
        </w:rPr>
      </w:pPr>
      <w:r w:rsidRPr="006868F5">
        <w:rPr>
          <w:b/>
          <w:szCs w:val="22"/>
          <w:lang w:val="es-ES"/>
        </w:rPr>
        <w:t>16.</w:t>
      </w:r>
      <w:r w:rsidRPr="006868F5">
        <w:rPr>
          <w:b/>
          <w:szCs w:val="22"/>
          <w:lang w:val="es-ES"/>
        </w:rPr>
        <w:tab/>
        <w:t>INFORMACIÓN EN BRAILLE</w:t>
      </w:r>
    </w:p>
    <w:p w14:paraId="6A2B7012" w14:textId="77777777" w:rsidR="00585EFC" w:rsidRPr="006868F5" w:rsidRDefault="00585EFC" w:rsidP="00585EFC">
      <w:pPr>
        <w:rPr>
          <w:szCs w:val="22"/>
          <w:lang w:val="es-ES"/>
        </w:rPr>
      </w:pPr>
    </w:p>
    <w:p w14:paraId="1F7757A7" w14:textId="77777777" w:rsidR="00585EFC" w:rsidRPr="00C555F2" w:rsidRDefault="00585EFC" w:rsidP="00585EFC">
      <w:pPr>
        <w:rPr>
          <w:szCs w:val="22"/>
          <w:lang w:val="pt-BR"/>
        </w:rPr>
      </w:pPr>
      <w:r w:rsidRPr="00C555F2">
        <w:rPr>
          <w:szCs w:val="22"/>
          <w:lang w:val="pt-BR"/>
        </w:rPr>
        <w:t>roactemra pluma 162 mg.</w:t>
      </w:r>
    </w:p>
    <w:p w14:paraId="406A77D6" w14:textId="77777777" w:rsidR="00585EFC" w:rsidRPr="00C555F2" w:rsidRDefault="00585EFC" w:rsidP="00585EFC">
      <w:pPr>
        <w:rPr>
          <w:szCs w:val="22"/>
          <w:lang w:val="pt-BR"/>
        </w:rPr>
      </w:pPr>
    </w:p>
    <w:p w14:paraId="4F84223C" w14:textId="77777777" w:rsidR="00585EFC" w:rsidRPr="00C555F2" w:rsidRDefault="00585EFC" w:rsidP="00585EFC">
      <w:pPr>
        <w:ind w:left="567" w:hanging="567"/>
        <w:rPr>
          <w:lang w:val="pt-BR"/>
        </w:rPr>
      </w:pPr>
    </w:p>
    <w:p w14:paraId="1B223B4E"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i/>
          <w:noProof/>
          <w:lang w:val="pt-BR" w:eastAsia="es-ES" w:bidi="es-ES"/>
        </w:rPr>
      </w:pPr>
      <w:r w:rsidRPr="00C555F2">
        <w:rPr>
          <w:b/>
          <w:noProof/>
          <w:lang w:val="pt-BR" w:eastAsia="es-ES" w:bidi="es-ES"/>
        </w:rPr>
        <w:t>17.</w:t>
      </w:r>
      <w:r w:rsidRPr="00C555F2">
        <w:rPr>
          <w:b/>
          <w:noProof/>
          <w:lang w:val="pt-BR" w:eastAsia="es-ES" w:bidi="es-ES"/>
        </w:rPr>
        <w:tab/>
        <w:t>IDENTIFICADOR ÚNICO - CÓDIGO DE BARRAS 2D</w:t>
      </w:r>
    </w:p>
    <w:p w14:paraId="0B49DB35" w14:textId="77777777" w:rsidR="00585EFC" w:rsidRPr="00C555F2" w:rsidRDefault="00585EFC" w:rsidP="00585EFC">
      <w:pPr>
        <w:ind w:left="567" w:hanging="567"/>
        <w:rPr>
          <w:lang w:val="pt-BR"/>
        </w:rPr>
      </w:pPr>
    </w:p>
    <w:p w14:paraId="2E23F060" w14:textId="77777777" w:rsidR="00585EFC" w:rsidRDefault="00585EFC" w:rsidP="00585EFC">
      <w:pPr>
        <w:ind w:left="567" w:hanging="567"/>
        <w:rPr>
          <w:lang w:val="es-ES"/>
        </w:rPr>
      </w:pPr>
    </w:p>
    <w:p w14:paraId="33C953D7" w14:textId="77777777" w:rsidR="00585EFC" w:rsidRPr="00F54706" w:rsidRDefault="00585EFC" w:rsidP="00585EFC">
      <w:pPr>
        <w:keepNext/>
        <w:keepLines/>
        <w:pBdr>
          <w:top w:val="single" w:sz="4" w:space="1" w:color="auto"/>
          <w:left w:val="single" w:sz="4" w:space="4" w:color="auto"/>
          <w:bottom w:val="single" w:sz="4" w:space="1" w:color="auto"/>
          <w:right w:val="single" w:sz="4" w:space="4" w:color="auto"/>
        </w:pBdr>
        <w:ind w:left="567" w:hanging="567"/>
        <w:outlineLvl w:val="0"/>
        <w:rPr>
          <w:b/>
          <w:noProof/>
          <w:lang w:val="es-ES" w:eastAsia="es-ES" w:bidi="es-ES"/>
        </w:rPr>
      </w:pPr>
      <w:r w:rsidRPr="00F54706">
        <w:rPr>
          <w:b/>
          <w:noProof/>
          <w:lang w:val="es-ES" w:eastAsia="es-ES" w:bidi="es-ES"/>
        </w:rPr>
        <w:t>18.</w:t>
      </w:r>
      <w:r w:rsidRPr="00F54706">
        <w:rPr>
          <w:b/>
          <w:noProof/>
          <w:lang w:val="es-ES" w:eastAsia="es-ES" w:bidi="es-ES"/>
        </w:rPr>
        <w:tab/>
        <w:t>IDENTIFICADOR ÚNICO - INFORMACIÓN EN CARACTERES VISUALES</w:t>
      </w:r>
    </w:p>
    <w:p w14:paraId="4DA22517" w14:textId="77777777" w:rsidR="00585EFC" w:rsidRDefault="00585EFC" w:rsidP="00585EFC">
      <w:pPr>
        <w:keepNext/>
        <w:keepLines/>
        <w:ind w:left="567" w:hanging="567"/>
        <w:rPr>
          <w:lang w:val="es-ES"/>
        </w:rPr>
      </w:pPr>
    </w:p>
    <w:p w14:paraId="316F397C" w14:textId="77777777" w:rsidR="00667E4F" w:rsidRPr="00667E4F" w:rsidRDefault="00667E4F" w:rsidP="00585EFC">
      <w:pPr>
        <w:rPr>
          <w:szCs w:val="22"/>
          <w:lang w:val="es-ES"/>
        </w:rPr>
      </w:pPr>
    </w:p>
    <w:p w14:paraId="10538E69" w14:textId="1811F1E8" w:rsidR="00585EFC" w:rsidRDefault="00055468" w:rsidP="00F30AB8">
      <w:pPr>
        <w:rPr>
          <w:noProof/>
          <w:lang w:val="es-ES"/>
        </w:rPr>
      </w:pPr>
      <w:r>
        <w:rPr>
          <w:b/>
          <w:lang w:val="es-ES"/>
        </w:rPr>
        <w:br w:type="page"/>
      </w:r>
      <w:bookmarkStart w:id="2288" w:name="_Hlk175605976"/>
    </w:p>
    <w:bookmarkEnd w:id="2288"/>
    <w:p w14:paraId="708B1414" w14:textId="77777777" w:rsidR="00585EFC" w:rsidRPr="00C555F2" w:rsidRDefault="00585EFC" w:rsidP="00585EFC">
      <w:pPr>
        <w:pBdr>
          <w:top w:val="single" w:sz="4" w:space="1" w:color="auto"/>
          <w:left w:val="single" w:sz="4" w:space="4" w:color="auto"/>
          <w:bottom w:val="single" w:sz="4" w:space="1" w:color="auto"/>
          <w:right w:val="single" w:sz="4" w:space="4" w:color="auto"/>
        </w:pBdr>
        <w:rPr>
          <w:b/>
          <w:lang w:val="es-ES"/>
        </w:rPr>
      </w:pPr>
      <w:r w:rsidRPr="00C555F2">
        <w:rPr>
          <w:b/>
          <w:lang w:val="es-ES"/>
        </w:rPr>
        <w:lastRenderedPageBreak/>
        <w:t>INFORMACIÓN MÍNIMA QUE DEBE INCLUIRSE EN PEQUEÑOS ACONDICIONAMIENTOS PRIMARIOS</w:t>
      </w:r>
    </w:p>
    <w:p w14:paraId="228E3D7A" w14:textId="77777777" w:rsidR="00585EFC" w:rsidRPr="00C555F2" w:rsidRDefault="00585EFC" w:rsidP="00585EFC">
      <w:pPr>
        <w:pBdr>
          <w:top w:val="single" w:sz="4" w:space="1" w:color="auto"/>
          <w:left w:val="single" w:sz="4" w:space="4" w:color="auto"/>
          <w:bottom w:val="single" w:sz="4" w:space="1" w:color="auto"/>
          <w:right w:val="single" w:sz="4" w:space="4" w:color="auto"/>
        </w:pBdr>
        <w:rPr>
          <w:b/>
          <w:lang w:val="es-ES"/>
        </w:rPr>
      </w:pPr>
    </w:p>
    <w:p w14:paraId="45D92EB0" w14:textId="77777777" w:rsidR="00585EFC" w:rsidRPr="00C555F2" w:rsidRDefault="00585EFC" w:rsidP="00585EFC">
      <w:pPr>
        <w:pBdr>
          <w:top w:val="single" w:sz="4" w:space="1" w:color="auto"/>
          <w:left w:val="single" w:sz="4" w:space="4" w:color="auto"/>
          <w:bottom w:val="single" w:sz="4" w:space="1" w:color="auto"/>
          <w:right w:val="single" w:sz="4" w:space="4" w:color="auto"/>
        </w:pBdr>
        <w:rPr>
          <w:b/>
          <w:lang w:val="es-ES"/>
        </w:rPr>
      </w:pPr>
      <w:r w:rsidRPr="00C555F2">
        <w:rPr>
          <w:b/>
          <w:lang w:val="es-ES"/>
        </w:rPr>
        <w:t>ETIQUETA DE LA PLUMA PRECARGADA</w:t>
      </w:r>
    </w:p>
    <w:p w14:paraId="37E0E6B6" w14:textId="77777777" w:rsidR="00585EFC" w:rsidRPr="00C555F2" w:rsidRDefault="00585EFC" w:rsidP="00585EFC">
      <w:pPr>
        <w:rPr>
          <w:szCs w:val="22"/>
          <w:lang w:val="es-ES"/>
        </w:rPr>
      </w:pPr>
    </w:p>
    <w:p w14:paraId="49FFA69D" w14:textId="77777777" w:rsidR="00585EFC" w:rsidRPr="00C555F2" w:rsidRDefault="00585EFC" w:rsidP="00585EFC">
      <w:pPr>
        <w:rPr>
          <w:szCs w:val="22"/>
          <w:lang w:val="es-ES"/>
        </w:rPr>
      </w:pPr>
    </w:p>
    <w:p w14:paraId="6FA7AE59"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C555F2">
        <w:rPr>
          <w:b/>
          <w:szCs w:val="22"/>
          <w:lang w:val="es-ES"/>
        </w:rPr>
        <w:t>1.</w:t>
      </w:r>
      <w:r w:rsidRPr="00C555F2">
        <w:rPr>
          <w:b/>
          <w:szCs w:val="22"/>
          <w:lang w:val="es-ES"/>
        </w:rPr>
        <w:tab/>
      </w:r>
      <w:r w:rsidRPr="003E04AE">
        <w:rPr>
          <w:b/>
          <w:szCs w:val="22"/>
          <w:lang w:val="es-ES"/>
        </w:rPr>
        <w:t>NOMBRE DEL MEDICAMENTO Y VÍA</w:t>
      </w:r>
      <w:del w:id="2289" w:author="AUTHOR">
        <w:r w:rsidRPr="003E04AE" w:rsidDel="00541248">
          <w:rPr>
            <w:b/>
            <w:szCs w:val="22"/>
            <w:lang w:val="es-ES"/>
          </w:rPr>
          <w:delText>(S)</w:delText>
        </w:r>
      </w:del>
      <w:r w:rsidRPr="003E04AE">
        <w:rPr>
          <w:b/>
          <w:szCs w:val="22"/>
          <w:lang w:val="es-ES"/>
        </w:rPr>
        <w:t xml:space="preserve"> DE ADMINISTRACIÓN</w:t>
      </w:r>
    </w:p>
    <w:p w14:paraId="0ED879F5" w14:textId="77777777" w:rsidR="00585EFC" w:rsidRPr="00C555F2" w:rsidRDefault="00585EFC" w:rsidP="00585EFC">
      <w:pPr>
        <w:ind w:left="567" w:hanging="567"/>
        <w:rPr>
          <w:szCs w:val="22"/>
          <w:lang w:val="es-ES"/>
        </w:rPr>
      </w:pPr>
    </w:p>
    <w:p w14:paraId="21CB5597" w14:textId="77777777" w:rsidR="00585EFC" w:rsidRPr="00C555F2" w:rsidRDefault="00585EFC" w:rsidP="00585EFC">
      <w:pPr>
        <w:rPr>
          <w:szCs w:val="22"/>
          <w:lang w:val="es-ES"/>
        </w:rPr>
      </w:pPr>
      <w:r w:rsidRPr="00C555F2">
        <w:rPr>
          <w:szCs w:val="22"/>
          <w:lang w:val="es-ES"/>
        </w:rPr>
        <w:t>RoActemra 162 mg inyectable</w:t>
      </w:r>
    </w:p>
    <w:p w14:paraId="109F546E" w14:textId="77777777" w:rsidR="00585EFC" w:rsidRPr="00C555F2" w:rsidRDefault="00194A4E" w:rsidP="00585EFC">
      <w:pPr>
        <w:rPr>
          <w:szCs w:val="22"/>
          <w:lang w:val="es-ES"/>
        </w:rPr>
      </w:pPr>
      <w:r>
        <w:rPr>
          <w:szCs w:val="22"/>
          <w:lang w:val="es-ES"/>
        </w:rPr>
        <w:t>t</w:t>
      </w:r>
      <w:r w:rsidR="00585EFC" w:rsidRPr="00C555F2">
        <w:rPr>
          <w:szCs w:val="22"/>
          <w:lang w:val="es-ES"/>
        </w:rPr>
        <w:t>ocilizumab</w:t>
      </w:r>
    </w:p>
    <w:p w14:paraId="4B76B9E1" w14:textId="77777777" w:rsidR="00585EFC" w:rsidRPr="00C555F2" w:rsidRDefault="00585EFC" w:rsidP="00585EFC">
      <w:pPr>
        <w:rPr>
          <w:szCs w:val="22"/>
          <w:lang w:val="es-ES"/>
        </w:rPr>
      </w:pPr>
      <w:r w:rsidRPr="00C555F2">
        <w:rPr>
          <w:szCs w:val="22"/>
          <w:lang w:val="es-ES"/>
        </w:rPr>
        <w:t>SC</w:t>
      </w:r>
    </w:p>
    <w:p w14:paraId="24C5D63D" w14:textId="77777777" w:rsidR="00585EFC" w:rsidRPr="00C555F2" w:rsidRDefault="00585EFC" w:rsidP="00585EFC">
      <w:pPr>
        <w:rPr>
          <w:szCs w:val="22"/>
          <w:lang w:val="es-ES"/>
        </w:rPr>
      </w:pPr>
    </w:p>
    <w:p w14:paraId="54B8B268" w14:textId="77777777" w:rsidR="00585EFC" w:rsidRPr="00C555F2" w:rsidRDefault="00585EFC" w:rsidP="00585EFC">
      <w:pPr>
        <w:rPr>
          <w:szCs w:val="22"/>
          <w:lang w:val="es-ES"/>
        </w:rPr>
      </w:pPr>
    </w:p>
    <w:p w14:paraId="4CA12E3A"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C555F2">
        <w:rPr>
          <w:b/>
          <w:szCs w:val="22"/>
          <w:lang w:val="es-ES"/>
        </w:rPr>
        <w:t>2.</w:t>
      </w:r>
      <w:r w:rsidRPr="00C555F2">
        <w:rPr>
          <w:b/>
          <w:szCs w:val="22"/>
          <w:lang w:val="es-ES"/>
        </w:rPr>
        <w:tab/>
      </w:r>
      <w:r w:rsidRPr="003E04AE">
        <w:rPr>
          <w:b/>
          <w:szCs w:val="22"/>
          <w:lang w:val="es-ES"/>
        </w:rPr>
        <w:t>FORMA DE ADMINISTRACIÓN</w:t>
      </w:r>
    </w:p>
    <w:p w14:paraId="5E7736DE" w14:textId="77777777" w:rsidR="00585EFC" w:rsidRPr="00C555F2" w:rsidRDefault="00585EFC" w:rsidP="00585EFC">
      <w:pPr>
        <w:rPr>
          <w:szCs w:val="22"/>
          <w:lang w:val="es-ES"/>
        </w:rPr>
      </w:pPr>
    </w:p>
    <w:p w14:paraId="1E80CDA6" w14:textId="77777777" w:rsidR="00585EFC" w:rsidRPr="00C555F2" w:rsidRDefault="00585EFC" w:rsidP="00585EFC">
      <w:pPr>
        <w:rPr>
          <w:szCs w:val="22"/>
          <w:lang w:val="es-ES"/>
        </w:rPr>
      </w:pPr>
    </w:p>
    <w:p w14:paraId="4E5E1B77"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C555F2">
        <w:rPr>
          <w:b/>
          <w:szCs w:val="22"/>
          <w:lang w:val="es-ES"/>
        </w:rPr>
        <w:t>3.</w:t>
      </w:r>
      <w:r w:rsidRPr="00C555F2">
        <w:rPr>
          <w:b/>
          <w:szCs w:val="22"/>
          <w:lang w:val="es-ES"/>
        </w:rPr>
        <w:tab/>
      </w:r>
      <w:r w:rsidRPr="003E04AE">
        <w:rPr>
          <w:b/>
          <w:szCs w:val="22"/>
          <w:lang w:val="es-ES"/>
        </w:rPr>
        <w:t>FECHA DE CADUCIDAD</w:t>
      </w:r>
    </w:p>
    <w:p w14:paraId="0B508CFC" w14:textId="77777777" w:rsidR="00585EFC" w:rsidRPr="00C555F2" w:rsidRDefault="00585EFC" w:rsidP="00585EFC">
      <w:pPr>
        <w:rPr>
          <w:szCs w:val="22"/>
          <w:lang w:val="es-ES"/>
        </w:rPr>
      </w:pPr>
    </w:p>
    <w:p w14:paraId="2C3D507A" w14:textId="77777777" w:rsidR="00585EFC" w:rsidRPr="00C555F2" w:rsidRDefault="00585EFC" w:rsidP="00585EFC">
      <w:pPr>
        <w:rPr>
          <w:szCs w:val="22"/>
          <w:lang w:val="es-ES"/>
        </w:rPr>
      </w:pPr>
      <w:r w:rsidRPr="00C555F2">
        <w:rPr>
          <w:szCs w:val="22"/>
          <w:lang w:val="es-ES"/>
        </w:rPr>
        <w:t xml:space="preserve">EXP </w:t>
      </w:r>
    </w:p>
    <w:p w14:paraId="47452340" w14:textId="77777777" w:rsidR="00585EFC" w:rsidRPr="00C555F2" w:rsidRDefault="00585EFC" w:rsidP="00585EFC">
      <w:pPr>
        <w:rPr>
          <w:szCs w:val="22"/>
          <w:lang w:val="es-ES"/>
        </w:rPr>
      </w:pPr>
    </w:p>
    <w:p w14:paraId="42661A4D" w14:textId="77777777" w:rsidR="00585EFC" w:rsidRPr="00C555F2" w:rsidRDefault="00585EFC" w:rsidP="00585EFC">
      <w:pPr>
        <w:rPr>
          <w:szCs w:val="22"/>
          <w:lang w:val="es-ES"/>
        </w:rPr>
      </w:pPr>
    </w:p>
    <w:p w14:paraId="620BE3D2"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C555F2">
        <w:rPr>
          <w:b/>
          <w:szCs w:val="22"/>
          <w:lang w:val="es-ES"/>
        </w:rPr>
        <w:t>4.</w:t>
      </w:r>
      <w:r w:rsidRPr="00C555F2">
        <w:rPr>
          <w:b/>
          <w:szCs w:val="22"/>
          <w:lang w:val="es-ES"/>
        </w:rPr>
        <w:tab/>
      </w:r>
      <w:r w:rsidRPr="003E04AE">
        <w:rPr>
          <w:b/>
          <w:szCs w:val="22"/>
          <w:lang w:val="es-ES"/>
        </w:rPr>
        <w:t>NÚMERO DE LOTE</w:t>
      </w:r>
    </w:p>
    <w:p w14:paraId="7D2FE60C" w14:textId="77777777" w:rsidR="00585EFC" w:rsidRPr="00C555F2" w:rsidRDefault="00585EFC" w:rsidP="00585EFC">
      <w:pPr>
        <w:rPr>
          <w:szCs w:val="22"/>
          <w:lang w:val="es-ES"/>
        </w:rPr>
      </w:pPr>
    </w:p>
    <w:p w14:paraId="319956BE" w14:textId="77777777" w:rsidR="00585EFC" w:rsidRPr="00C555F2" w:rsidRDefault="00585EFC" w:rsidP="00585EFC">
      <w:pPr>
        <w:rPr>
          <w:szCs w:val="22"/>
          <w:lang w:val="es-ES"/>
        </w:rPr>
      </w:pPr>
      <w:r w:rsidRPr="00C555F2">
        <w:rPr>
          <w:szCs w:val="22"/>
          <w:lang w:val="es-ES"/>
        </w:rPr>
        <w:t>Lot</w:t>
      </w:r>
    </w:p>
    <w:p w14:paraId="62A17E94" w14:textId="77777777" w:rsidR="00585EFC" w:rsidRPr="00C555F2" w:rsidRDefault="00585EFC" w:rsidP="00585EFC">
      <w:pPr>
        <w:rPr>
          <w:szCs w:val="22"/>
          <w:lang w:val="es-ES"/>
        </w:rPr>
      </w:pPr>
    </w:p>
    <w:p w14:paraId="6881DF83" w14:textId="77777777" w:rsidR="00585EFC" w:rsidRPr="00C555F2" w:rsidRDefault="00585EFC" w:rsidP="00585EFC">
      <w:pPr>
        <w:rPr>
          <w:szCs w:val="22"/>
          <w:lang w:val="es-ES"/>
        </w:rPr>
      </w:pPr>
    </w:p>
    <w:p w14:paraId="59688612"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C555F2">
        <w:rPr>
          <w:b/>
          <w:szCs w:val="22"/>
          <w:lang w:val="es-ES"/>
        </w:rPr>
        <w:t>5.</w:t>
      </w:r>
      <w:r w:rsidRPr="00C555F2">
        <w:rPr>
          <w:b/>
          <w:szCs w:val="22"/>
          <w:lang w:val="es-ES"/>
        </w:rPr>
        <w:tab/>
      </w:r>
      <w:r w:rsidRPr="003E04AE">
        <w:rPr>
          <w:b/>
          <w:szCs w:val="22"/>
          <w:lang w:val="es-ES"/>
        </w:rPr>
        <w:t>CONTENIDO EN PESO, EN VOLUMEN O EN UNIDADES</w:t>
      </w:r>
    </w:p>
    <w:p w14:paraId="19EC4672" w14:textId="77777777" w:rsidR="00585EFC" w:rsidRPr="00C555F2" w:rsidRDefault="00585EFC" w:rsidP="00585EFC">
      <w:pPr>
        <w:ind w:right="113"/>
        <w:rPr>
          <w:szCs w:val="22"/>
          <w:lang w:val="es-ES"/>
        </w:rPr>
      </w:pPr>
    </w:p>
    <w:p w14:paraId="18573817" w14:textId="0F999116" w:rsidR="00585EFC" w:rsidRPr="00C555F2" w:rsidRDefault="00585EFC" w:rsidP="00585EFC">
      <w:pPr>
        <w:ind w:right="113"/>
        <w:rPr>
          <w:szCs w:val="22"/>
          <w:lang w:val="es-ES"/>
        </w:rPr>
      </w:pPr>
      <w:r w:rsidRPr="00C555F2">
        <w:rPr>
          <w:szCs w:val="22"/>
          <w:lang w:val="es-ES"/>
        </w:rPr>
        <w:t>162</w:t>
      </w:r>
      <w:r w:rsidR="007D3D9F" w:rsidRPr="00C555F2">
        <w:rPr>
          <w:szCs w:val="22"/>
          <w:lang w:val="es-ES"/>
        </w:rPr>
        <w:t> </w:t>
      </w:r>
      <w:r w:rsidRPr="00C555F2">
        <w:rPr>
          <w:szCs w:val="22"/>
          <w:lang w:val="es-ES"/>
        </w:rPr>
        <w:t xml:space="preserve">mg/0,9 ml </w:t>
      </w:r>
    </w:p>
    <w:p w14:paraId="650F986E" w14:textId="77777777" w:rsidR="00585EFC" w:rsidRPr="00C555F2" w:rsidRDefault="00585EFC" w:rsidP="00585EFC">
      <w:pPr>
        <w:ind w:right="113"/>
        <w:rPr>
          <w:szCs w:val="22"/>
          <w:lang w:val="es-ES"/>
        </w:rPr>
      </w:pPr>
    </w:p>
    <w:p w14:paraId="22579824" w14:textId="77777777" w:rsidR="00585EFC" w:rsidRPr="00C555F2" w:rsidRDefault="00585EFC" w:rsidP="00585EFC">
      <w:pPr>
        <w:ind w:right="113"/>
        <w:rPr>
          <w:szCs w:val="22"/>
          <w:lang w:val="es-ES"/>
        </w:rPr>
      </w:pPr>
    </w:p>
    <w:p w14:paraId="1574714D" w14:textId="77777777" w:rsidR="00585EFC" w:rsidRPr="00C555F2" w:rsidRDefault="00585EFC" w:rsidP="00585EFC">
      <w:pPr>
        <w:pBdr>
          <w:top w:val="single" w:sz="4" w:space="1" w:color="auto"/>
          <w:left w:val="single" w:sz="4" w:space="4" w:color="auto"/>
          <w:bottom w:val="single" w:sz="4" w:space="1" w:color="auto"/>
          <w:right w:val="single" w:sz="4" w:space="4" w:color="auto"/>
        </w:pBdr>
        <w:ind w:left="567" w:hanging="567"/>
        <w:outlineLvl w:val="0"/>
        <w:rPr>
          <w:b/>
          <w:szCs w:val="22"/>
          <w:lang w:val="es-ES"/>
        </w:rPr>
      </w:pPr>
      <w:r w:rsidRPr="00C555F2">
        <w:rPr>
          <w:b/>
          <w:szCs w:val="22"/>
          <w:lang w:val="es-ES"/>
        </w:rPr>
        <w:t>6.</w:t>
      </w:r>
      <w:r w:rsidRPr="00C555F2">
        <w:rPr>
          <w:b/>
          <w:szCs w:val="22"/>
          <w:lang w:val="es-ES"/>
        </w:rPr>
        <w:tab/>
      </w:r>
      <w:r>
        <w:rPr>
          <w:b/>
          <w:szCs w:val="22"/>
          <w:lang w:val="es-ES"/>
        </w:rPr>
        <w:t>OTROS</w:t>
      </w:r>
    </w:p>
    <w:p w14:paraId="2F2B50BE" w14:textId="77777777" w:rsidR="00585EFC" w:rsidRPr="00C555F2" w:rsidRDefault="00585EFC" w:rsidP="00585EFC">
      <w:pPr>
        <w:ind w:right="113"/>
        <w:rPr>
          <w:lang w:val="es-ES"/>
        </w:rPr>
      </w:pPr>
    </w:p>
    <w:p w14:paraId="2BC56496" w14:textId="77777777" w:rsidR="00E87ABC" w:rsidRPr="008A106B" w:rsidRDefault="00002B71" w:rsidP="00FF1EDA">
      <w:pPr>
        <w:ind w:left="567" w:hanging="567"/>
        <w:rPr>
          <w:noProof/>
          <w:lang w:val="es-ES"/>
        </w:rPr>
      </w:pPr>
      <w:r w:rsidRPr="008A106B">
        <w:rPr>
          <w:noProof/>
          <w:lang w:val="es-ES"/>
        </w:rPr>
        <w:br w:type="page"/>
      </w:r>
    </w:p>
    <w:p w14:paraId="4EB0A6FB" w14:textId="77777777" w:rsidR="00E87ABC" w:rsidRPr="008A106B" w:rsidRDefault="00E87ABC" w:rsidP="00C04E4B">
      <w:pPr>
        <w:numPr>
          <w:ilvl w:val="12"/>
          <w:numId w:val="0"/>
        </w:numPr>
        <w:ind w:right="-2"/>
        <w:jc w:val="center"/>
        <w:rPr>
          <w:noProof/>
          <w:lang w:val="es-ES"/>
        </w:rPr>
      </w:pPr>
    </w:p>
    <w:p w14:paraId="6A02D8E0" w14:textId="77777777" w:rsidR="00E87ABC" w:rsidRPr="008A106B" w:rsidRDefault="00E87ABC" w:rsidP="00C04E4B">
      <w:pPr>
        <w:numPr>
          <w:ilvl w:val="12"/>
          <w:numId w:val="0"/>
        </w:numPr>
        <w:ind w:right="-2"/>
        <w:jc w:val="center"/>
        <w:rPr>
          <w:noProof/>
          <w:lang w:val="es-ES"/>
        </w:rPr>
      </w:pPr>
    </w:p>
    <w:p w14:paraId="0A470695" w14:textId="77777777" w:rsidR="00E87ABC" w:rsidRPr="008A106B" w:rsidRDefault="00E87ABC" w:rsidP="00C04E4B">
      <w:pPr>
        <w:numPr>
          <w:ilvl w:val="12"/>
          <w:numId w:val="0"/>
        </w:numPr>
        <w:ind w:right="-2"/>
        <w:jc w:val="center"/>
        <w:rPr>
          <w:noProof/>
          <w:lang w:val="es-ES"/>
        </w:rPr>
      </w:pPr>
    </w:p>
    <w:p w14:paraId="61D4499C" w14:textId="77777777" w:rsidR="00E87ABC" w:rsidRPr="008A106B" w:rsidRDefault="00E87ABC" w:rsidP="00C04E4B">
      <w:pPr>
        <w:numPr>
          <w:ilvl w:val="12"/>
          <w:numId w:val="0"/>
        </w:numPr>
        <w:ind w:right="-2"/>
        <w:jc w:val="center"/>
        <w:rPr>
          <w:noProof/>
          <w:lang w:val="es-ES"/>
        </w:rPr>
      </w:pPr>
    </w:p>
    <w:p w14:paraId="2818CA74" w14:textId="77777777" w:rsidR="00E87ABC" w:rsidRPr="008A106B" w:rsidRDefault="00E87ABC" w:rsidP="00C04E4B">
      <w:pPr>
        <w:numPr>
          <w:ilvl w:val="12"/>
          <w:numId w:val="0"/>
        </w:numPr>
        <w:ind w:right="-2"/>
        <w:jc w:val="center"/>
        <w:rPr>
          <w:noProof/>
          <w:lang w:val="es-ES"/>
        </w:rPr>
      </w:pPr>
    </w:p>
    <w:p w14:paraId="5A1B8361" w14:textId="77777777" w:rsidR="00E87ABC" w:rsidRPr="008A106B" w:rsidRDefault="00E87ABC" w:rsidP="00C04E4B">
      <w:pPr>
        <w:numPr>
          <w:ilvl w:val="12"/>
          <w:numId w:val="0"/>
        </w:numPr>
        <w:ind w:right="-2"/>
        <w:jc w:val="center"/>
        <w:rPr>
          <w:noProof/>
          <w:lang w:val="es-ES"/>
        </w:rPr>
      </w:pPr>
    </w:p>
    <w:p w14:paraId="6C8C05C4" w14:textId="77777777" w:rsidR="00E87ABC" w:rsidRPr="008A106B" w:rsidRDefault="00E87ABC" w:rsidP="00C04E4B">
      <w:pPr>
        <w:numPr>
          <w:ilvl w:val="12"/>
          <w:numId w:val="0"/>
        </w:numPr>
        <w:ind w:right="-2"/>
        <w:jc w:val="center"/>
        <w:rPr>
          <w:noProof/>
          <w:lang w:val="es-ES"/>
        </w:rPr>
      </w:pPr>
    </w:p>
    <w:p w14:paraId="52C60EC3" w14:textId="77777777" w:rsidR="00E87ABC" w:rsidRPr="008A106B" w:rsidRDefault="00E87ABC" w:rsidP="00C04E4B">
      <w:pPr>
        <w:numPr>
          <w:ilvl w:val="12"/>
          <w:numId w:val="0"/>
        </w:numPr>
        <w:ind w:right="-2"/>
        <w:jc w:val="center"/>
        <w:rPr>
          <w:noProof/>
          <w:lang w:val="es-ES"/>
        </w:rPr>
      </w:pPr>
    </w:p>
    <w:p w14:paraId="133131AC" w14:textId="77777777" w:rsidR="00E87ABC" w:rsidRPr="008A106B" w:rsidRDefault="00E87ABC" w:rsidP="00C04E4B">
      <w:pPr>
        <w:numPr>
          <w:ilvl w:val="12"/>
          <w:numId w:val="0"/>
        </w:numPr>
        <w:ind w:right="-2"/>
        <w:jc w:val="center"/>
        <w:rPr>
          <w:noProof/>
          <w:lang w:val="es-ES"/>
        </w:rPr>
      </w:pPr>
    </w:p>
    <w:p w14:paraId="614B5D5D" w14:textId="77777777" w:rsidR="00E87ABC" w:rsidRPr="008A106B" w:rsidRDefault="00E87ABC" w:rsidP="00C04E4B">
      <w:pPr>
        <w:numPr>
          <w:ilvl w:val="12"/>
          <w:numId w:val="0"/>
        </w:numPr>
        <w:ind w:right="-2"/>
        <w:jc w:val="center"/>
        <w:rPr>
          <w:noProof/>
          <w:lang w:val="es-ES"/>
        </w:rPr>
      </w:pPr>
    </w:p>
    <w:p w14:paraId="2349965F" w14:textId="77777777" w:rsidR="00E87ABC" w:rsidRPr="008A106B" w:rsidRDefault="00E87ABC" w:rsidP="00C04E4B">
      <w:pPr>
        <w:numPr>
          <w:ilvl w:val="12"/>
          <w:numId w:val="0"/>
        </w:numPr>
        <w:ind w:right="-2"/>
        <w:jc w:val="center"/>
        <w:rPr>
          <w:noProof/>
          <w:lang w:val="es-ES"/>
        </w:rPr>
      </w:pPr>
    </w:p>
    <w:p w14:paraId="591A8F54" w14:textId="77777777" w:rsidR="00C04E4B" w:rsidRPr="008A106B" w:rsidRDefault="00C04E4B" w:rsidP="00C04E4B">
      <w:pPr>
        <w:numPr>
          <w:ilvl w:val="12"/>
          <w:numId w:val="0"/>
        </w:numPr>
        <w:ind w:right="-2"/>
        <w:jc w:val="center"/>
        <w:rPr>
          <w:noProof/>
          <w:lang w:val="es-ES"/>
        </w:rPr>
      </w:pPr>
    </w:p>
    <w:p w14:paraId="6AF97B08" w14:textId="77777777" w:rsidR="00C04E4B" w:rsidRPr="008A106B" w:rsidRDefault="00C04E4B" w:rsidP="00C04E4B">
      <w:pPr>
        <w:numPr>
          <w:ilvl w:val="12"/>
          <w:numId w:val="0"/>
        </w:numPr>
        <w:ind w:right="-2"/>
        <w:jc w:val="center"/>
        <w:rPr>
          <w:noProof/>
          <w:lang w:val="es-ES"/>
        </w:rPr>
      </w:pPr>
    </w:p>
    <w:p w14:paraId="7FF1C2DC" w14:textId="77777777" w:rsidR="00C04E4B" w:rsidRPr="008A106B" w:rsidRDefault="00C04E4B" w:rsidP="00C04E4B">
      <w:pPr>
        <w:numPr>
          <w:ilvl w:val="12"/>
          <w:numId w:val="0"/>
        </w:numPr>
        <w:ind w:right="-2"/>
        <w:jc w:val="center"/>
        <w:rPr>
          <w:noProof/>
          <w:lang w:val="es-ES"/>
        </w:rPr>
      </w:pPr>
    </w:p>
    <w:p w14:paraId="78CD73EB" w14:textId="77777777" w:rsidR="004574E5" w:rsidRPr="008A106B" w:rsidRDefault="004574E5" w:rsidP="00C04E4B">
      <w:pPr>
        <w:numPr>
          <w:ilvl w:val="12"/>
          <w:numId w:val="0"/>
        </w:numPr>
        <w:ind w:right="-2"/>
        <w:jc w:val="center"/>
        <w:rPr>
          <w:noProof/>
          <w:lang w:val="es-ES"/>
        </w:rPr>
      </w:pPr>
    </w:p>
    <w:p w14:paraId="7CE50444" w14:textId="77777777" w:rsidR="004574E5" w:rsidRPr="008A106B" w:rsidRDefault="004574E5" w:rsidP="00C04E4B">
      <w:pPr>
        <w:numPr>
          <w:ilvl w:val="12"/>
          <w:numId w:val="0"/>
        </w:numPr>
        <w:ind w:right="-2"/>
        <w:jc w:val="center"/>
        <w:rPr>
          <w:noProof/>
          <w:lang w:val="es-ES"/>
        </w:rPr>
      </w:pPr>
    </w:p>
    <w:p w14:paraId="78E19551" w14:textId="77777777" w:rsidR="004574E5" w:rsidRPr="008A106B" w:rsidRDefault="004574E5" w:rsidP="00C04E4B">
      <w:pPr>
        <w:numPr>
          <w:ilvl w:val="12"/>
          <w:numId w:val="0"/>
        </w:numPr>
        <w:ind w:right="-2"/>
        <w:jc w:val="center"/>
        <w:rPr>
          <w:noProof/>
          <w:lang w:val="es-ES"/>
        </w:rPr>
      </w:pPr>
    </w:p>
    <w:p w14:paraId="4DA325B8" w14:textId="77777777" w:rsidR="004574E5" w:rsidRPr="008A106B" w:rsidRDefault="004574E5" w:rsidP="00C04E4B">
      <w:pPr>
        <w:numPr>
          <w:ilvl w:val="12"/>
          <w:numId w:val="0"/>
        </w:numPr>
        <w:ind w:right="-2"/>
        <w:jc w:val="center"/>
        <w:rPr>
          <w:noProof/>
          <w:lang w:val="es-ES"/>
        </w:rPr>
      </w:pPr>
    </w:p>
    <w:p w14:paraId="06EAD3B9" w14:textId="77777777" w:rsidR="004574E5" w:rsidRDefault="004574E5" w:rsidP="00C04E4B">
      <w:pPr>
        <w:numPr>
          <w:ilvl w:val="12"/>
          <w:numId w:val="0"/>
        </w:numPr>
        <w:ind w:right="-2"/>
        <w:jc w:val="center"/>
        <w:rPr>
          <w:noProof/>
          <w:lang w:val="es-ES"/>
        </w:rPr>
      </w:pPr>
    </w:p>
    <w:p w14:paraId="0A6B87D8" w14:textId="77777777" w:rsidR="001B10E0" w:rsidRPr="008A106B" w:rsidRDefault="001B10E0" w:rsidP="00C04E4B">
      <w:pPr>
        <w:numPr>
          <w:ilvl w:val="12"/>
          <w:numId w:val="0"/>
        </w:numPr>
        <w:ind w:right="-2"/>
        <w:jc w:val="center"/>
        <w:rPr>
          <w:noProof/>
          <w:lang w:val="es-ES"/>
        </w:rPr>
      </w:pPr>
    </w:p>
    <w:p w14:paraId="79C910E8" w14:textId="77777777" w:rsidR="004574E5" w:rsidRDefault="004574E5" w:rsidP="004574E5">
      <w:pPr>
        <w:rPr>
          <w:noProof/>
          <w:lang w:val="es-ES"/>
        </w:rPr>
      </w:pPr>
    </w:p>
    <w:p w14:paraId="5C8DFD68" w14:textId="77777777" w:rsidR="000C3AC2" w:rsidRDefault="000C3AC2" w:rsidP="00F30AB8">
      <w:pPr>
        <w:rPr>
          <w:noProof/>
          <w:lang w:val="es-ES"/>
        </w:rPr>
      </w:pPr>
    </w:p>
    <w:p w14:paraId="08B08775" w14:textId="77777777" w:rsidR="000C3AC2" w:rsidRDefault="000C3AC2" w:rsidP="00F30AB8">
      <w:pPr>
        <w:rPr>
          <w:noProof/>
          <w:lang w:val="es-ES"/>
        </w:rPr>
      </w:pPr>
    </w:p>
    <w:p w14:paraId="12A0E666" w14:textId="6F255DFC" w:rsidR="007E7CF2" w:rsidRPr="008A106B" w:rsidRDefault="00C04E4B" w:rsidP="007E7CF2">
      <w:pPr>
        <w:pStyle w:val="Annex"/>
        <w:rPr>
          <w:noProof/>
          <w:lang w:val="es-ES"/>
        </w:rPr>
      </w:pPr>
      <w:r w:rsidRPr="008A106B">
        <w:rPr>
          <w:noProof/>
          <w:lang w:val="es-ES"/>
        </w:rPr>
        <w:t>B. PROSPECTO</w:t>
      </w:r>
    </w:p>
    <w:p w14:paraId="41B39E63" w14:textId="77777777" w:rsidR="00060B21" w:rsidRPr="008A106B" w:rsidRDefault="00002B71" w:rsidP="00060B21">
      <w:pPr>
        <w:jc w:val="center"/>
        <w:outlineLvl w:val="0"/>
        <w:rPr>
          <w:b/>
          <w:lang w:val="es-ES"/>
        </w:rPr>
      </w:pPr>
      <w:r w:rsidRPr="008A106B">
        <w:rPr>
          <w:noProof/>
          <w:lang w:val="es-ES"/>
        </w:rPr>
        <w:br w:type="page"/>
      </w:r>
      <w:r w:rsidR="00060B21" w:rsidRPr="008A106B">
        <w:rPr>
          <w:b/>
          <w:lang w:val="es-ES"/>
        </w:rPr>
        <w:lastRenderedPageBreak/>
        <w:t xml:space="preserve">Prospecto: </w:t>
      </w:r>
      <w:r w:rsidR="006E6E69">
        <w:rPr>
          <w:b/>
          <w:lang w:val="es-ES"/>
        </w:rPr>
        <w:t>i</w:t>
      </w:r>
      <w:r w:rsidR="00060B21" w:rsidRPr="008A106B">
        <w:rPr>
          <w:b/>
          <w:lang w:val="es-ES"/>
        </w:rPr>
        <w:t>nformación para el usuario</w:t>
      </w:r>
    </w:p>
    <w:p w14:paraId="22D012CF" w14:textId="77777777" w:rsidR="00060B21" w:rsidRPr="008A106B" w:rsidRDefault="00060B21" w:rsidP="00060B21">
      <w:pPr>
        <w:jc w:val="center"/>
        <w:outlineLvl w:val="0"/>
        <w:rPr>
          <w:b/>
          <w:lang w:val="es-ES"/>
        </w:rPr>
      </w:pPr>
    </w:p>
    <w:p w14:paraId="236E56AF" w14:textId="77777777" w:rsidR="00060B21" w:rsidRPr="008A106B" w:rsidRDefault="00060B21" w:rsidP="00060B21">
      <w:pPr>
        <w:jc w:val="center"/>
        <w:rPr>
          <w:b/>
          <w:bCs/>
          <w:lang w:val="es-ES"/>
        </w:rPr>
      </w:pPr>
      <w:r w:rsidRPr="008A106B">
        <w:rPr>
          <w:b/>
          <w:bCs/>
          <w:lang w:val="es-ES_tradnl"/>
        </w:rPr>
        <w:t>RoActemra 20 mg/ml, concentrado para solución para perfusión</w:t>
      </w:r>
    </w:p>
    <w:p w14:paraId="5B0035FD" w14:textId="77777777" w:rsidR="00060B21" w:rsidRPr="00EB73CE" w:rsidRDefault="0085789E" w:rsidP="00336716">
      <w:pPr>
        <w:jc w:val="center"/>
        <w:rPr>
          <w:bCs/>
          <w:lang w:val="es-ES_tradnl"/>
        </w:rPr>
      </w:pPr>
      <w:r>
        <w:rPr>
          <w:bCs/>
          <w:lang w:val="es-ES_tradnl"/>
        </w:rPr>
        <w:t>t</w:t>
      </w:r>
      <w:r w:rsidR="00060B21" w:rsidRPr="00EB73CE">
        <w:rPr>
          <w:bCs/>
          <w:lang w:val="es-ES_tradnl"/>
        </w:rPr>
        <w:t>ocilizumab</w:t>
      </w:r>
    </w:p>
    <w:p w14:paraId="32241084" w14:textId="77777777" w:rsidR="00060B21" w:rsidRPr="008A106B" w:rsidRDefault="00060B21" w:rsidP="00060B21">
      <w:pPr>
        <w:rPr>
          <w:lang w:val="es-ES"/>
        </w:rPr>
      </w:pPr>
    </w:p>
    <w:p w14:paraId="2C9A571F" w14:textId="77777777" w:rsidR="00060B21" w:rsidRPr="008A106B" w:rsidRDefault="00060B21" w:rsidP="00060B21">
      <w:pPr>
        <w:rPr>
          <w:b/>
          <w:bCs/>
          <w:lang w:val="es-ES"/>
        </w:rPr>
      </w:pPr>
      <w:r w:rsidRPr="008A106B">
        <w:rPr>
          <w:b/>
          <w:bCs/>
          <w:lang w:val="es-ES_tradnl"/>
        </w:rPr>
        <w:t>Lea todo el prospecto detenidamente antes de empezar a tomar e</w:t>
      </w:r>
      <w:r w:rsidR="00827BF0">
        <w:rPr>
          <w:b/>
          <w:bCs/>
          <w:lang w:val="es-ES_tradnl"/>
        </w:rPr>
        <w:t>ste</w:t>
      </w:r>
      <w:r w:rsidRPr="008A106B">
        <w:rPr>
          <w:b/>
          <w:bCs/>
          <w:lang w:val="es-ES_tradnl"/>
        </w:rPr>
        <w:t xml:space="preserve"> medicamento, </w:t>
      </w:r>
      <w:r w:rsidRPr="008A106B">
        <w:rPr>
          <w:b/>
          <w:szCs w:val="24"/>
          <w:lang w:val="es-ES_tradnl"/>
        </w:rPr>
        <w:t>porque contiene información importante para usted</w:t>
      </w:r>
      <w:r w:rsidRPr="008A106B">
        <w:rPr>
          <w:b/>
          <w:lang w:val="es-ES_tradnl"/>
        </w:rPr>
        <w:t>.</w:t>
      </w:r>
    </w:p>
    <w:p w14:paraId="380CF875" w14:textId="77777777" w:rsidR="00060B21" w:rsidRPr="008A106B" w:rsidRDefault="00060B21" w:rsidP="00060B21">
      <w:pPr>
        <w:rPr>
          <w:b/>
          <w:bCs/>
          <w:lang w:val="es-ES"/>
        </w:rPr>
      </w:pPr>
    </w:p>
    <w:p w14:paraId="64A4832F" w14:textId="77777777" w:rsidR="00060B21" w:rsidRPr="008A106B" w:rsidRDefault="00060B21" w:rsidP="00060B21">
      <w:pPr>
        <w:ind w:left="567" w:hanging="567"/>
        <w:rPr>
          <w:lang w:val="es-ES"/>
        </w:rPr>
      </w:pPr>
      <w:r w:rsidRPr="008A106B">
        <w:rPr>
          <w:lang w:val="es-ES"/>
        </w:rPr>
        <w:sym w:font="Symbol" w:char="F0B7"/>
      </w:r>
      <w:r w:rsidRPr="00CD03ED">
        <w:rPr>
          <w:noProof/>
          <w:lang w:val="es-ES"/>
        </w:rPr>
        <w:tab/>
      </w:r>
      <w:r w:rsidRPr="008A106B">
        <w:rPr>
          <w:lang w:val="es-ES_tradnl"/>
        </w:rPr>
        <w:t>Conserve este prospecto,</w:t>
      </w:r>
      <w:r w:rsidRPr="008A106B">
        <w:rPr>
          <w:lang w:val="es-ES"/>
        </w:rPr>
        <w:t xml:space="preserve"> </w:t>
      </w:r>
      <w:r w:rsidRPr="008A106B">
        <w:rPr>
          <w:lang w:val="es-ES_tradnl"/>
        </w:rPr>
        <w:t>ya que puede tener que volver a leerlo.</w:t>
      </w:r>
    </w:p>
    <w:p w14:paraId="16498462" w14:textId="77777777" w:rsidR="00626BA2" w:rsidRPr="008A106B" w:rsidRDefault="00060B21" w:rsidP="00060B21">
      <w:pPr>
        <w:ind w:left="567" w:hanging="567"/>
        <w:rPr>
          <w:lang w:val="es-ES"/>
        </w:rPr>
      </w:pPr>
      <w:r w:rsidRPr="008A106B">
        <w:rPr>
          <w:lang w:val="es-ES"/>
        </w:rPr>
        <w:sym w:font="Symbol" w:char="F0B7"/>
      </w:r>
      <w:r w:rsidRPr="00CD03ED">
        <w:rPr>
          <w:noProof/>
          <w:lang w:val="es-ES"/>
        </w:rPr>
        <w:tab/>
      </w:r>
      <w:r w:rsidRPr="008A106B">
        <w:rPr>
          <w:lang w:val="es-ES_tradnl"/>
        </w:rPr>
        <w:t>Si tiene alguna duda, consulte a su médico o enfermero.</w:t>
      </w:r>
    </w:p>
    <w:p w14:paraId="48AD573F" w14:textId="77777777" w:rsidR="00060B21" w:rsidRPr="008A106B" w:rsidRDefault="00060B21" w:rsidP="00060B21">
      <w:pPr>
        <w:ind w:left="567" w:hanging="567"/>
        <w:rPr>
          <w:lang w:val="es-ES"/>
        </w:rPr>
      </w:pPr>
      <w:r w:rsidRPr="008A106B">
        <w:rPr>
          <w:lang w:val="es-ES"/>
        </w:rPr>
        <w:sym w:font="Symbol" w:char="F0B7"/>
      </w:r>
      <w:r w:rsidRPr="00CD03ED">
        <w:rPr>
          <w:noProof/>
          <w:lang w:val="es-ES"/>
        </w:rPr>
        <w:tab/>
      </w:r>
      <w:r w:rsidRPr="008A106B">
        <w:rPr>
          <w:lang w:val="es-ES_tradnl"/>
        </w:rPr>
        <w:t xml:space="preserve">Si experimenta efectos adversos, consulte a su </w:t>
      </w:r>
      <w:r w:rsidRPr="000911DD">
        <w:rPr>
          <w:lang w:val="es-ES_tradnl"/>
        </w:rPr>
        <w:t>médico o enfermero, incluso si se trata de efectos adversos que no aparecen en este prospecto. Ver sección 4.</w:t>
      </w:r>
    </w:p>
    <w:p w14:paraId="3CF8DE15" w14:textId="77777777" w:rsidR="00060B21" w:rsidRPr="008A106B" w:rsidRDefault="00060B21" w:rsidP="00060B21">
      <w:pPr>
        <w:ind w:left="567" w:hanging="567"/>
        <w:rPr>
          <w:lang w:val="es-ES"/>
        </w:rPr>
      </w:pPr>
    </w:p>
    <w:p w14:paraId="326CAF6F" w14:textId="46B27862" w:rsidR="00060B21" w:rsidRPr="008A106B" w:rsidRDefault="00060B21" w:rsidP="00060B21">
      <w:pPr>
        <w:rPr>
          <w:lang w:val="es-ES"/>
        </w:rPr>
      </w:pPr>
      <w:r w:rsidRPr="008A106B">
        <w:rPr>
          <w:lang w:val="es-ES_tradnl"/>
        </w:rPr>
        <w:t xml:space="preserve">Además de este prospecto, se le dará una </w:t>
      </w:r>
      <w:r w:rsidRPr="008A106B">
        <w:rPr>
          <w:b/>
          <w:lang w:val="es-ES_tradnl"/>
        </w:rPr>
        <w:t xml:space="preserve">tarjeta de </w:t>
      </w:r>
      <w:r w:rsidR="00A17862">
        <w:rPr>
          <w:b/>
          <w:lang w:val="es-ES_tradnl"/>
        </w:rPr>
        <w:t xml:space="preserve">información para </w:t>
      </w:r>
      <w:r w:rsidRPr="008A106B">
        <w:rPr>
          <w:b/>
          <w:lang w:val="es-ES_tradnl"/>
        </w:rPr>
        <w:t>el paciente</w:t>
      </w:r>
      <w:r w:rsidRPr="008A106B">
        <w:rPr>
          <w:lang w:val="es-ES_tradnl"/>
        </w:rPr>
        <w:t>, que contiene información importante de seguridad que debe conocer antes de recibir RoActemra y durante el tratamiento con RoActemra.</w:t>
      </w:r>
    </w:p>
    <w:p w14:paraId="0E930D12" w14:textId="77777777" w:rsidR="00060B21" w:rsidRPr="008A106B" w:rsidRDefault="00060B21" w:rsidP="00060B21">
      <w:pPr>
        <w:rPr>
          <w:lang w:val="es-ES"/>
        </w:rPr>
      </w:pPr>
    </w:p>
    <w:p w14:paraId="3A69138D" w14:textId="77777777" w:rsidR="006E6E69" w:rsidRDefault="00060B21" w:rsidP="00060B21">
      <w:pPr>
        <w:rPr>
          <w:b/>
          <w:bCs/>
          <w:lang w:val="es-ES_tradnl"/>
        </w:rPr>
      </w:pPr>
      <w:r w:rsidRPr="008A106B">
        <w:rPr>
          <w:b/>
          <w:bCs/>
          <w:lang w:val="es-ES_tradnl"/>
        </w:rPr>
        <w:t>Contenido del prospecto</w:t>
      </w:r>
    </w:p>
    <w:p w14:paraId="6C1FE1E9" w14:textId="77777777" w:rsidR="00060B21" w:rsidRPr="008A106B" w:rsidRDefault="00060B21" w:rsidP="00060B21">
      <w:pPr>
        <w:rPr>
          <w:lang w:val="es-ES"/>
        </w:rPr>
      </w:pPr>
    </w:p>
    <w:p w14:paraId="1E2A91BF" w14:textId="77777777" w:rsidR="00060B21" w:rsidRPr="008A106B" w:rsidRDefault="00060B21" w:rsidP="00060B21">
      <w:pPr>
        <w:rPr>
          <w:lang w:val="es-ES"/>
        </w:rPr>
      </w:pPr>
      <w:r w:rsidRPr="008A106B">
        <w:rPr>
          <w:lang w:val="es-ES"/>
        </w:rPr>
        <w:t>1.</w:t>
      </w:r>
      <w:r w:rsidRPr="008A106B">
        <w:rPr>
          <w:lang w:val="es-ES"/>
        </w:rPr>
        <w:tab/>
      </w:r>
      <w:r w:rsidRPr="008A106B">
        <w:rPr>
          <w:lang w:val="es-ES_tradnl"/>
        </w:rPr>
        <w:t>Qué es RoActemra y para qué se utiliza</w:t>
      </w:r>
    </w:p>
    <w:p w14:paraId="622607A7" w14:textId="77777777" w:rsidR="00060B21" w:rsidRPr="008A106B" w:rsidRDefault="00060B21" w:rsidP="00060B21">
      <w:pPr>
        <w:rPr>
          <w:lang w:val="es-ES"/>
        </w:rPr>
      </w:pPr>
      <w:r w:rsidRPr="008A106B">
        <w:rPr>
          <w:lang w:val="es-ES"/>
        </w:rPr>
        <w:t>2.</w:t>
      </w:r>
      <w:r w:rsidRPr="008A106B">
        <w:rPr>
          <w:lang w:val="es-ES"/>
        </w:rPr>
        <w:tab/>
        <w:t xml:space="preserve">Qué necesita saber </w:t>
      </w:r>
      <w:r w:rsidRPr="008A106B">
        <w:rPr>
          <w:lang w:val="es-ES_tradnl"/>
        </w:rPr>
        <w:t>antes de</w:t>
      </w:r>
      <w:r w:rsidR="00FC6EE0">
        <w:rPr>
          <w:lang w:val="es-ES_tradnl"/>
        </w:rPr>
        <w:t xml:space="preserve"> empezar a usar </w:t>
      </w:r>
      <w:r w:rsidRPr="008A106B">
        <w:rPr>
          <w:lang w:val="es-ES_tradnl"/>
        </w:rPr>
        <w:t>RoActemra</w:t>
      </w:r>
    </w:p>
    <w:p w14:paraId="68008581" w14:textId="77777777" w:rsidR="00060B21" w:rsidRPr="008A106B" w:rsidRDefault="00060B21" w:rsidP="00060B21">
      <w:pPr>
        <w:rPr>
          <w:lang w:val="es-ES"/>
        </w:rPr>
      </w:pPr>
      <w:r w:rsidRPr="008A106B">
        <w:rPr>
          <w:lang w:val="es-ES"/>
        </w:rPr>
        <w:t>3.</w:t>
      </w:r>
      <w:r w:rsidRPr="008A106B">
        <w:rPr>
          <w:lang w:val="es-ES"/>
        </w:rPr>
        <w:tab/>
      </w:r>
      <w:r w:rsidRPr="008A106B">
        <w:rPr>
          <w:lang w:val="es-ES_tradnl"/>
        </w:rPr>
        <w:t xml:space="preserve">Cómo </w:t>
      </w:r>
      <w:r w:rsidR="00FC6EE0">
        <w:rPr>
          <w:lang w:val="es-ES_tradnl"/>
        </w:rPr>
        <w:t>usar</w:t>
      </w:r>
      <w:r w:rsidRPr="008A106B">
        <w:rPr>
          <w:lang w:val="es-ES_tradnl"/>
        </w:rPr>
        <w:t xml:space="preserve"> RoActemra</w:t>
      </w:r>
    </w:p>
    <w:p w14:paraId="770E9F05" w14:textId="77777777" w:rsidR="00060B21" w:rsidRPr="008A106B" w:rsidRDefault="00060B21" w:rsidP="00060B21">
      <w:pPr>
        <w:rPr>
          <w:lang w:val="es-ES"/>
        </w:rPr>
      </w:pPr>
      <w:r w:rsidRPr="008A106B">
        <w:rPr>
          <w:lang w:val="es-ES"/>
        </w:rPr>
        <w:t>4.</w:t>
      </w:r>
      <w:r w:rsidRPr="008A106B">
        <w:rPr>
          <w:lang w:val="es-ES"/>
        </w:rPr>
        <w:tab/>
      </w:r>
      <w:r w:rsidRPr="008A106B">
        <w:rPr>
          <w:lang w:val="es-ES_tradnl"/>
        </w:rPr>
        <w:t>Posibles efectos adversos</w:t>
      </w:r>
    </w:p>
    <w:p w14:paraId="06F77802" w14:textId="77777777" w:rsidR="00060B21" w:rsidRPr="008A106B" w:rsidRDefault="00060B21" w:rsidP="00060B21">
      <w:pPr>
        <w:rPr>
          <w:lang w:val="es-ES"/>
        </w:rPr>
      </w:pPr>
      <w:r w:rsidRPr="008A106B">
        <w:rPr>
          <w:lang w:val="es-ES"/>
        </w:rPr>
        <w:t>5.</w:t>
      </w:r>
      <w:r w:rsidRPr="008A106B">
        <w:rPr>
          <w:lang w:val="es-ES"/>
        </w:rPr>
        <w:tab/>
      </w:r>
      <w:r w:rsidRPr="008A106B">
        <w:rPr>
          <w:lang w:val="es-ES_tradnl"/>
        </w:rPr>
        <w:t>Conservación de RoActemra</w:t>
      </w:r>
    </w:p>
    <w:p w14:paraId="5EC39B7F" w14:textId="77777777" w:rsidR="00060B21" w:rsidRPr="008A106B" w:rsidRDefault="00060B21" w:rsidP="00060B21">
      <w:pPr>
        <w:rPr>
          <w:lang w:val="es-ES"/>
        </w:rPr>
      </w:pPr>
      <w:r w:rsidRPr="008A106B">
        <w:rPr>
          <w:lang w:val="es-ES"/>
        </w:rPr>
        <w:t>6.</w:t>
      </w:r>
      <w:r w:rsidRPr="008A106B">
        <w:rPr>
          <w:lang w:val="es-ES"/>
        </w:rPr>
        <w:tab/>
        <w:t xml:space="preserve">Contenido del envase e </w:t>
      </w:r>
      <w:r w:rsidRPr="008A106B">
        <w:rPr>
          <w:lang w:val="es-ES_tradnl"/>
        </w:rPr>
        <w:t>información adicional</w:t>
      </w:r>
    </w:p>
    <w:p w14:paraId="11314EE0" w14:textId="77777777" w:rsidR="00060B21" w:rsidRPr="008A106B" w:rsidRDefault="00060B21" w:rsidP="00060B21">
      <w:pPr>
        <w:rPr>
          <w:lang w:val="es-ES"/>
        </w:rPr>
      </w:pPr>
    </w:p>
    <w:p w14:paraId="2BABA4E5" w14:textId="77777777" w:rsidR="00060B21" w:rsidRPr="008A106B" w:rsidRDefault="00060B21" w:rsidP="00060B21">
      <w:pPr>
        <w:rPr>
          <w:lang w:val="es-ES"/>
        </w:rPr>
      </w:pPr>
    </w:p>
    <w:p w14:paraId="72E19D89" w14:textId="77777777" w:rsidR="00060B21" w:rsidRPr="00FF2AFA" w:rsidRDefault="00060B21" w:rsidP="00060B21">
      <w:pPr>
        <w:rPr>
          <w:b/>
          <w:bCs/>
          <w:szCs w:val="22"/>
          <w:lang w:val="es-ES"/>
        </w:rPr>
      </w:pPr>
      <w:r w:rsidRPr="00FF2AFA">
        <w:rPr>
          <w:b/>
          <w:bCs/>
          <w:szCs w:val="22"/>
          <w:lang w:val="es-ES"/>
        </w:rPr>
        <w:t>1.</w:t>
      </w:r>
      <w:r w:rsidRPr="00FF2AFA">
        <w:rPr>
          <w:b/>
          <w:bCs/>
          <w:szCs w:val="22"/>
          <w:lang w:val="es-ES"/>
        </w:rPr>
        <w:tab/>
      </w:r>
      <w:r w:rsidRPr="00FF2AFA">
        <w:rPr>
          <w:b/>
          <w:bCs/>
          <w:szCs w:val="22"/>
          <w:lang w:val="es-ES_tradnl"/>
        </w:rPr>
        <w:t>Qué es RoActemra y para qué se utiliza</w:t>
      </w:r>
      <w:r w:rsidRPr="00FF2AFA" w:rsidDel="00B36F08">
        <w:rPr>
          <w:b/>
          <w:bCs/>
          <w:szCs w:val="22"/>
          <w:lang w:val="es-ES_tradnl"/>
        </w:rPr>
        <w:t xml:space="preserve"> </w:t>
      </w:r>
    </w:p>
    <w:p w14:paraId="54658163" w14:textId="77777777" w:rsidR="001000A9" w:rsidRDefault="001000A9" w:rsidP="00234AEF">
      <w:pPr>
        <w:ind w:left="562" w:hanging="1"/>
        <w:rPr>
          <w:lang w:val="es-ES"/>
        </w:rPr>
      </w:pPr>
    </w:p>
    <w:p w14:paraId="55218D1A" w14:textId="77777777" w:rsidR="00234AEF" w:rsidRPr="00F22672" w:rsidRDefault="00060B21" w:rsidP="001000A9">
      <w:pPr>
        <w:ind w:left="1" w:hanging="1"/>
        <w:rPr>
          <w:lang w:val="es-ES"/>
        </w:rPr>
      </w:pPr>
      <w:r w:rsidRPr="00F22672">
        <w:rPr>
          <w:lang w:val="es-ES"/>
        </w:rPr>
        <w:t xml:space="preserve">RoActemra contiene una sustancia activa llamada tocilizumab, que es una proteína obtenida a partir de células inmunitarias específicas (anticuerpo monoclonal), que bloquea la acción de un tipo de proteína </w:t>
      </w:r>
      <w:r w:rsidR="00E4607B" w:rsidRPr="00F22672">
        <w:rPr>
          <w:lang w:val="es-ES"/>
        </w:rPr>
        <w:t xml:space="preserve">específica </w:t>
      </w:r>
      <w:r w:rsidRPr="00F22672">
        <w:rPr>
          <w:lang w:val="es-ES"/>
        </w:rPr>
        <w:t>(citoquina) llamada inter-leucina 6. Esta proteína está implicada en proceso</w:t>
      </w:r>
      <w:r w:rsidR="00E4607B" w:rsidRPr="00F22672">
        <w:rPr>
          <w:lang w:val="es-ES"/>
        </w:rPr>
        <w:t>s</w:t>
      </w:r>
      <w:r w:rsidRPr="00F22672">
        <w:rPr>
          <w:lang w:val="es-ES"/>
        </w:rPr>
        <w:t xml:space="preserve"> inflamatorio</w:t>
      </w:r>
      <w:r w:rsidR="00E4607B" w:rsidRPr="00F22672">
        <w:rPr>
          <w:lang w:val="es-ES"/>
        </w:rPr>
        <w:t>s</w:t>
      </w:r>
      <w:r w:rsidRPr="00F22672">
        <w:rPr>
          <w:lang w:val="es-ES"/>
        </w:rPr>
        <w:t xml:space="preserve"> del cuerpo, y bloqueándola se puede reducir la inflamación.</w:t>
      </w:r>
      <w:r w:rsidR="00234AEF" w:rsidRPr="00F22672">
        <w:rPr>
          <w:lang w:val="es-ES"/>
        </w:rPr>
        <w:t xml:space="preserve"> </w:t>
      </w:r>
      <w:r w:rsidR="00234AEF" w:rsidRPr="00F22672">
        <w:rPr>
          <w:lang w:val="es-ES_tradnl"/>
        </w:rPr>
        <w:t xml:space="preserve">RoActemra ayuda a reducir síntomas tales como el dolor y la hinchazón en sus articulaciones y puede también mejorar así su rendimiento en las tareas diarias. </w:t>
      </w:r>
      <w:r w:rsidR="00D35F73" w:rsidRPr="006868F5">
        <w:rPr>
          <w:rFonts w:eastAsia="SimSun"/>
          <w:szCs w:val="22"/>
          <w:lang w:val="es-ES" w:eastAsia="zh-CN" w:bidi="th-TH"/>
        </w:rPr>
        <w:t>RoActemra</w:t>
      </w:r>
      <w:r w:rsidR="00E4607B" w:rsidRPr="00F22672">
        <w:rPr>
          <w:lang w:val="es-ES_tradnl"/>
        </w:rPr>
        <w:t xml:space="preserve"> ha demostrado disminuir </w:t>
      </w:r>
      <w:r w:rsidR="00234AEF" w:rsidRPr="00F22672">
        <w:rPr>
          <w:lang w:val="es-ES_tradnl"/>
        </w:rPr>
        <w:t xml:space="preserve">la progresión del daño en el cartílago y los huesos de </w:t>
      </w:r>
      <w:r w:rsidR="00796BB7" w:rsidRPr="00F22672">
        <w:rPr>
          <w:lang w:val="es-ES_tradnl"/>
        </w:rPr>
        <w:t>las</w:t>
      </w:r>
      <w:r w:rsidR="00234AEF" w:rsidRPr="00F22672">
        <w:rPr>
          <w:lang w:val="es-ES_tradnl"/>
        </w:rPr>
        <w:t xml:space="preserve"> articulaciones causados por la enfermedad y mejorar su capacidad para realizar sus actividades diarias.</w:t>
      </w:r>
      <w:r w:rsidR="003D67A6">
        <w:rPr>
          <w:lang w:val="es-ES_tradnl"/>
        </w:rPr>
        <w:t xml:space="preserve"> </w:t>
      </w:r>
    </w:p>
    <w:p w14:paraId="032F0BFF" w14:textId="77777777" w:rsidR="00060B21" w:rsidRPr="00F22672" w:rsidRDefault="00060B21" w:rsidP="00060B21">
      <w:pPr>
        <w:rPr>
          <w:lang w:val="es-ES"/>
        </w:rPr>
      </w:pPr>
    </w:p>
    <w:p w14:paraId="3EEBD82E" w14:textId="77777777" w:rsidR="001F45FB" w:rsidRDefault="00060B21" w:rsidP="00FF2AFA">
      <w:pPr>
        <w:ind w:left="567" w:hanging="567"/>
        <w:rPr>
          <w:lang w:val="es-ES"/>
        </w:rPr>
      </w:pPr>
      <w:r w:rsidRPr="00F22672">
        <w:rPr>
          <w:lang w:val="es-ES"/>
        </w:rPr>
        <w:sym w:font="Symbol" w:char="F0B7"/>
      </w:r>
      <w:r w:rsidRPr="00F22672">
        <w:rPr>
          <w:lang w:val="es-ES"/>
        </w:rPr>
        <w:tab/>
      </w:r>
      <w:r w:rsidRPr="00F22672">
        <w:rPr>
          <w:b/>
          <w:lang w:val="es-ES_tradnl"/>
        </w:rPr>
        <w:t>RoActemra se usa para tratar</w:t>
      </w:r>
      <w:r w:rsidRPr="00F22672">
        <w:rPr>
          <w:lang w:val="es-ES_tradnl"/>
        </w:rPr>
        <w:t xml:space="preserve"> </w:t>
      </w:r>
      <w:r w:rsidR="00C3764E" w:rsidRPr="00F22672">
        <w:rPr>
          <w:b/>
          <w:lang w:val="es-ES_tradnl"/>
        </w:rPr>
        <w:t>adultos</w:t>
      </w:r>
      <w:r w:rsidR="00C3764E" w:rsidRPr="00F22672">
        <w:rPr>
          <w:lang w:val="es-ES_tradnl"/>
        </w:rPr>
        <w:t xml:space="preserve"> con </w:t>
      </w:r>
      <w:r w:rsidRPr="00F22672">
        <w:rPr>
          <w:lang w:val="es-ES_tradnl"/>
        </w:rPr>
        <w:t xml:space="preserve">artritis reumatoide activa </w:t>
      </w:r>
      <w:r w:rsidR="00234AEF" w:rsidRPr="00F22672">
        <w:rPr>
          <w:lang w:val="es-ES_tradnl"/>
        </w:rPr>
        <w:t xml:space="preserve">(AR) </w:t>
      </w:r>
      <w:r w:rsidRPr="00F22672">
        <w:rPr>
          <w:lang w:val="es-ES_tradnl"/>
        </w:rPr>
        <w:t>de moderada a grave, que es una enfermedad autoinmune, si los tratamientos previos no han funcionado bien.</w:t>
      </w:r>
      <w:r w:rsidRPr="00F22672">
        <w:rPr>
          <w:lang w:val="es-ES"/>
        </w:rPr>
        <w:t xml:space="preserve"> </w:t>
      </w:r>
      <w:r w:rsidR="00234AEF" w:rsidRPr="00F22672">
        <w:rPr>
          <w:lang w:val="es-ES_tradnl"/>
        </w:rPr>
        <w:t>RoActemra normalmente se utiliza en combinación con metotrexato</w:t>
      </w:r>
      <w:r w:rsidR="00C3764E" w:rsidRPr="00F22672">
        <w:rPr>
          <w:lang w:val="es-ES_tradnl"/>
        </w:rPr>
        <w:t>.</w:t>
      </w:r>
      <w:r w:rsidR="00234AEF" w:rsidRPr="00F22672">
        <w:rPr>
          <w:lang w:val="es-ES_tradnl"/>
        </w:rPr>
        <w:t xml:space="preserve"> Sin embargo, RoActemra se le puede administrar solo, si su médico determina que el metotrexato no es adecuado.</w:t>
      </w:r>
    </w:p>
    <w:p w14:paraId="78D12C6F" w14:textId="77777777" w:rsidR="001F45FB" w:rsidRPr="00F22672" w:rsidRDefault="001F45FB" w:rsidP="00234AEF">
      <w:pPr>
        <w:ind w:left="562" w:hanging="22"/>
        <w:rPr>
          <w:lang w:val="es-ES_tradnl"/>
        </w:rPr>
      </w:pPr>
    </w:p>
    <w:p w14:paraId="0BA2995C" w14:textId="77777777" w:rsidR="00C3764E" w:rsidRPr="00F22672" w:rsidRDefault="001F45FB" w:rsidP="00FF2AFA">
      <w:pPr>
        <w:ind w:left="567" w:hanging="567"/>
        <w:rPr>
          <w:lang w:val="es-ES"/>
        </w:rPr>
      </w:pPr>
      <w:r w:rsidRPr="00F22672">
        <w:rPr>
          <w:lang w:val="es-ES"/>
        </w:rPr>
        <w:sym w:font="Symbol" w:char="F0B7"/>
      </w:r>
      <w:r>
        <w:rPr>
          <w:lang w:val="es-ES"/>
        </w:rPr>
        <w:tab/>
      </w:r>
      <w:r w:rsidR="00C3764E" w:rsidRPr="00F22672">
        <w:rPr>
          <w:lang w:val="es-ES"/>
        </w:rPr>
        <w:t>RoActemra se puede usar también para el tratamiento de</w:t>
      </w:r>
      <w:r w:rsidR="00796BB7" w:rsidRPr="00F22672">
        <w:rPr>
          <w:lang w:val="es-ES"/>
        </w:rPr>
        <w:t xml:space="preserve"> adultos que no han sido tratados previamente con metotrexato si tienen</w:t>
      </w:r>
      <w:r w:rsidR="00C3764E" w:rsidRPr="00F22672">
        <w:rPr>
          <w:lang w:val="es-ES"/>
        </w:rPr>
        <w:t xml:space="preserve"> artritis reumatoide grave, activa y progresiva.</w:t>
      </w:r>
    </w:p>
    <w:p w14:paraId="77E21BC9" w14:textId="77777777" w:rsidR="00060B21" w:rsidRPr="00F22672" w:rsidRDefault="00060B21" w:rsidP="00060B21">
      <w:pPr>
        <w:ind w:left="562" w:hanging="562"/>
        <w:rPr>
          <w:lang w:val="es-ES"/>
        </w:rPr>
      </w:pPr>
    </w:p>
    <w:p w14:paraId="3850E528" w14:textId="77777777" w:rsidR="00060B21" w:rsidRPr="00F22672" w:rsidRDefault="001F45FB" w:rsidP="00FF2AFA">
      <w:pPr>
        <w:ind w:left="567" w:hanging="567"/>
        <w:rPr>
          <w:lang w:val="es-ES"/>
        </w:rPr>
      </w:pPr>
      <w:r w:rsidRPr="00F22672">
        <w:rPr>
          <w:lang w:val="es-ES"/>
        </w:rPr>
        <w:sym w:font="Symbol" w:char="F0B7"/>
      </w:r>
      <w:r w:rsidR="00060B21" w:rsidRPr="00F22672">
        <w:rPr>
          <w:lang w:val="es-ES"/>
        </w:rPr>
        <w:tab/>
      </w:r>
      <w:r w:rsidR="00060B21" w:rsidRPr="00F22672">
        <w:rPr>
          <w:b/>
          <w:lang w:val="es-ES"/>
        </w:rPr>
        <w:t xml:space="preserve">RoActemra se utiliza en el tratamiento de </w:t>
      </w:r>
      <w:r w:rsidR="00D11548" w:rsidRPr="00F22672">
        <w:rPr>
          <w:b/>
          <w:lang w:val="es-ES"/>
        </w:rPr>
        <w:t>niños</w:t>
      </w:r>
      <w:r w:rsidR="00D11548" w:rsidRPr="00F22672">
        <w:rPr>
          <w:lang w:val="es-ES"/>
        </w:rPr>
        <w:t xml:space="preserve"> </w:t>
      </w:r>
      <w:r w:rsidR="00D11548" w:rsidRPr="00F22672">
        <w:rPr>
          <w:b/>
          <w:lang w:val="es-ES"/>
        </w:rPr>
        <w:t>con AIJs</w:t>
      </w:r>
      <w:r w:rsidR="00D11548" w:rsidRPr="00F22672">
        <w:rPr>
          <w:lang w:val="es-ES"/>
        </w:rPr>
        <w:t>.</w:t>
      </w:r>
      <w:r w:rsidR="00A533DF" w:rsidRPr="00F22672">
        <w:rPr>
          <w:lang w:val="es-ES"/>
        </w:rPr>
        <w:t xml:space="preserve"> </w:t>
      </w:r>
      <w:r w:rsidR="00D11548" w:rsidRPr="00F22672">
        <w:rPr>
          <w:lang w:val="es-ES"/>
        </w:rPr>
        <w:t xml:space="preserve">RoActemra se utiliza en niños </w:t>
      </w:r>
      <w:r w:rsidR="00060B21" w:rsidRPr="00F22672">
        <w:rPr>
          <w:lang w:val="es-ES"/>
        </w:rPr>
        <w:t xml:space="preserve">de 2 años de edad </w:t>
      </w:r>
      <w:r w:rsidR="00796BB7" w:rsidRPr="00F22672">
        <w:rPr>
          <w:lang w:val="es-ES"/>
        </w:rPr>
        <w:t>en adelante,</w:t>
      </w:r>
      <w:r w:rsidR="00D11548" w:rsidRPr="00F22672">
        <w:rPr>
          <w:lang w:val="es-ES"/>
        </w:rPr>
        <w:t xml:space="preserve"> que tengan</w:t>
      </w:r>
      <w:r w:rsidR="00755178" w:rsidRPr="00F22672">
        <w:rPr>
          <w:b/>
          <w:lang w:val="es-ES"/>
        </w:rPr>
        <w:t xml:space="preserve"> </w:t>
      </w:r>
      <w:r w:rsidR="00060B21" w:rsidRPr="00F22672">
        <w:rPr>
          <w:b/>
          <w:i/>
          <w:lang w:val="es-ES"/>
        </w:rPr>
        <w:t xml:space="preserve">artritis idiopática juvenil sistémica </w:t>
      </w:r>
      <w:r w:rsidR="00796BB7" w:rsidRPr="00F22672">
        <w:rPr>
          <w:b/>
          <w:i/>
          <w:lang w:val="es-ES"/>
        </w:rPr>
        <w:t xml:space="preserve">activa </w:t>
      </w:r>
      <w:r w:rsidR="00060B21" w:rsidRPr="00F22672">
        <w:rPr>
          <w:b/>
          <w:i/>
          <w:lang w:val="es-ES"/>
        </w:rPr>
        <w:t>(AIJs)</w:t>
      </w:r>
      <w:r w:rsidR="00060B21" w:rsidRPr="00F22672">
        <w:rPr>
          <w:lang w:val="es-ES"/>
        </w:rPr>
        <w:t>, una enfermedad inflamatoria que causa dolor e hinchazón en una o más articulaciones</w:t>
      </w:r>
      <w:r w:rsidR="00384F3E">
        <w:rPr>
          <w:lang w:val="es-ES"/>
        </w:rPr>
        <w:t>,</w:t>
      </w:r>
      <w:r w:rsidR="00060B21" w:rsidRPr="00F22672">
        <w:rPr>
          <w:lang w:val="es-ES"/>
        </w:rPr>
        <w:t xml:space="preserve"> así como fiebre y </w:t>
      </w:r>
      <w:r w:rsidR="000439C1" w:rsidRPr="00F22672">
        <w:rPr>
          <w:lang w:val="es-ES"/>
        </w:rPr>
        <w:t>erupción</w:t>
      </w:r>
      <w:r w:rsidR="00060B21" w:rsidRPr="00F22672">
        <w:rPr>
          <w:lang w:val="es-ES"/>
        </w:rPr>
        <w:t>. RoActemra se utiliza para mejorar los síntomas de la AIJs y pu</w:t>
      </w:r>
      <w:r w:rsidR="002A56BE" w:rsidRPr="00F22672">
        <w:rPr>
          <w:lang w:val="es-ES"/>
        </w:rPr>
        <w:t>e</w:t>
      </w:r>
      <w:r w:rsidR="00060B21" w:rsidRPr="00F22672">
        <w:rPr>
          <w:lang w:val="es-ES"/>
        </w:rPr>
        <w:t>de administrarse o en combinación con metotrexato o solo.</w:t>
      </w:r>
    </w:p>
    <w:p w14:paraId="1274022E" w14:textId="77777777" w:rsidR="00060B21" w:rsidRPr="00F22672" w:rsidRDefault="00060B21" w:rsidP="00060B21">
      <w:pPr>
        <w:ind w:left="562" w:hanging="562"/>
        <w:rPr>
          <w:lang w:val="es-ES"/>
        </w:rPr>
      </w:pPr>
    </w:p>
    <w:p w14:paraId="07845F9A" w14:textId="77777777" w:rsidR="0016770E" w:rsidRPr="0016770E" w:rsidRDefault="00060B21" w:rsidP="0016770E">
      <w:pPr>
        <w:keepNext/>
        <w:keepLines/>
        <w:ind w:left="567" w:hanging="567"/>
        <w:rPr>
          <w:lang w:val="es-ES"/>
        </w:rPr>
      </w:pPr>
      <w:r w:rsidRPr="00F22672">
        <w:rPr>
          <w:lang w:val="es-ES"/>
        </w:rPr>
        <w:lastRenderedPageBreak/>
        <w:sym w:font="Symbol" w:char="F0B7"/>
      </w:r>
      <w:r w:rsidRPr="00F22672">
        <w:rPr>
          <w:lang w:val="es-ES"/>
        </w:rPr>
        <w:tab/>
      </w:r>
      <w:r w:rsidRPr="00F22672">
        <w:rPr>
          <w:b/>
          <w:lang w:val="es-ES"/>
        </w:rPr>
        <w:t xml:space="preserve">RoActemra se utiliza en el tratamiento de </w:t>
      </w:r>
      <w:r w:rsidR="00755178" w:rsidRPr="00F22672">
        <w:rPr>
          <w:b/>
          <w:lang w:val="es-ES"/>
        </w:rPr>
        <w:t>niños con AIJp</w:t>
      </w:r>
      <w:r w:rsidR="00755178" w:rsidRPr="00F22672">
        <w:rPr>
          <w:lang w:val="es-ES"/>
        </w:rPr>
        <w:t>.</w:t>
      </w:r>
      <w:r w:rsidR="00A533DF" w:rsidRPr="00F22672">
        <w:rPr>
          <w:lang w:val="es-ES"/>
        </w:rPr>
        <w:t xml:space="preserve"> </w:t>
      </w:r>
      <w:r w:rsidR="00755178" w:rsidRPr="00F22672">
        <w:rPr>
          <w:lang w:val="es-ES"/>
        </w:rPr>
        <w:t>RoActemra se utiliza en niños</w:t>
      </w:r>
      <w:r w:rsidRPr="00F22672">
        <w:rPr>
          <w:lang w:val="es-ES"/>
        </w:rPr>
        <w:t xml:space="preserve"> </w:t>
      </w:r>
      <w:r w:rsidR="000439C1" w:rsidRPr="00F22672">
        <w:rPr>
          <w:lang w:val="es-ES"/>
        </w:rPr>
        <w:t>de</w:t>
      </w:r>
      <w:r w:rsidRPr="00F22672">
        <w:rPr>
          <w:lang w:val="es-ES"/>
        </w:rPr>
        <w:t xml:space="preserve"> 2 años de edad </w:t>
      </w:r>
      <w:r w:rsidR="0000549C">
        <w:rPr>
          <w:lang w:val="es-ES"/>
        </w:rPr>
        <w:t xml:space="preserve">y </w:t>
      </w:r>
      <w:r w:rsidR="00796BB7" w:rsidRPr="00F22672">
        <w:rPr>
          <w:lang w:val="es-ES"/>
        </w:rPr>
        <w:t>en adelante</w:t>
      </w:r>
      <w:r w:rsidR="000439C1" w:rsidRPr="00F22672">
        <w:rPr>
          <w:lang w:val="es-ES"/>
        </w:rPr>
        <w:t xml:space="preserve"> </w:t>
      </w:r>
      <w:r w:rsidRPr="00F22672">
        <w:rPr>
          <w:lang w:val="es-ES"/>
        </w:rPr>
        <w:t xml:space="preserve">con </w:t>
      </w:r>
      <w:r w:rsidRPr="00F22672">
        <w:rPr>
          <w:b/>
          <w:i/>
          <w:lang w:val="es-ES"/>
        </w:rPr>
        <w:t>artritis idiopática juvenil poliarticular activa (AIJp)</w:t>
      </w:r>
      <w:r w:rsidRPr="00F22672">
        <w:rPr>
          <w:lang w:val="es-ES"/>
        </w:rPr>
        <w:t>, una enfermedad inflamatoria que provoca dolor e hinchazón en una o más articulaciones. RoActemra se utiliza para mejorar los síntomas de la AIJp y puede administrarse en combinación con metotrexato o solo.</w:t>
      </w:r>
    </w:p>
    <w:p w14:paraId="7C5455F5" w14:textId="77777777" w:rsidR="0016770E" w:rsidRPr="0016770E" w:rsidRDefault="0016770E" w:rsidP="0016770E">
      <w:pPr>
        <w:keepNext/>
        <w:keepLines/>
        <w:ind w:left="714" w:hanging="357"/>
        <w:rPr>
          <w:szCs w:val="22"/>
          <w:lang w:val="es-ES"/>
        </w:rPr>
      </w:pPr>
    </w:p>
    <w:p w14:paraId="4A728EFD" w14:textId="77777777" w:rsidR="002D364B" w:rsidRDefault="0016770E" w:rsidP="0016770E">
      <w:pPr>
        <w:ind w:left="562" w:hanging="562"/>
        <w:rPr>
          <w:lang w:val="es-ES"/>
        </w:rPr>
      </w:pPr>
      <w:r w:rsidRPr="008B5E8B">
        <w:sym w:font="Symbol" w:char="F0B7"/>
      </w:r>
      <w:r w:rsidRPr="0078290D">
        <w:rPr>
          <w:lang w:val="es-ES"/>
        </w:rPr>
        <w:tab/>
      </w:r>
      <w:r w:rsidRPr="0078290D">
        <w:rPr>
          <w:b/>
          <w:lang w:val="es-ES"/>
        </w:rPr>
        <w:t>RoActemra se utiliza en el tratamiento de adultos y niños</w:t>
      </w:r>
      <w:r w:rsidR="0000549C" w:rsidRPr="0000549C">
        <w:rPr>
          <w:lang w:val="es-ES"/>
        </w:rPr>
        <w:t xml:space="preserve"> </w:t>
      </w:r>
      <w:r w:rsidR="0000549C" w:rsidRPr="000D2A86">
        <w:rPr>
          <w:lang w:val="es-ES"/>
        </w:rPr>
        <w:t>de 2 años de edad y en adelante</w:t>
      </w:r>
      <w:r w:rsidRPr="0078290D">
        <w:rPr>
          <w:b/>
          <w:lang w:val="es-ES"/>
        </w:rPr>
        <w:t xml:space="preserve"> </w:t>
      </w:r>
      <w:r w:rsidRPr="0078290D">
        <w:rPr>
          <w:lang w:val="es-ES"/>
        </w:rPr>
        <w:t>co</w:t>
      </w:r>
      <w:r>
        <w:rPr>
          <w:lang w:val="es-ES"/>
        </w:rPr>
        <w:t xml:space="preserve">n síndrome de </w:t>
      </w:r>
      <w:r w:rsidRPr="0078290D">
        <w:rPr>
          <w:b/>
          <w:lang w:val="es-ES"/>
        </w:rPr>
        <w:t>liberación de citoquinas (SLC)</w:t>
      </w:r>
      <w:r>
        <w:rPr>
          <w:lang w:val="es-ES"/>
        </w:rPr>
        <w:t xml:space="preserve"> grave o potencialmente mortal, un efecto </w:t>
      </w:r>
      <w:r w:rsidR="00DA413E">
        <w:rPr>
          <w:lang w:val="es-ES"/>
        </w:rPr>
        <w:t>adverso</w:t>
      </w:r>
      <w:r w:rsidR="00DC0E49">
        <w:rPr>
          <w:lang w:val="es-ES"/>
        </w:rPr>
        <w:t xml:space="preserve"> en pacientes tratados por</w:t>
      </w:r>
      <w:r>
        <w:rPr>
          <w:lang w:val="es-ES"/>
        </w:rPr>
        <w:t xml:space="preserve"> </w:t>
      </w:r>
      <w:r w:rsidR="00F57B8A">
        <w:rPr>
          <w:lang w:val="es-ES"/>
        </w:rPr>
        <w:t>terapias con</w:t>
      </w:r>
      <w:r w:rsidR="007F0D31">
        <w:rPr>
          <w:lang w:val="es-ES"/>
        </w:rPr>
        <w:t xml:space="preserve"> </w:t>
      </w:r>
      <w:r w:rsidR="00F57B8A">
        <w:rPr>
          <w:lang w:val="es-ES"/>
        </w:rPr>
        <w:t>receptor</w:t>
      </w:r>
      <w:r>
        <w:rPr>
          <w:lang w:val="es-ES"/>
        </w:rPr>
        <w:t xml:space="preserve"> de antígen</w:t>
      </w:r>
      <w:r w:rsidR="00F57B8A">
        <w:rPr>
          <w:lang w:val="es-ES"/>
        </w:rPr>
        <w:t>o quimérico</w:t>
      </w:r>
      <w:r>
        <w:rPr>
          <w:lang w:val="es-ES"/>
        </w:rPr>
        <w:t xml:space="preserve"> (CAR, por sus siglas en inglés)</w:t>
      </w:r>
      <w:r w:rsidR="00F57B8A" w:rsidRPr="00F57B8A">
        <w:rPr>
          <w:lang w:val="es-ES"/>
        </w:rPr>
        <w:t xml:space="preserve"> </w:t>
      </w:r>
      <w:r w:rsidR="00F57B8A">
        <w:rPr>
          <w:lang w:val="es-ES"/>
        </w:rPr>
        <w:t>de células T</w:t>
      </w:r>
      <w:r w:rsidR="00AC1B96">
        <w:rPr>
          <w:lang w:val="es-ES"/>
        </w:rPr>
        <w:t>, utilizadas para tratar ciertos tipos de cáncer.</w:t>
      </w:r>
      <w:r w:rsidR="002D364B" w:rsidRPr="004B67DA">
        <w:rPr>
          <w:lang w:val="es-ES"/>
        </w:rPr>
        <w:t xml:space="preserve"> </w:t>
      </w:r>
    </w:p>
    <w:p w14:paraId="27E46AD6" w14:textId="77777777" w:rsidR="002D364B" w:rsidRDefault="002D364B" w:rsidP="0016770E">
      <w:pPr>
        <w:ind w:left="562" w:hanging="562"/>
        <w:rPr>
          <w:lang w:val="es-ES"/>
        </w:rPr>
      </w:pPr>
    </w:p>
    <w:p w14:paraId="00E34EF1" w14:textId="77777777" w:rsidR="00060B21" w:rsidRPr="0016770E" w:rsidRDefault="005379D9" w:rsidP="00957972">
      <w:pPr>
        <w:ind w:left="567" w:hanging="567"/>
        <w:rPr>
          <w:lang w:val="es-ES"/>
        </w:rPr>
      </w:pPr>
      <w:r w:rsidRPr="008B5E8B">
        <w:sym w:font="Symbol" w:char="F0B7"/>
      </w:r>
      <w:r w:rsidRPr="0078290D">
        <w:rPr>
          <w:lang w:val="es-ES"/>
        </w:rPr>
        <w:tab/>
      </w:r>
      <w:r w:rsidR="002D364B" w:rsidRPr="004B67DA">
        <w:rPr>
          <w:b/>
          <w:lang w:val="es-ES"/>
        </w:rPr>
        <w:t>RoActemra se utiliza en el tratamiento de adultos</w:t>
      </w:r>
      <w:r w:rsidR="002D364B" w:rsidRPr="002D364B">
        <w:rPr>
          <w:lang w:val="es-ES"/>
        </w:rPr>
        <w:t xml:space="preserve"> con enfermedad por coronavirus 2019 (COVID-19), que reciben corticosteroides sistémicos y requieren </w:t>
      </w:r>
      <w:r w:rsidR="002D364B">
        <w:rPr>
          <w:lang w:val="es-ES"/>
        </w:rPr>
        <w:t xml:space="preserve">suplemento de </w:t>
      </w:r>
      <w:r w:rsidR="002D364B" w:rsidRPr="002D364B">
        <w:rPr>
          <w:lang w:val="es-ES"/>
        </w:rPr>
        <w:t>oxígeno o ventilación mecánica.</w:t>
      </w:r>
    </w:p>
    <w:p w14:paraId="2B5813B2" w14:textId="77777777" w:rsidR="00060B21" w:rsidRDefault="00060B21" w:rsidP="00060B21">
      <w:pPr>
        <w:rPr>
          <w:lang w:val="es-ES"/>
        </w:rPr>
      </w:pPr>
    </w:p>
    <w:p w14:paraId="6CF86A94" w14:textId="77777777" w:rsidR="00036AA0" w:rsidRPr="006C0BCB" w:rsidRDefault="00036AA0" w:rsidP="00060B21">
      <w:pPr>
        <w:rPr>
          <w:lang w:val="es-ES"/>
        </w:rPr>
      </w:pPr>
    </w:p>
    <w:p w14:paraId="111DB015" w14:textId="77777777" w:rsidR="00060B21" w:rsidRPr="00FF2AFA" w:rsidRDefault="00060B21" w:rsidP="00060B21">
      <w:pPr>
        <w:keepNext/>
        <w:keepLines/>
        <w:rPr>
          <w:b/>
          <w:bCs/>
          <w:szCs w:val="22"/>
          <w:lang w:val="es-ES"/>
        </w:rPr>
      </w:pPr>
      <w:r w:rsidRPr="00FF2AFA">
        <w:rPr>
          <w:b/>
          <w:bCs/>
          <w:szCs w:val="22"/>
          <w:lang w:val="es-ES"/>
        </w:rPr>
        <w:t>2.</w:t>
      </w:r>
      <w:r w:rsidRPr="00FF2AFA">
        <w:rPr>
          <w:b/>
          <w:bCs/>
          <w:szCs w:val="22"/>
          <w:lang w:val="es-ES"/>
        </w:rPr>
        <w:tab/>
      </w:r>
      <w:r w:rsidRPr="00FF2AFA">
        <w:rPr>
          <w:b/>
          <w:bCs/>
          <w:szCs w:val="22"/>
          <w:lang w:val="es-ES_tradnl"/>
        </w:rPr>
        <w:t xml:space="preserve">Qué necesita saber antes de </w:t>
      </w:r>
      <w:r w:rsidR="00FC6EE0" w:rsidRPr="00FF2AFA">
        <w:rPr>
          <w:b/>
          <w:bCs/>
          <w:szCs w:val="22"/>
          <w:lang w:val="es-ES_tradnl"/>
        </w:rPr>
        <w:t xml:space="preserve">empezar a usar </w:t>
      </w:r>
      <w:r w:rsidRPr="00FF2AFA">
        <w:rPr>
          <w:b/>
          <w:bCs/>
          <w:szCs w:val="22"/>
          <w:lang w:val="es-ES_tradnl"/>
        </w:rPr>
        <w:t>RoActemra</w:t>
      </w:r>
    </w:p>
    <w:p w14:paraId="3AF8DEAF" w14:textId="77777777" w:rsidR="00060B21" w:rsidRPr="002F76B8" w:rsidRDefault="00060B21" w:rsidP="00060B21">
      <w:pPr>
        <w:keepNext/>
        <w:keepLines/>
        <w:rPr>
          <w:b/>
          <w:bCs/>
          <w:szCs w:val="22"/>
          <w:lang w:val="es-ES_tradnl"/>
        </w:rPr>
      </w:pPr>
    </w:p>
    <w:p w14:paraId="7883BD3B" w14:textId="77777777" w:rsidR="00060B21" w:rsidRPr="006868F5" w:rsidRDefault="00060B21" w:rsidP="004556CF">
      <w:pPr>
        <w:rPr>
          <w:b/>
          <w:szCs w:val="22"/>
          <w:lang w:val="es-ES"/>
        </w:rPr>
      </w:pPr>
      <w:r w:rsidRPr="006868F5">
        <w:rPr>
          <w:b/>
          <w:szCs w:val="22"/>
          <w:lang w:val="es-ES"/>
        </w:rPr>
        <w:t xml:space="preserve">No se le administrará RoActemra </w:t>
      </w:r>
    </w:p>
    <w:p w14:paraId="70FF8295" w14:textId="77777777" w:rsidR="00060B21" w:rsidRPr="00F22672" w:rsidRDefault="00060B21" w:rsidP="00060B21">
      <w:pPr>
        <w:keepNext/>
        <w:keepLines/>
        <w:ind w:left="567" w:hanging="567"/>
        <w:rPr>
          <w:lang w:val="es-ES_tradnl"/>
        </w:rPr>
      </w:pPr>
      <w:r w:rsidRPr="00F22672">
        <w:rPr>
          <w:lang w:val="es-ES"/>
        </w:rPr>
        <w:sym w:font="Symbol" w:char="F0B7"/>
      </w:r>
      <w:r w:rsidRPr="00F22672">
        <w:rPr>
          <w:noProof/>
          <w:lang w:val="es-ES"/>
        </w:rPr>
        <w:tab/>
      </w:r>
      <w:r w:rsidRPr="00F22672">
        <w:rPr>
          <w:lang w:val="es-ES"/>
        </w:rPr>
        <w:t xml:space="preserve">Si es </w:t>
      </w:r>
      <w:r w:rsidRPr="006868F5">
        <w:rPr>
          <w:lang w:val="es-ES"/>
        </w:rPr>
        <w:t>alérgico</w:t>
      </w:r>
      <w:r w:rsidRPr="00F22672">
        <w:rPr>
          <w:lang w:val="es-ES"/>
        </w:rPr>
        <w:t xml:space="preserve"> al </w:t>
      </w:r>
      <w:r w:rsidRPr="00F22672">
        <w:rPr>
          <w:lang w:val="es-ES_tradnl"/>
        </w:rPr>
        <w:t xml:space="preserve">tocilizumab o </w:t>
      </w:r>
      <w:r w:rsidR="005320BB">
        <w:rPr>
          <w:lang w:val="es-ES_tradnl"/>
        </w:rPr>
        <w:t xml:space="preserve">a alguno </w:t>
      </w:r>
      <w:r w:rsidRPr="00F22672">
        <w:rPr>
          <w:lang w:val="es-ES_tradnl"/>
        </w:rPr>
        <w:t>de los demás componentes de este medicamento (</w:t>
      </w:r>
      <w:r w:rsidR="005320BB">
        <w:rPr>
          <w:lang w:val="es-ES_tradnl"/>
        </w:rPr>
        <w:t>incluidos</w:t>
      </w:r>
      <w:r w:rsidRPr="00F22672">
        <w:rPr>
          <w:lang w:val="es-ES_tradnl"/>
        </w:rPr>
        <w:t xml:space="preserve"> en la </w:t>
      </w:r>
      <w:r w:rsidR="005320BB">
        <w:rPr>
          <w:lang w:val="es-ES_tradnl"/>
        </w:rPr>
        <w:t>s</w:t>
      </w:r>
      <w:r w:rsidRPr="00F22672">
        <w:rPr>
          <w:lang w:val="es-ES_tradnl"/>
        </w:rPr>
        <w:t>ección 6).</w:t>
      </w:r>
    </w:p>
    <w:p w14:paraId="15417B9A" w14:textId="77777777" w:rsidR="00060B21" w:rsidRPr="00F22672" w:rsidRDefault="00060B21" w:rsidP="00060B21">
      <w:pPr>
        <w:ind w:left="567" w:hanging="567"/>
        <w:rPr>
          <w:lang w:val="es-ES_tradnl"/>
        </w:rPr>
      </w:pPr>
      <w:r w:rsidRPr="00F22672">
        <w:rPr>
          <w:lang w:val="es-ES"/>
        </w:rPr>
        <w:sym w:font="Symbol" w:char="F0B7"/>
      </w:r>
      <w:r w:rsidRPr="00F22672">
        <w:rPr>
          <w:noProof/>
          <w:lang w:val="es-ES"/>
        </w:rPr>
        <w:tab/>
      </w:r>
      <w:r w:rsidRPr="00F22672">
        <w:rPr>
          <w:lang w:val="es-ES_tradnl"/>
        </w:rPr>
        <w:t>Si tiene una infección activa grave</w:t>
      </w:r>
      <w:r w:rsidR="00D918BF">
        <w:rPr>
          <w:lang w:val="es-ES_tradnl"/>
        </w:rPr>
        <w:t xml:space="preserve"> </w:t>
      </w:r>
      <w:r w:rsidR="00D918BF" w:rsidRPr="00D918BF">
        <w:rPr>
          <w:lang w:val="es-ES_tradnl"/>
        </w:rPr>
        <w:t>(con la excepción de covid-19)</w:t>
      </w:r>
      <w:r w:rsidRPr="00F22672">
        <w:rPr>
          <w:lang w:val="es-ES_tradnl"/>
        </w:rPr>
        <w:t>.</w:t>
      </w:r>
    </w:p>
    <w:p w14:paraId="0C2F84F6" w14:textId="77777777" w:rsidR="00060B21" w:rsidRPr="00F22672" w:rsidRDefault="00060B21" w:rsidP="00060B21">
      <w:pPr>
        <w:ind w:left="567" w:hanging="567"/>
        <w:rPr>
          <w:lang w:val="es-ES"/>
        </w:rPr>
      </w:pPr>
      <w:r w:rsidRPr="00F22672">
        <w:rPr>
          <w:lang w:val="es-ES"/>
        </w:rPr>
        <w:t xml:space="preserve">Si </w:t>
      </w:r>
      <w:r w:rsidR="000439C1" w:rsidRPr="00F22672">
        <w:rPr>
          <w:lang w:val="es-ES"/>
        </w:rPr>
        <w:t>le sucede algo de esto</w:t>
      </w:r>
      <w:r w:rsidRPr="00F22672">
        <w:rPr>
          <w:lang w:val="es-ES"/>
        </w:rPr>
        <w:t>, consulte con el médico o el enfermero que le administra la perfusión.</w:t>
      </w:r>
    </w:p>
    <w:p w14:paraId="160C85D2" w14:textId="77777777" w:rsidR="00060B21" w:rsidRPr="00F22672" w:rsidRDefault="00060B21" w:rsidP="00060B21">
      <w:pPr>
        <w:ind w:left="567" w:hanging="567"/>
        <w:rPr>
          <w:lang w:val="es-ES"/>
        </w:rPr>
      </w:pPr>
    </w:p>
    <w:p w14:paraId="79768275" w14:textId="77777777" w:rsidR="00060B21" w:rsidRPr="00F22672" w:rsidRDefault="00060B21" w:rsidP="006F4E23">
      <w:pPr>
        <w:rPr>
          <w:lang w:val="es-ES"/>
        </w:rPr>
      </w:pPr>
      <w:r w:rsidRPr="006868F5">
        <w:rPr>
          <w:b/>
          <w:szCs w:val="22"/>
          <w:lang w:val="es-ES"/>
        </w:rPr>
        <w:t>Advertencias y precauciones</w:t>
      </w:r>
    </w:p>
    <w:p w14:paraId="5277B30C" w14:textId="77777777" w:rsidR="00060B21" w:rsidRPr="00F22672" w:rsidRDefault="00060B21" w:rsidP="00060B21">
      <w:pPr>
        <w:ind w:left="567" w:hanging="567"/>
        <w:rPr>
          <w:lang w:val="es-ES"/>
        </w:rPr>
      </w:pPr>
      <w:r w:rsidRPr="00F22672">
        <w:rPr>
          <w:lang w:val="es-ES"/>
        </w:rPr>
        <w:t>Consulte a su médico o enfermero antes de empezar a recibir RoActemra.</w:t>
      </w:r>
    </w:p>
    <w:p w14:paraId="551CA69B" w14:textId="77777777" w:rsidR="00060B21" w:rsidRPr="00F22672" w:rsidRDefault="00060B21" w:rsidP="00060B21">
      <w:pPr>
        <w:rPr>
          <w:lang w:val="es-ES"/>
        </w:rPr>
      </w:pPr>
    </w:p>
    <w:p w14:paraId="47305A94" w14:textId="77777777" w:rsidR="00060B21" w:rsidRPr="00F22672" w:rsidRDefault="00060B21" w:rsidP="00060B21">
      <w:pPr>
        <w:ind w:left="567" w:hanging="567"/>
        <w:rPr>
          <w:lang w:val="es-ES"/>
        </w:rPr>
      </w:pPr>
      <w:r w:rsidRPr="00F22672">
        <w:rPr>
          <w:lang w:val="es-ES"/>
        </w:rPr>
        <w:sym w:font="Symbol" w:char="F0B7"/>
      </w:r>
      <w:r w:rsidRPr="00F22672">
        <w:rPr>
          <w:noProof/>
          <w:lang w:val="es-ES"/>
        </w:rPr>
        <w:tab/>
      </w:r>
      <w:r w:rsidRPr="00F22672">
        <w:rPr>
          <w:bCs/>
          <w:lang w:val="es-ES_tradnl"/>
        </w:rPr>
        <w:t xml:space="preserve">Si experimenta </w:t>
      </w:r>
      <w:r w:rsidRPr="00F22672">
        <w:rPr>
          <w:b/>
          <w:bCs/>
          <w:lang w:val="es-ES_tradnl"/>
        </w:rPr>
        <w:t>reacciones alérgicas</w:t>
      </w:r>
      <w:r w:rsidRPr="00F22672">
        <w:rPr>
          <w:lang w:val="es-ES_tradnl"/>
        </w:rPr>
        <w:t xml:space="preserve"> como sensación de opresión torácica, sibilancias, mareos o aturdimiento intenso, hinchazón de los labios o erupción cutánea durante o después de la perfusión, </w:t>
      </w:r>
      <w:r w:rsidRPr="00F22672">
        <w:rPr>
          <w:b/>
          <w:bCs/>
          <w:lang w:val="es-ES_tradnl"/>
        </w:rPr>
        <w:t>informe a su médico inmediatamente</w:t>
      </w:r>
      <w:r w:rsidRPr="00F22672">
        <w:rPr>
          <w:lang w:val="es-ES_tradnl"/>
        </w:rPr>
        <w:t>.</w:t>
      </w:r>
    </w:p>
    <w:p w14:paraId="250FCA8A" w14:textId="77777777" w:rsidR="00060B21" w:rsidRPr="00F22672" w:rsidRDefault="00060B21" w:rsidP="00060B21">
      <w:pPr>
        <w:rPr>
          <w:lang w:val="es-ES"/>
        </w:rPr>
      </w:pPr>
    </w:p>
    <w:p w14:paraId="69D9E3C0" w14:textId="77777777" w:rsidR="00060B21" w:rsidRPr="00F22672" w:rsidRDefault="00060B21" w:rsidP="00060B21">
      <w:pPr>
        <w:keepNext/>
        <w:keepLines/>
        <w:ind w:left="567" w:hanging="567"/>
        <w:rPr>
          <w:lang w:val="es-ES"/>
        </w:rPr>
      </w:pPr>
      <w:r w:rsidRPr="00F22672">
        <w:rPr>
          <w:lang w:val="es-ES"/>
        </w:rPr>
        <w:sym w:font="Symbol" w:char="F0B7"/>
      </w:r>
      <w:r w:rsidRPr="00F22672">
        <w:rPr>
          <w:noProof/>
          <w:lang w:val="es-ES"/>
        </w:rPr>
        <w:tab/>
      </w:r>
      <w:r w:rsidRPr="00F22672">
        <w:rPr>
          <w:bCs/>
          <w:lang w:val="es-ES_tradnl"/>
        </w:rPr>
        <w:t xml:space="preserve">Si tiene cualquier tipo de </w:t>
      </w:r>
      <w:r w:rsidRPr="00F22672">
        <w:rPr>
          <w:b/>
          <w:bCs/>
          <w:lang w:val="es-ES_tradnl"/>
        </w:rPr>
        <w:t>infección</w:t>
      </w:r>
      <w:r w:rsidRPr="00F22672">
        <w:rPr>
          <w:b/>
          <w:lang w:val="es-ES_tradnl"/>
        </w:rPr>
        <w:t>,</w:t>
      </w:r>
      <w:r w:rsidRPr="00F22672">
        <w:rPr>
          <w:lang w:val="es-ES_tradnl"/>
        </w:rPr>
        <w:t xml:space="preserve"> ya sea de evolución corta o larga, o si </w:t>
      </w:r>
      <w:r w:rsidR="007B6A1E" w:rsidRPr="00F22672">
        <w:rPr>
          <w:lang w:val="es-ES_tradnl"/>
        </w:rPr>
        <w:t>contrae</w:t>
      </w:r>
      <w:r w:rsidRPr="00F22672">
        <w:rPr>
          <w:lang w:val="es-ES_tradnl"/>
        </w:rPr>
        <w:t xml:space="preserve"> infecciones a menudo</w:t>
      </w:r>
      <w:r w:rsidRPr="00F22672">
        <w:rPr>
          <w:b/>
          <w:lang w:val="es-ES_tradnl"/>
        </w:rPr>
        <w:t>. Informe inmediatamente a su médico</w:t>
      </w:r>
      <w:r w:rsidRPr="00F22672">
        <w:rPr>
          <w:lang w:val="es-ES_tradnl"/>
        </w:rPr>
        <w:t xml:space="preserve"> si se encuentra mal.</w:t>
      </w:r>
      <w:r w:rsidRPr="00F22672">
        <w:rPr>
          <w:lang w:val="es-ES"/>
        </w:rPr>
        <w:t xml:space="preserve"> </w:t>
      </w:r>
      <w:r w:rsidRPr="00F22672">
        <w:rPr>
          <w:lang w:val="es-ES_tradnl"/>
        </w:rPr>
        <w:t>RoActemra puede reducir la capacidad de su cuerpo para responder a las infecciones y puede hacer que una infección existente empeore o aumente la probabilidad de adquirir una nueva infección.</w:t>
      </w:r>
    </w:p>
    <w:p w14:paraId="670331DC" w14:textId="77777777" w:rsidR="00060B21" w:rsidRPr="00F22672" w:rsidRDefault="00060B21" w:rsidP="00060B21">
      <w:pPr>
        <w:rPr>
          <w:lang w:val="es-ES"/>
        </w:rPr>
      </w:pPr>
    </w:p>
    <w:p w14:paraId="009CC175" w14:textId="77777777" w:rsidR="00060B21" w:rsidRPr="00F22672" w:rsidRDefault="00060B21" w:rsidP="00060B21">
      <w:pPr>
        <w:ind w:left="567" w:hanging="567"/>
        <w:rPr>
          <w:lang w:val="es-ES_tradnl"/>
        </w:rPr>
      </w:pPr>
      <w:r w:rsidRPr="00F22672">
        <w:rPr>
          <w:lang w:val="es-ES"/>
        </w:rPr>
        <w:sym w:font="Symbol" w:char="F0B7"/>
      </w:r>
      <w:r w:rsidRPr="00F22672">
        <w:rPr>
          <w:noProof/>
          <w:lang w:val="es-ES"/>
        </w:rPr>
        <w:tab/>
      </w:r>
      <w:r w:rsidRPr="00F22672">
        <w:rPr>
          <w:bCs/>
          <w:lang w:val="es-ES_tradnl"/>
        </w:rPr>
        <w:t xml:space="preserve">Si ha tenido </w:t>
      </w:r>
      <w:r w:rsidRPr="00F22672">
        <w:rPr>
          <w:b/>
          <w:bCs/>
          <w:lang w:val="es-ES_tradnl"/>
        </w:rPr>
        <w:t>tuberculosis</w:t>
      </w:r>
      <w:r w:rsidRPr="00F22672">
        <w:rPr>
          <w:lang w:val="es-ES_tradnl"/>
        </w:rPr>
        <w:t>, informe a su médico.</w:t>
      </w:r>
      <w:r w:rsidRPr="00F22672">
        <w:rPr>
          <w:lang w:val="es-ES"/>
        </w:rPr>
        <w:t xml:space="preserve"> </w:t>
      </w:r>
      <w:r w:rsidRPr="00F22672">
        <w:rPr>
          <w:lang w:val="es-ES_tradnl"/>
        </w:rPr>
        <w:t>Su médico comprobará los signos y síntomas de tuberculosis antes de comenzar el tratamiento con RoActemra. Informe a su médico inmediatamente si los síntomas de tuberculosis (tos persistente, pérdida de peso, malestar general, febrícula), o cualquier otra infección aparecen durante o después del tratamiento.</w:t>
      </w:r>
    </w:p>
    <w:p w14:paraId="18B654A3" w14:textId="77777777" w:rsidR="00060B21" w:rsidRPr="00F22672" w:rsidRDefault="00060B21" w:rsidP="00060B21">
      <w:pPr>
        <w:rPr>
          <w:lang w:val="es-ES"/>
        </w:rPr>
      </w:pPr>
    </w:p>
    <w:p w14:paraId="25D9AE5C" w14:textId="77777777" w:rsidR="00060B21" w:rsidRPr="00F22672" w:rsidRDefault="00060B21" w:rsidP="00060B21">
      <w:pPr>
        <w:ind w:left="567" w:hanging="567"/>
        <w:rPr>
          <w:lang w:val="es-ES"/>
        </w:rPr>
      </w:pPr>
      <w:r w:rsidRPr="00F22672">
        <w:rPr>
          <w:lang w:val="es-ES"/>
        </w:rPr>
        <w:sym w:font="Symbol" w:char="F0B7"/>
      </w:r>
      <w:r w:rsidRPr="00F22672">
        <w:rPr>
          <w:noProof/>
          <w:lang w:val="es-ES"/>
        </w:rPr>
        <w:tab/>
      </w:r>
      <w:r w:rsidRPr="00F22672">
        <w:rPr>
          <w:bCs/>
          <w:lang w:val="es-ES_tradnl"/>
        </w:rPr>
        <w:t xml:space="preserve">Si ha tenido </w:t>
      </w:r>
      <w:r w:rsidRPr="00F22672">
        <w:rPr>
          <w:b/>
          <w:bCs/>
          <w:lang w:val="es-ES_tradnl"/>
        </w:rPr>
        <w:t>úlcera intestinal o diverticulitis</w:t>
      </w:r>
      <w:r w:rsidRPr="00F22672">
        <w:rPr>
          <w:bCs/>
          <w:lang w:val="es-ES_tradnl"/>
        </w:rPr>
        <w:t xml:space="preserve">, </w:t>
      </w:r>
      <w:r w:rsidRPr="00F22672">
        <w:rPr>
          <w:lang w:val="es-ES_tradnl"/>
        </w:rPr>
        <w:t>informe a su médico.</w:t>
      </w:r>
      <w:r w:rsidRPr="00F22672">
        <w:rPr>
          <w:lang w:val="es-ES"/>
        </w:rPr>
        <w:t xml:space="preserve"> </w:t>
      </w:r>
      <w:r w:rsidRPr="00F22672">
        <w:rPr>
          <w:lang w:val="es-ES_tradnl"/>
        </w:rPr>
        <w:t>Los síntomas incluirían</w:t>
      </w:r>
      <w:r w:rsidRPr="00F22672">
        <w:rPr>
          <w:lang w:val="es-ES"/>
        </w:rPr>
        <w:t xml:space="preserve"> </w:t>
      </w:r>
      <w:r w:rsidRPr="00F22672">
        <w:rPr>
          <w:lang w:val="es-ES_tradnl"/>
        </w:rPr>
        <w:t>dolor abdominal y cambios inexplicables en los hábitos intestinales con fiebre.</w:t>
      </w:r>
    </w:p>
    <w:p w14:paraId="2B02C6CB" w14:textId="77777777" w:rsidR="00060B21" w:rsidRPr="00F22672" w:rsidRDefault="00060B21" w:rsidP="00060B21">
      <w:pPr>
        <w:rPr>
          <w:lang w:val="es-ES"/>
        </w:rPr>
      </w:pPr>
    </w:p>
    <w:p w14:paraId="249120E4" w14:textId="77777777" w:rsidR="00060B21" w:rsidRPr="00F22672" w:rsidRDefault="00060B21" w:rsidP="00060B21">
      <w:pPr>
        <w:ind w:left="567" w:hanging="567"/>
        <w:rPr>
          <w:lang w:val="es-ES"/>
        </w:rPr>
      </w:pPr>
      <w:r w:rsidRPr="00F22672">
        <w:rPr>
          <w:lang w:val="es-ES"/>
        </w:rPr>
        <w:sym w:font="Symbol" w:char="F0B7"/>
      </w:r>
      <w:r w:rsidRPr="00F22672">
        <w:rPr>
          <w:noProof/>
          <w:lang w:val="es-ES"/>
        </w:rPr>
        <w:tab/>
      </w:r>
      <w:r w:rsidRPr="00F22672">
        <w:rPr>
          <w:bCs/>
          <w:lang w:val="es-ES_tradnl"/>
        </w:rPr>
        <w:t xml:space="preserve">Si tiene </w:t>
      </w:r>
      <w:r w:rsidRPr="00F22672">
        <w:rPr>
          <w:b/>
          <w:bCs/>
          <w:lang w:val="es-ES_tradnl"/>
        </w:rPr>
        <w:t>enfermedad hepática</w:t>
      </w:r>
      <w:r w:rsidRPr="00F22672">
        <w:rPr>
          <w:lang w:val="es-ES_tradnl"/>
        </w:rPr>
        <w:t>, informe a su médico.</w:t>
      </w:r>
      <w:r w:rsidRPr="00F22672">
        <w:rPr>
          <w:lang w:val="es-ES"/>
        </w:rPr>
        <w:t xml:space="preserve"> </w:t>
      </w:r>
      <w:r w:rsidRPr="00F22672">
        <w:rPr>
          <w:lang w:val="es-ES_tradnl"/>
        </w:rPr>
        <w:t>Antes de usar RoActemra, su médico le realizará un análisis de sangre para medir su función hepática.</w:t>
      </w:r>
    </w:p>
    <w:p w14:paraId="6EA7A36E" w14:textId="77777777" w:rsidR="00060B21" w:rsidRPr="00F22672" w:rsidRDefault="00060B21" w:rsidP="00060B21">
      <w:pPr>
        <w:ind w:left="567" w:hanging="567"/>
        <w:rPr>
          <w:lang w:val="es-ES"/>
        </w:rPr>
      </w:pPr>
    </w:p>
    <w:p w14:paraId="303597EE" w14:textId="77777777" w:rsidR="00060B21" w:rsidRPr="00F22672" w:rsidRDefault="00060B21" w:rsidP="00060B21">
      <w:pPr>
        <w:ind w:left="567" w:hanging="567"/>
        <w:rPr>
          <w:lang w:val="es-ES_tradnl"/>
        </w:rPr>
      </w:pPr>
      <w:r w:rsidRPr="00F22672">
        <w:rPr>
          <w:lang w:val="es-ES"/>
        </w:rPr>
        <w:sym w:font="Symbol" w:char="F0B7"/>
      </w:r>
      <w:r w:rsidRPr="00F22672">
        <w:rPr>
          <w:noProof/>
          <w:lang w:val="es-ES"/>
        </w:rPr>
        <w:tab/>
      </w:r>
      <w:r w:rsidRPr="00F22672">
        <w:rPr>
          <w:b/>
          <w:bCs/>
          <w:lang w:val="es-ES_tradnl"/>
        </w:rPr>
        <w:t xml:space="preserve">Si </w:t>
      </w:r>
      <w:r w:rsidR="009732C0" w:rsidRPr="00F22672">
        <w:rPr>
          <w:b/>
          <w:bCs/>
          <w:lang w:val="es-ES_tradnl"/>
        </w:rPr>
        <w:t>algún paciente</w:t>
      </w:r>
      <w:r w:rsidR="009732C0" w:rsidRPr="00F22672">
        <w:rPr>
          <w:bCs/>
          <w:lang w:val="es-ES_tradnl"/>
        </w:rPr>
        <w:t xml:space="preserve"> </w:t>
      </w:r>
      <w:r w:rsidRPr="00F22672">
        <w:rPr>
          <w:b/>
          <w:bCs/>
          <w:lang w:val="es-ES_tradnl"/>
        </w:rPr>
        <w:t xml:space="preserve">ha </w:t>
      </w:r>
      <w:r w:rsidR="009732C0" w:rsidRPr="00F22672">
        <w:rPr>
          <w:b/>
          <w:bCs/>
          <w:lang w:val="es-ES_tradnl"/>
        </w:rPr>
        <w:t xml:space="preserve">sido </w:t>
      </w:r>
      <w:r w:rsidRPr="00F22672">
        <w:rPr>
          <w:b/>
          <w:bCs/>
          <w:lang w:val="es-ES_tradnl"/>
        </w:rPr>
        <w:t>vacunado recientemente</w:t>
      </w:r>
      <w:r w:rsidRPr="00F22672">
        <w:rPr>
          <w:bCs/>
          <w:lang w:val="es-ES_tradnl"/>
        </w:rPr>
        <w:t xml:space="preserve"> (adulto o niño) o tiene previsto vacunarse,</w:t>
      </w:r>
      <w:r w:rsidRPr="00F22672">
        <w:rPr>
          <w:lang w:val="es-ES_tradnl"/>
        </w:rPr>
        <w:t xml:space="preserve"> informe a su médico.</w:t>
      </w:r>
      <w:r w:rsidRPr="00F22672">
        <w:rPr>
          <w:lang w:val="es-ES"/>
        </w:rPr>
        <w:t xml:space="preserve"> Todos los pacientes, especialmente los niños deben estar al día con su calendario de vacunación antes de comenzar el tratamiento con RoActemra</w:t>
      </w:r>
      <w:r w:rsidR="0085789E">
        <w:rPr>
          <w:lang w:val="es-ES"/>
        </w:rPr>
        <w:t>, a no ser que se requiera iniciar tratamiento urgente</w:t>
      </w:r>
      <w:r w:rsidRPr="00F22672">
        <w:rPr>
          <w:lang w:val="es-ES"/>
        </w:rPr>
        <w:t>.</w:t>
      </w:r>
      <w:r w:rsidRPr="00F22672">
        <w:rPr>
          <w:lang w:val="es-ES_tradnl"/>
        </w:rPr>
        <w:t xml:space="preserve"> Determinados tipos de vacunas no deben administrarse mientras reciba RoActemra</w:t>
      </w:r>
      <w:r w:rsidR="003D67A6">
        <w:rPr>
          <w:lang w:val="es-ES_tradnl"/>
        </w:rPr>
        <w:t>.</w:t>
      </w:r>
    </w:p>
    <w:p w14:paraId="131242FB" w14:textId="77777777" w:rsidR="00060B21" w:rsidRPr="00F22672" w:rsidRDefault="00060B21" w:rsidP="00060B21">
      <w:pPr>
        <w:ind w:left="567" w:hanging="567"/>
        <w:rPr>
          <w:lang w:val="es-ES_tradnl"/>
        </w:rPr>
      </w:pPr>
    </w:p>
    <w:p w14:paraId="3EA04F88" w14:textId="6E9EEBDB" w:rsidR="00060B21" w:rsidRPr="00F22672" w:rsidRDefault="00060B21" w:rsidP="00060B21">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cáncer</w:t>
      </w:r>
      <w:r w:rsidRPr="00F22672">
        <w:rPr>
          <w:lang w:val="es-ES_tradnl"/>
        </w:rPr>
        <w:t xml:space="preserve">, avise a su médico. Su médico tendrá que decidir si puede </w:t>
      </w:r>
      <w:r w:rsidR="007B6A1E" w:rsidRPr="00F22672">
        <w:rPr>
          <w:lang w:val="es-ES_tradnl"/>
        </w:rPr>
        <w:t xml:space="preserve">seguir </w:t>
      </w:r>
      <w:r w:rsidRPr="00F22672">
        <w:rPr>
          <w:lang w:val="es-ES_tradnl"/>
        </w:rPr>
        <w:t>recibi</w:t>
      </w:r>
      <w:r w:rsidR="007B6A1E" w:rsidRPr="00F22672">
        <w:rPr>
          <w:lang w:val="es-ES_tradnl"/>
        </w:rPr>
        <w:t>endo</w:t>
      </w:r>
      <w:r w:rsidRPr="00F22672">
        <w:rPr>
          <w:lang w:val="es-ES_tradnl"/>
        </w:rPr>
        <w:t xml:space="preserve"> </w:t>
      </w:r>
      <w:del w:id="2290" w:author="AUTHOR">
        <w:r w:rsidRPr="00F22672" w:rsidDel="00B35E5A">
          <w:rPr>
            <w:lang w:val="es-ES_tradnl"/>
          </w:rPr>
          <w:delText xml:space="preserve">tratamiento con </w:delText>
        </w:r>
      </w:del>
      <w:r w:rsidRPr="00F22672">
        <w:rPr>
          <w:lang w:val="es-ES_tradnl"/>
        </w:rPr>
        <w:t>RoActemra.</w:t>
      </w:r>
    </w:p>
    <w:p w14:paraId="2717DEA9" w14:textId="77777777" w:rsidR="00060B21" w:rsidRPr="00F22672" w:rsidRDefault="00060B21" w:rsidP="00060B21">
      <w:pPr>
        <w:ind w:left="567" w:hanging="567"/>
        <w:rPr>
          <w:lang w:val="es-ES_tradnl"/>
        </w:rPr>
      </w:pPr>
    </w:p>
    <w:p w14:paraId="59C5D375" w14:textId="41DA5F91" w:rsidR="00060B21" w:rsidRPr="00F22672" w:rsidRDefault="00060B21" w:rsidP="00060B21">
      <w:pPr>
        <w:ind w:left="567" w:hanging="567"/>
        <w:rPr>
          <w:lang w:val="es-ES_tradnl"/>
        </w:rPr>
      </w:pPr>
      <w:r w:rsidRPr="00F22672">
        <w:rPr>
          <w:lang w:val="es-ES"/>
        </w:rPr>
        <w:lastRenderedPageBreak/>
        <w:sym w:font="Symbol" w:char="F0B7"/>
      </w:r>
      <w:r w:rsidRPr="00F22672">
        <w:rPr>
          <w:noProof/>
          <w:lang w:val="es-ES"/>
        </w:rPr>
        <w:tab/>
      </w:r>
      <w:r w:rsidRPr="00F22672">
        <w:rPr>
          <w:lang w:val="es-ES_tradnl"/>
        </w:rPr>
        <w:t xml:space="preserve">Si tiene </w:t>
      </w:r>
      <w:r w:rsidRPr="00F22672">
        <w:rPr>
          <w:b/>
          <w:lang w:val="es-ES_tradnl"/>
        </w:rPr>
        <w:t>factores de riesgo cardiovascular</w:t>
      </w:r>
      <w:r w:rsidRPr="00F22672">
        <w:rPr>
          <w:lang w:val="es-ES_tradnl"/>
        </w:rPr>
        <w:t xml:space="preserve">, tales como aumento de la presión arterial, y valores altos de colesterol, informe a su médico. Estos factores necesitan ser controlados mientras recibe </w:t>
      </w:r>
      <w:del w:id="2291" w:author="AUTHOR">
        <w:r w:rsidRPr="00F22672" w:rsidDel="00B35E5A">
          <w:rPr>
            <w:lang w:val="es-ES_tradnl"/>
          </w:rPr>
          <w:delText xml:space="preserve">tratamiento con </w:delText>
        </w:r>
      </w:del>
      <w:r w:rsidRPr="00F22672">
        <w:rPr>
          <w:lang w:val="es-ES_tradnl"/>
        </w:rPr>
        <w:t>RoActemra.</w:t>
      </w:r>
    </w:p>
    <w:p w14:paraId="154E1615" w14:textId="77777777" w:rsidR="00060B21" w:rsidRPr="00F22672" w:rsidRDefault="00060B21" w:rsidP="00060B21">
      <w:pPr>
        <w:ind w:left="567" w:hanging="567"/>
        <w:rPr>
          <w:lang w:val="es-ES_tradnl"/>
        </w:rPr>
      </w:pPr>
    </w:p>
    <w:p w14:paraId="6FB1F0A7" w14:textId="77777777" w:rsidR="00060B21" w:rsidRPr="00F22672" w:rsidRDefault="00060B21" w:rsidP="00060B21">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 xml:space="preserve">problemas de </w:t>
      </w:r>
      <w:r w:rsidR="007B6A1E" w:rsidRPr="00F22672">
        <w:rPr>
          <w:b/>
          <w:lang w:val="es-ES_tradnl"/>
        </w:rPr>
        <w:t xml:space="preserve">riñón de </w:t>
      </w:r>
      <w:r w:rsidRPr="00F22672">
        <w:rPr>
          <w:b/>
          <w:lang w:val="es-ES_tradnl"/>
        </w:rPr>
        <w:t>moderados a graves</w:t>
      </w:r>
      <w:r w:rsidRPr="00F22672">
        <w:rPr>
          <w:lang w:val="es-ES_tradnl"/>
        </w:rPr>
        <w:t>, su médico le vigilará.</w:t>
      </w:r>
    </w:p>
    <w:p w14:paraId="186A2C62" w14:textId="77777777" w:rsidR="00060B21" w:rsidRPr="00F22672" w:rsidRDefault="00060B21" w:rsidP="00060B21">
      <w:pPr>
        <w:rPr>
          <w:lang w:val="es-ES_tradnl"/>
        </w:rPr>
      </w:pPr>
    </w:p>
    <w:p w14:paraId="3C356CDD" w14:textId="77777777" w:rsidR="00060B21" w:rsidRPr="00F22672" w:rsidRDefault="00060B21" w:rsidP="00060B21">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dolores de cabeza persistentes.</w:t>
      </w:r>
    </w:p>
    <w:p w14:paraId="689E3C24" w14:textId="77777777" w:rsidR="00060B21" w:rsidRPr="00F22672" w:rsidRDefault="00060B21" w:rsidP="00060B21">
      <w:pPr>
        <w:rPr>
          <w:lang w:val="es-ES_tradnl"/>
        </w:rPr>
      </w:pPr>
    </w:p>
    <w:p w14:paraId="19761376" w14:textId="77777777" w:rsidR="00060B21" w:rsidRPr="00F22672" w:rsidRDefault="00060B21" w:rsidP="00060B21">
      <w:pPr>
        <w:rPr>
          <w:lang w:val="es-ES"/>
        </w:rPr>
      </w:pPr>
      <w:r w:rsidRPr="00F22672">
        <w:rPr>
          <w:lang w:val="es-ES_tradnl"/>
        </w:rPr>
        <w:t>Su médico le realizará análisis de sangre antes de que reciba RoActemra, y durante su tratamiento, para determinar si tiene un recuento bajo de glóbulos blancos sanguíneos, un recuento bajo de plaquetas o elevación de las enzimas hepáticas.</w:t>
      </w:r>
    </w:p>
    <w:p w14:paraId="61D55C4C" w14:textId="77777777" w:rsidR="00060B21" w:rsidRPr="00F22672" w:rsidRDefault="00060B21" w:rsidP="00060B21">
      <w:pPr>
        <w:keepLines/>
        <w:rPr>
          <w:b/>
          <w:bCs/>
          <w:lang w:val="es-ES"/>
        </w:rPr>
      </w:pPr>
    </w:p>
    <w:p w14:paraId="5142C5EC" w14:textId="77777777" w:rsidR="00060B21" w:rsidRPr="006868F5" w:rsidRDefault="00060B21" w:rsidP="004556CF">
      <w:pPr>
        <w:rPr>
          <w:b/>
          <w:bCs/>
          <w:noProof/>
          <w:szCs w:val="22"/>
          <w:lang w:val="es-ES"/>
        </w:rPr>
      </w:pPr>
      <w:r w:rsidRPr="006868F5">
        <w:rPr>
          <w:b/>
          <w:bCs/>
          <w:noProof/>
          <w:szCs w:val="22"/>
          <w:lang w:val="es-ES"/>
        </w:rPr>
        <w:t>Niños y adolescentes</w:t>
      </w:r>
    </w:p>
    <w:p w14:paraId="09AFC14F" w14:textId="77777777" w:rsidR="00060B21" w:rsidRPr="00F22672" w:rsidRDefault="00060B21" w:rsidP="00060B21">
      <w:pPr>
        <w:rPr>
          <w:lang w:val="es-ES_tradnl"/>
        </w:rPr>
      </w:pPr>
      <w:r w:rsidRPr="00F22672">
        <w:rPr>
          <w:lang w:val="es-ES_tradnl"/>
        </w:rPr>
        <w:t>No se recomienda el uso de RoActemra en niños menores de 2 años.</w:t>
      </w:r>
    </w:p>
    <w:p w14:paraId="3697AD9F" w14:textId="77777777" w:rsidR="00060B21" w:rsidRPr="00F22672" w:rsidRDefault="00060B21" w:rsidP="00060B21">
      <w:pPr>
        <w:rPr>
          <w:lang w:val="es-ES"/>
        </w:rPr>
      </w:pPr>
    </w:p>
    <w:p w14:paraId="73EC6FE5" w14:textId="77777777" w:rsidR="00060B21" w:rsidRPr="00F22672" w:rsidRDefault="00060B21" w:rsidP="00060B21">
      <w:pPr>
        <w:rPr>
          <w:lang w:val="es-ES"/>
        </w:rPr>
      </w:pPr>
      <w:r w:rsidRPr="00F22672">
        <w:rPr>
          <w:lang w:val="es-ES_tradnl"/>
        </w:rPr>
        <w:t xml:space="preserve">Avise a su médico, si </w:t>
      </w:r>
      <w:r w:rsidR="007A0CD2" w:rsidRPr="00F22672">
        <w:rPr>
          <w:lang w:val="es-ES_tradnl"/>
        </w:rPr>
        <w:t>el</w:t>
      </w:r>
      <w:r w:rsidR="00CA16B1" w:rsidRPr="00F22672">
        <w:rPr>
          <w:lang w:val="es-ES_tradnl"/>
        </w:rPr>
        <w:t xml:space="preserve"> niño tiene</w:t>
      </w:r>
      <w:r w:rsidR="00A11C92" w:rsidRPr="00F22672">
        <w:rPr>
          <w:lang w:val="es-ES_tradnl"/>
        </w:rPr>
        <w:t xml:space="preserve"> antecedentes del </w:t>
      </w:r>
      <w:r w:rsidRPr="00F22672">
        <w:rPr>
          <w:b/>
          <w:i/>
          <w:lang w:val="es-ES_tradnl"/>
        </w:rPr>
        <w:t>síndrome de activación de macrófagos</w:t>
      </w:r>
      <w:r w:rsidRPr="00F22672">
        <w:rPr>
          <w:lang w:val="es-ES_tradnl"/>
        </w:rPr>
        <w:t xml:space="preserve">, </w:t>
      </w:r>
      <w:r w:rsidR="00A11C92" w:rsidRPr="00F22672">
        <w:rPr>
          <w:lang w:val="es-ES_tradnl"/>
        </w:rPr>
        <w:t>(</w:t>
      </w:r>
      <w:r w:rsidRPr="00F22672">
        <w:rPr>
          <w:lang w:val="es-ES_tradnl"/>
        </w:rPr>
        <w:t>activación y proliferación incontrolada de células específicas de la sangre</w:t>
      </w:r>
      <w:r w:rsidR="00A11C92" w:rsidRPr="00F22672">
        <w:rPr>
          <w:lang w:val="es-ES_tradnl"/>
        </w:rPr>
        <w:t>)</w:t>
      </w:r>
      <w:r w:rsidRPr="00F22672">
        <w:rPr>
          <w:lang w:val="es-ES_tradnl"/>
        </w:rPr>
        <w:t xml:space="preserve">. Su médico decidirá si puede </w:t>
      </w:r>
      <w:r w:rsidR="00A11C92" w:rsidRPr="00F22672">
        <w:rPr>
          <w:lang w:val="es-ES_tradnl"/>
        </w:rPr>
        <w:t xml:space="preserve">seguir </w:t>
      </w:r>
      <w:r w:rsidRPr="00F22672">
        <w:rPr>
          <w:lang w:val="es-ES_tradnl"/>
        </w:rPr>
        <w:t>recibi</w:t>
      </w:r>
      <w:r w:rsidR="00A11C92" w:rsidRPr="00F22672">
        <w:rPr>
          <w:lang w:val="es-ES_tradnl"/>
        </w:rPr>
        <w:t>endo</w:t>
      </w:r>
      <w:r w:rsidRPr="00F22672">
        <w:rPr>
          <w:lang w:val="es-ES_tradnl"/>
        </w:rPr>
        <w:t xml:space="preserve"> RoActemra</w:t>
      </w:r>
      <w:r w:rsidR="007B6A1E" w:rsidRPr="00F22672">
        <w:rPr>
          <w:lang w:val="es-ES_tradnl"/>
        </w:rPr>
        <w:t>.</w:t>
      </w:r>
    </w:p>
    <w:p w14:paraId="508D9ACD" w14:textId="77777777" w:rsidR="00060B21" w:rsidRPr="00F22672" w:rsidRDefault="00060B21" w:rsidP="00060B21">
      <w:pPr>
        <w:rPr>
          <w:lang w:val="es-ES"/>
        </w:rPr>
      </w:pPr>
    </w:p>
    <w:p w14:paraId="637898FD" w14:textId="77777777" w:rsidR="00060B21" w:rsidRPr="004556CF" w:rsidRDefault="005320BB" w:rsidP="00060B21">
      <w:pPr>
        <w:rPr>
          <w:b/>
          <w:bCs/>
          <w:sz w:val="24"/>
          <w:szCs w:val="24"/>
          <w:lang w:val="es-ES_tradnl"/>
        </w:rPr>
      </w:pPr>
      <w:r w:rsidRPr="006868F5">
        <w:rPr>
          <w:b/>
          <w:szCs w:val="22"/>
          <w:lang w:val="es-ES"/>
        </w:rPr>
        <w:t>Otros medicamentos y RoActemra</w:t>
      </w:r>
    </w:p>
    <w:p w14:paraId="24921F0B" w14:textId="7D3D6A8F" w:rsidR="00060B21" w:rsidRDefault="00060B21" w:rsidP="00060B21">
      <w:pPr>
        <w:rPr>
          <w:lang w:val="es-ES"/>
        </w:rPr>
      </w:pPr>
      <w:r w:rsidRPr="00F22672">
        <w:rPr>
          <w:lang w:val="es-ES_tradnl"/>
        </w:rPr>
        <w:t xml:space="preserve">Informe a su médico si está </w:t>
      </w:r>
      <w:r w:rsidR="009A0A16" w:rsidRPr="00F22672">
        <w:rPr>
          <w:lang w:val="es-ES_tradnl"/>
        </w:rPr>
        <w:t>tomando</w:t>
      </w:r>
      <w:r w:rsidR="005320BB">
        <w:rPr>
          <w:lang w:val="es-ES_tradnl"/>
        </w:rPr>
        <w:t xml:space="preserve">, </w:t>
      </w:r>
      <w:del w:id="2292" w:author="AUTHOR">
        <w:r w:rsidR="005320BB" w:rsidDel="00B35E5A">
          <w:rPr>
            <w:lang w:val="es-ES_tradnl"/>
          </w:rPr>
          <w:delText>ha tomado recientemente o pudiera tener que tomar</w:delText>
        </w:r>
        <w:r w:rsidR="005C4DF0" w:rsidDel="00B35E5A">
          <w:rPr>
            <w:lang w:val="es-ES_tradnl"/>
          </w:rPr>
          <w:delText xml:space="preserve"> </w:delText>
        </w:r>
      </w:del>
      <w:r w:rsidR="0077302C" w:rsidRPr="00F22672">
        <w:rPr>
          <w:lang w:val="es-ES_tradnl"/>
        </w:rPr>
        <w:t xml:space="preserve">cualquier otro medicamento </w:t>
      </w:r>
      <w:r w:rsidRPr="00F22672">
        <w:rPr>
          <w:lang w:val="es-ES_tradnl"/>
        </w:rPr>
        <w:t>(o si los está tomando su hijo, si él es el paciente).</w:t>
      </w:r>
      <w:r w:rsidRPr="00F22672">
        <w:rPr>
          <w:lang w:val="es-ES"/>
        </w:rPr>
        <w:t xml:space="preserve"> </w:t>
      </w:r>
      <w:r w:rsidR="0077302C" w:rsidRPr="00F22672">
        <w:rPr>
          <w:lang w:val="es-ES"/>
        </w:rPr>
        <w:t>Esto incluye los medicamentos adquiridos sin receta.</w:t>
      </w:r>
      <w:r w:rsidRPr="00F22672">
        <w:rPr>
          <w:lang w:val="es-ES_tradnl"/>
        </w:rPr>
        <w:t xml:space="preserve"> RoActemra puede afectar a la forma en la que actúan algunos medicamentos</w:t>
      </w:r>
      <w:r w:rsidRPr="00F22672">
        <w:rPr>
          <w:lang w:val="es-ES"/>
        </w:rPr>
        <w:t>, y puede necesitarse un ajuste de dosis.</w:t>
      </w:r>
      <w:r w:rsidR="0077302C" w:rsidRPr="00F22672">
        <w:rPr>
          <w:lang w:val="es-ES"/>
        </w:rPr>
        <w:t xml:space="preserve"> </w:t>
      </w:r>
      <w:r w:rsidR="0077302C" w:rsidRPr="00106659">
        <w:rPr>
          <w:b/>
          <w:lang w:val="es-ES"/>
        </w:rPr>
        <w:t>Informe</w:t>
      </w:r>
      <w:r w:rsidRPr="00106659">
        <w:rPr>
          <w:b/>
          <w:lang w:val="es-ES"/>
        </w:rPr>
        <w:t xml:space="preserve"> a su médico</w:t>
      </w:r>
      <w:r w:rsidRPr="00F22672">
        <w:rPr>
          <w:b/>
          <w:lang w:val="es-ES"/>
        </w:rPr>
        <w:t xml:space="preserve"> </w:t>
      </w:r>
      <w:r w:rsidRPr="00F22672">
        <w:rPr>
          <w:lang w:val="es-ES"/>
        </w:rPr>
        <w:t>si está utilizando medicamentos que contienen cualquiera de estas sustancias activas:</w:t>
      </w:r>
    </w:p>
    <w:p w14:paraId="14BDA983" w14:textId="77777777" w:rsidR="00FC6EE0" w:rsidRDefault="00FC6EE0" w:rsidP="00060B21">
      <w:pPr>
        <w:rPr>
          <w:lang w:val="es-ES"/>
        </w:rPr>
      </w:pPr>
    </w:p>
    <w:p w14:paraId="4B1CC920" w14:textId="77777777" w:rsidR="00750F81" w:rsidRPr="00F22672" w:rsidRDefault="001F185D" w:rsidP="006868F5">
      <w:pPr>
        <w:ind w:left="567" w:hanging="567"/>
        <w:rPr>
          <w:lang w:val="es-ES"/>
        </w:rPr>
      </w:pPr>
      <w:r w:rsidRPr="00F22672">
        <w:rPr>
          <w:lang w:val="es-ES_tradnl"/>
        </w:rPr>
        <w:sym w:font="Symbol" w:char="F0B7"/>
      </w:r>
      <w:r>
        <w:rPr>
          <w:lang w:val="es-ES_tradnl"/>
        </w:rPr>
        <w:tab/>
      </w:r>
      <w:r w:rsidR="001F2E5A">
        <w:rPr>
          <w:lang w:val="es-ES_tradnl"/>
        </w:rPr>
        <w:t>m</w:t>
      </w:r>
      <w:r w:rsidR="00750F81">
        <w:rPr>
          <w:lang w:val="es-ES"/>
        </w:rPr>
        <w:t>etilprednisolona, dexametasona, utilizadas para reducir la inflamación</w:t>
      </w:r>
    </w:p>
    <w:p w14:paraId="2A5CB5DB" w14:textId="77777777" w:rsidR="00060B21" w:rsidRPr="00F22672" w:rsidRDefault="00060B21" w:rsidP="00060B21">
      <w:pPr>
        <w:ind w:left="567" w:hanging="567"/>
        <w:rPr>
          <w:lang w:val="es-ES_tradnl"/>
        </w:rPr>
      </w:pPr>
      <w:r w:rsidRPr="00F22672">
        <w:rPr>
          <w:lang w:val="es-ES_tradnl"/>
        </w:rPr>
        <w:sym w:font="Symbol" w:char="F0B7"/>
      </w:r>
      <w:r w:rsidRPr="00F22672">
        <w:rPr>
          <w:lang w:val="es-ES_tradnl"/>
        </w:rPr>
        <w:tab/>
      </w:r>
      <w:r w:rsidR="0000549C">
        <w:rPr>
          <w:lang w:val="es-ES_tradnl"/>
        </w:rPr>
        <w:t xml:space="preserve">simvastatina o </w:t>
      </w:r>
      <w:r w:rsidRPr="00F22672">
        <w:rPr>
          <w:lang w:val="es-ES_tradnl"/>
        </w:rPr>
        <w:t xml:space="preserve">atorvastatina, utilizada para reducir los </w:t>
      </w:r>
      <w:r w:rsidRPr="00F22672">
        <w:rPr>
          <w:b/>
          <w:lang w:val="es-ES_tradnl"/>
        </w:rPr>
        <w:t>niveles de colesterol</w:t>
      </w:r>
    </w:p>
    <w:p w14:paraId="41B9553F" w14:textId="77777777" w:rsidR="00060B21" w:rsidRPr="00F22672" w:rsidRDefault="00060B21" w:rsidP="00060B21">
      <w:pPr>
        <w:ind w:left="567" w:hanging="567"/>
        <w:rPr>
          <w:lang w:val="es-ES_tradnl"/>
        </w:rPr>
      </w:pPr>
      <w:r w:rsidRPr="00F22672">
        <w:rPr>
          <w:lang w:val="es-ES_tradnl"/>
        </w:rPr>
        <w:sym w:font="Symbol" w:char="F0B7"/>
      </w:r>
      <w:r w:rsidRPr="00F22672">
        <w:rPr>
          <w:lang w:val="es-ES_tradnl"/>
        </w:rPr>
        <w:tab/>
        <w:t xml:space="preserve">antagonistas de los canales del calcio, como el amlodipino utilizado en el tratamiento del </w:t>
      </w:r>
      <w:r w:rsidRPr="00F22672">
        <w:rPr>
          <w:b/>
          <w:lang w:val="es-ES_tradnl"/>
        </w:rPr>
        <w:t>aumento de la presión arterial</w:t>
      </w:r>
    </w:p>
    <w:p w14:paraId="7E081EAF" w14:textId="77777777" w:rsidR="00060B21" w:rsidRPr="00F22672" w:rsidRDefault="00060B21" w:rsidP="00060B21">
      <w:pPr>
        <w:ind w:left="567" w:hanging="567"/>
        <w:rPr>
          <w:lang w:val="es-ES_tradnl"/>
        </w:rPr>
      </w:pPr>
      <w:r w:rsidRPr="00F22672">
        <w:rPr>
          <w:lang w:val="es-ES_tradnl"/>
        </w:rPr>
        <w:sym w:font="Symbol" w:char="F0B7"/>
      </w:r>
      <w:r w:rsidRPr="00F22672">
        <w:rPr>
          <w:lang w:val="es-ES_tradnl"/>
        </w:rPr>
        <w:tab/>
      </w:r>
      <w:proofErr w:type="gramStart"/>
      <w:r w:rsidRPr="00F22672">
        <w:rPr>
          <w:lang w:val="es-ES_tradnl"/>
        </w:rPr>
        <w:t>teofilina utilizado</w:t>
      </w:r>
      <w:proofErr w:type="gramEnd"/>
      <w:r w:rsidRPr="00F22672">
        <w:rPr>
          <w:lang w:val="es-ES_tradnl"/>
        </w:rPr>
        <w:t xml:space="preserve"> en el tratamiento del </w:t>
      </w:r>
      <w:r w:rsidRPr="00F22672">
        <w:rPr>
          <w:b/>
          <w:lang w:val="es-ES_tradnl"/>
        </w:rPr>
        <w:t>asma</w:t>
      </w:r>
    </w:p>
    <w:p w14:paraId="188E26BF" w14:textId="77777777" w:rsidR="00060B21" w:rsidRPr="00EF2448" w:rsidRDefault="00060B21" w:rsidP="00060B21">
      <w:pPr>
        <w:ind w:left="567" w:hanging="567"/>
        <w:rPr>
          <w:lang w:val="pt-BR"/>
        </w:rPr>
      </w:pPr>
      <w:r w:rsidRPr="00F22672">
        <w:rPr>
          <w:lang w:val="es-ES_tradnl"/>
        </w:rPr>
        <w:sym w:font="Symbol" w:char="F0B7"/>
      </w:r>
      <w:r w:rsidRPr="00EF2448">
        <w:rPr>
          <w:lang w:val="pt-BR"/>
        </w:rPr>
        <w:tab/>
        <w:t xml:space="preserve">warfarina </w:t>
      </w:r>
      <w:r w:rsidR="00F51336" w:rsidRPr="00EF2448">
        <w:rPr>
          <w:lang w:val="pt-BR"/>
        </w:rPr>
        <w:t>o fenprocumon</w:t>
      </w:r>
      <w:r w:rsidR="00A813E6" w:rsidRPr="00EF2448">
        <w:rPr>
          <w:lang w:val="pt-BR"/>
        </w:rPr>
        <w:t>a</w:t>
      </w:r>
      <w:r w:rsidR="00F51336" w:rsidRPr="00EF2448">
        <w:rPr>
          <w:lang w:val="pt-BR"/>
        </w:rPr>
        <w:t xml:space="preserve"> </w:t>
      </w:r>
      <w:r w:rsidRPr="00EF2448">
        <w:rPr>
          <w:lang w:val="pt-BR"/>
        </w:rPr>
        <w:t>utilizado</w:t>
      </w:r>
      <w:r w:rsidR="00F51336" w:rsidRPr="00EF2448">
        <w:rPr>
          <w:lang w:val="pt-BR"/>
        </w:rPr>
        <w:t>s</w:t>
      </w:r>
      <w:r w:rsidRPr="00EF2448">
        <w:rPr>
          <w:lang w:val="pt-BR"/>
        </w:rPr>
        <w:t xml:space="preserve"> como </w:t>
      </w:r>
      <w:r w:rsidRPr="00EF2448">
        <w:rPr>
          <w:b/>
          <w:lang w:val="pt-BR"/>
        </w:rPr>
        <w:t>anticoagulante</w:t>
      </w:r>
      <w:r w:rsidR="00F51336" w:rsidRPr="00EF2448">
        <w:rPr>
          <w:b/>
          <w:lang w:val="pt-BR"/>
        </w:rPr>
        <w:t>s</w:t>
      </w:r>
    </w:p>
    <w:p w14:paraId="20713AF1" w14:textId="77777777" w:rsidR="00060B21" w:rsidRPr="00F22672" w:rsidRDefault="00060B21" w:rsidP="00060B21">
      <w:pPr>
        <w:ind w:left="567" w:hanging="567"/>
        <w:rPr>
          <w:lang w:val="es-ES"/>
        </w:rPr>
      </w:pPr>
      <w:r w:rsidRPr="00F22672">
        <w:rPr>
          <w:lang w:val="es-ES"/>
        </w:rPr>
        <w:sym w:font="Symbol" w:char="F0B7"/>
      </w:r>
      <w:r w:rsidRPr="00F22672">
        <w:rPr>
          <w:lang w:val="es-ES"/>
        </w:rPr>
        <w:tab/>
        <w:t xml:space="preserve">fenitoina utilizado en el tratamiento de las </w:t>
      </w:r>
      <w:r w:rsidRPr="00F22672">
        <w:rPr>
          <w:b/>
          <w:lang w:val="es-ES"/>
        </w:rPr>
        <w:t>convulsiones</w:t>
      </w:r>
    </w:p>
    <w:p w14:paraId="32EEE2F4" w14:textId="77777777" w:rsidR="00060B21" w:rsidRPr="00F22672" w:rsidRDefault="00060B21" w:rsidP="00060B21">
      <w:pPr>
        <w:ind w:left="567" w:hanging="567"/>
        <w:rPr>
          <w:lang w:val="es-ES"/>
        </w:rPr>
      </w:pPr>
      <w:r w:rsidRPr="00F22672">
        <w:rPr>
          <w:lang w:val="es-ES"/>
        </w:rPr>
        <w:sym w:font="Symbol" w:char="F0B7"/>
      </w:r>
      <w:r w:rsidRPr="00F22672">
        <w:rPr>
          <w:lang w:val="es-ES"/>
        </w:rPr>
        <w:tab/>
      </w:r>
      <w:proofErr w:type="gramStart"/>
      <w:r w:rsidRPr="00F22672">
        <w:rPr>
          <w:lang w:val="es-ES"/>
        </w:rPr>
        <w:t>ciclos</w:t>
      </w:r>
      <w:r w:rsidR="00181CE9" w:rsidRPr="00F22672">
        <w:rPr>
          <w:lang w:val="es-ES"/>
        </w:rPr>
        <w:t>p</w:t>
      </w:r>
      <w:r w:rsidRPr="00F22672">
        <w:rPr>
          <w:lang w:val="es-ES"/>
        </w:rPr>
        <w:t>orina utilizado</w:t>
      </w:r>
      <w:proofErr w:type="gramEnd"/>
      <w:r w:rsidRPr="00F22672">
        <w:rPr>
          <w:lang w:val="es-ES"/>
        </w:rPr>
        <w:t xml:space="preserve"> en los trasplantes de órganos como </w:t>
      </w:r>
      <w:r w:rsidRPr="00F22672">
        <w:rPr>
          <w:b/>
          <w:lang w:val="es-ES"/>
        </w:rPr>
        <w:t>inmunosupresor</w:t>
      </w:r>
    </w:p>
    <w:p w14:paraId="11857559" w14:textId="77777777" w:rsidR="00060B21" w:rsidRPr="00F22672" w:rsidRDefault="00060B21" w:rsidP="00060B21">
      <w:pPr>
        <w:ind w:left="567" w:hanging="567"/>
        <w:rPr>
          <w:b/>
          <w:lang w:val="es-ES"/>
        </w:rPr>
      </w:pPr>
      <w:r w:rsidRPr="00F22672">
        <w:rPr>
          <w:lang w:val="es-ES"/>
        </w:rPr>
        <w:sym w:font="Symbol" w:char="F0B7"/>
      </w:r>
      <w:r w:rsidRPr="00F22672">
        <w:rPr>
          <w:lang w:val="es-ES"/>
        </w:rPr>
        <w:tab/>
      </w:r>
      <w:r w:rsidR="008E72F8" w:rsidRPr="00F22672">
        <w:rPr>
          <w:lang w:val="es-ES"/>
        </w:rPr>
        <w:t>b</w:t>
      </w:r>
      <w:r w:rsidRPr="00F22672">
        <w:rPr>
          <w:lang w:val="es-ES"/>
        </w:rPr>
        <w:t xml:space="preserve">enzodiazepinas, como el temazepan utilizado para calmar la </w:t>
      </w:r>
      <w:r w:rsidRPr="00F22672">
        <w:rPr>
          <w:b/>
          <w:lang w:val="es-ES"/>
        </w:rPr>
        <w:t>ansiedad</w:t>
      </w:r>
      <w:r w:rsidR="0015338E" w:rsidRPr="00F22672">
        <w:rPr>
          <w:b/>
          <w:lang w:val="es-ES"/>
        </w:rPr>
        <w:t>.</w:t>
      </w:r>
    </w:p>
    <w:p w14:paraId="47F38E7B" w14:textId="77777777" w:rsidR="00060B21" w:rsidRPr="00F22672" w:rsidRDefault="00060B21" w:rsidP="00060B21">
      <w:pPr>
        <w:rPr>
          <w:lang w:val="es-ES"/>
        </w:rPr>
      </w:pPr>
    </w:p>
    <w:p w14:paraId="65ADD288" w14:textId="77777777" w:rsidR="00060B21" w:rsidRPr="00F22672" w:rsidRDefault="00060B21" w:rsidP="00060B21">
      <w:pPr>
        <w:rPr>
          <w:lang w:val="es-ES"/>
        </w:rPr>
      </w:pPr>
      <w:r w:rsidRPr="00F22672">
        <w:rPr>
          <w:bCs/>
          <w:lang w:val="es-ES_tradnl"/>
        </w:rPr>
        <w:t xml:space="preserve">Debido a que no hay experiencia clínica </w:t>
      </w:r>
      <w:r w:rsidRPr="00F22672">
        <w:rPr>
          <w:lang w:val="es-ES_tradnl"/>
        </w:rPr>
        <w:t>no se recomienda el uso de RoActemra con otros medicamentos biológicos empleados para tratar la AR, AIJs o AIJp.</w:t>
      </w:r>
    </w:p>
    <w:p w14:paraId="5872A10B" w14:textId="77777777" w:rsidR="00060B21" w:rsidRPr="00F22672" w:rsidRDefault="00060B21" w:rsidP="00060B21">
      <w:pPr>
        <w:rPr>
          <w:lang w:val="es-ES"/>
        </w:rPr>
      </w:pPr>
    </w:p>
    <w:p w14:paraId="40990394" w14:textId="77777777" w:rsidR="00095304" w:rsidRPr="006868F5" w:rsidRDefault="00060B21" w:rsidP="002F76B8">
      <w:pPr>
        <w:rPr>
          <w:b/>
          <w:szCs w:val="22"/>
          <w:lang w:val="es-ES"/>
        </w:rPr>
      </w:pPr>
      <w:r w:rsidRPr="006868F5">
        <w:rPr>
          <w:b/>
          <w:szCs w:val="22"/>
          <w:lang w:val="es-ES"/>
        </w:rPr>
        <w:t xml:space="preserve">Embarazo, lactancia y fertilidad </w:t>
      </w:r>
    </w:p>
    <w:p w14:paraId="492B23C6" w14:textId="77777777" w:rsidR="0015338E" w:rsidRPr="00F22672" w:rsidRDefault="00060B21" w:rsidP="00060B21">
      <w:pPr>
        <w:rPr>
          <w:lang w:val="es-ES"/>
        </w:rPr>
      </w:pPr>
      <w:r w:rsidRPr="00F22672">
        <w:rPr>
          <w:b/>
          <w:lang w:val="es-ES_tradnl"/>
        </w:rPr>
        <w:t>RoActemra no se debe utilizar durante el embarazo</w:t>
      </w:r>
      <w:r w:rsidRPr="00F22672">
        <w:rPr>
          <w:lang w:val="es-ES_tradnl"/>
        </w:rPr>
        <w:t>, salvo que sea claramente necesario. Hable con su médico si está embarazada, cree que pudiera estarlo, o tiene previsto quedarse embarazada.</w:t>
      </w:r>
      <w:r w:rsidRPr="00F22672">
        <w:rPr>
          <w:lang w:val="es-ES"/>
        </w:rPr>
        <w:t xml:space="preserve"> </w:t>
      </w:r>
    </w:p>
    <w:p w14:paraId="1708490F" w14:textId="77777777" w:rsidR="0015338E" w:rsidRPr="00F22672" w:rsidRDefault="0015338E" w:rsidP="00060B21">
      <w:pPr>
        <w:rPr>
          <w:lang w:val="es-ES"/>
        </w:rPr>
      </w:pPr>
    </w:p>
    <w:p w14:paraId="33E78E08" w14:textId="77777777" w:rsidR="00060B21" w:rsidRPr="00F22672" w:rsidRDefault="00060B21" w:rsidP="00060B21">
      <w:pPr>
        <w:rPr>
          <w:lang w:val="es-ES_tradnl"/>
        </w:rPr>
      </w:pPr>
      <w:r w:rsidRPr="00F22672">
        <w:rPr>
          <w:b/>
          <w:lang w:val="es-ES_tradnl"/>
        </w:rPr>
        <w:t>Las mujeres en edad fértil</w:t>
      </w:r>
      <w:r w:rsidRPr="00F22672">
        <w:rPr>
          <w:lang w:val="es-ES_tradnl"/>
        </w:rPr>
        <w:t xml:space="preserve"> deben utilizar métodos anticonceptivos eficaces durante y hasta 3 meses después de finalizar el tratamiento.</w:t>
      </w:r>
    </w:p>
    <w:p w14:paraId="55408A9E" w14:textId="77777777" w:rsidR="0015338E" w:rsidRPr="00F22672" w:rsidRDefault="0015338E" w:rsidP="00060B21">
      <w:pPr>
        <w:rPr>
          <w:lang w:val="es-ES_tradnl"/>
        </w:rPr>
      </w:pPr>
    </w:p>
    <w:p w14:paraId="2812B4B4" w14:textId="77777777" w:rsidR="00060B21" w:rsidRPr="00F22672" w:rsidRDefault="009A0A16" w:rsidP="00060B21">
      <w:pPr>
        <w:rPr>
          <w:lang w:val="es-ES"/>
        </w:rPr>
      </w:pPr>
      <w:r w:rsidRPr="00F22672">
        <w:rPr>
          <w:b/>
          <w:lang w:val="es-ES_tradnl"/>
        </w:rPr>
        <w:t>Interrumpa</w:t>
      </w:r>
      <w:r w:rsidR="0015338E" w:rsidRPr="00F22672">
        <w:rPr>
          <w:b/>
          <w:lang w:val="es-ES_tradnl"/>
        </w:rPr>
        <w:t xml:space="preserve"> la lactancia </w:t>
      </w:r>
      <w:r w:rsidR="00060B21" w:rsidRPr="00F22672">
        <w:rPr>
          <w:b/>
          <w:lang w:val="es-ES_tradnl"/>
        </w:rPr>
        <w:t>si comienza el tratamiento con RoActemra</w:t>
      </w:r>
      <w:r w:rsidRPr="00F22672">
        <w:rPr>
          <w:lang w:val="es-ES_tradnl"/>
        </w:rPr>
        <w:t>,</w:t>
      </w:r>
      <w:r w:rsidR="0015338E" w:rsidRPr="00F22672">
        <w:rPr>
          <w:lang w:val="es-ES_tradnl"/>
        </w:rPr>
        <w:t xml:space="preserve"> y consulte </w:t>
      </w:r>
      <w:r w:rsidR="00B63B8E" w:rsidRPr="00F22672">
        <w:rPr>
          <w:lang w:val="es-ES_tradnl"/>
        </w:rPr>
        <w:t>con</w:t>
      </w:r>
      <w:r w:rsidR="0015338E" w:rsidRPr="00F22672">
        <w:rPr>
          <w:lang w:val="es-ES_tradnl"/>
        </w:rPr>
        <w:t xml:space="preserve"> su médico</w:t>
      </w:r>
      <w:r w:rsidR="00060B21" w:rsidRPr="00F22672">
        <w:rPr>
          <w:lang w:val="es-ES_tradnl"/>
        </w:rPr>
        <w:t>. Antes de reiniciar la lactancia deben haber pasado al menos 3 meses desde su último tratamiento con RoActemra.</w:t>
      </w:r>
      <w:r w:rsidR="0015338E" w:rsidRPr="00F22672">
        <w:rPr>
          <w:lang w:val="es-ES"/>
        </w:rPr>
        <w:t xml:space="preserve"> </w:t>
      </w:r>
      <w:r w:rsidR="00060B21" w:rsidRPr="00F22672">
        <w:rPr>
          <w:lang w:val="es-ES"/>
        </w:rPr>
        <w:t xml:space="preserve">Se desconoce si RoActemra pasa a la leche materna. </w:t>
      </w:r>
    </w:p>
    <w:p w14:paraId="70AB270B" w14:textId="77777777" w:rsidR="00060B21" w:rsidRPr="00F22672" w:rsidRDefault="00060B21" w:rsidP="00060B21">
      <w:pPr>
        <w:rPr>
          <w:lang w:val="es-ES"/>
        </w:rPr>
      </w:pPr>
    </w:p>
    <w:p w14:paraId="7105C00A" w14:textId="77777777" w:rsidR="00060B21" w:rsidRDefault="00060B21" w:rsidP="00060B21">
      <w:pPr>
        <w:rPr>
          <w:lang w:val="es-ES"/>
        </w:rPr>
      </w:pPr>
      <w:r w:rsidRPr="00F22672">
        <w:rPr>
          <w:lang w:val="es-ES"/>
        </w:rPr>
        <w:t xml:space="preserve">Los datos disponibles </w:t>
      </w:r>
      <w:r w:rsidR="0015338E" w:rsidRPr="00F22672">
        <w:rPr>
          <w:lang w:val="es-ES"/>
        </w:rPr>
        <w:t xml:space="preserve">hasta el momento </w:t>
      </w:r>
      <w:r w:rsidRPr="00F22672">
        <w:rPr>
          <w:lang w:val="es-ES"/>
        </w:rPr>
        <w:t xml:space="preserve">no sugieren </w:t>
      </w:r>
      <w:r w:rsidR="008E72F8" w:rsidRPr="00F22672">
        <w:rPr>
          <w:lang w:val="es-ES"/>
        </w:rPr>
        <w:t xml:space="preserve">que este tratamiento tenga </w:t>
      </w:r>
      <w:r w:rsidR="0015338E" w:rsidRPr="00F22672">
        <w:rPr>
          <w:lang w:val="es-ES"/>
        </w:rPr>
        <w:t xml:space="preserve">ningún </w:t>
      </w:r>
      <w:r w:rsidRPr="00F22672">
        <w:rPr>
          <w:lang w:val="es-ES"/>
        </w:rPr>
        <w:t>efecto sobre la fertilidad</w:t>
      </w:r>
      <w:r w:rsidR="00421389">
        <w:rPr>
          <w:lang w:val="es-ES"/>
        </w:rPr>
        <w:t>.</w:t>
      </w:r>
      <w:r w:rsidRPr="00F22672">
        <w:rPr>
          <w:lang w:val="es-ES"/>
        </w:rPr>
        <w:t xml:space="preserve"> </w:t>
      </w:r>
    </w:p>
    <w:p w14:paraId="04A520F8" w14:textId="77777777" w:rsidR="001000A9" w:rsidRPr="00F22672" w:rsidRDefault="001000A9" w:rsidP="00060B21">
      <w:pPr>
        <w:rPr>
          <w:lang w:val="es-ES"/>
        </w:rPr>
      </w:pPr>
    </w:p>
    <w:p w14:paraId="4DEE7BC5" w14:textId="77777777" w:rsidR="00060B21" w:rsidRPr="006868F5" w:rsidRDefault="00060B21" w:rsidP="00060B21">
      <w:pPr>
        <w:rPr>
          <w:b/>
          <w:szCs w:val="22"/>
          <w:lang w:val="es-ES"/>
        </w:rPr>
      </w:pPr>
      <w:r w:rsidRPr="006868F5">
        <w:rPr>
          <w:b/>
          <w:szCs w:val="22"/>
          <w:lang w:val="es-ES"/>
        </w:rPr>
        <w:t>Conducción y uso de máquinas</w:t>
      </w:r>
    </w:p>
    <w:p w14:paraId="510F1ED0" w14:textId="77777777" w:rsidR="00060B21" w:rsidRPr="00F22672" w:rsidRDefault="00060B21" w:rsidP="00060B21">
      <w:pPr>
        <w:rPr>
          <w:lang w:val="es-ES_tradnl"/>
        </w:rPr>
      </w:pPr>
      <w:r w:rsidRPr="00F22672">
        <w:rPr>
          <w:lang w:val="es-ES_tradnl"/>
        </w:rPr>
        <w:t>Este medicamento puede producir mareos, si usted se siente mareado, no conduzca ni utilice máquinas.</w:t>
      </w:r>
    </w:p>
    <w:p w14:paraId="4C1E0121" w14:textId="77777777" w:rsidR="00060B21" w:rsidRPr="00F22672" w:rsidRDefault="00060B21" w:rsidP="00060B21">
      <w:pPr>
        <w:rPr>
          <w:b/>
          <w:bCs/>
          <w:lang w:val="es-ES_tradnl"/>
        </w:rPr>
      </w:pPr>
    </w:p>
    <w:p w14:paraId="361E3A96" w14:textId="77777777" w:rsidR="0015338E" w:rsidRPr="00467FFD" w:rsidRDefault="00060B21" w:rsidP="00060B21">
      <w:pPr>
        <w:rPr>
          <w:b/>
          <w:szCs w:val="22"/>
          <w:lang w:val="es-ES"/>
          <w:rPrChange w:id="2293" w:author="AUTHOR">
            <w:rPr>
              <w:b/>
              <w:sz w:val="24"/>
              <w:szCs w:val="24"/>
              <w:lang w:val="es-ES"/>
            </w:rPr>
          </w:rPrChange>
        </w:rPr>
      </w:pPr>
      <w:r w:rsidRPr="00467FFD">
        <w:rPr>
          <w:b/>
          <w:szCs w:val="22"/>
          <w:lang w:val="es-ES"/>
          <w:rPrChange w:id="2294" w:author="AUTHOR">
            <w:rPr>
              <w:b/>
              <w:sz w:val="24"/>
              <w:szCs w:val="24"/>
              <w:lang w:val="es-ES"/>
            </w:rPr>
          </w:rPrChange>
        </w:rPr>
        <w:t xml:space="preserve">RoActemra contiene sodio </w:t>
      </w:r>
    </w:p>
    <w:p w14:paraId="40BA600A" w14:textId="132D59B4" w:rsidR="00060B21" w:rsidRDefault="00865387" w:rsidP="00060B21">
      <w:pPr>
        <w:rPr>
          <w:lang w:val="es-ES_tradnl"/>
        </w:rPr>
      </w:pPr>
      <w:r w:rsidRPr="00865387">
        <w:rPr>
          <w:lang w:val="es-ES_tradnl"/>
        </w:rPr>
        <w:t>Después de la dilución con solución de cloruro de sodio al 0,9 %,</w:t>
      </w:r>
      <w:r>
        <w:rPr>
          <w:lang w:val="es-ES_tradnl"/>
        </w:rPr>
        <w:t xml:space="preserve"> e</w:t>
      </w:r>
      <w:r w:rsidR="00060B21" w:rsidRPr="00F22672">
        <w:rPr>
          <w:lang w:val="es-ES_tradnl"/>
        </w:rPr>
        <w:t xml:space="preserve">ste medicamento contiene </w:t>
      </w:r>
      <w:r>
        <w:rPr>
          <w:lang w:val="es-ES_tradnl"/>
        </w:rPr>
        <w:t>230,6</w:t>
      </w:r>
      <w:r w:rsidR="00060B21" w:rsidRPr="00F22672">
        <w:rPr>
          <w:lang w:val="es-ES_tradnl"/>
        </w:rPr>
        <w:t xml:space="preserve"> mg de sodio por dosis máxima de </w:t>
      </w:r>
      <w:r>
        <w:rPr>
          <w:lang w:val="es-ES_tradnl"/>
        </w:rPr>
        <w:t>8</w:t>
      </w:r>
      <w:r w:rsidR="00060B21" w:rsidRPr="00F22672">
        <w:rPr>
          <w:lang w:val="es-ES_tradnl"/>
        </w:rPr>
        <w:t>00 mg</w:t>
      </w:r>
      <w:r>
        <w:rPr>
          <w:lang w:val="es-ES_tradnl"/>
        </w:rPr>
        <w:t xml:space="preserve"> que equivale a 11,5% de la ingesta diaria máxima, recomendada por la OMS de 2 g de sodio para un </w:t>
      </w:r>
      <w:proofErr w:type="gramStart"/>
      <w:r>
        <w:rPr>
          <w:lang w:val="es-ES_tradnl"/>
        </w:rPr>
        <w:t>adulto</w:t>
      </w:r>
      <w:r w:rsidR="00060B21" w:rsidRPr="00F22672">
        <w:rPr>
          <w:lang w:val="es-ES_tradnl"/>
        </w:rPr>
        <w:t>..</w:t>
      </w:r>
      <w:proofErr w:type="gramEnd"/>
    </w:p>
    <w:p w14:paraId="4903276A" w14:textId="77777777" w:rsidR="00865387" w:rsidRPr="00F22672" w:rsidRDefault="00865387" w:rsidP="00060B21">
      <w:pPr>
        <w:rPr>
          <w:lang w:val="es-ES"/>
        </w:rPr>
      </w:pPr>
    </w:p>
    <w:p w14:paraId="190BE7CD" w14:textId="56890478" w:rsidR="00865387" w:rsidRPr="00467FFD" w:rsidRDefault="00865387" w:rsidP="00865387">
      <w:pPr>
        <w:rPr>
          <w:b/>
          <w:szCs w:val="22"/>
          <w:lang w:val="es-ES"/>
          <w:rPrChange w:id="2295" w:author="AUTHOR">
            <w:rPr>
              <w:b/>
              <w:sz w:val="24"/>
              <w:szCs w:val="24"/>
              <w:lang w:val="es-ES"/>
            </w:rPr>
          </w:rPrChange>
        </w:rPr>
      </w:pPr>
      <w:r w:rsidRPr="00467FFD">
        <w:rPr>
          <w:b/>
          <w:szCs w:val="22"/>
          <w:lang w:val="es-ES"/>
          <w:rPrChange w:id="2296" w:author="AUTHOR">
            <w:rPr>
              <w:b/>
              <w:sz w:val="24"/>
              <w:szCs w:val="24"/>
              <w:lang w:val="es-ES"/>
            </w:rPr>
          </w:rPrChange>
        </w:rPr>
        <w:t xml:space="preserve">RoActemra contiene </w:t>
      </w:r>
      <w:proofErr w:type="gramStart"/>
      <w:r w:rsidRPr="00467FFD">
        <w:rPr>
          <w:b/>
          <w:szCs w:val="22"/>
          <w:lang w:val="es-ES"/>
          <w:rPrChange w:id="2297" w:author="AUTHOR">
            <w:rPr>
              <w:b/>
              <w:sz w:val="24"/>
              <w:szCs w:val="24"/>
              <w:lang w:val="es-ES"/>
            </w:rPr>
          </w:rPrChange>
        </w:rPr>
        <w:t>polisorbato</w:t>
      </w:r>
      <w:ins w:id="2298" w:author="AUTHOR">
        <w:r w:rsidR="00024761">
          <w:rPr>
            <w:b/>
            <w:szCs w:val="22"/>
            <w:lang w:val="es-ES"/>
          </w:rPr>
          <w:t xml:space="preserve"> </w:t>
        </w:r>
        <w:r w:rsidR="00024761" w:rsidRPr="00467FFD">
          <w:rPr>
            <w:b/>
            <w:szCs w:val="22"/>
            <w:lang w:val="es-ES"/>
            <w:rPrChange w:id="2299" w:author="AUTHOR">
              <w:rPr>
                <w:b/>
                <w:szCs w:val="22"/>
                <w:lang w:val="en-GB"/>
              </w:rPr>
            </w:rPrChange>
          </w:rPr>
          <w:t xml:space="preserve"> 80</w:t>
        </w:r>
        <w:proofErr w:type="gramEnd"/>
        <w:r w:rsidR="00024761" w:rsidRPr="00467FFD">
          <w:rPr>
            <w:b/>
            <w:szCs w:val="22"/>
            <w:lang w:val="es-ES"/>
            <w:rPrChange w:id="2300" w:author="AUTHOR">
              <w:rPr>
                <w:b/>
                <w:szCs w:val="22"/>
                <w:lang w:val="en-GB"/>
              </w:rPr>
            </w:rPrChange>
          </w:rPr>
          <w:t xml:space="preserve"> (E 433)</w:t>
        </w:r>
      </w:ins>
    </w:p>
    <w:p w14:paraId="78C8523A" w14:textId="77777777" w:rsidR="00060B21" w:rsidRDefault="00865387" w:rsidP="00865387">
      <w:pPr>
        <w:rPr>
          <w:lang w:val="es-ES"/>
        </w:rPr>
      </w:pPr>
      <w:r w:rsidRPr="00865387">
        <w:rPr>
          <w:lang w:val="es-ES"/>
        </w:rPr>
        <w:t xml:space="preserve">Este medicamento contiene 5 mg de polisorbato 80 en cada vial </w:t>
      </w:r>
      <w:r>
        <w:rPr>
          <w:lang w:val="es-ES"/>
        </w:rPr>
        <w:t>de</w:t>
      </w:r>
      <w:r w:rsidRPr="00865387">
        <w:rPr>
          <w:lang w:val="es-ES"/>
        </w:rPr>
        <w:t xml:space="preserve"> 200 mg/10 ml, 10 mg de polisorbato 80 en cada vial </w:t>
      </w:r>
      <w:r>
        <w:rPr>
          <w:lang w:val="es-ES"/>
        </w:rPr>
        <w:t xml:space="preserve">de </w:t>
      </w:r>
      <w:r w:rsidRPr="00865387">
        <w:rPr>
          <w:lang w:val="es-ES"/>
        </w:rPr>
        <w:t xml:space="preserve">400 mg/20 ml y 2 mg de polisorbato 80 en cada vial </w:t>
      </w:r>
      <w:r>
        <w:rPr>
          <w:lang w:val="es-ES"/>
        </w:rPr>
        <w:t>de</w:t>
      </w:r>
      <w:r w:rsidRPr="00865387">
        <w:rPr>
          <w:lang w:val="es-ES"/>
        </w:rPr>
        <w:t xml:space="preserve"> 80 mg/4 ml, lo que equivale a 0,5 mg/ml. Los polisorbatos pueden causar reacciones alérgicas. Informe a su médico si usted o su hijo tiene cualquier alergia conocida.</w:t>
      </w:r>
    </w:p>
    <w:p w14:paraId="38076219" w14:textId="77777777" w:rsidR="00106659" w:rsidRDefault="00106659" w:rsidP="00060B21">
      <w:pPr>
        <w:rPr>
          <w:lang w:val="es-ES"/>
        </w:rPr>
      </w:pPr>
    </w:p>
    <w:p w14:paraId="4E589504" w14:textId="77777777" w:rsidR="00385965" w:rsidRPr="00F22672" w:rsidRDefault="00385965" w:rsidP="00060B21">
      <w:pPr>
        <w:rPr>
          <w:lang w:val="es-ES"/>
        </w:rPr>
      </w:pPr>
    </w:p>
    <w:p w14:paraId="0E4B29A2" w14:textId="77777777" w:rsidR="00060B21" w:rsidRPr="00FF2AFA" w:rsidRDefault="00060B21" w:rsidP="006868F5">
      <w:pPr>
        <w:keepNext/>
        <w:keepLines/>
        <w:rPr>
          <w:b/>
          <w:bCs/>
          <w:szCs w:val="22"/>
          <w:lang w:val="es-ES_tradnl"/>
        </w:rPr>
      </w:pPr>
      <w:r w:rsidRPr="00FF2AFA">
        <w:rPr>
          <w:b/>
          <w:bCs/>
          <w:szCs w:val="22"/>
          <w:lang w:val="es-ES_tradnl"/>
        </w:rPr>
        <w:t>3.</w:t>
      </w:r>
      <w:r w:rsidRPr="00FF2AFA">
        <w:rPr>
          <w:b/>
          <w:bCs/>
          <w:szCs w:val="22"/>
          <w:lang w:val="es-ES_tradnl"/>
        </w:rPr>
        <w:tab/>
        <w:t xml:space="preserve">Cómo </w:t>
      </w:r>
      <w:r w:rsidR="00FC6EE0" w:rsidRPr="00FF2AFA">
        <w:rPr>
          <w:b/>
          <w:bCs/>
          <w:szCs w:val="22"/>
          <w:lang w:val="es-ES_tradnl"/>
        </w:rPr>
        <w:t>usar</w:t>
      </w:r>
      <w:r w:rsidRPr="00FF2AFA">
        <w:rPr>
          <w:b/>
          <w:bCs/>
          <w:szCs w:val="22"/>
          <w:lang w:val="es-ES_tradnl"/>
        </w:rPr>
        <w:t xml:space="preserve"> RoActemra</w:t>
      </w:r>
    </w:p>
    <w:p w14:paraId="7488E971" w14:textId="77777777" w:rsidR="00060B21" w:rsidRPr="00F22672" w:rsidRDefault="00060B21" w:rsidP="006868F5">
      <w:pPr>
        <w:keepNext/>
        <w:keepLines/>
        <w:rPr>
          <w:b/>
          <w:bCs/>
          <w:lang w:val="es-ES_tradnl"/>
        </w:rPr>
      </w:pPr>
    </w:p>
    <w:p w14:paraId="437079BB" w14:textId="77777777" w:rsidR="00060B21" w:rsidRPr="00F22672" w:rsidRDefault="00060B21" w:rsidP="006868F5">
      <w:pPr>
        <w:keepNext/>
        <w:keepLines/>
        <w:rPr>
          <w:bCs/>
          <w:lang w:val="es-ES_tradnl"/>
        </w:rPr>
      </w:pPr>
      <w:r w:rsidRPr="00F22672">
        <w:rPr>
          <w:bCs/>
          <w:lang w:val="es-ES_tradnl"/>
        </w:rPr>
        <w:t>Este medicamento está sujeto a prescripción médica restringida por su médico.</w:t>
      </w:r>
    </w:p>
    <w:p w14:paraId="4CFAC124" w14:textId="77777777" w:rsidR="00060B21" w:rsidRPr="00F22672" w:rsidRDefault="00060B21" w:rsidP="00060B21">
      <w:pPr>
        <w:rPr>
          <w:bCs/>
          <w:lang w:val="es-ES_tradnl"/>
        </w:rPr>
      </w:pPr>
    </w:p>
    <w:p w14:paraId="4AD0637C" w14:textId="77777777" w:rsidR="00060B21" w:rsidRPr="00F22672" w:rsidRDefault="00060B21" w:rsidP="00060B21">
      <w:pPr>
        <w:rPr>
          <w:bCs/>
          <w:lang w:val="es-ES"/>
        </w:rPr>
      </w:pPr>
      <w:r w:rsidRPr="00F22672">
        <w:rPr>
          <w:bCs/>
          <w:lang w:val="es-ES_tradnl"/>
        </w:rPr>
        <w:t>RoActemra se le administrará</w:t>
      </w:r>
      <w:r w:rsidRPr="00F22672">
        <w:rPr>
          <w:b/>
          <w:bCs/>
          <w:lang w:val="es-ES_tradnl"/>
        </w:rPr>
        <w:t xml:space="preserve"> por goteo intravenoso, por un médico o enfermero. </w:t>
      </w:r>
      <w:r w:rsidRPr="00F22672">
        <w:rPr>
          <w:bCs/>
          <w:lang w:val="es-ES_tradnl"/>
        </w:rPr>
        <w:t>Ellos diluirán la solución, prepararán la perfusión intravenosa y le vigilarán durante y después del tratamiento.</w:t>
      </w:r>
    </w:p>
    <w:p w14:paraId="37856AFB" w14:textId="77777777" w:rsidR="00060B21" w:rsidRPr="00F22672" w:rsidRDefault="00060B21" w:rsidP="00060B21">
      <w:pPr>
        <w:rPr>
          <w:lang w:val="es-ES"/>
        </w:rPr>
      </w:pPr>
    </w:p>
    <w:p w14:paraId="1465FE58" w14:textId="77777777" w:rsidR="00060B21" w:rsidRPr="006868F5" w:rsidRDefault="00060B21" w:rsidP="002F76B8">
      <w:pPr>
        <w:rPr>
          <w:b/>
          <w:szCs w:val="22"/>
          <w:lang w:val="es-ES"/>
        </w:rPr>
      </w:pPr>
      <w:r w:rsidRPr="006868F5">
        <w:rPr>
          <w:b/>
          <w:szCs w:val="22"/>
          <w:lang w:val="es-ES"/>
        </w:rPr>
        <w:t>Pacientes adultos con AR</w:t>
      </w:r>
    </w:p>
    <w:p w14:paraId="27DB43AC" w14:textId="77777777" w:rsidR="00060B21" w:rsidRPr="00F22672" w:rsidRDefault="00060B21" w:rsidP="00060B21">
      <w:pPr>
        <w:rPr>
          <w:lang w:val="es-ES"/>
        </w:rPr>
      </w:pPr>
      <w:r w:rsidRPr="00F22672">
        <w:rPr>
          <w:lang w:val="es-ES_tradnl"/>
        </w:rPr>
        <w:t>La dosis habitual de RoActemra es de 8 miligramos (mg) por kilogramo (kg) de peso corporal.</w:t>
      </w:r>
      <w:r w:rsidRPr="00F22672">
        <w:rPr>
          <w:lang w:val="es-ES"/>
        </w:rPr>
        <w:t xml:space="preserve"> Dependiendo de la respuesta el médico puede decidir disminuir la dosis a 4mg/kg y después volver a aumentarla a 8</w:t>
      </w:r>
      <w:r w:rsidR="00767BBF">
        <w:rPr>
          <w:lang w:val="es-ES"/>
        </w:rPr>
        <w:t xml:space="preserve"> </w:t>
      </w:r>
      <w:r w:rsidRPr="00F22672">
        <w:rPr>
          <w:lang w:val="es-ES"/>
        </w:rPr>
        <w:t xml:space="preserve">mg/kg cuando sea apropiado. </w:t>
      </w:r>
    </w:p>
    <w:p w14:paraId="21BFDED3" w14:textId="77777777" w:rsidR="00060B21" w:rsidRPr="00F22672" w:rsidRDefault="00060B21" w:rsidP="00060B21">
      <w:pPr>
        <w:rPr>
          <w:lang w:val="es-ES_tradnl"/>
        </w:rPr>
      </w:pPr>
    </w:p>
    <w:p w14:paraId="58D4071D" w14:textId="77777777" w:rsidR="00060B21" w:rsidRPr="00F22672" w:rsidRDefault="00060B21" w:rsidP="00060B21">
      <w:pPr>
        <w:rPr>
          <w:lang w:val="es-ES_tradnl"/>
        </w:rPr>
      </w:pPr>
      <w:r w:rsidRPr="00F22672">
        <w:rPr>
          <w:lang w:val="es-ES_tradnl"/>
        </w:rPr>
        <w:t>A los adultos se les administrará RoActemra una vez cada 4 semanas a través de goteo en vena (perfusión intravenosa) durante una hora.</w:t>
      </w:r>
    </w:p>
    <w:p w14:paraId="5921C1CB" w14:textId="77777777" w:rsidR="00060B21" w:rsidRPr="00F22672" w:rsidRDefault="00060B21" w:rsidP="00060B21">
      <w:pPr>
        <w:rPr>
          <w:b/>
          <w:lang w:val="es-ES_tradnl"/>
        </w:rPr>
      </w:pPr>
    </w:p>
    <w:p w14:paraId="7F1475EA" w14:textId="77777777" w:rsidR="00060B21" w:rsidRPr="006868F5" w:rsidRDefault="00060B21" w:rsidP="00060B21">
      <w:pPr>
        <w:rPr>
          <w:b/>
          <w:szCs w:val="22"/>
          <w:u w:val="single"/>
          <w:lang w:val="es-ES"/>
        </w:rPr>
      </w:pPr>
      <w:r w:rsidRPr="006868F5">
        <w:rPr>
          <w:b/>
          <w:szCs w:val="22"/>
          <w:u w:val="single"/>
          <w:lang w:val="es-ES"/>
        </w:rPr>
        <w:t>Niños con AIJs</w:t>
      </w:r>
      <w:r w:rsidR="00732683" w:rsidRPr="006868F5">
        <w:rPr>
          <w:b/>
          <w:szCs w:val="22"/>
          <w:u w:val="single"/>
          <w:lang w:val="es-ES"/>
        </w:rPr>
        <w:t xml:space="preserve"> (de 2 años de edad </w:t>
      </w:r>
      <w:r w:rsidR="008E72F8" w:rsidRPr="006868F5">
        <w:rPr>
          <w:b/>
          <w:szCs w:val="22"/>
          <w:u w:val="single"/>
          <w:lang w:val="es-ES"/>
        </w:rPr>
        <w:t>en adelante</w:t>
      </w:r>
      <w:r w:rsidR="00732683" w:rsidRPr="006868F5">
        <w:rPr>
          <w:b/>
          <w:szCs w:val="22"/>
          <w:u w:val="single"/>
          <w:lang w:val="es-ES"/>
        </w:rPr>
        <w:t>)</w:t>
      </w:r>
    </w:p>
    <w:p w14:paraId="4EFC84CC" w14:textId="77777777" w:rsidR="00060B21" w:rsidRPr="00F22672" w:rsidRDefault="00060B21" w:rsidP="00060B21">
      <w:pPr>
        <w:rPr>
          <w:lang w:val="es-ES_tradnl"/>
        </w:rPr>
      </w:pPr>
      <w:r w:rsidRPr="00F22672">
        <w:rPr>
          <w:lang w:val="es-ES_tradnl"/>
        </w:rPr>
        <w:t>La dosis habitual de RoActemra depende de su peso</w:t>
      </w:r>
      <w:r w:rsidR="00421389">
        <w:rPr>
          <w:lang w:val="es-ES_tradnl"/>
        </w:rPr>
        <w:t>.</w:t>
      </w:r>
      <w:r w:rsidRPr="00F22672">
        <w:rPr>
          <w:lang w:val="es-ES_tradnl"/>
        </w:rPr>
        <w:t xml:space="preserve"> </w:t>
      </w:r>
    </w:p>
    <w:p w14:paraId="487F6A70" w14:textId="77777777" w:rsidR="00060B21" w:rsidRPr="00F22672" w:rsidRDefault="00060B21" w:rsidP="00060B21">
      <w:pPr>
        <w:ind w:left="418"/>
        <w:rPr>
          <w:lang w:val="es-ES_tradnl"/>
        </w:rPr>
      </w:pPr>
      <w:r w:rsidRPr="00F22672">
        <w:rPr>
          <w:lang w:val="es-ES"/>
        </w:rPr>
        <w:sym w:font="Symbol" w:char="F0B7"/>
      </w:r>
      <w:r w:rsidRPr="00F22672">
        <w:rPr>
          <w:lang w:val="es-ES"/>
        </w:rPr>
        <w:tab/>
      </w:r>
      <w:r w:rsidR="00421389">
        <w:rPr>
          <w:lang w:val="es-ES_tradnl"/>
        </w:rPr>
        <w:t>S</w:t>
      </w:r>
      <w:r w:rsidRPr="00F22672">
        <w:rPr>
          <w:lang w:val="es-ES_tradnl"/>
        </w:rPr>
        <w:t xml:space="preserve">i usted pesa menos de 30 kg, la dosis es de </w:t>
      </w:r>
      <w:r w:rsidRPr="00F22672">
        <w:rPr>
          <w:b/>
          <w:lang w:val="es-ES_tradnl"/>
        </w:rPr>
        <w:t>12</w:t>
      </w:r>
      <w:r w:rsidR="008E72F8" w:rsidRPr="00F22672">
        <w:rPr>
          <w:b/>
          <w:lang w:val="es-ES_tradnl"/>
        </w:rPr>
        <w:t> </w:t>
      </w:r>
      <w:r w:rsidRPr="00F22672">
        <w:rPr>
          <w:b/>
          <w:lang w:val="es-ES_tradnl"/>
        </w:rPr>
        <w:t>mg por cada kilo</w:t>
      </w:r>
      <w:r w:rsidR="00732683" w:rsidRPr="00F22672">
        <w:rPr>
          <w:b/>
          <w:lang w:val="es-ES_tradnl"/>
        </w:rPr>
        <w:t>gramo</w:t>
      </w:r>
      <w:r w:rsidRPr="00F22672">
        <w:rPr>
          <w:b/>
          <w:lang w:val="es-ES_tradnl"/>
        </w:rPr>
        <w:t xml:space="preserve"> de peso</w:t>
      </w:r>
      <w:r w:rsidR="00732683" w:rsidRPr="00F22672">
        <w:rPr>
          <w:b/>
          <w:lang w:val="es-ES_tradnl"/>
        </w:rPr>
        <w:t xml:space="preserve"> corporal</w:t>
      </w:r>
      <w:r w:rsidR="00421389">
        <w:rPr>
          <w:b/>
          <w:lang w:val="es-ES_tradnl"/>
        </w:rPr>
        <w:t>.</w:t>
      </w:r>
    </w:p>
    <w:p w14:paraId="5B232CD8" w14:textId="77777777" w:rsidR="00060B21" w:rsidRPr="00F22672" w:rsidRDefault="00060B21" w:rsidP="00060B21">
      <w:pPr>
        <w:keepNext/>
        <w:keepLines/>
        <w:ind w:left="418"/>
        <w:rPr>
          <w:b/>
          <w:lang w:val="es-ES_tradnl"/>
        </w:rPr>
      </w:pPr>
      <w:r w:rsidRPr="00F22672">
        <w:rPr>
          <w:lang w:val="es-ES"/>
        </w:rPr>
        <w:sym w:font="Symbol" w:char="F0B7"/>
      </w:r>
      <w:r w:rsidRPr="00F22672">
        <w:rPr>
          <w:lang w:val="es-ES"/>
        </w:rPr>
        <w:tab/>
      </w:r>
      <w:r w:rsidR="00421389">
        <w:rPr>
          <w:lang w:val="es-ES_tradnl"/>
        </w:rPr>
        <w:t>S</w:t>
      </w:r>
      <w:r w:rsidRPr="00F22672">
        <w:rPr>
          <w:lang w:val="es-ES_tradnl"/>
        </w:rPr>
        <w:t>i usted pesa 30</w:t>
      </w:r>
      <w:r w:rsidR="00767BBF">
        <w:rPr>
          <w:lang w:val="es-ES_tradnl"/>
        </w:rPr>
        <w:t xml:space="preserve"> </w:t>
      </w:r>
      <w:r w:rsidRPr="00F22672">
        <w:rPr>
          <w:lang w:val="es-ES_tradnl"/>
        </w:rPr>
        <w:t xml:space="preserve">kg o más, la dosis es de </w:t>
      </w:r>
      <w:r w:rsidRPr="00F22672">
        <w:rPr>
          <w:b/>
          <w:lang w:val="es-ES_tradnl"/>
        </w:rPr>
        <w:t>8</w:t>
      </w:r>
      <w:r w:rsidR="008E72F8" w:rsidRPr="00F22672">
        <w:rPr>
          <w:b/>
          <w:lang w:val="es-ES_tradnl"/>
        </w:rPr>
        <w:t> </w:t>
      </w:r>
      <w:r w:rsidRPr="00F22672">
        <w:rPr>
          <w:b/>
          <w:lang w:val="es-ES_tradnl"/>
        </w:rPr>
        <w:t>mg por cada kilo</w:t>
      </w:r>
      <w:r w:rsidR="00732683" w:rsidRPr="00F22672">
        <w:rPr>
          <w:b/>
          <w:lang w:val="es-ES_tradnl"/>
        </w:rPr>
        <w:t>gramo</w:t>
      </w:r>
      <w:r w:rsidRPr="00F22672">
        <w:rPr>
          <w:b/>
          <w:lang w:val="es-ES_tradnl"/>
        </w:rPr>
        <w:t xml:space="preserve"> de peso</w:t>
      </w:r>
      <w:r w:rsidR="00732683" w:rsidRPr="00F22672">
        <w:rPr>
          <w:b/>
          <w:lang w:val="es-ES_tradnl"/>
        </w:rPr>
        <w:t xml:space="preserve"> corporal</w:t>
      </w:r>
      <w:r w:rsidR="00421389">
        <w:rPr>
          <w:b/>
          <w:lang w:val="es-ES_tradnl"/>
        </w:rPr>
        <w:t>.</w:t>
      </w:r>
    </w:p>
    <w:p w14:paraId="6F7C325B" w14:textId="77777777" w:rsidR="00060B21" w:rsidRPr="00F22672" w:rsidRDefault="00060B21" w:rsidP="00060B21">
      <w:pPr>
        <w:rPr>
          <w:lang w:val="es-ES_tradnl"/>
        </w:rPr>
      </w:pPr>
      <w:r w:rsidRPr="00F22672">
        <w:rPr>
          <w:lang w:val="es-ES_tradnl"/>
        </w:rPr>
        <w:t>La dosis se calcula en función del peso corporal en cada administración.</w:t>
      </w:r>
    </w:p>
    <w:p w14:paraId="0AA4CFBD" w14:textId="77777777" w:rsidR="00060B21" w:rsidRPr="00F22672" w:rsidRDefault="00060B21" w:rsidP="00060B21">
      <w:pPr>
        <w:rPr>
          <w:lang w:val="es-ES_tradnl"/>
        </w:rPr>
      </w:pPr>
    </w:p>
    <w:p w14:paraId="6FC230BE" w14:textId="77777777" w:rsidR="00060B21" w:rsidRPr="00F22672" w:rsidRDefault="00060B21" w:rsidP="00060B21">
      <w:pPr>
        <w:rPr>
          <w:lang w:val="es-ES_tradnl"/>
        </w:rPr>
      </w:pPr>
      <w:r w:rsidRPr="00F22672">
        <w:rPr>
          <w:lang w:val="es-ES_tradnl"/>
        </w:rPr>
        <w:t>A los niños con AIJs se les administrará RoActemra una vez cada 2 semanas a través de goteo en vena (perfusión intravenosa) durante una hora.</w:t>
      </w:r>
    </w:p>
    <w:p w14:paraId="07D4D3E0" w14:textId="77777777" w:rsidR="00060B21" w:rsidRPr="00F22672" w:rsidRDefault="00060B21" w:rsidP="00060B21">
      <w:pPr>
        <w:rPr>
          <w:b/>
          <w:lang w:val="es-ES_tradnl"/>
        </w:rPr>
      </w:pPr>
    </w:p>
    <w:p w14:paraId="0AD0ECC1" w14:textId="77777777" w:rsidR="00060B21" w:rsidRPr="006868F5" w:rsidRDefault="00060B21" w:rsidP="00060B21">
      <w:pPr>
        <w:rPr>
          <w:b/>
          <w:szCs w:val="22"/>
          <w:u w:val="single"/>
          <w:lang w:val="es-ES"/>
        </w:rPr>
      </w:pPr>
      <w:r w:rsidRPr="006868F5">
        <w:rPr>
          <w:b/>
          <w:szCs w:val="22"/>
          <w:u w:val="single"/>
          <w:lang w:val="es-ES"/>
        </w:rPr>
        <w:t>Niños con AIJp</w:t>
      </w:r>
      <w:r w:rsidR="00732683" w:rsidRPr="006868F5">
        <w:rPr>
          <w:b/>
          <w:szCs w:val="22"/>
          <w:u w:val="single"/>
          <w:lang w:val="es-ES"/>
        </w:rPr>
        <w:t xml:space="preserve"> </w:t>
      </w:r>
      <w:r w:rsidR="00DB2A23" w:rsidRPr="006868F5">
        <w:rPr>
          <w:b/>
          <w:szCs w:val="22"/>
          <w:u w:val="single"/>
          <w:lang w:val="es-ES"/>
        </w:rPr>
        <w:t xml:space="preserve">(de 2 años de edad </w:t>
      </w:r>
      <w:r w:rsidR="008E72F8" w:rsidRPr="006868F5">
        <w:rPr>
          <w:b/>
          <w:szCs w:val="22"/>
          <w:u w:val="single"/>
          <w:lang w:val="es-ES"/>
        </w:rPr>
        <w:t>en adelante</w:t>
      </w:r>
      <w:r w:rsidR="00DB2A23" w:rsidRPr="006868F5">
        <w:rPr>
          <w:b/>
          <w:szCs w:val="22"/>
          <w:u w:val="single"/>
          <w:lang w:val="es-ES"/>
        </w:rPr>
        <w:t>)</w:t>
      </w:r>
    </w:p>
    <w:p w14:paraId="0C175A52" w14:textId="77777777" w:rsidR="00060B21" w:rsidRPr="00F22672" w:rsidRDefault="00060B21" w:rsidP="00060B21">
      <w:pPr>
        <w:rPr>
          <w:lang w:val="es-ES_tradnl"/>
        </w:rPr>
      </w:pPr>
      <w:r w:rsidRPr="00F22672">
        <w:rPr>
          <w:lang w:val="es-ES_tradnl"/>
        </w:rPr>
        <w:t>La dosis habitual de RoActemra se calcula en función del peso corporal</w:t>
      </w:r>
      <w:r w:rsidR="00421389">
        <w:rPr>
          <w:lang w:val="es-ES_tradnl"/>
        </w:rPr>
        <w:t>.</w:t>
      </w:r>
    </w:p>
    <w:p w14:paraId="76F0A3B9" w14:textId="77777777" w:rsidR="00060B21" w:rsidRPr="00F22672" w:rsidRDefault="00060B21" w:rsidP="00060B21">
      <w:pPr>
        <w:ind w:left="540" w:hanging="180"/>
        <w:rPr>
          <w:lang w:val="es-ES_tradnl"/>
        </w:rPr>
      </w:pPr>
      <w:r w:rsidRPr="00F22672">
        <w:rPr>
          <w:lang w:val="es-ES"/>
        </w:rPr>
        <w:sym w:font="Symbol" w:char="F0B7"/>
      </w:r>
      <w:r w:rsidRPr="00F22672">
        <w:rPr>
          <w:lang w:val="es-ES"/>
        </w:rPr>
        <w:tab/>
      </w:r>
      <w:r w:rsidRPr="00F22672">
        <w:rPr>
          <w:lang w:val="es-ES_tradnl"/>
        </w:rPr>
        <w:t xml:space="preserve">Si usted pesa menos de 30 kg: la dosis es </w:t>
      </w:r>
      <w:r w:rsidR="00732683" w:rsidRPr="00F22672">
        <w:rPr>
          <w:lang w:val="es-ES_tradnl"/>
        </w:rPr>
        <w:t xml:space="preserve">de </w:t>
      </w:r>
      <w:r w:rsidRPr="00F22672">
        <w:rPr>
          <w:b/>
          <w:lang w:val="es-ES_tradnl"/>
        </w:rPr>
        <w:t>10</w:t>
      </w:r>
      <w:r w:rsidR="008E72F8" w:rsidRPr="00F22672">
        <w:rPr>
          <w:b/>
          <w:lang w:val="es-ES_tradnl"/>
        </w:rPr>
        <w:t> </w:t>
      </w:r>
      <w:r w:rsidRPr="00F22672">
        <w:rPr>
          <w:b/>
          <w:lang w:val="es-ES_tradnl"/>
        </w:rPr>
        <w:t>mg</w:t>
      </w:r>
      <w:r w:rsidRPr="00F22672">
        <w:rPr>
          <w:lang w:val="es-ES_tradnl"/>
        </w:rPr>
        <w:t xml:space="preserve"> </w:t>
      </w:r>
      <w:r w:rsidRPr="00F22672">
        <w:rPr>
          <w:b/>
          <w:lang w:val="es-ES_tradnl"/>
        </w:rPr>
        <w:t>por</w:t>
      </w:r>
      <w:r w:rsidRPr="00F22672">
        <w:rPr>
          <w:lang w:val="es-ES_tradnl"/>
        </w:rPr>
        <w:t xml:space="preserve"> </w:t>
      </w:r>
      <w:r w:rsidR="00732683" w:rsidRPr="00F22672">
        <w:rPr>
          <w:b/>
          <w:lang w:val="es-ES_tradnl"/>
        </w:rPr>
        <w:t>cada kilogramo de peso corporal</w:t>
      </w:r>
      <w:r w:rsidR="00421389">
        <w:rPr>
          <w:b/>
          <w:lang w:val="es-ES_tradnl"/>
        </w:rPr>
        <w:t>.</w:t>
      </w:r>
    </w:p>
    <w:p w14:paraId="08C5E94B" w14:textId="77777777" w:rsidR="00060B21" w:rsidRPr="00F22672" w:rsidRDefault="00060B21" w:rsidP="00060B21">
      <w:pPr>
        <w:ind w:left="540" w:hanging="180"/>
        <w:rPr>
          <w:lang w:val="es-ES_tradnl"/>
        </w:rPr>
      </w:pPr>
      <w:r w:rsidRPr="00F22672">
        <w:rPr>
          <w:lang w:val="es-ES"/>
        </w:rPr>
        <w:sym w:font="Symbol" w:char="F0B7"/>
      </w:r>
      <w:r w:rsidRPr="00F22672">
        <w:rPr>
          <w:lang w:val="es-ES"/>
        </w:rPr>
        <w:tab/>
      </w:r>
      <w:r w:rsidRPr="00F22672">
        <w:rPr>
          <w:lang w:val="es-ES_tradnl"/>
        </w:rPr>
        <w:t xml:space="preserve">Si usted pesa 30 kg o más: la dosis es </w:t>
      </w:r>
      <w:r w:rsidR="00732683" w:rsidRPr="00F22672">
        <w:rPr>
          <w:lang w:val="es-ES_tradnl"/>
        </w:rPr>
        <w:t xml:space="preserve">de </w:t>
      </w:r>
      <w:r w:rsidRPr="00F22672">
        <w:rPr>
          <w:b/>
          <w:lang w:val="es-ES_tradnl"/>
        </w:rPr>
        <w:t>8</w:t>
      </w:r>
      <w:r w:rsidR="008E72F8" w:rsidRPr="00F22672">
        <w:rPr>
          <w:b/>
          <w:lang w:val="es-ES_tradnl"/>
        </w:rPr>
        <w:t> </w:t>
      </w:r>
      <w:r w:rsidRPr="00F22672">
        <w:rPr>
          <w:b/>
          <w:lang w:val="es-ES_tradnl"/>
        </w:rPr>
        <w:t>mg</w:t>
      </w:r>
      <w:r w:rsidRPr="00F22672">
        <w:rPr>
          <w:lang w:val="es-ES_tradnl"/>
        </w:rPr>
        <w:t xml:space="preserve"> </w:t>
      </w:r>
      <w:r w:rsidRPr="00F22672">
        <w:rPr>
          <w:b/>
          <w:lang w:val="es-ES_tradnl"/>
        </w:rPr>
        <w:t>por cada kilogramo de peso corporal</w:t>
      </w:r>
      <w:r w:rsidR="00421389">
        <w:rPr>
          <w:b/>
          <w:lang w:val="es-ES_tradnl"/>
        </w:rPr>
        <w:t>.</w:t>
      </w:r>
    </w:p>
    <w:p w14:paraId="2B93AA1B" w14:textId="77777777" w:rsidR="00060B21" w:rsidRPr="00F22672" w:rsidRDefault="00060B21" w:rsidP="00060B21">
      <w:pPr>
        <w:rPr>
          <w:lang w:val="es-ES_tradnl"/>
        </w:rPr>
      </w:pPr>
      <w:r w:rsidRPr="00F22672">
        <w:rPr>
          <w:lang w:val="es-ES_tradnl"/>
        </w:rPr>
        <w:t>La dosis se calcula en base a su peso corporal en cada administración.</w:t>
      </w:r>
    </w:p>
    <w:p w14:paraId="5AF188B3" w14:textId="77777777" w:rsidR="00060B21" w:rsidRPr="00F22672" w:rsidRDefault="00060B21" w:rsidP="00060B21">
      <w:pPr>
        <w:rPr>
          <w:lang w:val="es-ES_tradnl"/>
        </w:rPr>
      </w:pPr>
    </w:p>
    <w:p w14:paraId="7F163262" w14:textId="77777777" w:rsidR="00060B21" w:rsidRDefault="00060B21" w:rsidP="00060B21">
      <w:pPr>
        <w:rPr>
          <w:lang w:val="es-ES_tradnl"/>
        </w:rPr>
      </w:pPr>
      <w:r w:rsidRPr="00F22672">
        <w:rPr>
          <w:lang w:val="es-ES_tradnl"/>
        </w:rPr>
        <w:t>Los niños con AIJp recibirán RoActemra una vez cada 4 semanas por goteo en vena (perfusión intravenosa) durante una hora.</w:t>
      </w:r>
    </w:p>
    <w:p w14:paraId="1197E75E" w14:textId="77777777" w:rsidR="00AC1B96" w:rsidRDefault="00AC1B96" w:rsidP="00060B21">
      <w:pPr>
        <w:rPr>
          <w:lang w:val="es-ES_tradnl"/>
        </w:rPr>
      </w:pPr>
    </w:p>
    <w:p w14:paraId="0B93CE1A" w14:textId="77777777" w:rsidR="00AC1B96" w:rsidRDefault="00AC1B96" w:rsidP="00060B21">
      <w:pPr>
        <w:rPr>
          <w:b/>
          <w:lang w:val="es-ES_tradnl"/>
        </w:rPr>
      </w:pPr>
      <w:r w:rsidRPr="0078290D">
        <w:rPr>
          <w:b/>
          <w:lang w:val="es-ES_tradnl"/>
        </w:rPr>
        <w:t>Pacientes de SLC</w:t>
      </w:r>
    </w:p>
    <w:p w14:paraId="405683D4" w14:textId="77777777" w:rsidR="00AC1B96" w:rsidRDefault="00AC1B96" w:rsidP="00060B21">
      <w:pPr>
        <w:rPr>
          <w:b/>
          <w:lang w:val="es-ES_tradnl"/>
        </w:rPr>
      </w:pPr>
      <w:r w:rsidRPr="0078290D">
        <w:rPr>
          <w:lang w:val="es-ES_tradnl"/>
        </w:rPr>
        <w:t>La</w:t>
      </w:r>
      <w:r>
        <w:rPr>
          <w:lang w:val="es-ES_tradnl"/>
        </w:rPr>
        <w:t xml:space="preserve"> dosis habitual de RoActemra es de </w:t>
      </w:r>
      <w:r w:rsidR="00795D39" w:rsidRPr="0078290D">
        <w:rPr>
          <w:b/>
          <w:lang w:val="es-ES_tradnl"/>
        </w:rPr>
        <w:t>8 mg por cada kg de peso corporal si usted pesa 30 kg o más.</w:t>
      </w:r>
    </w:p>
    <w:p w14:paraId="520C2153" w14:textId="77777777" w:rsidR="00795D39" w:rsidRDefault="00795D39" w:rsidP="00060B21">
      <w:pPr>
        <w:rPr>
          <w:lang w:val="es-ES_tradnl"/>
        </w:rPr>
      </w:pPr>
      <w:r w:rsidRPr="0078290D">
        <w:rPr>
          <w:lang w:val="es-ES_tradnl"/>
        </w:rPr>
        <w:t>La do</w:t>
      </w:r>
      <w:r>
        <w:rPr>
          <w:lang w:val="es-ES_tradnl"/>
        </w:rPr>
        <w:t xml:space="preserve">sis es de </w:t>
      </w:r>
      <w:r w:rsidRPr="0078290D">
        <w:rPr>
          <w:b/>
          <w:lang w:val="es-ES_tradnl"/>
        </w:rPr>
        <w:t>12 mg por cada kg de peso corporal si usted pesa menos de 30 kg</w:t>
      </w:r>
    </w:p>
    <w:p w14:paraId="366747AB" w14:textId="77777777" w:rsidR="00795D39" w:rsidRDefault="00795D39" w:rsidP="00060B21">
      <w:pPr>
        <w:rPr>
          <w:lang w:val="es-ES_tradnl"/>
        </w:rPr>
      </w:pPr>
      <w:r>
        <w:rPr>
          <w:lang w:val="es-ES_tradnl"/>
        </w:rPr>
        <w:t>RoActemra puede ser administrado solo o en combinación con corticosteroides.</w:t>
      </w:r>
    </w:p>
    <w:p w14:paraId="33352EC8" w14:textId="77777777" w:rsidR="0085789E" w:rsidRPr="00795D39" w:rsidRDefault="0085789E" w:rsidP="00060B21">
      <w:pPr>
        <w:rPr>
          <w:lang w:val="es-ES_tradnl"/>
        </w:rPr>
      </w:pPr>
    </w:p>
    <w:p w14:paraId="1A508952" w14:textId="77777777" w:rsidR="0085789E" w:rsidRPr="004B67DA" w:rsidRDefault="0085789E" w:rsidP="0085789E">
      <w:pPr>
        <w:rPr>
          <w:b/>
          <w:lang w:val="es-ES_tradnl"/>
        </w:rPr>
      </w:pPr>
      <w:r w:rsidRPr="004B67DA">
        <w:rPr>
          <w:b/>
          <w:lang w:val="es-ES_tradnl"/>
        </w:rPr>
        <w:t>Pacientes con COVID-19</w:t>
      </w:r>
    </w:p>
    <w:p w14:paraId="1EB0E063" w14:textId="77777777" w:rsidR="00060B21" w:rsidRDefault="0085789E" w:rsidP="0085789E">
      <w:pPr>
        <w:rPr>
          <w:szCs w:val="22"/>
          <w:lang w:val="es-ES_tradnl"/>
        </w:rPr>
      </w:pPr>
      <w:r w:rsidRPr="004B67DA">
        <w:rPr>
          <w:szCs w:val="22"/>
          <w:lang w:val="es-ES_tradnl"/>
        </w:rPr>
        <w:t>La dosis habitual de RoActemra es de 8 mg por cada kg de peso corporal. Puede ser necesaria una segunda dosis.</w:t>
      </w:r>
    </w:p>
    <w:p w14:paraId="029D0864" w14:textId="77777777" w:rsidR="0085789E" w:rsidRPr="004B67DA" w:rsidRDefault="0085789E" w:rsidP="00F30AB8">
      <w:pPr>
        <w:keepNext/>
        <w:keepLines/>
        <w:rPr>
          <w:szCs w:val="22"/>
          <w:lang w:val="es-ES_tradnl"/>
        </w:rPr>
      </w:pPr>
    </w:p>
    <w:p w14:paraId="5D57904F" w14:textId="77777777" w:rsidR="00060B21" w:rsidRPr="006868F5" w:rsidRDefault="00060B21" w:rsidP="00F30AB8">
      <w:pPr>
        <w:keepNext/>
        <w:keepLines/>
        <w:rPr>
          <w:b/>
          <w:szCs w:val="22"/>
          <w:lang w:val="es-ES"/>
        </w:rPr>
      </w:pPr>
      <w:r w:rsidRPr="006868F5">
        <w:rPr>
          <w:b/>
          <w:szCs w:val="22"/>
          <w:lang w:val="es-ES"/>
        </w:rPr>
        <w:t>Si se le administra más RoActemra del que debe</w:t>
      </w:r>
    </w:p>
    <w:p w14:paraId="03481872" w14:textId="77777777" w:rsidR="00060B21" w:rsidRPr="00F22672" w:rsidRDefault="00060B21" w:rsidP="00F30AB8">
      <w:pPr>
        <w:keepNext/>
        <w:keepLines/>
        <w:rPr>
          <w:lang w:val="es-ES"/>
        </w:rPr>
      </w:pPr>
      <w:r w:rsidRPr="00F22672">
        <w:rPr>
          <w:lang w:val="es-ES_tradnl"/>
        </w:rPr>
        <w:t>Como RoActemra lo administra un médico o enfermer</w:t>
      </w:r>
      <w:r w:rsidR="00DB2A23" w:rsidRPr="00F22672">
        <w:rPr>
          <w:lang w:val="es-ES_tradnl"/>
        </w:rPr>
        <w:t>o</w:t>
      </w:r>
      <w:r w:rsidRPr="00F22672">
        <w:rPr>
          <w:lang w:val="es-ES_tradnl"/>
        </w:rPr>
        <w:t>, es poco probable que se le administre demasiado.</w:t>
      </w:r>
      <w:r w:rsidRPr="00F22672">
        <w:rPr>
          <w:lang w:val="es-ES"/>
        </w:rPr>
        <w:t xml:space="preserve"> </w:t>
      </w:r>
      <w:r w:rsidRPr="00F22672">
        <w:rPr>
          <w:lang w:val="es-ES_tradnl"/>
        </w:rPr>
        <w:t>Sin embargo, si le preocupa, hable con su médico.</w:t>
      </w:r>
      <w:r w:rsidRPr="00F22672">
        <w:rPr>
          <w:lang w:val="es-ES"/>
        </w:rPr>
        <w:t xml:space="preserve"> </w:t>
      </w:r>
    </w:p>
    <w:p w14:paraId="7FDE8D8D" w14:textId="77777777" w:rsidR="00060B21" w:rsidRPr="00F22672" w:rsidRDefault="00060B21" w:rsidP="00F30AB8">
      <w:pPr>
        <w:keepNext/>
        <w:keepLines/>
        <w:rPr>
          <w:lang w:val="es-ES"/>
        </w:rPr>
      </w:pPr>
    </w:p>
    <w:p w14:paraId="17E946A6" w14:textId="77777777" w:rsidR="00060B21" w:rsidRPr="006868F5" w:rsidRDefault="00060B21" w:rsidP="00F30AB8">
      <w:pPr>
        <w:keepNext/>
        <w:keepLines/>
        <w:rPr>
          <w:b/>
          <w:szCs w:val="22"/>
          <w:lang w:val="es-ES"/>
        </w:rPr>
      </w:pPr>
      <w:r w:rsidRPr="006868F5">
        <w:rPr>
          <w:b/>
          <w:szCs w:val="22"/>
          <w:lang w:val="es-ES"/>
        </w:rPr>
        <w:t>Si olvidó una dosis de RoActemra</w:t>
      </w:r>
    </w:p>
    <w:p w14:paraId="6B48126A" w14:textId="77777777" w:rsidR="00060B21" w:rsidRPr="00F22672" w:rsidRDefault="00060B21" w:rsidP="00060B21">
      <w:pPr>
        <w:rPr>
          <w:lang w:val="es-ES"/>
        </w:rPr>
      </w:pPr>
      <w:r w:rsidRPr="00F22672">
        <w:rPr>
          <w:lang w:val="es-ES_tradnl"/>
        </w:rPr>
        <w:t>Como RoActemra lo administra un médico o enfermer</w:t>
      </w:r>
      <w:r w:rsidR="00DB2A23" w:rsidRPr="00F22672">
        <w:rPr>
          <w:lang w:val="es-ES_tradnl"/>
        </w:rPr>
        <w:t>o</w:t>
      </w:r>
      <w:r w:rsidRPr="00F22672">
        <w:rPr>
          <w:lang w:val="es-ES_tradnl"/>
        </w:rPr>
        <w:t>, es poco probable que se salte una dosis.</w:t>
      </w:r>
      <w:r w:rsidRPr="00F22672">
        <w:rPr>
          <w:lang w:val="es-ES"/>
        </w:rPr>
        <w:t xml:space="preserve"> </w:t>
      </w:r>
      <w:r w:rsidRPr="00F22672">
        <w:rPr>
          <w:lang w:val="es-ES_tradnl"/>
        </w:rPr>
        <w:t>Sin embargo, si le preocupa, hable con su médico o enfermero.</w:t>
      </w:r>
    </w:p>
    <w:p w14:paraId="46F74A9E" w14:textId="77777777" w:rsidR="00060B21" w:rsidRPr="00F22672" w:rsidRDefault="00060B21" w:rsidP="00060B21">
      <w:pPr>
        <w:rPr>
          <w:lang w:val="es-ES"/>
        </w:rPr>
      </w:pPr>
    </w:p>
    <w:p w14:paraId="17F66EA3" w14:textId="77777777" w:rsidR="00060B21" w:rsidRPr="006868F5" w:rsidRDefault="00060B21" w:rsidP="00484513">
      <w:pPr>
        <w:keepNext/>
        <w:keepLines/>
        <w:rPr>
          <w:b/>
          <w:szCs w:val="22"/>
          <w:lang w:val="es-ES"/>
        </w:rPr>
      </w:pPr>
      <w:r w:rsidRPr="006868F5">
        <w:rPr>
          <w:b/>
          <w:szCs w:val="22"/>
          <w:lang w:val="es-ES"/>
        </w:rPr>
        <w:t>Si interrumpe el tratamiento con RoActemra</w:t>
      </w:r>
    </w:p>
    <w:p w14:paraId="63FF1185" w14:textId="77777777" w:rsidR="00060B21" w:rsidRPr="00F22672" w:rsidRDefault="00DB2A23" w:rsidP="00484513">
      <w:pPr>
        <w:keepNext/>
        <w:keepLines/>
        <w:rPr>
          <w:lang w:val="es-ES"/>
        </w:rPr>
      </w:pPr>
      <w:r w:rsidRPr="00F22672">
        <w:rPr>
          <w:lang w:val="es-ES_tradnl"/>
        </w:rPr>
        <w:t>No debe detener el tratamiento con RoActemra sin consultárselo a su médico previamente</w:t>
      </w:r>
      <w:r w:rsidR="00060B21" w:rsidRPr="00F22672">
        <w:rPr>
          <w:lang w:val="es-ES_tradnl"/>
        </w:rPr>
        <w:t>.</w:t>
      </w:r>
    </w:p>
    <w:p w14:paraId="4B4FFEE5" w14:textId="77777777" w:rsidR="00060B21" w:rsidRPr="00F22672" w:rsidRDefault="00060B21" w:rsidP="00484513">
      <w:pPr>
        <w:keepNext/>
        <w:keepLines/>
        <w:rPr>
          <w:lang w:val="es-ES"/>
        </w:rPr>
      </w:pPr>
      <w:r w:rsidRPr="00F22672">
        <w:rPr>
          <w:lang w:val="es-ES_tradnl"/>
        </w:rPr>
        <w:t xml:space="preserve">Si tiene cualquier otra duda sobre el uso de este medicamento, </w:t>
      </w:r>
      <w:r w:rsidRPr="00F22672">
        <w:rPr>
          <w:bCs/>
          <w:lang w:val="es-ES_tradnl"/>
        </w:rPr>
        <w:t>pregunte a su médico o enfermero</w:t>
      </w:r>
      <w:r w:rsidRPr="00F22672">
        <w:rPr>
          <w:lang w:val="es-ES_tradnl"/>
        </w:rPr>
        <w:t>.</w:t>
      </w:r>
    </w:p>
    <w:p w14:paraId="56F28064" w14:textId="77777777" w:rsidR="00060B21" w:rsidRPr="00F22672" w:rsidRDefault="00060B21" w:rsidP="00484513">
      <w:pPr>
        <w:keepNext/>
        <w:keepLines/>
        <w:rPr>
          <w:lang w:val="es-ES"/>
        </w:rPr>
      </w:pPr>
    </w:p>
    <w:p w14:paraId="30345711" w14:textId="77777777" w:rsidR="00060B21" w:rsidRPr="00F22672" w:rsidRDefault="00060B21" w:rsidP="00484513">
      <w:pPr>
        <w:keepNext/>
        <w:keepLines/>
        <w:rPr>
          <w:lang w:val="es-ES"/>
        </w:rPr>
      </w:pPr>
    </w:p>
    <w:p w14:paraId="62FCFFBD" w14:textId="77777777" w:rsidR="00060B21" w:rsidRPr="00FF2AFA" w:rsidRDefault="00060B21" w:rsidP="00484513">
      <w:pPr>
        <w:keepNext/>
        <w:keepLines/>
        <w:rPr>
          <w:b/>
          <w:bCs/>
          <w:szCs w:val="22"/>
          <w:lang w:val="es-ES_tradnl"/>
        </w:rPr>
      </w:pPr>
      <w:r w:rsidRPr="00FF2AFA">
        <w:rPr>
          <w:b/>
          <w:bCs/>
          <w:szCs w:val="22"/>
          <w:lang w:val="es-ES_tradnl"/>
        </w:rPr>
        <w:t>4.</w:t>
      </w:r>
      <w:r w:rsidRPr="00FF2AFA">
        <w:rPr>
          <w:b/>
          <w:bCs/>
          <w:szCs w:val="22"/>
          <w:lang w:val="es-ES_tradnl"/>
        </w:rPr>
        <w:tab/>
        <w:t>Posibles efectos adversos</w:t>
      </w:r>
    </w:p>
    <w:p w14:paraId="1EEBEA53" w14:textId="77777777" w:rsidR="00060B21" w:rsidRPr="00F22672" w:rsidRDefault="00060B21" w:rsidP="00484513">
      <w:pPr>
        <w:keepNext/>
        <w:keepLines/>
        <w:rPr>
          <w:lang w:val="es-ES"/>
        </w:rPr>
      </w:pPr>
    </w:p>
    <w:p w14:paraId="5B8944DF" w14:textId="77777777" w:rsidR="00060B21" w:rsidRPr="00F22672" w:rsidRDefault="00060B21" w:rsidP="00060B21">
      <w:pPr>
        <w:rPr>
          <w:lang w:val="es-ES"/>
        </w:rPr>
      </w:pPr>
      <w:r w:rsidRPr="00F22672">
        <w:rPr>
          <w:lang w:val="es-ES_tradnl"/>
        </w:rPr>
        <w:t>Al igual que todos los medicamentos, este medicamento puede producir efectos adversos, aunque no todas las personas los</w:t>
      </w:r>
      <w:r w:rsidRPr="00F22672">
        <w:rPr>
          <w:lang w:val="es-ES"/>
        </w:rPr>
        <w:t xml:space="preserve"> </w:t>
      </w:r>
      <w:r w:rsidRPr="00F22672">
        <w:rPr>
          <w:lang w:val="es-ES_tradnl"/>
        </w:rPr>
        <w:t>sufran.</w:t>
      </w:r>
      <w:r w:rsidRPr="00F22672">
        <w:rPr>
          <w:lang w:val="es-ES"/>
        </w:rPr>
        <w:t xml:space="preserve"> </w:t>
      </w:r>
    </w:p>
    <w:p w14:paraId="3C240D3B" w14:textId="77777777" w:rsidR="00060B21" w:rsidRPr="00F22672" w:rsidRDefault="00060B21" w:rsidP="00060B21">
      <w:pPr>
        <w:rPr>
          <w:lang w:val="es-ES"/>
        </w:rPr>
      </w:pPr>
      <w:r w:rsidRPr="00F22672">
        <w:rPr>
          <w:lang w:val="es-ES"/>
        </w:rPr>
        <w:t>Los efectos adversos pueden ocurrir hasta al menos 3 meses después de su última dosis de RoActemra.</w:t>
      </w:r>
    </w:p>
    <w:p w14:paraId="4E1C71B1" w14:textId="77777777" w:rsidR="00060B21" w:rsidRPr="002F76B8" w:rsidRDefault="00060B21" w:rsidP="00060B21">
      <w:pPr>
        <w:rPr>
          <w:b/>
          <w:bCs/>
          <w:szCs w:val="22"/>
          <w:lang w:val="es-ES_tradnl"/>
        </w:rPr>
      </w:pPr>
    </w:p>
    <w:p w14:paraId="3442644D" w14:textId="44F08293" w:rsidR="00060B21" w:rsidRPr="004556CF" w:rsidRDefault="00060B21" w:rsidP="006616E4">
      <w:pPr>
        <w:keepNext/>
        <w:keepLines/>
        <w:rPr>
          <w:b/>
          <w:bCs/>
          <w:sz w:val="24"/>
          <w:szCs w:val="24"/>
          <w:lang w:val="es-ES_tradnl"/>
        </w:rPr>
      </w:pPr>
      <w:r w:rsidRPr="004556CF">
        <w:rPr>
          <w:b/>
          <w:bCs/>
          <w:sz w:val="24"/>
          <w:szCs w:val="24"/>
          <w:lang w:val="es-ES_tradnl"/>
        </w:rPr>
        <w:t>Posibles efectos adverso</w:t>
      </w:r>
      <w:bookmarkStart w:id="2301" w:name="_GoBack"/>
      <w:bookmarkEnd w:id="2301"/>
      <w:r w:rsidRPr="004556CF">
        <w:rPr>
          <w:b/>
          <w:bCs/>
          <w:sz w:val="24"/>
          <w:szCs w:val="24"/>
          <w:lang w:val="es-ES_tradnl"/>
        </w:rPr>
        <w:t xml:space="preserve">s graves </w:t>
      </w:r>
    </w:p>
    <w:p w14:paraId="720E9F02" w14:textId="77777777" w:rsidR="00865387" w:rsidRDefault="00702ADE" w:rsidP="006616E4">
      <w:pPr>
        <w:keepNext/>
        <w:keepLines/>
        <w:rPr>
          <w:i/>
          <w:lang w:val="es-ES"/>
        </w:rPr>
      </w:pPr>
      <w:r w:rsidRPr="00F30AB8">
        <w:rPr>
          <w:szCs w:val="22"/>
          <w:lang w:val="es-ES"/>
        </w:rPr>
        <w:t xml:space="preserve">Consulte </w:t>
      </w:r>
      <w:r w:rsidR="0069055D">
        <w:rPr>
          <w:szCs w:val="22"/>
          <w:lang w:val="es-ES"/>
        </w:rPr>
        <w:t>con</w:t>
      </w:r>
      <w:r w:rsidRPr="00F30AB8">
        <w:rPr>
          <w:szCs w:val="22"/>
          <w:lang w:val="es-ES"/>
        </w:rPr>
        <w:t xml:space="preserve"> su médico </w:t>
      </w:r>
      <w:r w:rsidRPr="00F30AB8">
        <w:rPr>
          <w:b/>
          <w:bCs/>
          <w:szCs w:val="22"/>
          <w:lang w:val="es-ES"/>
        </w:rPr>
        <w:t>inmediatamente</w:t>
      </w:r>
      <w:r w:rsidRPr="00F30AB8">
        <w:rPr>
          <w:szCs w:val="22"/>
          <w:lang w:val="es-ES"/>
        </w:rPr>
        <w:t xml:space="preserve"> si experimenta alguno de los siguientes efectos adversos:</w:t>
      </w:r>
    </w:p>
    <w:p w14:paraId="35F7030B" w14:textId="77777777" w:rsidR="00702ADE" w:rsidRDefault="00702ADE" w:rsidP="006616E4">
      <w:pPr>
        <w:keepNext/>
        <w:keepLines/>
        <w:rPr>
          <w:i/>
          <w:lang w:val="es-ES"/>
        </w:rPr>
      </w:pPr>
    </w:p>
    <w:p w14:paraId="603C8573" w14:textId="77777777" w:rsidR="00B1177D" w:rsidRDefault="00B1177D" w:rsidP="006616E4">
      <w:pPr>
        <w:keepNext/>
        <w:keepLines/>
        <w:rPr>
          <w:i/>
          <w:lang w:val="es-ES_tradnl"/>
        </w:rPr>
      </w:pPr>
      <w:r w:rsidRPr="00F22672">
        <w:rPr>
          <w:i/>
          <w:lang w:val="es-ES"/>
        </w:rPr>
        <w:t xml:space="preserve">Estos son frecuentes: </w:t>
      </w:r>
      <w:r w:rsidRPr="00F22672">
        <w:rPr>
          <w:i/>
          <w:lang w:val="es-ES_tradnl"/>
        </w:rPr>
        <w:t xml:space="preserve">Pueden afectar </w:t>
      </w:r>
      <w:r w:rsidR="00B63B8E" w:rsidRPr="00F22672">
        <w:rPr>
          <w:i/>
          <w:lang w:val="es-ES_tradnl"/>
        </w:rPr>
        <w:t>hasta</w:t>
      </w:r>
      <w:r w:rsidRPr="00F22672">
        <w:rPr>
          <w:i/>
          <w:lang w:val="es-ES_tradnl"/>
        </w:rPr>
        <w:t xml:space="preserve"> 1 de cada 10 pacientes</w:t>
      </w:r>
    </w:p>
    <w:p w14:paraId="0CD87F6C" w14:textId="77777777" w:rsidR="00BF1FCA" w:rsidRPr="000A218C" w:rsidRDefault="00BF1FCA" w:rsidP="006616E4">
      <w:pPr>
        <w:keepNext/>
        <w:keepLines/>
        <w:ind w:left="567" w:hanging="567"/>
        <w:rPr>
          <w:lang w:val="es-ES_tradnl"/>
        </w:rPr>
      </w:pPr>
    </w:p>
    <w:p w14:paraId="689D0243" w14:textId="77777777" w:rsidR="005D6C0F" w:rsidRDefault="005D6C0F" w:rsidP="00293699">
      <w:pPr>
        <w:keepNext/>
        <w:keepLines/>
        <w:rPr>
          <w:bCs/>
          <w:lang w:val="es-ES_tradnl"/>
        </w:rPr>
      </w:pPr>
      <w:r>
        <w:rPr>
          <w:b/>
          <w:bCs/>
          <w:lang w:val="es-ES_tradnl"/>
        </w:rPr>
        <w:t xml:space="preserve">Reacciones alérgicas </w:t>
      </w:r>
      <w:r>
        <w:rPr>
          <w:bCs/>
          <w:lang w:val="es-ES_tradnl"/>
        </w:rPr>
        <w:t>durante o después de la perfusión:</w:t>
      </w:r>
    </w:p>
    <w:p w14:paraId="6A6CAEBC" w14:textId="77777777" w:rsidR="005D6C0F" w:rsidRDefault="00F12E00" w:rsidP="00BE56EE">
      <w:pPr>
        <w:keepNext/>
        <w:keepLines/>
        <w:ind w:left="567" w:hanging="567"/>
        <w:rPr>
          <w:bCs/>
          <w:lang w:val="es-ES_tradnl"/>
        </w:rPr>
      </w:pPr>
      <w:r w:rsidRPr="008A106B">
        <w:rPr>
          <w:lang w:val="es-ES"/>
        </w:rPr>
        <w:sym w:font="Symbol" w:char="F0B7"/>
      </w:r>
      <w:r>
        <w:rPr>
          <w:lang w:val="es-ES"/>
        </w:rPr>
        <w:tab/>
      </w:r>
      <w:r w:rsidR="005D6C0F">
        <w:rPr>
          <w:bCs/>
          <w:lang w:val="es-ES_tradnl"/>
        </w:rPr>
        <w:t xml:space="preserve">dificultad para respirar, opresión torácica o </w:t>
      </w:r>
      <w:r w:rsidR="005B71D1">
        <w:rPr>
          <w:bCs/>
          <w:lang w:val="es-ES_tradnl"/>
        </w:rPr>
        <w:t>aturdimiento</w:t>
      </w:r>
    </w:p>
    <w:p w14:paraId="66785FCD" w14:textId="77777777" w:rsidR="005D6C0F" w:rsidRDefault="00F12E00" w:rsidP="00BE56EE">
      <w:pPr>
        <w:keepNext/>
        <w:keepLines/>
        <w:ind w:left="567" w:hanging="567"/>
        <w:rPr>
          <w:bCs/>
          <w:lang w:val="es-ES_tradnl"/>
        </w:rPr>
      </w:pPr>
      <w:r w:rsidRPr="008A106B">
        <w:rPr>
          <w:lang w:val="es-ES"/>
        </w:rPr>
        <w:sym w:font="Symbol" w:char="F0B7"/>
      </w:r>
      <w:r>
        <w:rPr>
          <w:lang w:val="es-ES"/>
        </w:rPr>
        <w:tab/>
      </w:r>
      <w:r w:rsidR="005D6C0F">
        <w:rPr>
          <w:bCs/>
          <w:lang w:val="es-ES_tradnl"/>
        </w:rPr>
        <w:t>erupción cutánea, picor, ronchas, hinchazón de los labios, lengua o cara</w:t>
      </w:r>
    </w:p>
    <w:p w14:paraId="33001ED4" w14:textId="77777777" w:rsidR="00BE56EE" w:rsidRDefault="00BE56EE" w:rsidP="00E576A0">
      <w:pPr>
        <w:keepNext/>
        <w:keepLines/>
        <w:ind w:left="357" w:hanging="357"/>
        <w:rPr>
          <w:bCs/>
          <w:lang w:val="es-ES_tradnl"/>
        </w:rPr>
      </w:pPr>
    </w:p>
    <w:p w14:paraId="599FEFEA" w14:textId="77777777" w:rsidR="00060B21" w:rsidRPr="00F22672" w:rsidRDefault="00B1177D" w:rsidP="00293699">
      <w:pPr>
        <w:keepNext/>
        <w:keepLines/>
        <w:rPr>
          <w:lang w:val="es-ES"/>
        </w:rPr>
      </w:pPr>
      <w:r w:rsidRPr="00F22672">
        <w:rPr>
          <w:b/>
          <w:bCs/>
          <w:lang w:val="es-ES_tradnl"/>
        </w:rPr>
        <w:t>Signos de i</w:t>
      </w:r>
      <w:r w:rsidR="00060B21" w:rsidRPr="00F22672">
        <w:rPr>
          <w:b/>
          <w:bCs/>
          <w:lang w:val="es-ES_tradnl"/>
        </w:rPr>
        <w:t xml:space="preserve">nfecciones </w:t>
      </w:r>
      <w:r w:rsidRPr="00F22672">
        <w:rPr>
          <w:b/>
          <w:bCs/>
          <w:lang w:val="es-ES_tradnl"/>
        </w:rPr>
        <w:t>graves</w:t>
      </w:r>
    </w:p>
    <w:p w14:paraId="67C3BCDF" w14:textId="77777777" w:rsidR="00060B21" w:rsidRPr="00F22672" w:rsidRDefault="00060B21" w:rsidP="00293699">
      <w:pPr>
        <w:keepNext/>
        <w:keepLines/>
        <w:ind w:left="567" w:hanging="567"/>
        <w:rPr>
          <w:lang w:val="es-ES_tradnl"/>
        </w:rPr>
      </w:pPr>
      <w:r w:rsidRPr="00F22672">
        <w:rPr>
          <w:lang w:val="es-ES"/>
        </w:rPr>
        <w:sym w:font="Symbol" w:char="F0B7"/>
      </w:r>
      <w:r w:rsidRPr="00F22672">
        <w:rPr>
          <w:noProof/>
          <w:lang w:val="es-ES"/>
        </w:rPr>
        <w:tab/>
      </w:r>
      <w:r w:rsidRPr="00F22672">
        <w:rPr>
          <w:lang w:val="es-ES_tradnl"/>
        </w:rPr>
        <w:t xml:space="preserve">fiebre y escalofríos </w:t>
      </w:r>
    </w:p>
    <w:p w14:paraId="5B31A12F" w14:textId="77777777" w:rsidR="00060B21" w:rsidRPr="00F22672" w:rsidRDefault="00060B21" w:rsidP="006616E4">
      <w:pPr>
        <w:keepNext/>
        <w:keepLines/>
        <w:ind w:left="567" w:hanging="567"/>
        <w:rPr>
          <w:lang w:val="es-ES_tradnl"/>
        </w:rPr>
      </w:pPr>
      <w:r w:rsidRPr="00F22672">
        <w:rPr>
          <w:lang w:val="es-ES"/>
        </w:rPr>
        <w:sym w:font="Symbol" w:char="F0B7"/>
      </w:r>
      <w:r w:rsidRPr="00F22672">
        <w:rPr>
          <w:noProof/>
          <w:lang w:val="es-ES"/>
        </w:rPr>
        <w:tab/>
      </w:r>
      <w:r w:rsidRPr="00F22672">
        <w:rPr>
          <w:lang w:val="es-ES_tradnl"/>
        </w:rPr>
        <w:t>ampollas en la boca o la piel</w:t>
      </w:r>
    </w:p>
    <w:p w14:paraId="1A0170AD" w14:textId="77777777" w:rsidR="00060B21" w:rsidRDefault="00060B21" w:rsidP="006616E4">
      <w:pPr>
        <w:keepNext/>
        <w:keepLines/>
        <w:ind w:left="567" w:hanging="567"/>
        <w:rPr>
          <w:lang w:val="es-ES_tradnl"/>
        </w:rPr>
      </w:pPr>
      <w:r w:rsidRPr="00F22672">
        <w:rPr>
          <w:lang w:val="es-ES"/>
        </w:rPr>
        <w:sym w:font="Symbol" w:char="F0B7"/>
      </w:r>
      <w:r w:rsidRPr="00F22672">
        <w:rPr>
          <w:noProof/>
          <w:lang w:val="es-ES"/>
        </w:rPr>
        <w:tab/>
      </w:r>
      <w:r w:rsidRPr="00F22672">
        <w:rPr>
          <w:lang w:val="es-ES_tradnl"/>
        </w:rPr>
        <w:t>dolor de estómago</w:t>
      </w:r>
    </w:p>
    <w:p w14:paraId="444C6634" w14:textId="77777777" w:rsidR="005A50ED" w:rsidRDefault="005A50ED" w:rsidP="006616E4">
      <w:pPr>
        <w:keepNext/>
        <w:keepLines/>
        <w:ind w:left="567" w:hanging="567"/>
        <w:rPr>
          <w:lang w:val="es-ES_tradnl"/>
        </w:rPr>
      </w:pPr>
    </w:p>
    <w:p w14:paraId="41F9AC10" w14:textId="77777777" w:rsidR="005A50ED" w:rsidRDefault="005A50ED" w:rsidP="006616E4">
      <w:pPr>
        <w:keepNext/>
        <w:keepLines/>
        <w:ind w:left="567" w:hanging="567"/>
        <w:rPr>
          <w:b/>
          <w:lang w:val="es-ES_tradnl"/>
        </w:rPr>
      </w:pPr>
      <w:r>
        <w:rPr>
          <w:b/>
          <w:lang w:val="es-ES_tradnl"/>
        </w:rPr>
        <w:t>Signos y síntomas de toxicidad hepática</w:t>
      </w:r>
    </w:p>
    <w:p w14:paraId="224AAD1E" w14:textId="77777777" w:rsidR="005A50ED" w:rsidRDefault="005A50ED" w:rsidP="006616E4">
      <w:pPr>
        <w:keepNext/>
        <w:keepLines/>
        <w:ind w:left="567" w:hanging="567"/>
        <w:rPr>
          <w:i/>
          <w:lang w:val="es-ES_tradnl"/>
        </w:rPr>
      </w:pPr>
      <w:r>
        <w:rPr>
          <w:i/>
          <w:lang w:val="es-ES_tradnl"/>
        </w:rPr>
        <w:t>Pueden afectar hasta 1 de cada 1</w:t>
      </w:r>
      <w:r w:rsidR="00FF4DDC">
        <w:rPr>
          <w:i/>
          <w:lang w:val="es-ES_tradnl"/>
        </w:rPr>
        <w:t>.</w:t>
      </w:r>
      <w:r>
        <w:rPr>
          <w:i/>
          <w:lang w:val="es-ES_tradnl"/>
        </w:rPr>
        <w:t>000 pacientes</w:t>
      </w:r>
    </w:p>
    <w:p w14:paraId="25E0206E" w14:textId="77777777" w:rsidR="00F8551A" w:rsidRPr="00EF2448" w:rsidRDefault="008B307D" w:rsidP="002E6CA5">
      <w:pPr>
        <w:keepNext/>
        <w:keepLines/>
        <w:ind w:left="567" w:hanging="567"/>
        <w:rPr>
          <w:lang w:val="es-ES_tradnl"/>
        </w:rPr>
      </w:pPr>
      <w:r w:rsidRPr="00F22672">
        <w:rPr>
          <w:lang w:val="es-ES"/>
        </w:rPr>
        <w:sym w:font="Symbol" w:char="F0B7"/>
      </w:r>
      <w:r w:rsidRPr="00F22672">
        <w:rPr>
          <w:noProof/>
          <w:lang w:val="es-ES"/>
        </w:rPr>
        <w:tab/>
      </w:r>
      <w:r w:rsidR="00B53C13" w:rsidRPr="00EF2448">
        <w:rPr>
          <w:lang w:val="es-ES_tradnl"/>
        </w:rPr>
        <w:t>c</w:t>
      </w:r>
      <w:r w:rsidR="00F8551A" w:rsidRPr="00EF2448">
        <w:rPr>
          <w:lang w:val="es-ES_tradnl"/>
        </w:rPr>
        <w:t>ansancio</w:t>
      </w:r>
    </w:p>
    <w:p w14:paraId="2248EF35" w14:textId="77777777" w:rsidR="00F8551A" w:rsidRPr="00EF2448" w:rsidRDefault="008B307D" w:rsidP="002E6CA5">
      <w:pPr>
        <w:keepNext/>
        <w:keepLines/>
        <w:ind w:left="567" w:hanging="567"/>
        <w:rPr>
          <w:lang w:val="es-ES_tradnl"/>
        </w:rPr>
      </w:pPr>
      <w:r w:rsidRPr="00F22672">
        <w:rPr>
          <w:lang w:val="es-ES"/>
        </w:rPr>
        <w:sym w:font="Symbol" w:char="F0B7"/>
      </w:r>
      <w:r w:rsidRPr="00F22672">
        <w:rPr>
          <w:noProof/>
          <w:lang w:val="es-ES"/>
        </w:rPr>
        <w:tab/>
      </w:r>
      <w:r w:rsidR="00B53C13" w:rsidRPr="00EF2448">
        <w:rPr>
          <w:lang w:val="es-ES_tradnl"/>
        </w:rPr>
        <w:t>d</w:t>
      </w:r>
      <w:r w:rsidR="00F8551A" w:rsidRPr="00EF2448">
        <w:rPr>
          <w:lang w:val="es-ES_tradnl"/>
        </w:rPr>
        <w:t>olor abdominal</w:t>
      </w:r>
    </w:p>
    <w:p w14:paraId="630D9686" w14:textId="77777777" w:rsidR="00F8551A" w:rsidRPr="00C43B95" w:rsidRDefault="008B307D" w:rsidP="002E6CA5">
      <w:pPr>
        <w:keepNext/>
        <w:keepLines/>
        <w:ind w:left="567" w:hanging="567"/>
        <w:rPr>
          <w:lang w:val="es-ES_tradnl"/>
        </w:rPr>
      </w:pPr>
      <w:r w:rsidRPr="00F22672">
        <w:rPr>
          <w:lang w:val="es-ES"/>
        </w:rPr>
        <w:sym w:font="Symbol" w:char="F0B7"/>
      </w:r>
      <w:r w:rsidRPr="00F22672">
        <w:rPr>
          <w:noProof/>
          <w:lang w:val="es-ES"/>
        </w:rPr>
        <w:tab/>
      </w:r>
      <w:r w:rsidR="00B53C13" w:rsidRPr="00EF2448">
        <w:rPr>
          <w:lang w:val="es-ES_tradnl"/>
        </w:rPr>
        <w:t>i</w:t>
      </w:r>
      <w:r w:rsidR="00F8551A" w:rsidRPr="00EF2448">
        <w:rPr>
          <w:lang w:val="es-ES_tradnl"/>
        </w:rPr>
        <w:t>ctericia (</w:t>
      </w:r>
      <w:r w:rsidR="00B53C13" w:rsidRPr="00EF2448">
        <w:rPr>
          <w:lang w:val="es-ES_tradnl"/>
        </w:rPr>
        <w:t>de</w:t>
      </w:r>
      <w:r w:rsidR="00F8551A" w:rsidRPr="00EF2448">
        <w:rPr>
          <w:lang w:val="es-ES_tradnl"/>
        </w:rPr>
        <w:t>coloración amarillenta de piel u ojos)</w:t>
      </w:r>
    </w:p>
    <w:p w14:paraId="1B547D74" w14:textId="77777777" w:rsidR="00060B21" w:rsidRDefault="00060B21" w:rsidP="006616E4">
      <w:pPr>
        <w:keepNext/>
        <w:keepLines/>
        <w:ind w:left="567" w:hanging="567"/>
        <w:rPr>
          <w:lang w:val="es-ES"/>
        </w:rPr>
      </w:pPr>
    </w:p>
    <w:p w14:paraId="135D9EC3" w14:textId="77777777" w:rsidR="00702ADE" w:rsidRPr="00F22672" w:rsidRDefault="00702ADE" w:rsidP="006616E4">
      <w:pPr>
        <w:keepNext/>
        <w:keepLines/>
        <w:ind w:left="567" w:hanging="567"/>
        <w:rPr>
          <w:lang w:val="es-ES"/>
        </w:rPr>
      </w:pPr>
      <w:r>
        <w:rPr>
          <w:lang w:val="es-ES"/>
        </w:rPr>
        <w:t>Lista de otros posibles efectos adversos</w:t>
      </w:r>
    </w:p>
    <w:p w14:paraId="09A06D98" w14:textId="77777777" w:rsidR="00060B21" w:rsidRPr="00F22672" w:rsidRDefault="00060B21" w:rsidP="00C43B95">
      <w:pPr>
        <w:keepNext/>
        <w:keepLines/>
        <w:rPr>
          <w:b/>
          <w:lang w:val="es-ES"/>
        </w:rPr>
      </w:pPr>
      <w:r w:rsidRPr="00F22672">
        <w:rPr>
          <w:lang w:val="es-ES"/>
        </w:rPr>
        <w:t xml:space="preserve">Si nota alguno de estos síntomas, avise a su médico </w:t>
      </w:r>
      <w:r w:rsidR="00BF1FCA">
        <w:rPr>
          <w:b/>
          <w:lang w:val="es-ES"/>
        </w:rPr>
        <w:t>lo antes posible</w:t>
      </w:r>
      <w:r w:rsidRPr="00F22672">
        <w:rPr>
          <w:b/>
          <w:lang w:val="es-ES"/>
        </w:rPr>
        <w:t>.</w:t>
      </w:r>
    </w:p>
    <w:p w14:paraId="6A991005" w14:textId="77777777" w:rsidR="00060B21" w:rsidRPr="00F22672" w:rsidRDefault="00060B21" w:rsidP="006616E4">
      <w:pPr>
        <w:keepNext/>
        <w:keepLines/>
        <w:rPr>
          <w:b/>
          <w:lang w:val="es-ES"/>
        </w:rPr>
      </w:pPr>
    </w:p>
    <w:p w14:paraId="0D088BAD" w14:textId="77777777" w:rsidR="00060B21" w:rsidRPr="006868F5" w:rsidRDefault="00060B21" w:rsidP="006616E4">
      <w:pPr>
        <w:keepNext/>
        <w:keepLines/>
        <w:rPr>
          <w:b/>
          <w:szCs w:val="22"/>
          <w:lang w:val="es-ES"/>
        </w:rPr>
      </w:pPr>
      <w:r w:rsidRPr="006868F5">
        <w:rPr>
          <w:b/>
          <w:szCs w:val="22"/>
          <w:lang w:val="es-ES"/>
        </w:rPr>
        <w:t xml:space="preserve">Efectos adversos muy frecuentes: </w:t>
      </w:r>
    </w:p>
    <w:p w14:paraId="1BE328FE" w14:textId="77777777" w:rsidR="00060B21" w:rsidRPr="00F22672" w:rsidRDefault="00060B21" w:rsidP="00060B21">
      <w:pPr>
        <w:rPr>
          <w:i/>
          <w:lang w:val="es-ES_tradnl"/>
        </w:rPr>
      </w:pPr>
      <w:r w:rsidRPr="00F22672">
        <w:rPr>
          <w:i/>
          <w:lang w:val="es-ES_tradnl"/>
        </w:rPr>
        <w:t>Pueden afectar a más de 1 de cada 10 pacientes</w:t>
      </w:r>
    </w:p>
    <w:p w14:paraId="74A85423" w14:textId="77777777" w:rsidR="00060B21" w:rsidRPr="00F22672" w:rsidRDefault="00060B21" w:rsidP="00060B21">
      <w:pPr>
        <w:ind w:left="418"/>
        <w:rPr>
          <w:b/>
          <w:bCs/>
          <w:lang w:val="es-ES"/>
        </w:rPr>
      </w:pPr>
      <w:r w:rsidRPr="00F22672">
        <w:rPr>
          <w:lang w:val="es-ES"/>
        </w:rPr>
        <w:sym w:font="Symbol" w:char="F0B7"/>
      </w:r>
      <w:r w:rsidRPr="00F22672">
        <w:rPr>
          <w:lang w:val="es-ES"/>
        </w:rPr>
        <w:tab/>
      </w:r>
      <w:r w:rsidRPr="00F22672">
        <w:rPr>
          <w:bCs/>
          <w:lang w:val="es-ES_tradnl"/>
        </w:rPr>
        <w:t xml:space="preserve">infecciones de las vías respiratorias superiores, con síntomas típicos como tos, congestión </w:t>
      </w:r>
      <w:r w:rsidR="00D8471F" w:rsidRPr="00F22672">
        <w:rPr>
          <w:bCs/>
          <w:lang w:val="es-ES_tradnl"/>
        </w:rPr>
        <w:tab/>
      </w:r>
      <w:r w:rsidRPr="00F22672">
        <w:rPr>
          <w:bCs/>
          <w:lang w:val="es-ES_tradnl"/>
        </w:rPr>
        <w:t>nasal, moqueo, dolor de garganta y dolor de cabeza</w:t>
      </w:r>
    </w:p>
    <w:p w14:paraId="78B0C7EF" w14:textId="77777777" w:rsidR="00060B21" w:rsidRPr="00A50280" w:rsidRDefault="00060B21" w:rsidP="00091E13">
      <w:pPr>
        <w:ind w:left="418"/>
        <w:rPr>
          <w:bCs/>
          <w:lang w:val="es-ES_tradnl"/>
        </w:rPr>
      </w:pPr>
      <w:r w:rsidRPr="00F22672">
        <w:rPr>
          <w:lang w:val="es-ES"/>
        </w:rPr>
        <w:sym w:font="Symbol" w:char="F0B7"/>
      </w:r>
      <w:r w:rsidRPr="00F22672">
        <w:rPr>
          <w:lang w:val="es-ES"/>
        </w:rPr>
        <w:tab/>
      </w:r>
      <w:r w:rsidRPr="00F22672">
        <w:rPr>
          <w:bCs/>
          <w:lang w:val="es-ES_tradnl"/>
        </w:rPr>
        <w:t xml:space="preserve"> niveles altos de grasa en sangre (colesterol)</w:t>
      </w:r>
    </w:p>
    <w:p w14:paraId="30F31A87" w14:textId="77777777" w:rsidR="00060B21" w:rsidRPr="00F22672" w:rsidRDefault="00060B21" w:rsidP="00060B21">
      <w:pPr>
        <w:rPr>
          <w:lang w:val="es-ES"/>
        </w:rPr>
      </w:pPr>
    </w:p>
    <w:p w14:paraId="794D8CE0" w14:textId="77777777" w:rsidR="00060B21" w:rsidRPr="006868F5" w:rsidRDefault="00060B21" w:rsidP="00D75946">
      <w:pPr>
        <w:rPr>
          <w:b/>
          <w:szCs w:val="22"/>
          <w:lang w:val="es-ES"/>
        </w:rPr>
      </w:pPr>
      <w:r w:rsidRPr="006868F5">
        <w:rPr>
          <w:b/>
          <w:szCs w:val="22"/>
          <w:lang w:val="es-ES"/>
        </w:rPr>
        <w:t xml:space="preserve">Efectos adversos frecuentes: </w:t>
      </w:r>
    </w:p>
    <w:p w14:paraId="2F22536E" w14:textId="77777777" w:rsidR="00060B21" w:rsidRPr="00F22672" w:rsidRDefault="00060B21" w:rsidP="00060B21">
      <w:pPr>
        <w:keepNext/>
        <w:keepLines/>
        <w:rPr>
          <w:bCs/>
          <w:i/>
          <w:lang w:val="es-ES"/>
        </w:rPr>
      </w:pPr>
      <w:r w:rsidRPr="00F22672">
        <w:rPr>
          <w:bCs/>
          <w:i/>
          <w:lang w:val="es-ES"/>
        </w:rPr>
        <w:t>Pueden afectar hasta 1 de cada 10 pacientes</w:t>
      </w:r>
    </w:p>
    <w:p w14:paraId="52E765B9" w14:textId="77777777" w:rsidR="00060B21" w:rsidRPr="00F22672" w:rsidRDefault="00060B21" w:rsidP="00060B21">
      <w:pPr>
        <w:keepNext/>
        <w:keepLines/>
        <w:ind w:left="360"/>
        <w:rPr>
          <w:bCs/>
          <w:lang w:val="es-ES_tradnl"/>
        </w:rPr>
      </w:pPr>
      <w:r w:rsidRPr="00F22672">
        <w:rPr>
          <w:lang w:val="es-ES"/>
        </w:rPr>
        <w:sym w:font="Symbol" w:char="F0B7"/>
      </w:r>
      <w:r w:rsidRPr="00F22672">
        <w:rPr>
          <w:lang w:val="es-ES"/>
        </w:rPr>
        <w:tab/>
      </w:r>
      <w:r w:rsidR="001F2E5A">
        <w:rPr>
          <w:lang w:val="es-ES"/>
        </w:rPr>
        <w:t>i</w:t>
      </w:r>
      <w:r w:rsidRPr="00F22672">
        <w:rPr>
          <w:bCs/>
          <w:lang w:val="es-ES_tradnl"/>
        </w:rPr>
        <w:t>nfección de pulmón (neumonía)</w:t>
      </w:r>
    </w:p>
    <w:p w14:paraId="12363DFB" w14:textId="77777777" w:rsidR="00060B21" w:rsidRPr="00F22672" w:rsidRDefault="00060B21" w:rsidP="00060B21">
      <w:pPr>
        <w:keepNext/>
        <w:keepLines/>
        <w:ind w:left="360"/>
        <w:rPr>
          <w:lang w:val="es-ES"/>
        </w:rPr>
      </w:pPr>
      <w:r w:rsidRPr="00F22672">
        <w:rPr>
          <w:lang w:val="es-ES"/>
        </w:rPr>
        <w:sym w:font="Symbol" w:char="F0B7"/>
      </w:r>
      <w:r w:rsidRPr="00F22672">
        <w:rPr>
          <w:lang w:val="es-ES"/>
        </w:rPr>
        <w:tab/>
        <w:t>herpes (herpes zoster)</w:t>
      </w:r>
    </w:p>
    <w:p w14:paraId="45F47C82" w14:textId="77777777" w:rsidR="00060B21" w:rsidRPr="00F22672" w:rsidRDefault="00060B21" w:rsidP="00060B21">
      <w:pPr>
        <w:ind w:left="360"/>
        <w:rPr>
          <w:lang w:val="es-ES"/>
        </w:rPr>
      </w:pPr>
      <w:r w:rsidRPr="00F22672">
        <w:rPr>
          <w:lang w:val="es-ES"/>
        </w:rPr>
        <w:sym w:font="Symbol" w:char="F0B7"/>
      </w:r>
      <w:r w:rsidRPr="00F22672">
        <w:rPr>
          <w:lang w:val="es-ES"/>
        </w:rPr>
        <w:tab/>
        <w:t>calenturas (herpes simple oral), ampollas</w:t>
      </w:r>
    </w:p>
    <w:p w14:paraId="4F595527" w14:textId="77777777" w:rsidR="00060B21" w:rsidRPr="00F22672" w:rsidRDefault="00060B21" w:rsidP="00060B21">
      <w:pPr>
        <w:ind w:left="360"/>
        <w:rPr>
          <w:lang w:val="es-ES"/>
        </w:rPr>
      </w:pPr>
      <w:r w:rsidRPr="00F22672">
        <w:rPr>
          <w:lang w:val="es-ES"/>
        </w:rPr>
        <w:sym w:font="Symbol" w:char="F0B7"/>
      </w:r>
      <w:r w:rsidRPr="00F22672">
        <w:rPr>
          <w:lang w:val="es-ES"/>
        </w:rPr>
        <w:tab/>
        <w:t>infecciones en la piel (Celulitis), a veces con fiebre y escalofríos</w:t>
      </w:r>
    </w:p>
    <w:p w14:paraId="31248F69" w14:textId="77777777" w:rsidR="00060B21" w:rsidRPr="00F22672" w:rsidRDefault="00060B21" w:rsidP="00060B21">
      <w:pPr>
        <w:ind w:left="360"/>
        <w:rPr>
          <w:lang w:val="es-ES"/>
        </w:rPr>
      </w:pPr>
      <w:r w:rsidRPr="00F22672">
        <w:rPr>
          <w:lang w:val="es-ES"/>
        </w:rPr>
        <w:sym w:font="Symbol" w:char="F0B7"/>
      </w:r>
      <w:r w:rsidRPr="00F22672">
        <w:rPr>
          <w:lang w:val="es-ES"/>
        </w:rPr>
        <w:tab/>
        <w:t>erupción y picor, urticaria</w:t>
      </w:r>
    </w:p>
    <w:p w14:paraId="629E8B9B" w14:textId="77777777" w:rsidR="00060B21" w:rsidRPr="00F22672" w:rsidRDefault="00060B21" w:rsidP="00060B21">
      <w:pPr>
        <w:ind w:left="360"/>
        <w:rPr>
          <w:lang w:val="es-ES"/>
        </w:rPr>
      </w:pPr>
      <w:r w:rsidRPr="00F22672">
        <w:rPr>
          <w:lang w:val="es-ES"/>
        </w:rPr>
        <w:lastRenderedPageBreak/>
        <w:sym w:font="Symbol" w:char="F0B7"/>
      </w:r>
      <w:r w:rsidRPr="00F22672">
        <w:rPr>
          <w:lang w:val="es-ES"/>
        </w:rPr>
        <w:tab/>
        <w:t>reacciones alérgicas (hipersensibilidad)</w:t>
      </w:r>
    </w:p>
    <w:p w14:paraId="775E98B0" w14:textId="77777777" w:rsidR="00060B21" w:rsidRPr="00F22672" w:rsidRDefault="00060B21" w:rsidP="00060B21">
      <w:pPr>
        <w:ind w:left="360"/>
        <w:rPr>
          <w:lang w:val="es-ES"/>
        </w:rPr>
      </w:pPr>
      <w:r w:rsidRPr="00F22672">
        <w:rPr>
          <w:lang w:val="es-ES"/>
        </w:rPr>
        <w:sym w:font="Symbol" w:char="F0B7"/>
      </w:r>
      <w:r w:rsidRPr="00F22672">
        <w:rPr>
          <w:lang w:val="es-ES"/>
        </w:rPr>
        <w:tab/>
        <w:t>infección ocular (conjuntivitis)</w:t>
      </w:r>
    </w:p>
    <w:p w14:paraId="0314A0E9" w14:textId="77777777" w:rsidR="00060B21" w:rsidRPr="00F22672" w:rsidRDefault="00060B21" w:rsidP="00060B21">
      <w:pPr>
        <w:ind w:left="360"/>
        <w:rPr>
          <w:lang w:val="es-ES"/>
        </w:rPr>
      </w:pPr>
      <w:r w:rsidRPr="00F22672">
        <w:rPr>
          <w:lang w:val="es-ES"/>
        </w:rPr>
        <w:sym w:font="Symbol" w:char="F0B7"/>
      </w:r>
      <w:r w:rsidRPr="00F22672">
        <w:rPr>
          <w:lang w:val="es-ES"/>
        </w:rPr>
        <w:tab/>
        <w:t>dolor de cabeza, mareos, hipertensión</w:t>
      </w:r>
    </w:p>
    <w:p w14:paraId="496DBF9E" w14:textId="77777777" w:rsidR="00060B21" w:rsidRPr="00F22672" w:rsidRDefault="00060B21" w:rsidP="00060B21">
      <w:pPr>
        <w:ind w:left="360"/>
        <w:rPr>
          <w:lang w:val="es-ES"/>
        </w:rPr>
      </w:pPr>
      <w:r w:rsidRPr="00F22672">
        <w:rPr>
          <w:lang w:val="es-ES"/>
        </w:rPr>
        <w:sym w:font="Symbol" w:char="F0B7"/>
      </w:r>
      <w:r w:rsidRPr="00F22672">
        <w:rPr>
          <w:lang w:val="es-ES"/>
        </w:rPr>
        <w:tab/>
        <w:t>úlceras en la boca, dolor de estómago</w:t>
      </w:r>
    </w:p>
    <w:p w14:paraId="125CFA5A" w14:textId="77777777" w:rsidR="00060B21" w:rsidRPr="00F22672" w:rsidRDefault="00060B21" w:rsidP="00060B21">
      <w:pPr>
        <w:ind w:left="360"/>
        <w:rPr>
          <w:lang w:val="es-ES"/>
        </w:rPr>
      </w:pPr>
      <w:r w:rsidRPr="00F22672">
        <w:rPr>
          <w:lang w:val="es-ES"/>
        </w:rPr>
        <w:sym w:font="Symbol" w:char="F0B7"/>
      </w:r>
      <w:r w:rsidRPr="00F22672">
        <w:rPr>
          <w:lang w:val="es-ES"/>
        </w:rPr>
        <w:tab/>
        <w:t>retención de líquido (edema) en la parte inferior de las piernas, aumento de peso</w:t>
      </w:r>
    </w:p>
    <w:p w14:paraId="13FD1308" w14:textId="77777777" w:rsidR="00060B21" w:rsidRPr="00F22672" w:rsidRDefault="00060B21" w:rsidP="00060B21">
      <w:pPr>
        <w:ind w:left="360"/>
        <w:rPr>
          <w:lang w:val="es-ES"/>
        </w:rPr>
      </w:pPr>
      <w:r w:rsidRPr="00F22672">
        <w:rPr>
          <w:lang w:val="es-ES"/>
        </w:rPr>
        <w:sym w:font="Symbol" w:char="F0B7"/>
      </w:r>
      <w:r w:rsidRPr="00F22672">
        <w:rPr>
          <w:lang w:val="es-ES"/>
        </w:rPr>
        <w:tab/>
        <w:t>tos, respiración entrecortada</w:t>
      </w:r>
    </w:p>
    <w:p w14:paraId="6ECFE68E" w14:textId="77777777" w:rsidR="00060B21" w:rsidRPr="00F22672" w:rsidRDefault="00060B21" w:rsidP="00060B21">
      <w:pPr>
        <w:ind w:left="360"/>
        <w:rPr>
          <w:lang w:val="es-ES"/>
        </w:rPr>
      </w:pPr>
      <w:r w:rsidRPr="00F22672">
        <w:rPr>
          <w:lang w:val="es-ES"/>
        </w:rPr>
        <w:sym w:font="Symbol" w:char="F0B7"/>
      </w:r>
      <w:r w:rsidRPr="00F22672">
        <w:rPr>
          <w:lang w:val="es-ES"/>
        </w:rPr>
        <w:tab/>
        <w:t>recuentos bajos de los glóbulos blancos en análisis de sangre (neutropenia, leucopenia)</w:t>
      </w:r>
    </w:p>
    <w:p w14:paraId="38CCCED2" w14:textId="77777777" w:rsidR="00060B21" w:rsidRPr="00F22672" w:rsidRDefault="00060B21" w:rsidP="00060B21">
      <w:pPr>
        <w:ind w:left="360"/>
        <w:rPr>
          <w:lang w:val="es-ES"/>
        </w:rPr>
      </w:pPr>
      <w:r w:rsidRPr="00F22672">
        <w:rPr>
          <w:lang w:val="es-ES"/>
        </w:rPr>
        <w:sym w:font="Symbol" w:char="F0B7"/>
      </w:r>
      <w:r w:rsidRPr="00F22672">
        <w:rPr>
          <w:lang w:val="es-ES"/>
        </w:rPr>
        <w:tab/>
        <w:t>pruebas de función hepática alteradas (elevación de las transaminasas)</w:t>
      </w:r>
    </w:p>
    <w:p w14:paraId="2427243C" w14:textId="77777777" w:rsidR="00AA06D3" w:rsidRDefault="00060B21" w:rsidP="00060B21">
      <w:pPr>
        <w:ind w:left="360"/>
        <w:rPr>
          <w:lang w:val="es-ES"/>
        </w:rPr>
      </w:pPr>
      <w:r w:rsidRPr="00F22672">
        <w:rPr>
          <w:lang w:val="es-ES"/>
        </w:rPr>
        <w:sym w:font="Symbol" w:char="F0B7"/>
      </w:r>
      <w:r w:rsidRPr="00F22672">
        <w:rPr>
          <w:lang w:val="es-ES"/>
        </w:rPr>
        <w:tab/>
        <w:t>aumento de la bilirrubina medido mediante análisis de sangre</w:t>
      </w:r>
    </w:p>
    <w:p w14:paraId="0CA5D263" w14:textId="77777777" w:rsidR="00060B21" w:rsidRPr="00F22672" w:rsidRDefault="00C37D5B" w:rsidP="00FF2AFA">
      <w:pPr>
        <w:ind w:left="357" w:hanging="357"/>
        <w:rPr>
          <w:lang w:val="es-ES"/>
        </w:rPr>
      </w:pPr>
      <w:r w:rsidRPr="00F22672">
        <w:rPr>
          <w:lang w:val="es-ES"/>
        </w:rPr>
        <w:sym w:font="Symbol" w:char="F0B7"/>
      </w:r>
      <w:r>
        <w:rPr>
          <w:lang w:val="es-ES"/>
        </w:rPr>
        <w:tab/>
      </w:r>
      <w:r w:rsidR="00AA06D3">
        <w:rPr>
          <w:lang w:val="es-ES"/>
        </w:rPr>
        <w:t>niveles bajos de fibrinógeno en sangre (proteína involucrada en la coagulación de la sangre)</w:t>
      </w:r>
    </w:p>
    <w:p w14:paraId="5084E978" w14:textId="77777777" w:rsidR="00060B21" w:rsidRPr="004556CF" w:rsidRDefault="00060B21" w:rsidP="00060B21">
      <w:pPr>
        <w:ind w:left="720"/>
        <w:rPr>
          <w:bCs/>
          <w:sz w:val="24"/>
          <w:szCs w:val="24"/>
          <w:lang w:val="es-ES_tradnl"/>
        </w:rPr>
      </w:pPr>
    </w:p>
    <w:p w14:paraId="15FD81B4" w14:textId="77777777" w:rsidR="00060B21" w:rsidRPr="006868F5" w:rsidRDefault="00060B21" w:rsidP="00060B21">
      <w:pPr>
        <w:rPr>
          <w:b/>
          <w:szCs w:val="22"/>
          <w:lang w:val="es-ES"/>
        </w:rPr>
      </w:pPr>
      <w:r w:rsidRPr="006868F5">
        <w:rPr>
          <w:b/>
          <w:szCs w:val="22"/>
          <w:lang w:val="es-ES"/>
        </w:rPr>
        <w:t xml:space="preserve">Efectos adversos poco frecuentes: </w:t>
      </w:r>
    </w:p>
    <w:p w14:paraId="39659974" w14:textId="77777777" w:rsidR="00060B21" w:rsidRPr="00F22672" w:rsidRDefault="00060B21" w:rsidP="00060B21">
      <w:pPr>
        <w:rPr>
          <w:bCs/>
          <w:i/>
          <w:lang w:val="es-ES"/>
        </w:rPr>
      </w:pPr>
      <w:r w:rsidRPr="00F22672">
        <w:rPr>
          <w:bCs/>
          <w:i/>
          <w:lang w:val="es-ES"/>
        </w:rPr>
        <w:t>Pueden afectar hasta 1 de cada 100 pacientes</w:t>
      </w:r>
    </w:p>
    <w:p w14:paraId="09BCC06D" w14:textId="77777777" w:rsidR="00060B21" w:rsidRPr="00F22672" w:rsidRDefault="00060B21" w:rsidP="00060B21">
      <w:pPr>
        <w:ind w:left="714" w:hanging="357"/>
        <w:rPr>
          <w:lang w:val="es-ES"/>
        </w:rPr>
      </w:pPr>
      <w:r w:rsidRPr="00F22672">
        <w:rPr>
          <w:b/>
          <w:bCs/>
          <w:position w:val="2"/>
          <w:sz w:val="17"/>
          <w:lang w:val="es-ES"/>
        </w:rPr>
        <w:sym w:font="Symbol" w:char="F0B7"/>
      </w:r>
      <w:r w:rsidRPr="00F22672">
        <w:rPr>
          <w:lang w:val="es-ES"/>
        </w:rPr>
        <w:tab/>
        <w:t>diverticulitis (fiebre, náuseas, diarrea, estreñimiento, dolor de estómago)</w:t>
      </w:r>
    </w:p>
    <w:p w14:paraId="292EBB70" w14:textId="77777777" w:rsidR="00060B21" w:rsidRPr="00F22672" w:rsidRDefault="00060B21" w:rsidP="00060B21">
      <w:pPr>
        <w:ind w:left="714" w:hanging="357"/>
        <w:rPr>
          <w:bCs/>
          <w:lang w:val="es-ES"/>
        </w:rPr>
      </w:pPr>
      <w:r w:rsidRPr="00F22672">
        <w:rPr>
          <w:b/>
          <w:bCs/>
          <w:position w:val="2"/>
          <w:sz w:val="17"/>
          <w:lang w:val="es-ES"/>
        </w:rPr>
        <w:sym w:font="Symbol" w:char="F0B7"/>
      </w:r>
      <w:r w:rsidRPr="00F22672">
        <w:rPr>
          <w:bCs/>
          <w:lang w:val="es-ES"/>
        </w:rPr>
        <w:tab/>
        <w:t>zonas hinchadas y rojas en la boca</w:t>
      </w:r>
    </w:p>
    <w:p w14:paraId="00D9871E" w14:textId="77777777" w:rsidR="00060B21" w:rsidRPr="00F22672" w:rsidRDefault="00060B21" w:rsidP="00060B21">
      <w:pPr>
        <w:ind w:left="714" w:hanging="357"/>
        <w:rPr>
          <w:bCs/>
          <w:lang w:val="es-ES"/>
        </w:rPr>
      </w:pPr>
      <w:r w:rsidRPr="00F22672">
        <w:rPr>
          <w:b/>
          <w:bCs/>
          <w:position w:val="2"/>
          <w:sz w:val="17"/>
          <w:lang w:val="es-ES"/>
        </w:rPr>
        <w:sym w:font="Symbol" w:char="F0B7"/>
      </w:r>
      <w:r w:rsidRPr="00F22672">
        <w:rPr>
          <w:bCs/>
          <w:lang w:val="es-ES"/>
        </w:rPr>
        <w:tab/>
        <w:t>grasas elevadas en la sangre (triglicéridos)</w:t>
      </w:r>
    </w:p>
    <w:p w14:paraId="34212BB1" w14:textId="77777777" w:rsidR="00060B21" w:rsidRPr="00F22672" w:rsidRDefault="00060B21" w:rsidP="00060B21">
      <w:pPr>
        <w:ind w:left="714" w:hanging="357"/>
        <w:rPr>
          <w:bCs/>
          <w:lang w:val="es-ES"/>
        </w:rPr>
      </w:pPr>
      <w:r w:rsidRPr="00F22672">
        <w:rPr>
          <w:b/>
          <w:bCs/>
          <w:position w:val="2"/>
          <w:sz w:val="17"/>
          <w:lang w:val="es-ES"/>
        </w:rPr>
        <w:sym w:font="Symbol" w:char="F0B7"/>
      </w:r>
      <w:r w:rsidRPr="00F22672">
        <w:rPr>
          <w:bCs/>
          <w:lang w:val="es-ES"/>
        </w:rPr>
        <w:tab/>
        <w:t>úlceras estomacales</w:t>
      </w:r>
    </w:p>
    <w:p w14:paraId="7795FC11" w14:textId="77777777" w:rsidR="00060B21" w:rsidRPr="00F22672" w:rsidRDefault="00060B21" w:rsidP="00060B21">
      <w:pPr>
        <w:ind w:left="714" w:hanging="357"/>
        <w:rPr>
          <w:bCs/>
          <w:lang w:val="es-ES"/>
        </w:rPr>
      </w:pPr>
      <w:r w:rsidRPr="00F22672">
        <w:rPr>
          <w:b/>
          <w:bCs/>
          <w:position w:val="2"/>
          <w:sz w:val="17"/>
          <w:lang w:val="es-ES"/>
        </w:rPr>
        <w:sym w:font="Symbol" w:char="F0B7"/>
      </w:r>
      <w:r w:rsidRPr="00F22672">
        <w:rPr>
          <w:bCs/>
          <w:lang w:val="es-ES"/>
        </w:rPr>
        <w:tab/>
      </w:r>
      <w:r w:rsidR="00B63B8E" w:rsidRPr="00F22672">
        <w:rPr>
          <w:bCs/>
          <w:lang w:val="es-ES"/>
        </w:rPr>
        <w:t>piedras en el riñón</w:t>
      </w:r>
    </w:p>
    <w:p w14:paraId="4FF40A8E" w14:textId="77777777" w:rsidR="00060B21" w:rsidRPr="00F22672" w:rsidRDefault="00060B21" w:rsidP="007612E5">
      <w:pPr>
        <w:ind w:left="709" w:hanging="345"/>
        <w:rPr>
          <w:bCs/>
          <w:lang w:val="es-ES"/>
        </w:rPr>
      </w:pPr>
      <w:r w:rsidRPr="00F22672">
        <w:rPr>
          <w:b/>
          <w:bCs/>
          <w:position w:val="2"/>
          <w:sz w:val="17"/>
          <w:lang w:val="es-ES"/>
        </w:rPr>
        <w:sym w:font="Symbol" w:char="F0B7"/>
      </w:r>
      <w:r w:rsidRPr="00F22672">
        <w:rPr>
          <w:bCs/>
          <w:lang w:val="es-ES"/>
        </w:rPr>
        <w:tab/>
        <w:t>hipotiroidismo</w:t>
      </w:r>
    </w:p>
    <w:p w14:paraId="6045BAE2" w14:textId="77777777" w:rsidR="00060B21" w:rsidRPr="00F22672" w:rsidRDefault="00060B21" w:rsidP="00060B21">
      <w:pPr>
        <w:rPr>
          <w:lang w:val="es-ES"/>
        </w:rPr>
      </w:pPr>
    </w:p>
    <w:p w14:paraId="6E1F4D03" w14:textId="77777777" w:rsidR="00F8551A" w:rsidRDefault="00F8551A" w:rsidP="00060B21">
      <w:pPr>
        <w:rPr>
          <w:b/>
          <w:szCs w:val="22"/>
          <w:lang w:val="es-ES"/>
        </w:rPr>
      </w:pPr>
      <w:r>
        <w:rPr>
          <w:b/>
          <w:szCs w:val="22"/>
          <w:lang w:val="es-ES"/>
        </w:rPr>
        <w:t>Efectos adversos raros:</w:t>
      </w:r>
    </w:p>
    <w:p w14:paraId="41DA4EEC" w14:textId="77777777" w:rsidR="00F8551A" w:rsidRDefault="00F8551A" w:rsidP="00060B21">
      <w:pPr>
        <w:rPr>
          <w:i/>
          <w:szCs w:val="22"/>
          <w:lang w:val="es-ES"/>
        </w:rPr>
      </w:pPr>
      <w:r>
        <w:rPr>
          <w:i/>
          <w:szCs w:val="22"/>
          <w:lang w:val="es-ES"/>
        </w:rPr>
        <w:t>Pueden afectar hasta 1 de cada 1.000 pacientes</w:t>
      </w:r>
    </w:p>
    <w:p w14:paraId="6F127DB0" w14:textId="77777777" w:rsidR="005D6C0F" w:rsidRPr="00E576A0" w:rsidRDefault="00F12E00" w:rsidP="00E576A0">
      <w:pPr>
        <w:ind w:left="714" w:hanging="357"/>
        <w:rPr>
          <w:i/>
          <w:szCs w:val="22"/>
          <w:lang w:val="es-ES"/>
        </w:rPr>
      </w:pPr>
      <w:r w:rsidRPr="008A106B">
        <w:rPr>
          <w:lang w:val="es-ES"/>
        </w:rPr>
        <w:sym w:font="Symbol" w:char="F0B7"/>
      </w:r>
      <w:r w:rsidR="005D6C0F">
        <w:rPr>
          <w:i/>
          <w:szCs w:val="22"/>
          <w:lang w:val="es-ES"/>
        </w:rPr>
        <w:t xml:space="preserve">      </w:t>
      </w:r>
      <w:r w:rsidR="005D6C0F">
        <w:rPr>
          <w:szCs w:val="22"/>
          <w:lang w:val="es-ES"/>
        </w:rPr>
        <w:t>Síndrome de Stevens-Johnson (erupción cut</w:t>
      </w:r>
      <w:r w:rsidR="003F776F">
        <w:rPr>
          <w:szCs w:val="22"/>
          <w:lang w:val="es-ES"/>
        </w:rPr>
        <w:t>ánea, que puede dar lugar a ampollas</w:t>
      </w:r>
      <w:r w:rsidR="005D6C0F">
        <w:rPr>
          <w:szCs w:val="22"/>
          <w:lang w:val="es-ES"/>
        </w:rPr>
        <w:t xml:space="preserve"> </w:t>
      </w:r>
      <w:proofErr w:type="gramStart"/>
      <w:r w:rsidR="005D6C0F">
        <w:rPr>
          <w:szCs w:val="22"/>
          <w:lang w:val="es-ES"/>
        </w:rPr>
        <w:t>y  descamación</w:t>
      </w:r>
      <w:proofErr w:type="gramEnd"/>
      <w:r w:rsidR="005D6C0F">
        <w:rPr>
          <w:szCs w:val="22"/>
          <w:lang w:val="es-ES"/>
        </w:rPr>
        <w:t xml:space="preserve"> grave de la piel)</w:t>
      </w:r>
    </w:p>
    <w:p w14:paraId="336CAD7E" w14:textId="5C4C6349" w:rsidR="003F776F" w:rsidRDefault="00F12E00" w:rsidP="00E576A0">
      <w:pPr>
        <w:ind w:left="714" w:hanging="357"/>
        <w:rPr>
          <w:i/>
          <w:szCs w:val="22"/>
          <w:lang w:val="es-ES"/>
        </w:rPr>
      </w:pPr>
      <w:r w:rsidRPr="008A106B">
        <w:rPr>
          <w:lang w:val="es-ES"/>
        </w:rPr>
        <w:sym w:font="Symbol" w:char="F0B7"/>
      </w:r>
      <w:r w:rsidR="003F776F">
        <w:rPr>
          <w:szCs w:val="22"/>
          <w:lang w:val="es-ES"/>
        </w:rPr>
        <w:t xml:space="preserve">      Reacciones alérgicas mortales (Anafilaxia</w:t>
      </w:r>
      <w:r w:rsidR="003F776F" w:rsidRPr="00E576A0">
        <w:rPr>
          <w:color w:val="222222"/>
          <w:szCs w:val="22"/>
          <w:shd w:val="clear" w:color="auto" w:fill="FFFFFF"/>
          <w:lang w:val="es-ES"/>
        </w:rPr>
        <w:t>)</w:t>
      </w:r>
    </w:p>
    <w:p w14:paraId="6B488B9E" w14:textId="77777777" w:rsidR="00F8551A" w:rsidRPr="00EF2448" w:rsidRDefault="00DC1773" w:rsidP="00EF2448">
      <w:pPr>
        <w:ind w:left="714" w:hanging="357"/>
        <w:rPr>
          <w:b/>
          <w:szCs w:val="22"/>
          <w:lang w:val="es-ES"/>
        </w:rPr>
      </w:pPr>
      <w:r w:rsidRPr="008A106B">
        <w:rPr>
          <w:lang w:val="es-ES"/>
        </w:rPr>
        <w:sym w:font="Symbol" w:char="F0B7"/>
      </w:r>
      <w:r w:rsidRPr="008A106B">
        <w:rPr>
          <w:lang w:val="es-ES"/>
        </w:rPr>
        <w:tab/>
      </w:r>
      <w:r w:rsidR="00B53C13">
        <w:rPr>
          <w:szCs w:val="22"/>
          <w:lang w:val="es-ES"/>
        </w:rPr>
        <w:t xml:space="preserve">  </w:t>
      </w:r>
      <w:r w:rsidR="00F8551A">
        <w:rPr>
          <w:szCs w:val="22"/>
          <w:lang w:val="es-ES"/>
        </w:rPr>
        <w:t>inflamación del hígado (hepatitis), ictericia</w:t>
      </w:r>
    </w:p>
    <w:p w14:paraId="59212C3A" w14:textId="77777777" w:rsidR="00F8551A" w:rsidRDefault="00F8551A" w:rsidP="00EF2448">
      <w:pPr>
        <w:ind w:left="720"/>
        <w:rPr>
          <w:b/>
          <w:szCs w:val="22"/>
          <w:lang w:val="es-ES"/>
        </w:rPr>
      </w:pPr>
    </w:p>
    <w:p w14:paraId="68AA8269" w14:textId="77777777" w:rsidR="00060B21" w:rsidRPr="00C43B95" w:rsidRDefault="00060B21" w:rsidP="00C43B95">
      <w:pPr>
        <w:rPr>
          <w:b/>
          <w:szCs w:val="22"/>
          <w:lang w:val="es-ES"/>
        </w:rPr>
      </w:pPr>
      <w:r w:rsidRPr="00C43B95">
        <w:rPr>
          <w:b/>
          <w:szCs w:val="22"/>
          <w:lang w:val="es-ES"/>
        </w:rPr>
        <w:t>Efectos adversos muy raros:</w:t>
      </w:r>
    </w:p>
    <w:p w14:paraId="7059F213" w14:textId="77777777" w:rsidR="00060B21" w:rsidRPr="00F22672" w:rsidRDefault="00060B21" w:rsidP="00060B21">
      <w:pPr>
        <w:rPr>
          <w:i/>
          <w:lang w:val="es-ES"/>
        </w:rPr>
      </w:pPr>
      <w:r w:rsidRPr="00F22672">
        <w:rPr>
          <w:i/>
          <w:lang w:val="es-ES"/>
        </w:rPr>
        <w:t>Pueden afectar hasta 1 de cada 1</w:t>
      </w:r>
      <w:r w:rsidR="00F43758">
        <w:rPr>
          <w:i/>
          <w:lang w:val="es-ES"/>
        </w:rPr>
        <w:t>0</w:t>
      </w:r>
      <w:r w:rsidRPr="00F22672">
        <w:rPr>
          <w:i/>
          <w:lang w:val="es-ES"/>
        </w:rPr>
        <w:t>.000 pacientes</w:t>
      </w:r>
    </w:p>
    <w:p w14:paraId="45A8AD60" w14:textId="77777777" w:rsidR="00F33EFA" w:rsidRDefault="00060B21" w:rsidP="00BE56EE">
      <w:pPr>
        <w:ind w:left="709" w:hanging="331"/>
        <w:rPr>
          <w:lang w:val="es-ES"/>
        </w:rPr>
      </w:pPr>
      <w:r w:rsidRPr="00F22672">
        <w:rPr>
          <w:lang w:val="es-ES"/>
        </w:rPr>
        <w:sym w:font="Symbol" w:char="F0B7"/>
      </w:r>
      <w:r w:rsidRPr="00F22672">
        <w:rPr>
          <w:lang w:val="es-ES"/>
        </w:rPr>
        <w:tab/>
        <w:t>valores bajos en el recuento de glóbulos blancos, glóbulos rojos, y plaquetas</w:t>
      </w:r>
    </w:p>
    <w:p w14:paraId="73101A0F" w14:textId="77777777" w:rsidR="00F8551A" w:rsidRPr="00F22672" w:rsidRDefault="00DD5D6A" w:rsidP="00EF2448">
      <w:pPr>
        <w:ind w:left="714" w:hanging="357"/>
        <w:rPr>
          <w:lang w:val="es-ES"/>
        </w:rPr>
      </w:pPr>
      <w:r w:rsidRPr="008A106B">
        <w:rPr>
          <w:lang w:val="es-ES"/>
        </w:rPr>
        <w:sym w:font="Symbol" w:char="F0B7"/>
      </w:r>
      <w:r w:rsidRPr="008A106B">
        <w:rPr>
          <w:lang w:val="es-ES"/>
        </w:rPr>
        <w:tab/>
      </w:r>
      <w:r w:rsidR="00F8551A">
        <w:rPr>
          <w:lang w:val="es-ES"/>
        </w:rPr>
        <w:t xml:space="preserve"> fallo hepático</w:t>
      </w:r>
    </w:p>
    <w:p w14:paraId="4BC497A7" w14:textId="77777777" w:rsidR="00B1177D" w:rsidRPr="00D75946" w:rsidRDefault="00B1177D" w:rsidP="00D75946">
      <w:pPr>
        <w:rPr>
          <w:b/>
          <w:bCs/>
          <w:szCs w:val="22"/>
          <w:lang w:val="es-ES_tradnl"/>
        </w:rPr>
      </w:pPr>
    </w:p>
    <w:p w14:paraId="4FFAB237" w14:textId="77777777" w:rsidR="00B1177D" w:rsidRPr="006868F5" w:rsidRDefault="00B1177D" w:rsidP="00A50280">
      <w:pPr>
        <w:keepNext/>
        <w:keepLines/>
        <w:rPr>
          <w:b/>
          <w:szCs w:val="22"/>
          <w:lang w:val="es-ES"/>
        </w:rPr>
      </w:pPr>
      <w:r w:rsidRPr="006868F5">
        <w:rPr>
          <w:b/>
          <w:szCs w:val="22"/>
          <w:lang w:val="es-ES"/>
        </w:rPr>
        <w:t xml:space="preserve">Comunicación de efectos adversos </w:t>
      </w:r>
    </w:p>
    <w:p w14:paraId="5F93CBEF" w14:textId="77777777" w:rsidR="00B63B8E" w:rsidRPr="00F22672" w:rsidRDefault="00B1177D" w:rsidP="00091E13">
      <w:pPr>
        <w:keepNext/>
        <w:keepLines/>
        <w:rPr>
          <w:szCs w:val="24"/>
          <w:lang w:val="es-ES_tradnl"/>
        </w:rPr>
      </w:pPr>
      <w:r w:rsidRPr="00F22672">
        <w:rPr>
          <w:lang w:val="es-ES_tradnl"/>
        </w:rPr>
        <w:t xml:space="preserve">Si experimenta </w:t>
      </w:r>
      <w:r w:rsidRPr="00F22672">
        <w:rPr>
          <w:noProof/>
          <w:szCs w:val="24"/>
          <w:lang w:val="es-ES_tradnl"/>
        </w:rPr>
        <w:t>cualquier tipo de efecto adverso</w:t>
      </w:r>
      <w:r w:rsidRPr="00F22672">
        <w:rPr>
          <w:lang w:val="es-ES_tradnl"/>
        </w:rPr>
        <w:t xml:space="preserve">, consulte a su médico, farmacéutico o enfermero, incluso si se trata de </w:t>
      </w:r>
      <w:r w:rsidRPr="00F22672">
        <w:rPr>
          <w:noProof/>
          <w:szCs w:val="24"/>
          <w:lang w:val="es-ES_tradnl"/>
        </w:rPr>
        <w:t xml:space="preserve">posibles </w:t>
      </w:r>
      <w:r w:rsidRPr="00F22672">
        <w:rPr>
          <w:lang w:val="es-ES_tradnl"/>
        </w:rPr>
        <w:t>efectos adversos que no aparecen en este prospecto.</w:t>
      </w:r>
      <w:r w:rsidRPr="00F22672">
        <w:rPr>
          <w:szCs w:val="24"/>
          <w:lang w:val="es-ES_tradnl"/>
        </w:rPr>
        <w:t xml:space="preserve"> </w:t>
      </w:r>
    </w:p>
    <w:p w14:paraId="44037581" w14:textId="7989C540" w:rsidR="00B1177D" w:rsidRPr="00F22672" w:rsidRDefault="00B1177D" w:rsidP="00B1177D">
      <w:pPr>
        <w:keepNext/>
        <w:keepLines/>
        <w:rPr>
          <w:noProof/>
          <w:szCs w:val="24"/>
          <w:lang w:val="es-ES_tradnl"/>
        </w:rPr>
      </w:pPr>
      <w:r w:rsidRPr="00F22672">
        <w:rPr>
          <w:noProof/>
          <w:szCs w:val="24"/>
          <w:lang w:val="es-ES_tradnl"/>
        </w:rPr>
        <w:t xml:space="preserve">También puede comunicarlos directamente a través del </w:t>
      </w:r>
      <w:r w:rsidRPr="002F76B8">
        <w:rPr>
          <w:noProof/>
          <w:szCs w:val="24"/>
          <w:highlight w:val="lightGray"/>
          <w:lang w:val="es-ES_tradnl"/>
        </w:rPr>
        <w:t xml:space="preserve">sistema nacional de notificación incluido en el </w:t>
      </w:r>
      <w:r>
        <w:fldChar w:fldCharType="begin"/>
      </w:r>
      <w:r w:rsidRPr="00467FFD">
        <w:rPr>
          <w:lang w:val="es-ES"/>
          <w:rPrChange w:id="2302" w:author="AUTHOR">
            <w:rPr/>
          </w:rPrChange>
        </w:rPr>
        <w:instrText>HYPERLINK "https://www.ema.europa.eu/documents/template-form/qrd-appendix-v-adverse-drug-reaction-reporting-details_en.docx"</w:instrText>
      </w:r>
      <w:r>
        <w:fldChar w:fldCharType="separate"/>
      </w:r>
      <w:r w:rsidRPr="002F76B8">
        <w:rPr>
          <w:rStyle w:val="Hyperlink"/>
          <w:szCs w:val="24"/>
          <w:highlight w:val="lightGray"/>
          <w:lang w:val="es-ES_tradnl"/>
        </w:rPr>
        <w:t>A</w:t>
      </w:r>
      <w:r w:rsidR="00515999">
        <w:rPr>
          <w:rStyle w:val="Hyperlink"/>
          <w:szCs w:val="24"/>
          <w:highlight w:val="lightGray"/>
          <w:lang w:val="es-ES_tradnl"/>
        </w:rPr>
        <w:t>péndice</w:t>
      </w:r>
      <w:r w:rsidRPr="002F76B8">
        <w:rPr>
          <w:rStyle w:val="Hyperlink"/>
          <w:szCs w:val="24"/>
          <w:highlight w:val="lightGray"/>
          <w:lang w:val="es-ES_tradnl"/>
        </w:rPr>
        <w:t xml:space="preserve"> V</w:t>
      </w:r>
      <w:r>
        <w:fldChar w:fldCharType="end"/>
      </w:r>
      <w:r w:rsidRPr="00F22672">
        <w:rPr>
          <w:noProof/>
          <w:szCs w:val="24"/>
          <w:lang w:val="es-ES_tradnl"/>
        </w:rPr>
        <w:t>. Mediante la comunicación de efectos adv</w:t>
      </w:r>
      <w:r w:rsidR="007C3C76" w:rsidRPr="00F22672">
        <w:rPr>
          <w:noProof/>
          <w:szCs w:val="24"/>
          <w:lang w:val="es-ES_tradnl"/>
        </w:rPr>
        <w:t xml:space="preserve">ersos usted puede contribuir a </w:t>
      </w:r>
      <w:r w:rsidRPr="00F22672">
        <w:rPr>
          <w:noProof/>
          <w:szCs w:val="24"/>
          <w:lang w:val="es-ES_tradnl"/>
        </w:rPr>
        <w:t>proporcionar más información sobre la seguridad de este medicamento.</w:t>
      </w:r>
    </w:p>
    <w:p w14:paraId="53BF9BFF" w14:textId="77777777" w:rsidR="00106659" w:rsidRPr="00F22672" w:rsidRDefault="00106659" w:rsidP="00060B21">
      <w:pPr>
        <w:rPr>
          <w:lang w:val="es-ES_tradnl"/>
        </w:rPr>
      </w:pPr>
    </w:p>
    <w:p w14:paraId="78D06012" w14:textId="77777777" w:rsidR="00060B21" w:rsidRPr="006868F5" w:rsidRDefault="00755A19" w:rsidP="006616E4">
      <w:pPr>
        <w:keepNext/>
        <w:keepLines/>
        <w:rPr>
          <w:b/>
          <w:szCs w:val="22"/>
          <w:lang w:val="es-ES"/>
        </w:rPr>
      </w:pPr>
      <w:r w:rsidRPr="006868F5">
        <w:rPr>
          <w:b/>
          <w:szCs w:val="22"/>
          <w:lang w:val="es-ES"/>
        </w:rPr>
        <w:t xml:space="preserve">Niños </w:t>
      </w:r>
      <w:r w:rsidR="00060B21" w:rsidRPr="006868F5">
        <w:rPr>
          <w:b/>
          <w:szCs w:val="22"/>
          <w:lang w:val="es-ES"/>
        </w:rPr>
        <w:t>con AIJs</w:t>
      </w:r>
    </w:p>
    <w:p w14:paraId="6D029BF5" w14:textId="77777777" w:rsidR="00060B21" w:rsidRDefault="00060B21" w:rsidP="006616E4">
      <w:pPr>
        <w:keepNext/>
        <w:keepLines/>
        <w:rPr>
          <w:lang w:val="es-ES"/>
        </w:rPr>
      </w:pPr>
      <w:r w:rsidRPr="00F22672">
        <w:rPr>
          <w:lang w:val="es-ES"/>
        </w:rPr>
        <w:t>En general</w:t>
      </w:r>
      <w:r w:rsidR="00755A19" w:rsidRPr="00F22672">
        <w:rPr>
          <w:lang w:val="es-ES"/>
        </w:rPr>
        <w:t>,</w:t>
      </w:r>
      <w:r w:rsidRPr="00F22672">
        <w:rPr>
          <w:lang w:val="es-ES"/>
        </w:rPr>
        <w:t xml:space="preserve"> los efectos adversos en pacientes con AIJs fueron </w:t>
      </w:r>
      <w:r w:rsidR="00755A19" w:rsidRPr="00F22672">
        <w:rPr>
          <w:lang w:val="es-ES"/>
        </w:rPr>
        <w:t xml:space="preserve">de un tipo </w:t>
      </w:r>
      <w:r w:rsidRPr="00F22672">
        <w:rPr>
          <w:lang w:val="es-ES"/>
        </w:rPr>
        <w:t xml:space="preserve">similar a los </w:t>
      </w:r>
      <w:r w:rsidR="00755A19" w:rsidRPr="00F22672">
        <w:rPr>
          <w:lang w:val="es-ES"/>
        </w:rPr>
        <w:t>de los adultos</w:t>
      </w:r>
      <w:r w:rsidRPr="00F22672">
        <w:rPr>
          <w:lang w:val="es-ES"/>
        </w:rPr>
        <w:t xml:space="preserve"> con AR</w:t>
      </w:r>
      <w:r w:rsidR="00755A19" w:rsidRPr="00F22672">
        <w:rPr>
          <w:lang w:val="es-ES"/>
        </w:rPr>
        <w:t>. Algunos efectos adversos se observaron con m</w:t>
      </w:r>
      <w:r w:rsidR="00AF2C64" w:rsidRPr="00F22672">
        <w:rPr>
          <w:lang w:val="es-ES"/>
        </w:rPr>
        <w:t>ás</w:t>
      </w:r>
      <w:r w:rsidR="00755A19" w:rsidRPr="00F22672">
        <w:rPr>
          <w:lang w:val="es-ES"/>
        </w:rPr>
        <w:t xml:space="preserve"> frecuencia: inflamación de nariz y garganta</w:t>
      </w:r>
      <w:r w:rsidRPr="00F22672">
        <w:rPr>
          <w:lang w:val="es-ES"/>
        </w:rPr>
        <w:t>,</w:t>
      </w:r>
      <w:r w:rsidR="00755A19" w:rsidRPr="00F22672">
        <w:rPr>
          <w:lang w:val="es-ES"/>
        </w:rPr>
        <w:t xml:space="preserve"> d</w:t>
      </w:r>
      <w:r w:rsidR="00AF2C64" w:rsidRPr="00F22672">
        <w:rPr>
          <w:lang w:val="es-ES"/>
        </w:rPr>
        <w:t xml:space="preserve">iarrea, </w:t>
      </w:r>
      <w:r w:rsidRPr="00F22672">
        <w:rPr>
          <w:lang w:val="es-ES"/>
        </w:rPr>
        <w:t xml:space="preserve">disminución en </w:t>
      </w:r>
      <w:r w:rsidR="00AF2C64" w:rsidRPr="00F22672">
        <w:rPr>
          <w:lang w:val="es-ES"/>
        </w:rPr>
        <w:t xml:space="preserve">el recuento de </w:t>
      </w:r>
      <w:r w:rsidRPr="00F22672">
        <w:rPr>
          <w:lang w:val="es-ES"/>
        </w:rPr>
        <w:t>los glóbulos blancos de la sangre</w:t>
      </w:r>
      <w:r w:rsidR="00AF2C64" w:rsidRPr="00F22672">
        <w:rPr>
          <w:lang w:val="es-ES"/>
        </w:rPr>
        <w:t xml:space="preserve"> y aumento de las enzimas hepáticas.</w:t>
      </w:r>
    </w:p>
    <w:p w14:paraId="1825E4F1" w14:textId="77777777" w:rsidR="0044564B" w:rsidRPr="00F22672" w:rsidRDefault="0044564B" w:rsidP="00060B21">
      <w:pPr>
        <w:rPr>
          <w:lang w:val="es-ES"/>
        </w:rPr>
      </w:pPr>
    </w:p>
    <w:p w14:paraId="00CCAA6D" w14:textId="77777777" w:rsidR="00060B21" w:rsidRPr="006868F5" w:rsidRDefault="00AF2C64" w:rsidP="006868F5">
      <w:pPr>
        <w:keepNext/>
        <w:rPr>
          <w:b/>
          <w:szCs w:val="22"/>
          <w:lang w:val="es-ES"/>
        </w:rPr>
      </w:pPr>
      <w:r w:rsidRPr="006868F5">
        <w:rPr>
          <w:b/>
          <w:szCs w:val="22"/>
          <w:lang w:val="es-ES"/>
        </w:rPr>
        <w:t>Niños</w:t>
      </w:r>
      <w:r w:rsidR="00060B21" w:rsidRPr="006868F5">
        <w:rPr>
          <w:b/>
          <w:szCs w:val="22"/>
          <w:lang w:val="es-ES"/>
        </w:rPr>
        <w:t xml:space="preserve"> con AIJp</w:t>
      </w:r>
    </w:p>
    <w:p w14:paraId="46B2C5E7" w14:textId="77777777" w:rsidR="00060B21" w:rsidRPr="00F22672" w:rsidRDefault="00060B21" w:rsidP="00DB6C36">
      <w:pPr>
        <w:keepNext/>
        <w:keepLines/>
        <w:rPr>
          <w:lang w:val="es-ES"/>
        </w:rPr>
      </w:pPr>
      <w:r w:rsidRPr="00F22672">
        <w:rPr>
          <w:lang w:val="es-ES"/>
        </w:rPr>
        <w:t>En general</w:t>
      </w:r>
      <w:r w:rsidR="00AF2C64" w:rsidRPr="00F22672">
        <w:rPr>
          <w:lang w:val="es-ES"/>
        </w:rPr>
        <w:t>,</w:t>
      </w:r>
      <w:r w:rsidRPr="00F22672">
        <w:rPr>
          <w:lang w:val="es-ES"/>
        </w:rPr>
        <w:t xml:space="preserve"> los efectos adversos en pacientes con AIJp fueron </w:t>
      </w:r>
      <w:r w:rsidR="00755A19" w:rsidRPr="00F22672">
        <w:rPr>
          <w:lang w:val="es-ES"/>
        </w:rPr>
        <w:t xml:space="preserve">de un tipo </w:t>
      </w:r>
      <w:r w:rsidRPr="00F22672">
        <w:rPr>
          <w:lang w:val="es-ES"/>
        </w:rPr>
        <w:t xml:space="preserve">similar a los </w:t>
      </w:r>
      <w:r w:rsidR="00AF2C64" w:rsidRPr="00F22672">
        <w:rPr>
          <w:lang w:val="es-ES"/>
        </w:rPr>
        <w:t>de los adultos</w:t>
      </w:r>
      <w:r w:rsidRPr="00F22672">
        <w:rPr>
          <w:lang w:val="es-ES"/>
        </w:rPr>
        <w:t xml:space="preserve"> con AR</w:t>
      </w:r>
      <w:r w:rsidR="00AF2C64" w:rsidRPr="00F22672">
        <w:rPr>
          <w:lang w:val="es-ES"/>
        </w:rPr>
        <w:t>.</w:t>
      </w:r>
      <w:r w:rsidRPr="00F22672">
        <w:rPr>
          <w:lang w:val="es-ES"/>
        </w:rPr>
        <w:t xml:space="preserve"> </w:t>
      </w:r>
      <w:r w:rsidR="00AF2C64" w:rsidRPr="00F22672">
        <w:rPr>
          <w:lang w:val="es-ES"/>
        </w:rPr>
        <w:t xml:space="preserve">Algunos efectos adversos se observaron con más frecuencia: inflamación de nariz y garganta, </w:t>
      </w:r>
      <w:r w:rsidRPr="00F22672">
        <w:rPr>
          <w:lang w:val="es-ES"/>
        </w:rPr>
        <w:t xml:space="preserve">dolor de cabeza, </w:t>
      </w:r>
      <w:r w:rsidR="00AF2C64" w:rsidRPr="00F22672">
        <w:rPr>
          <w:lang w:val="es-ES"/>
        </w:rPr>
        <w:t>sensación de malestar (</w:t>
      </w:r>
      <w:r w:rsidRPr="00F22672">
        <w:rPr>
          <w:lang w:val="es-ES"/>
        </w:rPr>
        <w:t>náusea</w:t>
      </w:r>
      <w:r w:rsidR="00AF2C64" w:rsidRPr="00F22672">
        <w:rPr>
          <w:lang w:val="es-ES"/>
        </w:rPr>
        <w:t>)</w:t>
      </w:r>
      <w:r w:rsidRPr="00F22672">
        <w:rPr>
          <w:lang w:val="es-ES"/>
        </w:rPr>
        <w:t xml:space="preserve"> y disminución en </w:t>
      </w:r>
      <w:r w:rsidR="00AF2C64" w:rsidRPr="00F22672">
        <w:rPr>
          <w:lang w:val="es-ES"/>
        </w:rPr>
        <w:t>el recuento de</w:t>
      </w:r>
      <w:r w:rsidRPr="00F22672">
        <w:rPr>
          <w:lang w:val="es-ES"/>
        </w:rPr>
        <w:t xml:space="preserve"> glóbulos blancos de la sangre</w:t>
      </w:r>
      <w:r w:rsidR="0045379F" w:rsidRPr="00F22672">
        <w:rPr>
          <w:lang w:val="es-ES"/>
        </w:rPr>
        <w:t>.</w:t>
      </w:r>
    </w:p>
    <w:p w14:paraId="535F127F" w14:textId="77777777" w:rsidR="00060B21" w:rsidRPr="00F22672" w:rsidRDefault="00060B21" w:rsidP="00060B21">
      <w:pPr>
        <w:numPr>
          <w:ilvl w:val="12"/>
          <w:numId w:val="0"/>
        </w:numPr>
        <w:ind w:right="-2"/>
        <w:rPr>
          <w:lang w:val="es-ES_tradnl"/>
        </w:rPr>
      </w:pPr>
    </w:p>
    <w:p w14:paraId="015586CE" w14:textId="77777777" w:rsidR="00060B21" w:rsidRPr="00F22672" w:rsidRDefault="00060B21" w:rsidP="00060B21">
      <w:pPr>
        <w:rPr>
          <w:lang w:val="es-ES"/>
        </w:rPr>
      </w:pPr>
    </w:p>
    <w:p w14:paraId="49213931" w14:textId="77777777" w:rsidR="00060B21" w:rsidRPr="00957972" w:rsidRDefault="00060B21" w:rsidP="00D75946">
      <w:pPr>
        <w:rPr>
          <w:rFonts w:eastAsia="PMingLiU"/>
          <w:b/>
          <w:bCs/>
          <w:szCs w:val="22"/>
          <w:lang w:val="es-ES_tradnl"/>
        </w:rPr>
      </w:pPr>
      <w:r w:rsidRPr="00957972">
        <w:rPr>
          <w:rFonts w:eastAsia="PMingLiU"/>
          <w:b/>
          <w:bCs/>
          <w:szCs w:val="22"/>
          <w:lang w:val="es-ES_tradnl"/>
        </w:rPr>
        <w:t>5.</w:t>
      </w:r>
      <w:r w:rsidRPr="00957972">
        <w:rPr>
          <w:rFonts w:eastAsia="PMingLiU"/>
          <w:b/>
          <w:bCs/>
          <w:szCs w:val="22"/>
          <w:lang w:val="es-ES_tradnl"/>
        </w:rPr>
        <w:tab/>
        <w:t>Conservación de RoActemra</w:t>
      </w:r>
    </w:p>
    <w:p w14:paraId="1A9BFB06" w14:textId="77777777" w:rsidR="00060B21" w:rsidRPr="00F22672" w:rsidRDefault="00060B21" w:rsidP="00060B21">
      <w:pPr>
        <w:rPr>
          <w:lang w:val="es-ES"/>
        </w:rPr>
      </w:pPr>
    </w:p>
    <w:p w14:paraId="6CF9DB89" w14:textId="77777777" w:rsidR="00060B21" w:rsidRPr="00957972" w:rsidRDefault="00060B21" w:rsidP="00060B21">
      <w:pPr>
        <w:rPr>
          <w:lang w:val="es-ES"/>
        </w:rPr>
      </w:pPr>
      <w:r w:rsidRPr="00957972">
        <w:rPr>
          <w:lang w:val="es-ES"/>
        </w:rPr>
        <w:t xml:space="preserve">Mantener </w:t>
      </w:r>
      <w:r w:rsidR="00535632" w:rsidRPr="00957972">
        <w:rPr>
          <w:lang w:val="es-ES"/>
        </w:rPr>
        <w:t>este medicamento</w:t>
      </w:r>
      <w:r w:rsidRPr="00957972">
        <w:rPr>
          <w:lang w:val="es-ES"/>
        </w:rPr>
        <w:t xml:space="preserve"> fuera de la vista y del alcance de los niños.</w:t>
      </w:r>
    </w:p>
    <w:p w14:paraId="4868061D" w14:textId="77777777" w:rsidR="0085789E" w:rsidRPr="00F22672" w:rsidRDefault="0085789E" w:rsidP="00060B21">
      <w:pPr>
        <w:rPr>
          <w:lang w:val="es-ES"/>
        </w:rPr>
      </w:pPr>
    </w:p>
    <w:p w14:paraId="59BF5D60" w14:textId="77777777" w:rsidR="00060B21" w:rsidRPr="00957972" w:rsidRDefault="0085789E" w:rsidP="00060B21">
      <w:pPr>
        <w:rPr>
          <w:lang w:val="es-ES"/>
        </w:rPr>
      </w:pPr>
      <w:r w:rsidRPr="00957972">
        <w:rPr>
          <w:lang w:val="es-ES"/>
        </w:rPr>
        <w:lastRenderedPageBreak/>
        <w:t>No utilice este medicamento después de la fecha de caducidad que aparece en el envase</w:t>
      </w:r>
      <w:r w:rsidR="00702ADE">
        <w:rPr>
          <w:lang w:val="es-ES"/>
        </w:rPr>
        <w:t xml:space="preserve"> después de EXP</w:t>
      </w:r>
      <w:r w:rsidRPr="00957972">
        <w:rPr>
          <w:lang w:val="es-ES"/>
        </w:rPr>
        <w:t>.</w:t>
      </w:r>
      <w:r w:rsidR="00702ADE" w:rsidRPr="00F30AB8">
        <w:rPr>
          <w:lang w:val="es-ES"/>
        </w:rPr>
        <w:t xml:space="preserve"> </w:t>
      </w:r>
      <w:r w:rsidR="00702ADE" w:rsidRPr="00702ADE">
        <w:rPr>
          <w:lang w:val="es-ES"/>
        </w:rPr>
        <w:t>La fecha de caducidad es el último día del mes que se indica.</w:t>
      </w:r>
    </w:p>
    <w:p w14:paraId="1D6E19B9" w14:textId="77777777" w:rsidR="0085789E" w:rsidRPr="00F22672" w:rsidRDefault="0085789E" w:rsidP="00060B21">
      <w:pPr>
        <w:rPr>
          <w:lang w:val="es-ES"/>
        </w:rPr>
      </w:pPr>
    </w:p>
    <w:p w14:paraId="23DD8CA0" w14:textId="3561315F" w:rsidR="00060B21" w:rsidRPr="00F22672" w:rsidRDefault="00060B21" w:rsidP="00060B21">
      <w:pPr>
        <w:rPr>
          <w:lang w:val="es-ES"/>
        </w:rPr>
      </w:pPr>
      <w:r w:rsidRPr="00957972">
        <w:rPr>
          <w:lang w:val="es-ES"/>
        </w:rPr>
        <w:t>Conservar en nevera (entre 2</w:t>
      </w:r>
      <w:r w:rsidR="00702ADE" w:rsidRPr="00F30AB8">
        <w:rPr>
          <w:szCs w:val="22"/>
          <w:lang w:val="es-ES"/>
        </w:rPr>
        <w:t> </w:t>
      </w:r>
      <w:r w:rsidRPr="00957972">
        <w:rPr>
          <w:lang w:val="es-ES"/>
        </w:rPr>
        <w:t>°C</w:t>
      </w:r>
      <w:r w:rsidR="00702ADE" w:rsidRPr="00F30AB8">
        <w:rPr>
          <w:szCs w:val="22"/>
          <w:lang w:val="es-ES"/>
        </w:rPr>
        <w:t>– </w:t>
      </w:r>
      <w:r w:rsidRPr="00957972">
        <w:rPr>
          <w:lang w:val="es-ES"/>
        </w:rPr>
        <w:t>8</w:t>
      </w:r>
      <w:r w:rsidR="00702ADE" w:rsidRPr="00F30AB8">
        <w:rPr>
          <w:szCs w:val="22"/>
          <w:lang w:val="es-ES"/>
        </w:rPr>
        <w:t> </w:t>
      </w:r>
      <w:r w:rsidRPr="00957972">
        <w:rPr>
          <w:lang w:val="es-ES"/>
        </w:rPr>
        <w:t>°C).</w:t>
      </w:r>
      <w:r w:rsidRPr="00F22672">
        <w:rPr>
          <w:lang w:val="es-ES"/>
        </w:rPr>
        <w:t xml:space="preserve"> </w:t>
      </w:r>
      <w:r w:rsidRPr="00957972">
        <w:rPr>
          <w:lang w:val="es-ES"/>
        </w:rPr>
        <w:t>No congelar.</w:t>
      </w:r>
      <w:r w:rsidRPr="00F22672">
        <w:rPr>
          <w:lang w:val="es-ES"/>
        </w:rPr>
        <w:t xml:space="preserve"> </w:t>
      </w:r>
    </w:p>
    <w:p w14:paraId="0568955E" w14:textId="77777777" w:rsidR="00060B21" w:rsidRPr="00F22672" w:rsidRDefault="00060B21" w:rsidP="00060B21">
      <w:pPr>
        <w:rPr>
          <w:lang w:val="es-ES"/>
        </w:rPr>
      </w:pPr>
    </w:p>
    <w:p w14:paraId="1836F651" w14:textId="77777777" w:rsidR="00060B21" w:rsidRPr="00957972" w:rsidRDefault="00060B21" w:rsidP="00060B21">
      <w:pPr>
        <w:rPr>
          <w:lang w:val="es-ES"/>
        </w:rPr>
      </w:pPr>
      <w:r w:rsidRPr="00957972">
        <w:rPr>
          <w:lang w:val="es-ES"/>
        </w:rPr>
        <w:t>Mantener los viales en el embalaje exterior para protegerlos de la luz.</w:t>
      </w:r>
    </w:p>
    <w:p w14:paraId="0F9439A0" w14:textId="77777777" w:rsidR="00060B21" w:rsidRPr="00F22672" w:rsidRDefault="00060B21" w:rsidP="00060B21">
      <w:pPr>
        <w:rPr>
          <w:lang w:val="es-ES_tradnl"/>
        </w:rPr>
      </w:pPr>
    </w:p>
    <w:p w14:paraId="44736B71" w14:textId="77777777" w:rsidR="00060B21" w:rsidRPr="00F22672" w:rsidRDefault="00060B21" w:rsidP="00060B21">
      <w:pPr>
        <w:rPr>
          <w:lang w:val="es-ES"/>
        </w:rPr>
      </w:pPr>
    </w:p>
    <w:p w14:paraId="1AEDB05C" w14:textId="77777777" w:rsidR="00060B21" w:rsidRPr="00957972" w:rsidRDefault="00060B21" w:rsidP="004556CF">
      <w:pPr>
        <w:keepNext/>
        <w:keepLines/>
        <w:rPr>
          <w:b/>
          <w:bCs/>
          <w:szCs w:val="22"/>
          <w:lang w:val="es-ES_tradnl"/>
        </w:rPr>
      </w:pPr>
      <w:r w:rsidRPr="00957972">
        <w:rPr>
          <w:rFonts w:eastAsia="PMingLiU"/>
          <w:b/>
          <w:bCs/>
          <w:szCs w:val="22"/>
          <w:lang w:val="es-ES_tradnl"/>
        </w:rPr>
        <w:t>6.</w:t>
      </w:r>
      <w:r w:rsidRPr="00957972">
        <w:rPr>
          <w:rFonts w:eastAsia="PMingLiU"/>
          <w:b/>
          <w:bCs/>
          <w:szCs w:val="22"/>
          <w:lang w:val="es-ES_tradnl"/>
        </w:rPr>
        <w:tab/>
        <w:t>Contenido del envase e información adicional</w:t>
      </w:r>
    </w:p>
    <w:p w14:paraId="2B9378E3" w14:textId="77777777" w:rsidR="00060B21" w:rsidRPr="00F22672" w:rsidRDefault="00060B21" w:rsidP="00060B21">
      <w:pPr>
        <w:keepNext/>
        <w:keepLines/>
        <w:rPr>
          <w:b/>
          <w:bCs/>
          <w:lang w:val="es-ES"/>
        </w:rPr>
      </w:pPr>
    </w:p>
    <w:p w14:paraId="53917089" w14:textId="77777777" w:rsidR="00060B21" w:rsidRPr="006868F5" w:rsidRDefault="00060B21" w:rsidP="004556CF">
      <w:pPr>
        <w:keepNext/>
        <w:keepLines/>
        <w:rPr>
          <w:b/>
          <w:bCs/>
          <w:szCs w:val="22"/>
          <w:lang w:val="es-ES"/>
        </w:rPr>
      </w:pPr>
      <w:r w:rsidRPr="006868F5">
        <w:rPr>
          <w:b/>
          <w:bCs/>
          <w:szCs w:val="22"/>
          <w:lang w:val="es-ES"/>
        </w:rPr>
        <w:t>Composición de RoActemra</w:t>
      </w:r>
    </w:p>
    <w:p w14:paraId="0D9709F8" w14:textId="77777777" w:rsidR="00060B21" w:rsidRPr="00F22672" w:rsidRDefault="00060B21" w:rsidP="00060B21">
      <w:pPr>
        <w:keepNext/>
        <w:keepLines/>
        <w:ind w:left="567" w:hanging="567"/>
        <w:rPr>
          <w:b/>
          <w:bCs/>
          <w:lang w:val="es-ES"/>
        </w:rPr>
      </w:pPr>
      <w:r w:rsidRPr="00F22672">
        <w:rPr>
          <w:lang w:val="es-ES"/>
        </w:rPr>
        <w:sym w:font="Symbol" w:char="F0B7"/>
      </w:r>
      <w:r w:rsidRPr="00F22672">
        <w:rPr>
          <w:noProof/>
          <w:lang w:val="es-ES"/>
        </w:rPr>
        <w:tab/>
      </w:r>
      <w:r w:rsidRPr="00F22672">
        <w:rPr>
          <w:lang w:val="es-ES_tradnl"/>
        </w:rPr>
        <w:t>El principio activo es tocilizumab.</w:t>
      </w:r>
      <w:r w:rsidRPr="00F22672">
        <w:rPr>
          <w:lang w:val="es-ES"/>
        </w:rPr>
        <w:t xml:space="preserve"> </w:t>
      </w:r>
    </w:p>
    <w:p w14:paraId="76662C88" w14:textId="77777777" w:rsidR="00060B21" w:rsidRPr="00F22672" w:rsidRDefault="00060B21" w:rsidP="00060B21">
      <w:pPr>
        <w:ind w:left="567" w:hanging="567"/>
        <w:rPr>
          <w:lang w:val="es-ES"/>
        </w:rPr>
      </w:pPr>
      <w:r w:rsidRPr="00F22672">
        <w:rPr>
          <w:noProof/>
          <w:lang w:val="es-ES"/>
        </w:rPr>
        <w:tab/>
      </w:r>
      <w:r w:rsidRPr="00F22672">
        <w:rPr>
          <w:lang w:val="es-ES_tradnl"/>
        </w:rPr>
        <w:t xml:space="preserve">Cada vial de 4 ml contiene 80 mg de tocilizumab </w:t>
      </w:r>
      <w:r w:rsidRPr="00F22672">
        <w:rPr>
          <w:lang w:val="es-ES"/>
        </w:rPr>
        <w:t>(20 mg/ml).</w:t>
      </w:r>
    </w:p>
    <w:p w14:paraId="48C75B83" w14:textId="77777777" w:rsidR="00060B21" w:rsidRPr="00F22672" w:rsidRDefault="00060B21" w:rsidP="00060B21">
      <w:pPr>
        <w:ind w:left="567" w:hanging="567"/>
        <w:rPr>
          <w:lang w:val="es-ES"/>
        </w:rPr>
      </w:pPr>
      <w:r w:rsidRPr="00F22672">
        <w:rPr>
          <w:noProof/>
          <w:lang w:val="es-ES"/>
        </w:rPr>
        <w:tab/>
      </w:r>
      <w:r w:rsidRPr="00F22672">
        <w:rPr>
          <w:lang w:val="es-ES_tradnl"/>
        </w:rPr>
        <w:t>Cada vial de 10 ml contiene 200 mg de tocilizumab</w:t>
      </w:r>
      <w:r w:rsidRPr="00F22672">
        <w:rPr>
          <w:lang w:val="es-ES"/>
        </w:rPr>
        <w:t xml:space="preserve"> (20 mg/ml).</w:t>
      </w:r>
    </w:p>
    <w:p w14:paraId="230E7F0B" w14:textId="77777777" w:rsidR="00060B21" w:rsidRPr="00F22672" w:rsidRDefault="00060B21" w:rsidP="00060B21">
      <w:pPr>
        <w:ind w:left="567" w:hanging="567"/>
        <w:rPr>
          <w:lang w:val="es-ES"/>
        </w:rPr>
      </w:pPr>
      <w:r w:rsidRPr="00F22672">
        <w:rPr>
          <w:noProof/>
          <w:lang w:val="es-ES"/>
        </w:rPr>
        <w:tab/>
      </w:r>
      <w:r w:rsidRPr="00F22672">
        <w:rPr>
          <w:lang w:val="es-ES_tradnl"/>
        </w:rPr>
        <w:t xml:space="preserve">Cada vial de 20 ml contiene 400 mg de tocilizumab </w:t>
      </w:r>
      <w:r w:rsidRPr="00F22672">
        <w:rPr>
          <w:lang w:val="es-ES"/>
        </w:rPr>
        <w:t>(20 mg/ml).</w:t>
      </w:r>
    </w:p>
    <w:p w14:paraId="7E2C8349" w14:textId="77777777" w:rsidR="00561A0F" w:rsidRPr="00F22672" w:rsidRDefault="00561A0F" w:rsidP="00060B21">
      <w:pPr>
        <w:ind w:left="567" w:hanging="567"/>
        <w:rPr>
          <w:lang w:val="es-ES"/>
        </w:rPr>
      </w:pPr>
    </w:p>
    <w:p w14:paraId="0CB593DD" w14:textId="14EA2487" w:rsidR="00060B21" w:rsidRPr="00F22672" w:rsidRDefault="00060B21" w:rsidP="00060B21">
      <w:pPr>
        <w:ind w:left="567" w:hanging="567"/>
        <w:rPr>
          <w:lang w:val="es-ES"/>
        </w:rPr>
      </w:pPr>
      <w:r w:rsidRPr="00F22672">
        <w:rPr>
          <w:lang w:val="es-ES"/>
        </w:rPr>
        <w:sym w:font="Symbol" w:char="F0B7"/>
      </w:r>
      <w:r w:rsidRPr="00F22672">
        <w:rPr>
          <w:noProof/>
          <w:lang w:val="es-ES"/>
        </w:rPr>
        <w:tab/>
      </w:r>
      <w:r w:rsidRPr="00F22672">
        <w:rPr>
          <w:lang w:val="es-ES_tradnl"/>
        </w:rPr>
        <w:t xml:space="preserve">Los demás componentes son sacarosa, polisorbato 80, fosfato disódico dodecahidrato, fosfato dihidrógeno sódico dihidrato y agua para </w:t>
      </w:r>
      <w:r w:rsidR="00DC4925" w:rsidRPr="00F22672">
        <w:rPr>
          <w:lang w:val="es-ES_tradnl"/>
        </w:rPr>
        <w:t xml:space="preserve">preparaciones </w:t>
      </w:r>
      <w:r w:rsidRPr="00F22672">
        <w:rPr>
          <w:lang w:val="es-ES_tradnl"/>
        </w:rPr>
        <w:t>inyectables.</w:t>
      </w:r>
      <w:r w:rsidR="00702ADE" w:rsidRPr="00F30AB8">
        <w:rPr>
          <w:lang w:val="es-ES"/>
        </w:rPr>
        <w:t xml:space="preserve"> </w:t>
      </w:r>
      <w:r w:rsidR="00702ADE" w:rsidRPr="00702ADE">
        <w:rPr>
          <w:lang w:val="es-ES_tradnl"/>
        </w:rPr>
        <w:t>(v</w:t>
      </w:r>
      <w:r w:rsidR="00702ADE">
        <w:rPr>
          <w:lang w:val="es-ES_tradnl"/>
        </w:rPr>
        <w:t>er</w:t>
      </w:r>
      <w:r w:rsidR="00702ADE" w:rsidRPr="00702ADE">
        <w:rPr>
          <w:lang w:val="es-ES_tradnl"/>
        </w:rPr>
        <w:t xml:space="preserve"> sección 2 "RoActemra contiene sodio" y "RoActemra contiene polisorbato</w:t>
      </w:r>
      <w:ins w:id="2303" w:author="AUTHOR">
        <w:r w:rsidR="00024761" w:rsidRPr="00467FFD">
          <w:rPr>
            <w:bCs/>
            <w:szCs w:val="22"/>
            <w:lang w:val="es-ES"/>
            <w:rPrChange w:id="2304" w:author="AUTHOR">
              <w:rPr>
                <w:bCs/>
                <w:szCs w:val="22"/>
                <w:lang w:val="en-GB"/>
              </w:rPr>
            </w:rPrChange>
          </w:rPr>
          <w:t xml:space="preserve"> 80 (E 433)</w:t>
        </w:r>
      </w:ins>
      <w:r w:rsidR="00702ADE" w:rsidRPr="00702ADE">
        <w:rPr>
          <w:lang w:val="es-ES_tradnl"/>
        </w:rPr>
        <w:t>").</w:t>
      </w:r>
    </w:p>
    <w:p w14:paraId="2CF64101" w14:textId="77777777" w:rsidR="00060B21" w:rsidRPr="00F22672" w:rsidRDefault="00060B21" w:rsidP="00060B21">
      <w:pPr>
        <w:rPr>
          <w:bCs/>
          <w:lang w:val="es-ES"/>
        </w:rPr>
      </w:pPr>
    </w:p>
    <w:p w14:paraId="7E289448" w14:textId="77777777" w:rsidR="00060B21" w:rsidRPr="006868F5" w:rsidRDefault="00060B21" w:rsidP="004556CF">
      <w:pPr>
        <w:keepNext/>
        <w:keepLines/>
        <w:rPr>
          <w:b/>
          <w:bCs/>
          <w:szCs w:val="22"/>
          <w:lang w:val="es-ES"/>
        </w:rPr>
      </w:pPr>
      <w:r w:rsidRPr="006868F5">
        <w:rPr>
          <w:b/>
          <w:bCs/>
          <w:szCs w:val="22"/>
          <w:lang w:val="es-ES"/>
        </w:rPr>
        <w:t>Aspecto del producto y contenido del envase</w:t>
      </w:r>
    </w:p>
    <w:p w14:paraId="75CD94F3" w14:textId="77777777" w:rsidR="00060B21" w:rsidRPr="00F22672" w:rsidRDefault="00060B21" w:rsidP="00060B21">
      <w:pPr>
        <w:rPr>
          <w:lang w:val="es-ES_tradnl"/>
        </w:rPr>
      </w:pPr>
      <w:r w:rsidRPr="00F22672">
        <w:rPr>
          <w:lang w:val="es-ES_tradnl"/>
        </w:rPr>
        <w:t>RoActemra es un concentrado para solución para perfusión El concentrado es</w:t>
      </w:r>
      <w:r w:rsidR="00DC4925" w:rsidRPr="00F22672">
        <w:rPr>
          <w:lang w:val="es-ES_tradnl"/>
        </w:rPr>
        <w:t xml:space="preserve"> un líquido</w:t>
      </w:r>
      <w:r w:rsidRPr="00F22672">
        <w:rPr>
          <w:lang w:val="es-ES_tradnl"/>
        </w:rPr>
        <w:t xml:space="preserve"> transparente a opalescente, incoloro a amarillo pálido. </w:t>
      </w:r>
    </w:p>
    <w:p w14:paraId="6AD825C9" w14:textId="77777777" w:rsidR="00060B21" w:rsidRPr="00F22672" w:rsidRDefault="00060B21" w:rsidP="00060B21">
      <w:pPr>
        <w:rPr>
          <w:lang w:val="es-ES_tradnl"/>
        </w:rPr>
      </w:pPr>
      <w:r w:rsidRPr="00F22672">
        <w:rPr>
          <w:lang w:val="es-ES_tradnl"/>
        </w:rPr>
        <w:t>RoActemra es suministrado en viales que contienen 4 ml, 10 ml, y 20 ml de concentrado para solución para perfusión. Tamaño de envase de 1 y 4 viales.</w:t>
      </w:r>
      <w:r w:rsidRPr="00F22672">
        <w:rPr>
          <w:lang w:val="es-ES"/>
        </w:rPr>
        <w:t xml:space="preserve"> </w:t>
      </w:r>
      <w:r w:rsidRPr="00F22672">
        <w:rPr>
          <w:lang w:val="es-ES_tradnl"/>
        </w:rPr>
        <w:t>Puede que no se comercialicen todos los tamaños de envase.</w:t>
      </w:r>
    </w:p>
    <w:p w14:paraId="012E8570" w14:textId="77777777" w:rsidR="00060B21" w:rsidRPr="00F22672" w:rsidRDefault="00060B21" w:rsidP="00060B21">
      <w:pPr>
        <w:rPr>
          <w:u w:val="single"/>
          <w:lang w:val="es-ES"/>
        </w:rPr>
      </w:pPr>
    </w:p>
    <w:p w14:paraId="70C1BF13" w14:textId="77777777" w:rsidR="00060B21" w:rsidRPr="006868F5" w:rsidRDefault="00060B21" w:rsidP="00A50280">
      <w:pPr>
        <w:rPr>
          <w:b/>
          <w:bCs/>
          <w:szCs w:val="22"/>
          <w:lang w:val="es-ES"/>
        </w:rPr>
      </w:pPr>
      <w:r w:rsidRPr="006868F5">
        <w:rPr>
          <w:b/>
          <w:bCs/>
          <w:szCs w:val="22"/>
          <w:lang w:val="es-ES"/>
        </w:rPr>
        <w:t>Titular</w:t>
      </w:r>
      <w:r w:rsidR="00093744">
        <w:rPr>
          <w:b/>
          <w:bCs/>
          <w:szCs w:val="22"/>
          <w:lang w:val="es-ES"/>
        </w:rPr>
        <w:t xml:space="preserve"> </w:t>
      </w:r>
      <w:r w:rsidRPr="006868F5">
        <w:rPr>
          <w:b/>
          <w:bCs/>
          <w:szCs w:val="22"/>
          <w:lang w:val="es-ES"/>
        </w:rPr>
        <w:t>de la autorización de comercialización</w:t>
      </w:r>
      <w:r w:rsidR="00535632" w:rsidRPr="006868F5">
        <w:rPr>
          <w:b/>
          <w:bCs/>
          <w:szCs w:val="22"/>
          <w:lang w:val="es-ES"/>
        </w:rPr>
        <w:t xml:space="preserve"> y responsable de la fabricación</w:t>
      </w:r>
    </w:p>
    <w:p w14:paraId="53CC2E3E" w14:textId="77777777" w:rsidR="00CC09AC" w:rsidRPr="00EF2448" w:rsidRDefault="00CC09AC" w:rsidP="00A50280">
      <w:pPr>
        <w:rPr>
          <w:noProof/>
          <w:lang w:val="de-DE"/>
        </w:rPr>
      </w:pPr>
      <w:r w:rsidRPr="00EF2448">
        <w:rPr>
          <w:noProof/>
          <w:lang w:val="de-DE"/>
        </w:rPr>
        <w:t xml:space="preserve">Roche Registration GmbH </w:t>
      </w:r>
    </w:p>
    <w:p w14:paraId="5B16ECF1" w14:textId="77777777" w:rsidR="00CC09AC" w:rsidRPr="00EF2448" w:rsidRDefault="00CC09AC" w:rsidP="00A50280">
      <w:pPr>
        <w:rPr>
          <w:noProof/>
          <w:lang w:val="de-DE"/>
        </w:rPr>
      </w:pPr>
      <w:r w:rsidRPr="00EF2448">
        <w:rPr>
          <w:noProof/>
          <w:lang w:val="de-DE"/>
        </w:rPr>
        <w:t>Emil-Barell-Strasse 1</w:t>
      </w:r>
    </w:p>
    <w:p w14:paraId="198CD363" w14:textId="77777777" w:rsidR="00CC09AC" w:rsidRPr="00F30AB8" w:rsidRDefault="00CC09AC" w:rsidP="00A50280">
      <w:pPr>
        <w:rPr>
          <w:noProof/>
          <w:lang w:val="pt-PT"/>
        </w:rPr>
      </w:pPr>
      <w:r w:rsidRPr="00F30AB8">
        <w:rPr>
          <w:noProof/>
          <w:lang w:val="pt-PT"/>
        </w:rPr>
        <w:t>79639 Grenzach-Wyhlen</w:t>
      </w:r>
    </w:p>
    <w:p w14:paraId="4A963DC7" w14:textId="77777777" w:rsidR="00060B21" w:rsidRPr="00EF2448" w:rsidRDefault="00CC09AC" w:rsidP="00A50280">
      <w:pPr>
        <w:rPr>
          <w:noProof/>
          <w:lang w:val="es-ES"/>
        </w:rPr>
      </w:pPr>
      <w:r w:rsidRPr="00EF2448">
        <w:rPr>
          <w:noProof/>
          <w:lang w:val="es-ES"/>
        </w:rPr>
        <w:t>Alemania</w:t>
      </w:r>
    </w:p>
    <w:p w14:paraId="00CCD9B5" w14:textId="77777777" w:rsidR="00E92D5F" w:rsidRPr="0087486A" w:rsidRDefault="00E92D5F" w:rsidP="00A50280">
      <w:pPr>
        <w:rPr>
          <w:b/>
          <w:bCs/>
          <w:sz w:val="24"/>
          <w:szCs w:val="24"/>
          <w:lang w:val="es-ES"/>
        </w:rPr>
      </w:pPr>
    </w:p>
    <w:p w14:paraId="4DC8A322" w14:textId="77777777" w:rsidR="00060B21" w:rsidRPr="006868F5" w:rsidRDefault="00BF4C3E" w:rsidP="004556CF">
      <w:pPr>
        <w:keepNext/>
        <w:keepLines/>
        <w:rPr>
          <w:b/>
          <w:bCs/>
          <w:szCs w:val="22"/>
          <w:lang w:val="es-ES"/>
        </w:rPr>
      </w:pPr>
      <w:r w:rsidRPr="006868F5">
        <w:rPr>
          <w:b/>
          <w:bCs/>
          <w:szCs w:val="22"/>
          <w:lang w:val="es-ES"/>
        </w:rPr>
        <w:t>Responsable de la f</w:t>
      </w:r>
      <w:r w:rsidR="00060B21" w:rsidRPr="006868F5">
        <w:rPr>
          <w:b/>
          <w:bCs/>
          <w:szCs w:val="22"/>
          <w:lang w:val="es-ES"/>
        </w:rPr>
        <w:t>abrica</w:t>
      </w:r>
      <w:r w:rsidRPr="006868F5">
        <w:rPr>
          <w:b/>
          <w:bCs/>
          <w:szCs w:val="22"/>
          <w:lang w:val="es-ES"/>
        </w:rPr>
        <w:t>ción</w:t>
      </w:r>
    </w:p>
    <w:p w14:paraId="252739E7" w14:textId="77777777" w:rsidR="00060B21" w:rsidRPr="005E6BE8" w:rsidRDefault="00060B21" w:rsidP="00060B21">
      <w:r w:rsidRPr="005E6BE8">
        <w:t>Roche Pharma AG</w:t>
      </w:r>
    </w:p>
    <w:p w14:paraId="6CE51D18" w14:textId="77777777" w:rsidR="00060B21" w:rsidRPr="00EF2448" w:rsidRDefault="00060B21" w:rsidP="00060B21">
      <w:pPr>
        <w:rPr>
          <w:lang w:val="es-ES"/>
        </w:rPr>
      </w:pPr>
      <w:r w:rsidRPr="00F30AB8">
        <w:rPr>
          <w:lang w:val="de-DE"/>
        </w:rPr>
        <w:t xml:space="preserve">Emil-Barell-Str. </w:t>
      </w:r>
      <w:r w:rsidRPr="00EF2448">
        <w:rPr>
          <w:lang w:val="es-ES"/>
        </w:rPr>
        <w:t>1</w:t>
      </w:r>
    </w:p>
    <w:p w14:paraId="2C9A1B2E" w14:textId="6CAFCC92" w:rsidR="00060B21" w:rsidRPr="00EF2448" w:rsidRDefault="00060B21" w:rsidP="00060B21">
      <w:pPr>
        <w:rPr>
          <w:lang w:val="es-ES"/>
        </w:rPr>
      </w:pPr>
      <w:r w:rsidRPr="00EF2448">
        <w:rPr>
          <w:lang w:val="es-ES"/>
        </w:rPr>
        <w:t>79639 Grenzach-Wyhlen</w:t>
      </w:r>
    </w:p>
    <w:p w14:paraId="2F11781F" w14:textId="77777777" w:rsidR="00060B21" w:rsidRPr="00F22672" w:rsidRDefault="00060B21" w:rsidP="00060B21">
      <w:pPr>
        <w:rPr>
          <w:lang w:val="es-ES"/>
        </w:rPr>
      </w:pPr>
      <w:r w:rsidRPr="00F22672">
        <w:rPr>
          <w:lang w:val="es-ES_tradnl"/>
        </w:rPr>
        <w:t>Alemania</w:t>
      </w:r>
    </w:p>
    <w:p w14:paraId="4C3A10E2" w14:textId="77777777" w:rsidR="00060B21" w:rsidRPr="00F22672" w:rsidRDefault="00060B21" w:rsidP="00060B21">
      <w:pPr>
        <w:rPr>
          <w:lang w:val="es-ES"/>
        </w:rPr>
      </w:pPr>
    </w:p>
    <w:p w14:paraId="6AA67CD9" w14:textId="77777777" w:rsidR="00060B21" w:rsidRPr="00F22672" w:rsidRDefault="00060B21" w:rsidP="00060B21">
      <w:pPr>
        <w:keepNext/>
        <w:keepLines/>
        <w:rPr>
          <w:lang w:val="es-ES"/>
        </w:rPr>
      </w:pPr>
      <w:r w:rsidRPr="00F22672">
        <w:rPr>
          <w:lang w:val="es-ES_tradnl"/>
        </w:rPr>
        <w:lastRenderedPageBreak/>
        <w:t>Pueden solicitar más información respecto a este medicamento dirigiéndose al representante local del titular de la autorización de comercialización:</w:t>
      </w:r>
    </w:p>
    <w:p w14:paraId="10108D5E" w14:textId="77777777" w:rsidR="00060B21" w:rsidRPr="00F22672" w:rsidRDefault="00060B21" w:rsidP="00060B21">
      <w:pPr>
        <w:keepNext/>
        <w:keepLines/>
        <w:rPr>
          <w:lang w:val="es-ES"/>
        </w:rPr>
      </w:pPr>
    </w:p>
    <w:tbl>
      <w:tblPr>
        <w:tblW w:w="9180" w:type="dxa"/>
        <w:tblLayout w:type="fixed"/>
        <w:tblLook w:val="0000" w:firstRow="0" w:lastRow="0" w:firstColumn="0" w:lastColumn="0" w:noHBand="0" w:noVBand="0"/>
        <w:tblPrChange w:id="2305" w:author="AUTHOR">
          <w:tblPr>
            <w:tblW w:w="0" w:type="auto"/>
            <w:tblLayout w:type="fixed"/>
            <w:tblLook w:val="0000" w:firstRow="0" w:lastRow="0" w:firstColumn="0" w:lastColumn="0" w:noHBand="0" w:noVBand="0"/>
          </w:tblPr>
        </w:tblPrChange>
      </w:tblPr>
      <w:tblGrid>
        <w:gridCol w:w="4590"/>
        <w:gridCol w:w="4590"/>
        <w:tblGridChange w:id="2306">
          <w:tblGrid>
            <w:gridCol w:w="5"/>
            <w:gridCol w:w="4585"/>
            <w:gridCol w:w="5"/>
            <w:gridCol w:w="4585"/>
            <w:gridCol w:w="5"/>
          </w:tblGrid>
        </w:tblGridChange>
      </w:tblGrid>
      <w:tr w:rsidR="00060B21" w:rsidRPr="00541248" w14:paraId="661BBE90" w14:textId="77777777" w:rsidTr="00467FFD">
        <w:trPr>
          <w:cantSplit/>
          <w:trPrChange w:id="2307" w:author="AUTHOR">
            <w:trPr>
              <w:gridAfter w:val="0"/>
              <w:cantSplit/>
            </w:trPr>
          </w:trPrChange>
        </w:trPr>
        <w:tc>
          <w:tcPr>
            <w:tcW w:w="4590" w:type="dxa"/>
            <w:tcPrChange w:id="2308" w:author="AUTHOR">
              <w:tcPr>
                <w:tcW w:w="4590" w:type="dxa"/>
                <w:gridSpan w:val="2"/>
              </w:tcPr>
            </w:tcPrChange>
          </w:tcPr>
          <w:p w14:paraId="660BFE47" w14:textId="4C2FBA32" w:rsidR="00060B21" w:rsidRPr="00F22672" w:rsidRDefault="00060B21" w:rsidP="00FC7454">
            <w:pPr>
              <w:keepNext/>
              <w:keepLines/>
              <w:rPr>
                <w:noProof/>
                <w:lang w:val="fr-FR"/>
              </w:rPr>
            </w:pPr>
            <w:r w:rsidRPr="00F22672">
              <w:rPr>
                <w:b/>
                <w:bCs/>
                <w:lang w:val="fr-FR"/>
              </w:rPr>
              <w:t>België/Belgique/Belgien</w:t>
            </w:r>
            <w:ins w:id="2309" w:author="AUTHOR">
              <w:r w:rsidR="0013327A">
                <w:t xml:space="preserve"> </w:t>
              </w:r>
              <w:r w:rsidR="0013327A" w:rsidRPr="0013327A">
                <w:rPr>
                  <w:b/>
                  <w:bCs/>
                  <w:lang w:val="fr-FR"/>
                </w:rPr>
                <w:t>Luxembourg/Luxemburg</w:t>
              </w:r>
            </w:ins>
          </w:p>
          <w:p w14:paraId="297D0AD3" w14:textId="77777777" w:rsidR="0013327A" w:rsidRDefault="0013327A" w:rsidP="00FC7454">
            <w:pPr>
              <w:keepNext/>
              <w:keepLines/>
              <w:rPr>
                <w:ins w:id="2310" w:author="AUTHOR"/>
                <w:lang w:val="fr-FR"/>
              </w:rPr>
            </w:pPr>
          </w:p>
          <w:p w14:paraId="69AA2EE4" w14:textId="714CC70C" w:rsidR="0013327A" w:rsidRDefault="00060B21" w:rsidP="00FC7454">
            <w:pPr>
              <w:keepNext/>
              <w:keepLines/>
              <w:rPr>
                <w:ins w:id="2311" w:author="AUTHOR"/>
              </w:rPr>
            </w:pPr>
            <w:r w:rsidRPr="00F22672">
              <w:rPr>
                <w:lang w:val="fr-FR"/>
              </w:rPr>
              <w:t>N.V. Roche S.A.</w:t>
            </w:r>
            <w:ins w:id="2312" w:author="AUTHOR">
              <w:r w:rsidR="0013327A">
                <w:t xml:space="preserve"> </w:t>
              </w:r>
            </w:ins>
          </w:p>
          <w:p w14:paraId="7526CD4B" w14:textId="1583503F" w:rsidR="00060B21" w:rsidRPr="00F22672" w:rsidRDefault="0013327A" w:rsidP="00FC7454">
            <w:pPr>
              <w:keepNext/>
              <w:keepLines/>
              <w:rPr>
                <w:noProof/>
                <w:lang w:val="fr-FR"/>
              </w:rPr>
            </w:pPr>
            <w:ins w:id="2313" w:author="AUTHOR">
              <w:r w:rsidRPr="0013327A">
                <w:rPr>
                  <w:lang w:val="fr-FR"/>
                </w:rPr>
                <w:t>België/Belgique/Belgien</w:t>
              </w:r>
            </w:ins>
          </w:p>
          <w:p w14:paraId="6C9EBED7" w14:textId="77777777" w:rsidR="0044564B" w:rsidRDefault="00060B21" w:rsidP="00FC7454">
            <w:pPr>
              <w:keepNext/>
              <w:keepLines/>
              <w:rPr>
                <w:noProof/>
                <w:lang w:val="fr-FR"/>
              </w:rPr>
            </w:pPr>
            <w:r w:rsidRPr="00F22672">
              <w:rPr>
                <w:lang w:val="fr-FR"/>
              </w:rPr>
              <w:t>Tél/Tel:</w:t>
            </w:r>
            <w:r w:rsidRPr="00F22672">
              <w:rPr>
                <w:noProof/>
                <w:lang w:val="fr-FR"/>
              </w:rPr>
              <w:t xml:space="preserve"> +32 (0) 2 525 82 11</w:t>
            </w:r>
          </w:p>
          <w:p w14:paraId="210C1D0B" w14:textId="77777777" w:rsidR="00060B21" w:rsidRPr="00F22672" w:rsidRDefault="00060B21" w:rsidP="00FC7454">
            <w:pPr>
              <w:keepNext/>
              <w:keepLines/>
              <w:rPr>
                <w:b/>
                <w:noProof/>
                <w:lang w:val="fr-FR"/>
              </w:rPr>
            </w:pPr>
          </w:p>
        </w:tc>
        <w:tc>
          <w:tcPr>
            <w:tcW w:w="4590" w:type="dxa"/>
            <w:tcPrChange w:id="2314" w:author="AUTHOR">
              <w:tcPr>
                <w:tcW w:w="4590" w:type="dxa"/>
                <w:gridSpan w:val="2"/>
              </w:tcPr>
            </w:tcPrChange>
          </w:tcPr>
          <w:p w14:paraId="019F4D0F" w14:textId="77777777" w:rsidR="0013327A" w:rsidRPr="0013327A" w:rsidRDefault="0013327A" w:rsidP="0013327A">
            <w:pPr>
              <w:keepNext/>
              <w:keepLines/>
              <w:suppressAutoHyphens/>
              <w:rPr>
                <w:ins w:id="2315" w:author="AUTHOR"/>
                <w:b/>
                <w:bCs/>
                <w:lang w:val="de-DE"/>
              </w:rPr>
            </w:pPr>
            <w:ins w:id="2316" w:author="AUTHOR">
              <w:r w:rsidRPr="0013327A">
                <w:rPr>
                  <w:b/>
                  <w:bCs/>
                  <w:lang w:val="de-DE"/>
                </w:rPr>
                <w:t>Latvija</w:t>
              </w:r>
            </w:ins>
          </w:p>
          <w:p w14:paraId="575BE8DA" w14:textId="77777777" w:rsidR="0013327A" w:rsidRPr="00467FFD" w:rsidRDefault="0013327A" w:rsidP="0013327A">
            <w:pPr>
              <w:keepNext/>
              <w:keepLines/>
              <w:suppressAutoHyphens/>
              <w:rPr>
                <w:ins w:id="2317" w:author="AUTHOR"/>
                <w:lang w:val="de-DE"/>
                <w:rPrChange w:id="2318" w:author="AUTHOR">
                  <w:rPr>
                    <w:ins w:id="2319" w:author="AUTHOR"/>
                    <w:b/>
                    <w:bCs/>
                    <w:lang w:val="de-DE"/>
                  </w:rPr>
                </w:rPrChange>
              </w:rPr>
            </w:pPr>
            <w:ins w:id="2320" w:author="AUTHOR">
              <w:r w:rsidRPr="00467FFD">
                <w:rPr>
                  <w:lang w:val="de-DE"/>
                  <w:rPrChange w:id="2321" w:author="AUTHOR">
                    <w:rPr>
                      <w:b/>
                      <w:bCs/>
                      <w:lang w:val="de-DE"/>
                    </w:rPr>
                  </w:rPrChange>
                </w:rPr>
                <w:t>Roche Latvija SIA</w:t>
              </w:r>
            </w:ins>
          </w:p>
          <w:p w14:paraId="68C2E7DD" w14:textId="7C00DA12" w:rsidR="00060B21" w:rsidRPr="00F22672" w:rsidDel="0013327A" w:rsidRDefault="0013327A" w:rsidP="00467FFD">
            <w:pPr>
              <w:keepNext/>
              <w:keepLines/>
              <w:suppressAutoHyphens/>
              <w:rPr>
                <w:del w:id="2322" w:author="AUTHOR"/>
                <w:noProof/>
                <w:lang w:val="de-DE"/>
              </w:rPr>
            </w:pPr>
            <w:ins w:id="2323" w:author="AUTHOR">
              <w:r w:rsidRPr="00467FFD">
                <w:rPr>
                  <w:lang w:val="de-DE"/>
                  <w:rPrChange w:id="2324" w:author="AUTHOR">
                    <w:rPr>
                      <w:b/>
                      <w:bCs/>
                      <w:lang w:val="de-DE"/>
                    </w:rPr>
                  </w:rPrChange>
                </w:rPr>
                <w:t>Tel: +371 - 6 7039831</w:t>
              </w:r>
            </w:ins>
            <w:del w:id="2325" w:author="AUTHOR">
              <w:r w:rsidR="00060B21" w:rsidRPr="00F22672" w:rsidDel="0013327A">
                <w:rPr>
                  <w:b/>
                  <w:bCs/>
                  <w:lang w:val="de-DE"/>
                </w:rPr>
                <w:delText>Luxembourg/Luxemburg</w:delText>
              </w:r>
            </w:del>
          </w:p>
          <w:p w14:paraId="18460452" w14:textId="492261A3" w:rsidR="00060B21" w:rsidRPr="00F22672" w:rsidDel="0013327A" w:rsidRDefault="00060B21" w:rsidP="00467FFD">
            <w:pPr>
              <w:keepNext/>
              <w:keepLines/>
              <w:rPr>
                <w:del w:id="2326" w:author="AUTHOR"/>
                <w:noProof/>
                <w:lang w:val="de-DE"/>
              </w:rPr>
            </w:pPr>
            <w:del w:id="2327" w:author="AUTHOR">
              <w:r w:rsidRPr="00F22672" w:rsidDel="0013327A">
                <w:rPr>
                  <w:lang w:val="de-DE"/>
                </w:rPr>
                <w:delText>(Voir/siehe Belgique/Belgien)</w:delText>
              </w:r>
            </w:del>
          </w:p>
          <w:p w14:paraId="51207B01" w14:textId="77777777" w:rsidR="00060B21" w:rsidRPr="00F22672" w:rsidRDefault="00060B21">
            <w:pPr>
              <w:keepNext/>
              <w:keepLines/>
              <w:rPr>
                <w:b/>
                <w:noProof/>
                <w:lang w:val="de-CH"/>
              </w:rPr>
              <w:pPrChange w:id="2328" w:author="AUTHOR">
                <w:pPr>
                  <w:keepNext/>
                  <w:keepLines/>
                  <w:suppressAutoHyphens/>
                </w:pPr>
              </w:pPrChange>
            </w:pPr>
          </w:p>
        </w:tc>
      </w:tr>
      <w:tr w:rsidR="00060B21" w:rsidRPr="00F22672" w14:paraId="01EF98CE" w14:textId="77777777" w:rsidTr="00467FFD">
        <w:trPr>
          <w:cantSplit/>
          <w:trPrChange w:id="2329" w:author="AUTHOR">
            <w:trPr>
              <w:gridAfter w:val="0"/>
              <w:cantSplit/>
            </w:trPr>
          </w:trPrChange>
        </w:trPr>
        <w:tc>
          <w:tcPr>
            <w:tcW w:w="4590" w:type="dxa"/>
            <w:tcPrChange w:id="2330" w:author="AUTHOR">
              <w:tcPr>
                <w:tcW w:w="4590" w:type="dxa"/>
                <w:gridSpan w:val="2"/>
              </w:tcPr>
            </w:tcPrChange>
          </w:tcPr>
          <w:p w14:paraId="516A750D" w14:textId="77777777" w:rsidR="00060B21" w:rsidRPr="00F22672" w:rsidRDefault="00060B21" w:rsidP="00FC7454">
            <w:pPr>
              <w:keepNext/>
              <w:keepLines/>
              <w:autoSpaceDE w:val="0"/>
              <w:autoSpaceDN w:val="0"/>
              <w:adjustRightInd w:val="0"/>
              <w:rPr>
                <w:b/>
                <w:bCs/>
                <w:lang w:val="bg-BG"/>
              </w:rPr>
            </w:pPr>
            <w:r w:rsidRPr="00F22672">
              <w:rPr>
                <w:b/>
                <w:bCs/>
                <w:lang w:val="es-ES_tradnl"/>
              </w:rPr>
              <w:t>България</w:t>
            </w:r>
          </w:p>
          <w:p w14:paraId="7C194C49" w14:textId="77777777" w:rsidR="00060B21" w:rsidRPr="00F22672" w:rsidRDefault="00060B21" w:rsidP="00FC7454">
            <w:pPr>
              <w:keepNext/>
              <w:keepLines/>
              <w:suppressAutoHyphens/>
              <w:rPr>
                <w:noProof/>
                <w:lang w:val="de-CH"/>
              </w:rPr>
            </w:pPr>
            <w:r w:rsidRPr="00F22672">
              <w:rPr>
                <w:lang w:val="es-ES_tradnl"/>
              </w:rPr>
              <w:t>Рош</w:t>
            </w:r>
            <w:r w:rsidRPr="00F22672">
              <w:rPr>
                <w:lang w:val="de-CH"/>
              </w:rPr>
              <w:t xml:space="preserve"> </w:t>
            </w:r>
            <w:r w:rsidRPr="00F22672">
              <w:rPr>
                <w:lang w:val="es-ES_tradnl"/>
              </w:rPr>
              <w:t>България</w:t>
            </w:r>
            <w:r w:rsidRPr="00F22672">
              <w:rPr>
                <w:lang w:val="de-CH"/>
              </w:rPr>
              <w:t xml:space="preserve"> </w:t>
            </w:r>
            <w:r w:rsidRPr="00F22672">
              <w:rPr>
                <w:lang w:val="es-ES_tradnl"/>
              </w:rPr>
              <w:t>ЕООД</w:t>
            </w:r>
          </w:p>
          <w:p w14:paraId="4FB8BADF" w14:textId="263334EF" w:rsidR="00060B21" w:rsidRPr="00F22672" w:rsidRDefault="00702ADE" w:rsidP="00702ADE">
            <w:pPr>
              <w:keepNext/>
              <w:keepLines/>
              <w:suppressAutoHyphens/>
              <w:rPr>
                <w:noProof/>
                <w:lang w:val="bg-BG"/>
              </w:rPr>
            </w:pPr>
            <w:r w:rsidRPr="00702ADE">
              <w:rPr>
                <w:lang w:val="es-ES_tradnl"/>
              </w:rPr>
              <w:t>Тел</w:t>
            </w:r>
            <w:r w:rsidRPr="00F30AB8">
              <w:rPr>
                <w:lang w:val="fr-FR"/>
              </w:rPr>
              <w:t>: +359 2 474 5444</w:t>
            </w:r>
          </w:p>
        </w:tc>
        <w:tc>
          <w:tcPr>
            <w:tcW w:w="4590" w:type="dxa"/>
            <w:tcPrChange w:id="2331" w:author="AUTHOR">
              <w:tcPr>
                <w:tcW w:w="4590" w:type="dxa"/>
                <w:gridSpan w:val="2"/>
              </w:tcPr>
            </w:tcPrChange>
          </w:tcPr>
          <w:p w14:paraId="0F4C9436" w14:textId="77777777" w:rsidR="0013327A" w:rsidRPr="0013327A" w:rsidRDefault="0013327A" w:rsidP="0013327A">
            <w:pPr>
              <w:keepNext/>
              <w:keepLines/>
              <w:rPr>
                <w:ins w:id="2332" w:author="AUTHOR"/>
                <w:b/>
                <w:bCs/>
              </w:rPr>
            </w:pPr>
            <w:ins w:id="2333" w:author="AUTHOR">
              <w:r w:rsidRPr="0013327A">
                <w:rPr>
                  <w:b/>
                  <w:bCs/>
                </w:rPr>
                <w:t>Lietuva</w:t>
              </w:r>
            </w:ins>
          </w:p>
          <w:p w14:paraId="07DEA6ED" w14:textId="77777777" w:rsidR="0013327A" w:rsidRPr="00467FFD" w:rsidRDefault="0013327A" w:rsidP="0013327A">
            <w:pPr>
              <w:keepNext/>
              <w:keepLines/>
              <w:rPr>
                <w:ins w:id="2334" w:author="AUTHOR"/>
                <w:rPrChange w:id="2335" w:author="AUTHOR">
                  <w:rPr>
                    <w:ins w:id="2336" w:author="AUTHOR"/>
                    <w:b/>
                    <w:bCs/>
                  </w:rPr>
                </w:rPrChange>
              </w:rPr>
            </w:pPr>
            <w:ins w:id="2337" w:author="AUTHOR">
              <w:r w:rsidRPr="00467FFD">
                <w:rPr>
                  <w:rPrChange w:id="2338" w:author="AUTHOR">
                    <w:rPr>
                      <w:b/>
                      <w:bCs/>
                    </w:rPr>
                  </w:rPrChange>
                </w:rPr>
                <w:t>UAB “Roche Lietuva”</w:t>
              </w:r>
            </w:ins>
          </w:p>
          <w:p w14:paraId="7CE5CBE8" w14:textId="03B67445" w:rsidR="00060B21" w:rsidRPr="00F22672" w:rsidDel="0013327A" w:rsidRDefault="0013327A" w:rsidP="0013327A">
            <w:pPr>
              <w:keepNext/>
              <w:keepLines/>
              <w:rPr>
                <w:del w:id="2339" w:author="AUTHOR"/>
                <w:b/>
                <w:bCs/>
                <w:noProof/>
                <w:lang w:val="bg-BG"/>
              </w:rPr>
            </w:pPr>
            <w:ins w:id="2340" w:author="AUTHOR">
              <w:r w:rsidRPr="00467FFD">
                <w:rPr>
                  <w:rPrChange w:id="2341" w:author="AUTHOR">
                    <w:rPr>
                      <w:b/>
                      <w:bCs/>
                    </w:rPr>
                  </w:rPrChange>
                </w:rPr>
                <w:t>Tel: +370 5 2546799</w:t>
              </w:r>
            </w:ins>
            <w:del w:id="2342" w:author="AUTHOR">
              <w:r w:rsidR="00060B21" w:rsidRPr="00F22672" w:rsidDel="0013327A">
                <w:rPr>
                  <w:b/>
                  <w:bCs/>
                </w:rPr>
                <w:delText>Magyarorsz</w:delText>
              </w:r>
              <w:r w:rsidR="00060B21" w:rsidRPr="00F22672" w:rsidDel="0013327A">
                <w:rPr>
                  <w:b/>
                  <w:bCs/>
                  <w:lang w:val="bg-BG"/>
                </w:rPr>
                <w:delText>á</w:delText>
              </w:r>
              <w:r w:rsidR="00060B21" w:rsidRPr="00F22672" w:rsidDel="0013327A">
                <w:rPr>
                  <w:b/>
                  <w:bCs/>
                </w:rPr>
                <w:delText>g</w:delText>
              </w:r>
            </w:del>
          </w:p>
          <w:p w14:paraId="16CC8DC0" w14:textId="2B2CCBCE" w:rsidR="00060B21" w:rsidRPr="00F22672" w:rsidDel="0013327A" w:rsidRDefault="00060B21" w:rsidP="00FC7454">
            <w:pPr>
              <w:keepNext/>
              <w:keepLines/>
              <w:rPr>
                <w:del w:id="2343" w:author="AUTHOR"/>
                <w:noProof/>
                <w:lang w:val="bg-BG"/>
              </w:rPr>
            </w:pPr>
            <w:del w:id="2344" w:author="AUTHOR">
              <w:r w:rsidRPr="00F22672" w:rsidDel="0013327A">
                <w:delText>Roche</w:delText>
              </w:r>
              <w:r w:rsidRPr="00F22672" w:rsidDel="0013327A">
                <w:rPr>
                  <w:lang w:val="bg-BG"/>
                </w:rPr>
                <w:delText xml:space="preserve"> (</w:delText>
              </w:r>
              <w:r w:rsidRPr="00F22672" w:rsidDel="0013327A">
                <w:delText>Magyarorsz</w:delText>
              </w:r>
              <w:r w:rsidRPr="00F22672" w:rsidDel="0013327A">
                <w:rPr>
                  <w:lang w:val="bg-BG"/>
                </w:rPr>
                <w:delText>á</w:delText>
              </w:r>
              <w:r w:rsidRPr="00F22672" w:rsidDel="0013327A">
                <w:delText>g</w:delText>
              </w:r>
              <w:r w:rsidRPr="00F22672" w:rsidDel="0013327A">
                <w:rPr>
                  <w:lang w:val="bg-BG"/>
                </w:rPr>
                <w:delText xml:space="preserve">) </w:delText>
              </w:r>
              <w:r w:rsidRPr="00F22672" w:rsidDel="0013327A">
                <w:delText>Kft</w:delText>
              </w:r>
              <w:r w:rsidRPr="00F22672" w:rsidDel="0013327A">
                <w:rPr>
                  <w:lang w:val="bg-BG"/>
                </w:rPr>
                <w:delText>.</w:delText>
              </w:r>
            </w:del>
          </w:p>
          <w:p w14:paraId="4066CC00" w14:textId="60AD3BBB" w:rsidR="00060B21" w:rsidRPr="00F22672" w:rsidDel="0013327A" w:rsidRDefault="00060B21" w:rsidP="00FC7454">
            <w:pPr>
              <w:keepNext/>
              <w:keepLines/>
              <w:rPr>
                <w:del w:id="2345" w:author="AUTHOR"/>
                <w:noProof/>
                <w:lang w:val="bg-BG"/>
              </w:rPr>
            </w:pPr>
            <w:del w:id="2346" w:author="AUTHOR">
              <w:r w:rsidRPr="00F22672" w:rsidDel="0013327A">
                <w:delText>Tel</w:delText>
              </w:r>
              <w:r w:rsidRPr="00F22672" w:rsidDel="0013327A">
                <w:rPr>
                  <w:lang w:val="bg-BG"/>
                </w:rPr>
                <w:delText>:</w:delText>
              </w:r>
              <w:r w:rsidRPr="00F22672" w:rsidDel="0013327A">
                <w:rPr>
                  <w:noProof/>
                  <w:lang w:val="bg-BG"/>
                </w:rPr>
                <w:delText xml:space="preserve"> +36 - </w:delText>
              </w:r>
              <w:r w:rsidR="0085789E" w:rsidRPr="000C4151" w:rsidDel="0013327A">
                <w:rPr>
                  <w:noProof/>
                  <w:szCs w:val="22"/>
                  <w:lang w:val="cs-CZ"/>
                </w:rPr>
                <w:delText>1 279 4500</w:delText>
              </w:r>
            </w:del>
          </w:p>
          <w:p w14:paraId="42AD0041" w14:textId="77777777" w:rsidR="00060B21" w:rsidRPr="00F22672" w:rsidRDefault="00060B21" w:rsidP="0013327A">
            <w:pPr>
              <w:keepNext/>
              <w:keepLines/>
              <w:rPr>
                <w:noProof/>
                <w:lang w:val="bg-BG"/>
              </w:rPr>
            </w:pPr>
          </w:p>
        </w:tc>
      </w:tr>
      <w:tr w:rsidR="00060B21" w:rsidRPr="00F22672" w14:paraId="7A50D4D1" w14:textId="77777777" w:rsidTr="00467FFD">
        <w:trPr>
          <w:cantSplit/>
          <w:trPrChange w:id="2347" w:author="AUTHOR">
            <w:trPr>
              <w:gridAfter w:val="0"/>
              <w:cantSplit/>
            </w:trPr>
          </w:trPrChange>
        </w:trPr>
        <w:tc>
          <w:tcPr>
            <w:tcW w:w="4590" w:type="dxa"/>
            <w:tcPrChange w:id="2348" w:author="AUTHOR">
              <w:tcPr>
                <w:tcW w:w="4590" w:type="dxa"/>
                <w:gridSpan w:val="2"/>
              </w:tcPr>
            </w:tcPrChange>
          </w:tcPr>
          <w:p w14:paraId="5FC5CC7C" w14:textId="77777777" w:rsidR="00060B21" w:rsidRPr="00F22672" w:rsidRDefault="00060B21" w:rsidP="00FC7454">
            <w:pPr>
              <w:keepNext/>
              <w:keepLines/>
              <w:rPr>
                <w:b/>
                <w:bCs/>
                <w:noProof/>
                <w:lang w:val="de-DE"/>
              </w:rPr>
            </w:pPr>
            <w:r w:rsidRPr="00F22672">
              <w:rPr>
                <w:b/>
                <w:bCs/>
                <w:lang w:val="de-DE"/>
              </w:rPr>
              <w:t>Česká republika</w:t>
            </w:r>
          </w:p>
          <w:p w14:paraId="42428CFD" w14:textId="77777777" w:rsidR="00060B21" w:rsidRPr="00F22672" w:rsidRDefault="00060B21" w:rsidP="00FC7454">
            <w:pPr>
              <w:keepNext/>
              <w:keepLines/>
              <w:rPr>
                <w:noProof/>
                <w:lang w:val="de-DE"/>
              </w:rPr>
            </w:pPr>
            <w:r w:rsidRPr="00F22672">
              <w:rPr>
                <w:lang w:val="de-DE"/>
              </w:rPr>
              <w:t>Roche s. r. o.</w:t>
            </w:r>
          </w:p>
          <w:p w14:paraId="0E278B86" w14:textId="77777777" w:rsidR="00060B21" w:rsidRDefault="00060B21" w:rsidP="00FC7454">
            <w:pPr>
              <w:keepNext/>
              <w:keepLines/>
              <w:rPr>
                <w:noProof/>
                <w:lang w:val="de-DE"/>
              </w:rPr>
            </w:pPr>
            <w:r w:rsidRPr="00F22672">
              <w:rPr>
                <w:lang w:val="de-DE"/>
              </w:rPr>
              <w:t>Tel:</w:t>
            </w:r>
            <w:r w:rsidRPr="00F22672">
              <w:rPr>
                <w:noProof/>
                <w:lang w:val="de-DE"/>
              </w:rPr>
              <w:t xml:space="preserve"> +420 - 2 20382111</w:t>
            </w:r>
          </w:p>
          <w:p w14:paraId="1E203D58" w14:textId="77777777" w:rsidR="00435911" w:rsidRPr="00F22672" w:rsidRDefault="00435911" w:rsidP="00FC7454">
            <w:pPr>
              <w:keepNext/>
              <w:keepLines/>
              <w:rPr>
                <w:lang w:val="de-DE"/>
              </w:rPr>
            </w:pPr>
          </w:p>
        </w:tc>
        <w:tc>
          <w:tcPr>
            <w:tcW w:w="4590" w:type="dxa"/>
            <w:tcPrChange w:id="2349" w:author="AUTHOR">
              <w:tcPr>
                <w:tcW w:w="4590" w:type="dxa"/>
                <w:gridSpan w:val="2"/>
              </w:tcPr>
            </w:tcPrChange>
          </w:tcPr>
          <w:p w14:paraId="105FF17E" w14:textId="77777777" w:rsidR="0013327A" w:rsidRPr="0013327A" w:rsidRDefault="0013327A" w:rsidP="0013327A">
            <w:pPr>
              <w:rPr>
                <w:ins w:id="2350" w:author="AUTHOR"/>
                <w:b/>
                <w:szCs w:val="22"/>
                <w:lang w:val="de-DE"/>
              </w:rPr>
            </w:pPr>
            <w:ins w:id="2351" w:author="AUTHOR">
              <w:r w:rsidRPr="0013327A">
                <w:rPr>
                  <w:b/>
                  <w:szCs w:val="22"/>
                  <w:lang w:val="de-DE"/>
                </w:rPr>
                <w:t>Magyarország</w:t>
              </w:r>
            </w:ins>
          </w:p>
          <w:p w14:paraId="4BC0276B" w14:textId="77777777" w:rsidR="0013327A" w:rsidRPr="0013327A" w:rsidRDefault="0013327A" w:rsidP="0013327A">
            <w:pPr>
              <w:rPr>
                <w:ins w:id="2352" w:author="AUTHOR"/>
                <w:szCs w:val="22"/>
                <w:lang w:val="de-DE"/>
              </w:rPr>
            </w:pPr>
            <w:ins w:id="2353" w:author="AUTHOR">
              <w:r w:rsidRPr="0013327A">
                <w:rPr>
                  <w:szCs w:val="22"/>
                  <w:lang w:val="de-DE"/>
                </w:rPr>
                <w:t>Roche (Magyarország) Kft.</w:t>
              </w:r>
            </w:ins>
          </w:p>
          <w:p w14:paraId="55DE0C25" w14:textId="66E91C46" w:rsidR="0044564B" w:rsidDel="0013327A" w:rsidRDefault="0013327A" w:rsidP="00467FFD">
            <w:pPr>
              <w:keepNext/>
              <w:keepLines/>
              <w:rPr>
                <w:del w:id="2354" w:author="AUTHOR"/>
                <w:noProof/>
              </w:rPr>
            </w:pPr>
            <w:ins w:id="2355" w:author="AUTHOR">
              <w:r w:rsidRPr="0013327A">
                <w:rPr>
                  <w:szCs w:val="22"/>
                  <w:lang w:val="de-DE"/>
                </w:rPr>
                <w:t>Tel: +36 - 1 279 4500</w:t>
              </w:r>
            </w:ins>
            <w:del w:id="2356" w:author="AUTHOR">
              <w:r w:rsidR="00060B21" w:rsidRPr="00F22672" w:rsidDel="0013327A">
                <w:rPr>
                  <w:b/>
                  <w:noProof/>
                  <w:lang w:val="en-GB"/>
                </w:rPr>
                <w:delText>Malta</w:delText>
              </w:r>
            </w:del>
          </w:p>
          <w:p w14:paraId="4284C39A" w14:textId="3989E20D" w:rsidR="00060B21" w:rsidRPr="00F22672" w:rsidRDefault="00E155F7">
            <w:pPr>
              <w:keepNext/>
              <w:keepLines/>
              <w:pPrChange w:id="2357" w:author="AUTHOR">
                <w:pPr>
                  <w:keepNext/>
                  <w:keepLines/>
                  <w:autoSpaceDE w:val="0"/>
                  <w:autoSpaceDN w:val="0"/>
                  <w:adjustRightInd w:val="0"/>
                </w:pPr>
              </w:pPrChange>
            </w:pPr>
            <w:del w:id="2358" w:author="AUTHOR">
              <w:r w:rsidDel="0013327A">
                <w:rPr>
                  <w:noProof/>
                </w:rPr>
                <w:delText>(See Ireland)</w:delText>
              </w:r>
            </w:del>
          </w:p>
        </w:tc>
      </w:tr>
      <w:tr w:rsidR="00060B21" w:rsidRPr="00F22672" w14:paraId="3352365F" w14:textId="77777777" w:rsidTr="00467FFD">
        <w:trPr>
          <w:cantSplit/>
          <w:trPrChange w:id="2359" w:author="AUTHOR">
            <w:trPr>
              <w:gridAfter w:val="0"/>
              <w:cantSplit/>
            </w:trPr>
          </w:trPrChange>
        </w:trPr>
        <w:tc>
          <w:tcPr>
            <w:tcW w:w="4590" w:type="dxa"/>
            <w:tcPrChange w:id="2360" w:author="AUTHOR">
              <w:tcPr>
                <w:tcW w:w="4590" w:type="dxa"/>
                <w:gridSpan w:val="2"/>
              </w:tcPr>
            </w:tcPrChange>
          </w:tcPr>
          <w:p w14:paraId="0A014905" w14:textId="77777777" w:rsidR="00060B21" w:rsidRPr="00F22672" w:rsidRDefault="00060B21" w:rsidP="00FC7454">
            <w:pPr>
              <w:keepNext/>
              <w:keepLines/>
              <w:rPr>
                <w:noProof/>
              </w:rPr>
            </w:pPr>
            <w:r w:rsidRPr="00F22672">
              <w:rPr>
                <w:b/>
                <w:bCs/>
              </w:rPr>
              <w:t>Danmark</w:t>
            </w:r>
          </w:p>
          <w:p w14:paraId="6E5AF84A" w14:textId="77777777" w:rsidR="00060B21" w:rsidRPr="00F22672" w:rsidRDefault="00060B21" w:rsidP="00FC7454">
            <w:pPr>
              <w:keepNext/>
              <w:keepLines/>
              <w:rPr>
                <w:noProof/>
              </w:rPr>
            </w:pPr>
            <w:r w:rsidRPr="00F22672">
              <w:t xml:space="preserve">Roche </w:t>
            </w:r>
            <w:r w:rsidR="00435911">
              <w:rPr>
                <w:noProof/>
              </w:rPr>
              <w:t>Pharmaceuticals A/S</w:t>
            </w:r>
          </w:p>
          <w:p w14:paraId="32F426EB" w14:textId="77777777" w:rsidR="00060B21" w:rsidRPr="00F22672" w:rsidRDefault="00060B21" w:rsidP="00FC7454">
            <w:pPr>
              <w:keepNext/>
              <w:keepLines/>
              <w:rPr>
                <w:noProof/>
              </w:rPr>
            </w:pPr>
            <w:r w:rsidRPr="00F22672">
              <w:t>Tlf:</w:t>
            </w:r>
            <w:r w:rsidRPr="00F22672">
              <w:rPr>
                <w:noProof/>
              </w:rPr>
              <w:t xml:space="preserve"> +45 - 36 39 99 99</w:t>
            </w:r>
          </w:p>
          <w:p w14:paraId="5B85DEE9" w14:textId="77777777" w:rsidR="00060B21" w:rsidRPr="00F22672" w:rsidRDefault="00060B21" w:rsidP="00FC7454">
            <w:pPr>
              <w:keepNext/>
              <w:keepLines/>
              <w:rPr>
                <w:b/>
                <w:noProof/>
                <w:lang w:val="en-GB"/>
              </w:rPr>
            </w:pPr>
          </w:p>
        </w:tc>
        <w:tc>
          <w:tcPr>
            <w:tcW w:w="4590" w:type="dxa"/>
            <w:tcPrChange w:id="2361" w:author="AUTHOR">
              <w:tcPr>
                <w:tcW w:w="4590" w:type="dxa"/>
                <w:gridSpan w:val="2"/>
              </w:tcPr>
            </w:tcPrChange>
          </w:tcPr>
          <w:p w14:paraId="39C56CCF" w14:textId="77777777" w:rsidR="00060B21" w:rsidRPr="00F22672" w:rsidRDefault="00060B21" w:rsidP="00FC7454">
            <w:pPr>
              <w:keepNext/>
              <w:keepLines/>
              <w:rPr>
                <w:noProof/>
                <w:lang w:val="nl-NL"/>
              </w:rPr>
            </w:pPr>
            <w:r w:rsidRPr="00F22672">
              <w:rPr>
                <w:b/>
                <w:bCs/>
                <w:lang w:val="nl-NL"/>
              </w:rPr>
              <w:t>Nederland</w:t>
            </w:r>
          </w:p>
          <w:p w14:paraId="65EC04B5" w14:textId="77777777" w:rsidR="00060B21" w:rsidRPr="00F22672" w:rsidRDefault="00060B21" w:rsidP="00FC7454">
            <w:pPr>
              <w:keepNext/>
              <w:keepLines/>
              <w:rPr>
                <w:noProof/>
                <w:lang w:val="nl-NL"/>
              </w:rPr>
            </w:pPr>
            <w:r w:rsidRPr="00F22672">
              <w:rPr>
                <w:lang w:val="nl-NL"/>
              </w:rPr>
              <w:t>Roche Nederland B.V.</w:t>
            </w:r>
          </w:p>
          <w:p w14:paraId="2A7D86D8" w14:textId="77777777" w:rsidR="00060B21" w:rsidRPr="00F22672" w:rsidRDefault="00060B21" w:rsidP="00FC7454">
            <w:pPr>
              <w:keepNext/>
              <w:keepLines/>
              <w:rPr>
                <w:noProof/>
                <w:lang w:val="es-ES"/>
              </w:rPr>
            </w:pPr>
            <w:r w:rsidRPr="00F22672">
              <w:rPr>
                <w:lang w:val="es-ES_tradnl"/>
              </w:rPr>
              <w:t>Tel:</w:t>
            </w:r>
            <w:r w:rsidRPr="00F22672">
              <w:rPr>
                <w:noProof/>
                <w:lang w:val="es-ES"/>
              </w:rPr>
              <w:t xml:space="preserve"> +31 (0) 348 438050</w:t>
            </w:r>
          </w:p>
          <w:p w14:paraId="2CAAE64F" w14:textId="77777777" w:rsidR="00060B21" w:rsidRPr="00F22672" w:rsidRDefault="00060B21" w:rsidP="00FC7454">
            <w:pPr>
              <w:keepNext/>
              <w:keepLines/>
              <w:rPr>
                <w:noProof/>
                <w:lang w:val="en-GB"/>
              </w:rPr>
            </w:pPr>
          </w:p>
        </w:tc>
      </w:tr>
      <w:tr w:rsidR="00060B21" w:rsidRPr="00F22672" w14:paraId="4E808A74" w14:textId="77777777" w:rsidTr="00467FFD">
        <w:trPr>
          <w:cantSplit/>
          <w:trPrChange w:id="2362" w:author="AUTHOR">
            <w:trPr>
              <w:gridAfter w:val="0"/>
              <w:cantSplit/>
            </w:trPr>
          </w:trPrChange>
        </w:trPr>
        <w:tc>
          <w:tcPr>
            <w:tcW w:w="4590" w:type="dxa"/>
            <w:tcPrChange w:id="2363" w:author="AUTHOR">
              <w:tcPr>
                <w:tcW w:w="4590" w:type="dxa"/>
                <w:gridSpan w:val="2"/>
              </w:tcPr>
            </w:tcPrChange>
          </w:tcPr>
          <w:p w14:paraId="73FCB3E6" w14:textId="77777777" w:rsidR="00060B21" w:rsidRPr="00F22672" w:rsidRDefault="00060B21" w:rsidP="00FC7454">
            <w:pPr>
              <w:rPr>
                <w:noProof/>
                <w:lang w:val="de-DE"/>
              </w:rPr>
            </w:pPr>
            <w:r w:rsidRPr="00F22672">
              <w:rPr>
                <w:b/>
                <w:noProof/>
                <w:lang w:val="de-DE"/>
              </w:rPr>
              <w:t>Deutschland</w:t>
            </w:r>
          </w:p>
          <w:p w14:paraId="408E7325" w14:textId="77777777" w:rsidR="00060B21" w:rsidRPr="00F22672" w:rsidRDefault="00060B21" w:rsidP="00FC7454">
            <w:pPr>
              <w:autoSpaceDE w:val="0"/>
              <w:autoSpaceDN w:val="0"/>
              <w:adjustRightInd w:val="0"/>
              <w:rPr>
                <w:rFonts w:eastAsia="SimSun"/>
                <w:szCs w:val="22"/>
                <w:lang w:val="de-CH" w:eastAsia="zh-CN"/>
              </w:rPr>
            </w:pPr>
            <w:r w:rsidRPr="00F22672">
              <w:rPr>
                <w:rFonts w:eastAsia="SimSun"/>
                <w:szCs w:val="22"/>
                <w:lang w:val="de-CH" w:eastAsia="zh-CN"/>
              </w:rPr>
              <w:t>Roche Pharma AG</w:t>
            </w:r>
          </w:p>
          <w:p w14:paraId="33E41E32" w14:textId="77777777" w:rsidR="00060B21" w:rsidRPr="00F22672" w:rsidRDefault="00060B21" w:rsidP="00FC7454">
            <w:pPr>
              <w:autoSpaceDE w:val="0"/>
              <w:autoSpaceDN w:val="0"/>
              <w:adjustRightInd w:val="0"/>
              <w:rPr>
                <w:rFonts w:eastAsia="SimSun"/>
                <w:szCs w:val="22"/>
                <w:lang w:val="de-CH" w:eastAsia="zh-CN"/>
              </w:rPr>
            </w:pPr>
            <w:r w:rsidRPr="00F22672">
              <w:rPr>
                <w:rFonts w:eastAsia="SimSun"/>
                <w:szCs w:val="22"/>
                <w:lang w:val="de-CH" w:eastAsia="zh-CN"/>
              </w:rPr>
              <w:t>Tel: +49 (0) 7624 140</w:t>
            </w:r>
          </w:p>
          <w:p w14:paraId="51673024" w14:textId="0BE3F2AC" w:rsidR="00060B21" w:rsidRPr="00F30AB8" w:rsidDel="0013327A" w:rsidRDefault="00060B21" w:rsidP="006616E4">
            <w:pPr>
              <w:rPr>
                <w:del w:id="2364" w:author="AUTHOR"/>
                <w:noProof/>
                <w:lang w:val="pt-PT"/>
              </w:rPr>
            </w:pPr>
            <w:del w:id="2365" w:author="AUTHOR">
              <w:r w:rsidRPr="00F30AB8" w:rsidDel="0013327A">
                <w:rPr>
                  <w:noProof/>
                  <w:lang w:val="pt-PT"/>
                </w:rPr>
                <w:delText>oder</w:delText>
              </w:r>
            </w:del>
          </w:p>
          <w:p w14:paraId="7EAEB5F5" w14:textId="382C603C" w:rsidR="00060B21" w:rsidRPr="00F30AB8" w:rsidDel="0013327A" w:rsidRDefault="00060B21" w:rsidP="00FC7454">
            <w:pPr>
              <w:autoSpaceDE w:val="0"/>
              <w:autoSpaceDN w:val="0"/>
              <w:adjustRightInd w:val="0"/>
              <w:rPr>
                <w:del w:id="2366" w:author="AUTHOR"/>
                <w:rFonts w:eastAsia="SimSun"/>
                <w:szCs w:val="22"/>
                <w:lang w:val="pt-PT" w:eastAsia="zh-CN"/>
              </w:rPr>
            </w:pPr>
            <w:del w:id="2367" w:author="AUTHOR">
              <w:r w:rsidRPr="00F30AB8" w:rsidDel="0013327A">
                <w:rPr>
                  <w:rFonts w:eastAsia="SimSun"/>
                  <w:szCs w:val="22"/>
                  <w:lang w:val="pt-PT" w:eastAsia="zh-CN"/>
                </w:rPr>
                <w:delText xml:space="preserve">Chugai Pharma </w:delText>
              </w:r>
              <w:r w:rsidR="005E3655" w:rsidRPr="00F30AB8" w:rsidDel="0013327A">
                <w:rPr>
                  <w:rFonts w:eastAsia="SimSun"/>
                  <w:szCs w:val="22"/>
                  <w:lang w:val="pt-PT" w:eastAsia="zh-CN"/>
                </w:rPr>
                <w:delText xml:space="preserve">Europe </w:delText>
              </w:r>
              <w:r w:rsidRPr="00F30AB8" w:rsidDel="0013327A">
                <w:rPr>
                  <w:rFonts w:eastAsia="SimSun"/>
                  <w:szCs w:val="22"/>
                  <w:lang w:val="pt-PT" w:eastAsia="zh-CN"/>
                </w:rPr>
                <w:delText>Ltd.</w:delText>
              </w:r>
            </w:del>
          </w:p>
          <w:p w14:paraId="0F8772E4" w14:textId="2DC9D8FC" w:rsidR="00060B21" w:rsidRPr="00F22672" w:rsidDel="0013327A" w:rsidRDefault="00060B21" w:rsidP="00FC7454">
            <w:pPr>
              <w:autoSpaceDE w:val="0"/>
              <w:autoSpaceDN w:val="0"/>
              <w:adjustRightInd w:val="0"/>
              <w:rPr>
                <w:del w:id="2368" w:author="AUTHOR"/>
                <w:rFonts w:eastAsia="SimSun"/>
                <w:szCs w:val="22"/>
                <w:lang w:val="de-CH" w:eastAsia="zh-CN"/>
              </w:rPr>
            </w:pPr>
            <w:del w:id="2369" w:author="AUTHOR">
              <w:r w:rsidRPr="00F22672" w:rsidDel="0013327A">
                <w:rPr>
                  <w:rFonts w:eastAsia="SimSun"/>
                  <w:szCs w:val="22"/>
                  <w:lang w:val="de-CH" w:eastAsia="zh-CN"/>
                </w:rPr>
                <w:delText>Zweigniederlassung Deutschland</w:delText>
              </w:r>
            </w:del>
          </w:p>
          <w:p w14:paraId="5A4F441B" w14:textId="1B5B5B35" w:rsidR="00060B21" w:rsidRPr="00F22672" w:rsidDel="0013327A" w:rsidRDefault="00060B21" w:rsidP="00FC7454">
            <w:pPr>
              <w:autoSpaceDE w:val="0"/>
              <w:autoSpaceDN w:val="0"/>
              <w:adjustRightInd w:val="0"/>
              <w:rPr>
                <w:del w:id="2370" w:author="AUTHOR"/>
                <w:rFonts w:eastAsia="SimSun"/>
                <w:szCs w:val="22"/>
                <w:lang w:val="de-CH" w:eastAsia="zh-CN"/>
              </w:rPr>
            </w:pPr>
            <w:del w:id="2371" w:author="AUTHOR">
              <w:r w:rsidRPr="00F22672" w:rsidDel="0013327A">
                <w:rPr>
                  <w:rFonts w:eastAsia="SimSun"/>
                  <w:szCs w:val="22"/>
                  <w:lang w:val="de-CH" w:eastAsia="zh-CN"/>
                </w:rPr>
                <w:delText>Tel: +49 (0) 69 663000 0</w:delText>
              </w:r>
            </w:del>
          </w:p>
          <w:p w14:paraId="2DF4B140" w14:textId="77777777" w:rsidR="00060B21" w:rsidRPr="00F22672" w:rsidRDefault="00060B21" w:rsidP="0013327A">
            <w:pPr>
              <w:autoSpaceDE w:val="0"/>
              <w:autoSpaceDN w:val="0"/>
              <w:adjustRightInd w:val="0"/>
              <w:rPr>
                <w:b/>
                <w:noProof/>
                <w:lang w:val="de-DE"/>
              </w:rPr>
            </w:pPr>
          </w:p>
        </w:tc>
        <w:tc>
          <w:tcPr>
            <w:tcW w:w="4590" w:type="dxa"/>
            <w:tcPrChange w:id="2372" w:author="AUTHOR">
              <w:tcPr>
                <w:tcW w:w="4590" w:type="dxa"/>
                <w:gridSpan w:val="2"/>
              </w:tcPr>
            </w:tcPrChange>
          </w:tcPr>
          <w:p w14:paraId="1F40BE3E" w14:textId="77777777" w:rsidR="00060B21" w:rsidRPr="00F22672" w:rsidRDefault="00060B21" w:rsidP="00FC7454">
            <w:pPr>
              <w:rPr>
                <w:b/>
                <w:bCs/>
                <w:noProof/>
              </w:rPr>
            </w:pPr>
            <w:r w:rsidRPr="00F22672">
              <w:rPr>
                <w:b/>
                <w:bCs/>
              </w:rPr>
              <w:t>Norge</w:t>
            </w:r>
          </w:p>
          <w:p w14:paraId="11CF09C6" w14:textId="77777777" w:rsidR="00060B21" w:rsidRPr="00F22672" w:rsidRDefault="00060B21" w:rsidP="00FC7454">
            <w:pPr>
              <w:rPr>
                <w:noProof/>
              </w:rPr>
            </w:pPr>
            <w:r w:rsidRPr="00F22672">
              <w:t>Roche Norge AS</w:t>
            </w:r>
          </w:p>
          <w:p w14:paraId="4EB69BB7" w14:textId="77777777" w:rsidR="00060B21" w:rsidRPr="00F22672" w:rsidRDefault="00060B21" w:rsidP="00FC7454">
            <w:pPr>
              <w:rPr>
                <w:noProof/>
                <w:lang w:val="en-GB"/>
              </w:rPr>
            </w:pPr>
            <w:r w:rsidRPr="00F22672">
              <w:t>Tlf:</w:t>
            </w:r>
            <w:r w:rsidRPr="00F22672">
              <w:rPr>
                <w:noProof/>
              </w:rPr>
              <w:t xml:space="preserve"> +47 - 22 78 90 00</w:t>
            </w:r>
          </w:p>
        </w:tc>
      </w:tr>
      <w:tr w:rsidR="00060B21" w:rsidRPr="001335A4" w14:paraId="7E7D5FAF" w14:textId="77777777" w:rsidTr="00467FFD">
        <w:trPr>
          <w:cantSplit/>
          <w:trPrChange w:id="2373" w:author="AUTHOR">
            <w:trPr>
              <w:gridAfter w:val="0"/>
              <w:cantSplit/>
            </w:trPr>
          </w:trPrChange>
        </w:trPr>
        <w:tc>
          <w:tcPr>
            <w:tcW w:w="4590" w:type="dxa"/>
            <w:tcPrChange w:id="2374" w:author="AUTHOR">
              <w:tcPr>
                <w:tcW w:w="4590" w:type="dxa"/>
                <w:gridSpan w:val="2"/>
              </w:tcPr>
            </w:tcPrChange>
          </w:tcPr>
          <w:p w14:paraId="344C6F37" w14:textId="77777777" w:rsidR="00060B21" w:rsidRPr="00F22672" w:rsidRDefault="00060B21" w:rsidP="00FC7454">
            <w:pPr>
              <w:rPr>
                <w:b/>
                <w:bCs/>
                <w:noProof/>
                <w:lang w:val="it-IT"/>
              </w:rPr>
            </w:pPr>
            <w:r w:rsidRPr="00F22672">
              <w:rPr>
                <w:b/>
                <w:bCs/>
                <w:lang w:val="it-IT"/>
              </w:rPr>
              <w:t>Eesti</w:t>
            </w:r>
          </w:p>
          <w:p w14:paraId="73535A1C" w14:textId="77777777" w:rsidR="00060B21" w:rsidRPr="00F22672" w:rsidRDefault="00060B21" w:rsidP="00FC7454">
            <w:pPr>
              <w:rPr>
                <w:noProof/>
                <w:lang w:val="it-IT"/>
              </w:rPr>
            </w:pPr>
            <w:r w:rsidRPr="00F22672">
              <w:rPr>
                <w:lang w:val="it-IT"/>
              </w:rPr>
              <w:t>Roche Eesti OÜ</w:t>
            </w:r>
          </w:p>
          <w:p w14:paraId="5FB4C8CD" w14:textId="77777777" w:rsidR="00060B21" w:rsidRPr="006616E4" w:rsidRDefault="00060B21" w:rsidP="00FC7454">
            <w:pPr>
              <w:rPr>
                <w:noProof/>
                <w:lang w:val="it-IT"/>
              </w:rPr>
            </w:pPr>
            <w:r w:rsidRPr="006616E4">
              <w:rPr>
                <w:noProof/>
                <w:lang w:val="it-IT"/>
              </w:rPr>
              <w:t>Tel: + 372 - 6 177 380</w:t>
            </w:r>
          </w:p>
          <w:p w14:paraId="35883837" w14:textId="77777777" w:rsidR="00060B21" w:rsidRPr="00F22672" w:rsidRDefault="00060B21" w:rsidP="00FC7454">
            <w:pPr>
              <w:rPr>
                <w:noProof/>
                <w:lang w:val="it-IT"/>
              </w:rPr>
            </w:pPr>
          </w:p>
        </w:tc>
        <w:tc>
          <w:tcPr>
            <w:tcW w:w="4590" w:type="dxa"/>
            <w:tcPrChange w:id="2375" w:author="AUTHOR">
              <w:tcPr>
                <w:tcW w:w="4590" w:type="dxa"/>
                <w:gridSpan w:val="2"/>
              </w:tcPr>
            </w:tcPrChange>
          </w:tcPr>
          <w:p w14:paraId="45E1645B" w14:textId="77777777" w:rsidR="00060B21" w:rsidRPr="00F22672" w:rsidRDefault="00060B21" w:rsidP="00FC7454">
            <w:pPr>
              <w:rPr>
                <w:noProof/>
                <w:lang w:val="de-DE"/>
              </w:rPr>
            </w:pPr>
            <w:r w:rsidRPr="00F22672">
              <w:rPr>
                <w:b/>
                <w:bCs/>
                <w:lang w:val="de-DE"/>
              </w:rPr>
              <w:t>Österreich</w:t>
            </w:r>
          </w:p>
          <w:p w14:paraId="72D3D0BF" w14:textId="77777777" w:rsidR="00060B21" w:rsidRPr="00F22672" w:rsidRDefault="00060B21" w:rsidP="00FC7454">
            <w:pPr>
              <w:rPr>
                <w:noProof/>
                <w:lang w:val="de-DE"/>
              </w:rPr>
            </w:pPr>
            <w:r w:rsidRPr="00F22672">
              <w:rPr>
                <w:lang w:val="de-DE"/>
              </w:rPr>
              <w:t>Roche Austria GmbH</w:t>
            </w:r>
          </w:p>
          <w:p w14:paraId="42FC197C" w14:textId="77777777" w:rsidR="00060B21" w:rsidRPr="00F22672" w:rsidRDefault="00060B21" w:rsidP="00FC7454">
            <w:pPr>
              <w:rPr>
                <w:noProof/>
                <w:lang w:val="de-DE"/>
              </w:rPr>
            </w:pPr>
            <w:r w:rsidRPr="00F22672">
              <w:rPr>
                <w:lang w:val="de-DE"/>
              </w:rPr>
              <w:t>Tel:</w:t>
            </w:r>
            <w:r w:rsidRPr="00F22672">
              <w:rPr>
                <w:noProof/>
                <w:lang w:val="de-DE"/>
              </w:rPr>
              <w:t xml:space="preserve"> +43 (0) 1 27739</w:t>
            </w:r>
          </w:p>
          <w:p w14:paraId="5C6A8BAD" w14:textId="77777777" w:rsidR="00060B21" w:rsidRPr="00F22672" w:rsidRDefault="00060B21" w:rsidP="00FC7454">
            <w:pPr>
              <w:rPr>
                <w:noProof/>
                <w:lang w:val="de-DE"/>
              </w:rPr>
            </w:pPr>
          </w:p>
        </w:tc>
      </w:tr>
      <w:tr w:rsidR="00060B21" w:rsidRPr="00F22672" w14:paraId="2B37B195" w14:textId="77777777" w:rsidTr="00467FFD">
        <w:trPr>
          <w:cantSplit/>
          <w:trPrChange w:id="2376" w:author="AUTHOR">
            <w:trPr>
              <w:gridAfter w:val="0"/>
              <w:cantSplit/>
            </w:trPr>
          </w:trPrChange>
        </w:trPr>
        <w:tc>
          <w:tcPr>
            <w:tcW w:w="4590" w:type="dxa"/>
            <w:tcPrChange w:id="2377" w:author="AUTHOR">
              <w:tcPr>
                <w:tcW w:w="4590" w:type="dxa"/>
                <w:gridSpan w:val="2"/>
              </w:tcPr>
            </w:tcPrChange>
          </w:tcPr>
          <w:p w14:paraId="2ACCB5BC" w14:textId="0E6C260D" w:rsidR="00060B21" w:rsidRPr="00F22672" w:rsidRDefault="00060B21" w:rsidP="00FC7454">
            <w:pPr>
              <w:rPr>
                <w:noProof/>
              </w:rPr>
            </w:pPr>
            <w:r w:rsidRPr="00F22672">
              <w:rPr>
                <w:b/>
                <w:bCs/>
                <w:lang w:val="es-ES_tradnl"/>
              </w:rPr>
              <w:t>Ελλάδα</w:t>
            </w:r>
            <w:ins w:id="2378" w:author="AUTHOR">
              <w:r w:rsidR="0013327A" w:rsidRPr="007C1605">
                <w:rPr>
                  <w:b/>
                  <w:szCs w:val="22"/>
                  <w:lang w:val="de-DE"/>
                </w:rPr>
                <w:t>, K</w:t>
              </w:r>
              <w:r w:rsidR="0013327A" w:rsidRPr="00E725B3">
                <w:rPr>
                  <w:b/>
                  <w:noProof/>
                  <w:szCs w:val="22"/>
                  <w:lang w:val="en-GB"/>
                </w:rPr>
                <w:t>ύπρος</w:t>
              </w:r>
            </w:ins>
          </w:p>
          <w:p w14:paraId="0A64BC33" w14:textId="77777777" w:rsidR="00060B21" w:rsidRPr="00F22672" w:rsidRDefault="00060B21" w:rsidP="00FC7454">
            <w:pPr>
              <w:rPr>
                <w:noProof/>
              </w:rPr>
            </w:pPr>
            <w:r w:rsidRPr="00F22672">
              <w:t>Roche (Hellas) A.E.</w:t>
            </w:r>
            <w:r w:rsidRPr="00F22672">
              <w:rPr>
                <w:noProof/>
              </w:rPr>
              <w:t xml:space="preserve"> </w:t>
            </w:r>
          </w:p>
          <w:p w14:paraId="2C943F7D" w14:textId="77777777" w:rsidR="0013327A" w:rsidRDefault="0013327A" w:rsidP="00FC7454">
            <w:pPr>
              <w:rPr>
                <w:ins w:id="2379" w:author="AUTHOR"/>
                <w:lang w:val="es-ES_tradnl"/>
              </w:rPr>
            </w:pPr>
            <w:ins w:id="2380" w:author="AUTHOR">
              <w:r w:rsidRPr="0013327A">
                <w:rPr>
                  <w:lang w:val="es-ES_tradnl"/>
                </w:rPr>
                <w:t>Ελλάδα</w:t>
              </w:r>
            </w:ins>
          </w:p>
          <w:p w14:paraId="5594AE44" w14:textId="3D421E61" w:rsidR="00060B21" w:rsidRPr="00F22672" w:rsidRDefault="00060B21" w:rsidP="00FC7454">
            <w:pPr>
              <w:rPr>
                <w:noProof/>
                <w:lang w:val="es-ES"/>
              </w:rPr>
            </w:pPr>
            <w:r w:rsidRPr="00F22672">
              <w:rPr>
                <w:lang w:val="es-ES_tradnl"/>
              </w:rPr>
              <w:t>Τηλ:</w:t>
            </w:r>
            <w:r w:rsidRPr="00F22672">
              <w:rPr>
                <w:noProof/>
                <w:lang w:val="es-ES"/>
              </w:rPr>
              <w:t xml:space="preserve"> +30 210 61 66 100</w:t>
            </w:r>
          </w:p>
          <w:p w14:paraId="43EE5A51" w14:textId="77777777" w:rsidR="00060B21" w:rsidRPr="00F22672" w:rsidRDefault="00060B21" w:rsidP="00FC7454">
            <w:pPr>
              <w:rPr>
                <w:noProof/>
                <w:lang w:val="de-CH"/>
              </w:rPr>
            </w:pPr>
          </w:p>
        </w:tc>
        <w:tc>
          <w:tcPr>
            <w:tcW w:w="4590" w:type="dxa"/>
            <w:tcPrChange w:id="2381" w:author="AUTHOR">
              <w:tcPr>
                <w:tcW w:w="4590" w:type="dxa"/>
                <w:gridSpan w:val="2"/>
              </w:tcPr>
            </w:tcPrChange>
          </w:tcPr>
          <w:p w14:paraId="2A0BB9AE" w14:textId="77777777" w:rsidR="00060B21" w:rsidRPr="00F22672" w:rsidRDefault="00060B21" w:rsidP="00FC7454">
            <w:pPr>
              <w:rPr>
                <w:b/>
                <w:bCs/>
                <w:noProof/>
                <w:lang w:val="pl-PL"/>
              </w:rPr>
            </w:pPr>
            <w:r w:rsidRPr="00F22672">
              <w:rPr>
                <w:b/>
                <w:bCs/>
                <w:lang w:val="pl-PL"/>
              </w:rPr>
              <w:t>Polska</w:t>
            </w:r>
          </w:p>
          <w:p w14:paraId="1EDF2367" w14:textId="77777777" w:rsidR="00060B21" w:rsidRPr="00F22672" w:rsidRDefault="00060B21" w:rsidP="00FC7454">
            <w:pPr>
              <w:rPr>
                <w:noProof/>
                <w:lang w:val="pl-PL"/>
              </w:rPr>
            </w:pPr>
            <w:r w:rsidRPr="00F22672">
              <w:rPr>
                <w:lang w:val="pl-PL"/>
              </w:rPr>
              <w:t>Roche Polska Sp.z o.o.</w:t>
            </w:r>
          </w:p>
          <w:p w14:paraId="715DDC10" w14:textId="77777777" w:rsidR="00060B21" w:rsidRPr="00F22672" w:rsidRDefault="00060B21" w:rsidP="00FC7454">
            <w:pPr>
              <w:rPr>
                <w:noProof/>
                <w:lang w:val="es-ES"/>
              </w:rPr>
            </w:pPr>
            <w:r w:rsidRPr="00F22672">
              <w:rPr>
                <w:lang w:val="es-ES_tradnl"/>
              </w:rPr>
              <w:t>Tel:</w:t>
            </w:r>
            <w:r w:rsidRPr="00F22672">
              <w:rPr>
                <w:noProof/>
                <w:lang w:val="es-ES"/>
              </w:rPr>
              <w:t xml:space="preserve"> +48 - 22 345 18 88</w:t>
            </w:r>
          </w:p>
          <w:p w14:paraId="38D0541D" w14:textId="77777777" w:rsidR="00060B21" w:rsidRPr="00F22672" w:rsidRDefault="00060B21" w:rsidP="00FC7454">
            <w:pPr>
              <w:rPr>
                <w:noProof/>
                <w:lang w:val="de-CH"/>
              </w:rPr>
            </w:pPr>
          </w:p>
        </w:tc>
      </w:tr>
      <w:tr w:rsidR="00060B21" w:rsidRPr="00541248" w14:paraId="63C8431F" w14:textId="77777777" w:rsidTr="00467FFD">
        <w:trPr>
          <w:cantSplit/>
          <w:trPrChange w:id="2382" w:author="AUTHOR">
            <w:trPr>
              <w:gridAfter w:val="0"/>
              <w:cantSplit/>
            </w:trPr>
          </w:trPrChange>
        </w:trPr>
        <w:tc>
          <w:tcPr>
            <w:tcW w:w="4590" w:type="dxa"/>
            <w:tcPrChange w:id="2383" w:author="AUTHOR">
              <w:tcPr>
                <w:tcW w:w="4590" w:type="dxa"/>
                <w:gridSpan w:val="2"/>
              </w:tcPr>
            </w:tcPrChange>
          </w:tcPr>
          <w:p w14:paraId="12A45AD4" w14:textId="77777777" w:rsidR="00060B21" w:rsidRPr="00F30AB8" w:rsidRDefault="00060B21" w:rsidP="00FC7454">
            <w:pPr>
              <w:rPr>
                <w:b/>
                <w:noProof/>
                <w:lang w:val="pt-PT"/>
              </w:rPr>
            </w:pPr>
            <w:r w:rsidRPr="00F30AB8">
              <w:rPr>
                <w:b/>
                <w:noProof/>
                <w:lang w:val="pt-PT"/>
              </w:rPr>
              <w:t>España</w:t>
            </w:r>
          </w:p>
          <w:p w14:paraId="463D253F" w14:textId="77777777" w:rsidR="00060B21" w:rsidRPr="00F30AB8" w:rsidRDefault="00060B21" w:rsidP="00FC7454">
            <w:pPr>
              <w:rPr>
                <w:noProof/>
                <w:lang w:val="pt-PT"/>
              </w:rPr>
            </w:pPr>
            <w:r w:rsidRPr="00F30AB8">
              <w:rPr>
                <w:noProof/>
                <w:lang w:val="pt-PT"/>
              </w:rPr>
              <w:t>Roche Farma S.A.</w:t>
            </w:r>
          </w:p>
          <w:p w14:paraId="32CABE80" w14:textId="77777777" w:rsidR="00060B21" w:rsidRPr="00F22672" w:rsidRDefault="00060B21" w:rsidP="00FC7454">
            <w:pPr>
              <w:rPr>
                <w:noProof/>
                <w:lang w:val="en-GB"/>
              </w:rPr>
            </w:pPr>
            <w:r w:rsidRPr="00F22672">
              <w:rPr>
                <w:noProof/>
                <w:lang w:val="en-GB"/>
              </w:rPr>
              <w:t>Tel: +34 - 91 324 81 00</w:t>
            </w:r>
          </w:p>
          <w:p w14:paraId="26FAFB75" w14:textId="77777777" w:rsidR="00060B21" w:rsidRPr="00F22672" w:rsidRDefault="00060B21" w:rsidP="00FC7454">
            <w:pPr>
              <w:rPr>
                <w:noProof/>
                <w:lang w:val="en-GB"/>
              </w:rPr>
            </w:pPr>
          </w:p>
        </w:tc>
        <w:tc>
          <w:tcPr>
            <w:tcW w:w="4590" w:type="dxa"/>
            <w:tcPrChange w:id="2384" w:author="AUTHOR">
              <w:tcPr>
                <w:tcW w:w="4590" w:type="dxa"/>
                <w:gridSpan w:val="2"/>
              </w:tcPr>
            </w:tcPrChange>
          </w:tcPr>
          <w:p w14:paraId="058D91DF" w14:textId="77777777" w:rsidR="00060B21" w:rsidRPr="00F22672" w:rsidRDefault="00060B21" w:rsidP="00FC7454">
            <w:pPr>
              <w:rPr>
                <w:noProof/>
                <w:lang w:val="pt-PT"/>
              </w:rPr>
            </w:pPr>
            <w:r w:rsidRPr="00F22672">
              <w:rPr>
                <w:b/>
                <w:noProof/>
                <w:lang w:val="pt-PT"/>
              </w:rPr>
              <w:t>Portugal</w:t>
            </w:r>
          </w:p>
          <w:p w14:paraId="2321CDBD" w14:textId="77777777" w:rsidR="00060B21" w:rsidRPr="00F22672" w:rsidRDefault="00060B21" w:rsidP="00FC7454">
            <w:pPr>
              <w:rPr>
                <w:noProof/>
                <w:lang w:val="pt-PT"/>
              </w:rPr>
            </w:pPr>
            <w:r w:rsidRPr="00F22672">
              <w:rPr>
                <w:noProof/>
                <w:lang w:val="pt-PT"/>
              </w:rPr>
              <w:t>Roche Farmacêutica Química, Lda</w:t>
            </w:r>
          </w:p>
          <w:p w14:paraId="62DE8833" w14:textId="77777777" w:rsidR="00060B21" w:rsidRPr="00F22672" w:rsidRDefault="00060B21" w:rsidP="00FC7454">
            <w:pPr>
              <w:rPr>
                <w:noProof/>
                <w:lang w:val="pt-PT"/>
              </w:rPr>
            </w:pPr>
            <w:r w:rsidRPr="00F22672">
              <w:rPr>
                <w:noProof/>
                <w:lang w:val="pt-PT"/>
              </w:rPr>
              <w:t>Tel: +351 - 21 425 70 00</w:t>
            </w:r>
          </w:p>
          <w:p w14:paraId="0E1C03BE" w14:textId="77777777" w:rsidR="00060B21" w:rsidRPr="00F22672" w:rsidRDefault="00060B21" w:rsidP="00FC7454">
            <w:pPr>
              <w:rPr>
                <w:noProof/>
                <w:lang w:val="pt-PT"/>
              </w:rPr>
            </w:pPr>
          </w:p>
        </w:tc>
      </w:tr>
      <w:tr w:rsidR="00060B21" w:rsidRPr="00B76460" w14:paraId="53FC0FE4" w14:textId="77777777" w:rsidTr="00467FFD">
        <w:trPr>
          <w:cantSplit/>
          <w:trPrChange w:id="2385" w:author="AUTHOR">
            <w:trPr>
              <w:gridAfter w:val="0"/>
              <w:cantSplit/>
            </w:trPr>
          </w:trPrChange>
        </w:trPr>
        <w:tc>
          <w:tcPr>
            <w:tcW w:w="4590" w:type="dxa"/>
            <w:tcPrChange w:id="2386" w:author="AUTHOR">
              <w:tcPr>
                <w:tcW w:w="4590" w:type="dxa"/>
                <w:gridSpan w:val="2"/>
              </w:tcPr>
            </w:tcPrChange>
          </w:tcPr>
          <w:p w14:paraId="14C3F7D2" w14:textId="77777777" w:rsidR="00060B21" w:rsidRPr="00F22672" w:rsidRDefault="00982213" w:rsidP="00FC7454">
            <w:pPr>
              <w:rPr>
                <w:noProof/>
                <w:lang w:val="fr-FR"/>
              </w:rPr>
            </w:pPr>
            <w:r>
              <w:rPr>
                <w:b/>
                <w:noProof/>
                <w:lang w:val="fr-FR"/>
              </w:rPr>
              <w:t>France</w:t>
            </w:r>
          </w:p>
          <w:p w14:paraId="3D06FAEC" w14:textId="77777777" w:rsidR="00060B21" w:rsidRPr="00F22672" w:rsidRDefault="00060B21" w:rsidP="00FC7454">
            <w:pPr>
              <w:rPr>
                <w:noProof/>
                <w:lang w:val="fr-FR"/>
              </w:rPr>
            </w:pPr>
            <w:r w:rsidRPr="00F22672">
              <w:rPr>
                <w:noProof/>
                <w:lang w:val="fr-FR"/>
              </w:rPr>
              <w:t>Roche</w:t>
            </w:r>
          </w:p>
          <w:p w14:paraId="4FD4FC16" w14:textId="77777777" w:rsidR="00060B21" w:rsidRPr="00F22672" w:rsidRDefault="00060B21" w:rsidP="00FC7454">
            <w:pPr>
              <w:autoSpaceDE w:val="0"/>
              <w:autoSpaceDN w:val="0"/>
              <w:adjustRightInd w:val="0"/>
              <w:rPr>
                <w:rFonts w:ascii="Arial" w:eastAsia="SimSun" w:hAnsi="Arial" w:cs="Arial"/>
                <w:sz w:val="20"/>
                <w:lang w:val="fr-FR" w:eastAsia="zh-CN"/>
              </w:rPr>
            </w:pPr>
            <w:r w:rsidRPr="00F22672">
              <w:rPr>
                <w:noProof/>
                <w:lang w:val="fr-FR"/>
              </w:rPr>
              <w:t>Tél: +33 (0) 1 47 61 40 00</w:t>
            </w:r>
          </w:p>
          <w:p w14:paraId="38D7B55B" w14:textId="61B84D22" w:rsidR="00060B21" w:rsidRPr="00F22672" w:rsidDel="0013327A" w:rsidRDefault="00060B21" w:rsidP="00FC7454">
            <w:pPr>
              <w:rPr>
                <w:del w:id="2387" w:author="AUTHOR"/>
                <w:rFonts w:eastAsia="SimSun"/>
                <w:lang w:val="fr-FR" w:eastAsia="zh-CN"/>
              </w:rPr>
            </w:pPr>
            <w:del w:id="2388" w:author="AUTHOR">
              <w:r w:rsidRPr="00F22672" w:rsidDel="0013327A">
                <w:rPr>
                  <w:rFonts w:eastAsia="SimSun"/>
                  <w:lang w:val="fr-FR" w:eastAsia="zh-CN"/>
                </w:rPr>
                <w:delText>ou</w:delText>
              </w:r>
            </w:del>
          </w:p>
          <w:p w14:paraId="465523F9" w14:textId="7B395441" w:rsidR="00060B21" w:rsidRPr="00F22672" w:rsidDel="0013327A" w:rsidRDefault="00060B21" w:rsidP="00FC7454">
            <w:pPr>
              <w:rPr>
                <w:del w:id="2389" w:author="AUTHOR"/>
                <w:rFonts w:eastAsia="SimSun"/>
                <w:lang w:val="fr-FR" w:eastAsia="zh-CN"/>
              </w:rPr>
            </w:pPr>
            <w:del w:id="2390" w:author="AUTHOR">
              <w:r w:rsidRPr="00F22672" w:rsidDel="0013327A">
                <w:rPr>
                  <w:rFonts w:eastAsia="SimSun"/>
                  <w:lang w:val="fr-FR" w:eastAsia="zh-CN"/>
                </w:rPr>
                <w:delText>Chugai Pharma France</w:delText>
              </w:r>
            </w:del>
          </w:p>
          <w:p w14:paraId="4B51DEF9" w14:textId="0E2287AE" w:rsidR="00060B21" w:rsidRPr="00EF2448" w:rsidDel="0013327A" w:rsidRDefault="00060B21" w:rsidP="00FC7454">
            <w:pPr>
              <w:rPr>
                <w:del w:id="2391" w:author="AUTHOR"/>
                <w:noProof/>
                <w:lang w:val="fr-FR"/>
              </w:rPr>
            </w:pPr>
            <w:del w:id="2392" w:author="AUTHOR">
              <w:r w:rsidRPr="00F22672" w:rsidDel="0013327A">
                <w:rPr>
                  <w:rFonts w:eastAsia="SimSun"/>
                  <w:lang w:val="fr-FR" w:eastAsia="zh-CN"/>
                </w:rPr>
                <w:delText>Tél: +33 (0) 1 56 37 05 20</w:delText>
              </w:r>
            </w:del>
          </w:p>
          <w:p w14:paraId="1EE3D64B" w14:textId="77777777" w:rsidR="00060B21" w:rsidRPr="00EF2448" w:rsidRDefault="00060B21" w:rsidP="00FC7454">
            <w:pPr>
              <w:rPr>
                <w:b/>
                <w:noProof/>
                <w:lang w:val="fr-FR"/>
              </w:rPr>
            </w:pPr>
          </w:p>
          <w:p w14:paraId="25A0BAF0" w14:textId="4EDB540D" w:rsidR="00060B21" w:rsidRPr="00EF2448" w:rsidDel="0013327A" w:rsidRDefault="00060B21" w:rsidP="00FC7454">
            <w:pPr>
              <w:rPr>
                <w:del w:id="2393" w:author="AUTHOR"/>
                <w:b/>
                <w:noProof/>
                <w:lang w:val="fr-FR"/>
              </w:rPr>
            </w:pPr>
            <w:del w:id="2394" w:author="AUTHOR">
              <w:r w:rsidRPr="00EF2448" w:rsidDel="0013327A">
                <w:rPr>
                  <w:b/>
                  <w:noProof/>
                  <w:lang w:val="fr-FR"/>
                </w:rPr>
                <w:delText>Hrvatska</w:delText>
              </w:r>
            </w:del>
          </w:p>
          <w:p w14:paraId="22304BCD" w14:textId="25FAAADD" w:rsidR="00060B21" w:rsidRPr="00EF2448" w:rsidDel="0013327A" w:rsidRDefault="00060B21" w:rsidP="00FC7454">
            <w:pPr>
              <w:rPr>
                <w:del w:id="2395" w:author="AUTHOR"/>
                <w:noProof/>
                <w:lang w:val="fr-FR"/>
              </w:rPr>
            </w:pPr>
            <w:del w:id="2396" w:author="AUTHOR">
              <w:r w:rsidRPr="00EF2448" w:rsidDel="0013327A">
                <w:rPr>
                  <w:noProof/>
                  <w:lang w:val="fr-FR"/>
                </w:rPr>
                <w:delText>Roche d.o.o</w:delText>
              </w:r>
            </w:del>
          </w:p>
          <w:p w14:paraId="31D8BD4F" w14:textId="03763FDB" w:rsidR="00060B21" w:rsidDel="0013327A" w:rsidRDefault="00060B21" w:rsidP="00FC7454">
            <w:pPr>
              <w:rPr>
                <w:del w:id="2397" w:author="AUTHOR"/>
                <w:noProof/>
                <w:lang w:val="de-CH"/>
              </w:rPr>
            </w:pPr>
            <w:del w:id="2398" w:author="AUTHOR">
              <w:r w:rsidRPr="00F22672" w:rsidDel="0013327A">
                <w:rPr>
                  <w:noProof/>
                  <w:lang w:val="de-CH"/>
                </w:rPr>
                <w:delText>Tel: +385 1 47 22 333</w:delText>
              </w:r>
            </w:del>
          </w:p>
          <w:p w14:paraId="3A7EB764" w14:textId="77777777" w:rsidR="0013327A" w:rsidRDefault="0013327A" w:rsidP="00FC7454">
            <w:pPr>
              <w:rPr>
                <w:ins w:id="2399" w:author="AUTHOR"/>
                <w:noProof/>
                <w:lang w:val="de-CH"/>
              </w:rPr>
            </w:pPr>
          </w:p>
          <w:p w14:paraId="62E33E43" w14:textId="7A7A1CC2" w:rsidR="00535632" w:rsidRPr="00467FFD" w:rsidRDefault="00535632" w:rsidP="0013327A">
            <w:pPr>
              <w:rPr>
                <w:b/>
                <w:noProof/>
                <w:lang w:val="de-DE"/>
                <w:rPrChange w:id="2400" w:author="AUTHOR">
                  <w:rPr>
                    <w:b/>
                    <w:noProof/>
                    <w:lang w:val="de-CH"/>
                  </w:rPr>
                </w:rPrChange>
              </w:rPr>
            </w:pPr>
          </w:p>
        </w:tc>
        <w:tc>
          <w:tcPr>
            <w:tcW w:w="4590" w:type="dxa"/>
            <w:tcPrChange w:id="2401" w:author="AUTHOR">
              <w:tcPr>
                <w:tcW w:w="4590" w:type="dxa"/>
                <w:gridSpan w:val="2"/>
              </w:tcPr>
            </w:tcPrChange>
          </w:tcPr>
          <w:p w14:paraId="42D883E1" w14:textId="77777777" w:rsidR="00060B21" w:rsidRPr="00F22672" w:rsidRDefault="00060B21" w:rsidP="00FC7454">
            <w:pPr>
              <w:tabs>
                <w:tab w:val="left" w:pos="-720"/>
                <w:tab w:val="left" w:pos="567"/>
                <w:tab w:val="left" w:pos="4536"/>
              </w:tabs>
              <w:suppressAutoHyphens/>
              <w:spacing w:line="260" w:lineRule="exact"/>
              <w:rPr>
                <w:b/>
                <w:noProof/>
                <w:szCs w:val="22"/>
                <w:lang w:val="it-IT" w:eastAsia="en-US"/>
              </w:rPr>
            </w:pPr>
            <w:r w:rsidRPr="00F22672">
              <w:rPr>
                <w:b/>
                <w:noProof/>
                <w:szCs w:val="22"/>
                <w:lang w:val="it-IT" w:eastAsia="en-US"/>
              </w:rPr>
              <w:t>România</w:t>
            </w:r>
          </w:p>
          <w:p w14:paraId="07482C07" w14:textId="77777777" w:rsidR="00060B21" w:rsidRPr="00F22672" w:rsidRDefault="00060B21" w:rsidP="00FC7454">
            <w:pPr>
              <w:tabs>
                <w:tab w:val="left" w:pos="-720"/>
                <w:tab w:val="left" w:pos="4536"/>
              </w:tabs>
              <w:suppressAutoHyphens/>
              <w:rPr>
                <w:noProof/>
                <w:szCs w:val="22"/>
                <w:lang w:val="ro-RO"/>
              </w:rPr>
            </w:pPr>
            <w:r w:rsidRPr="00F22672">
              <w:rPr>
                <w:noProof/>
                <w:szCs w:val="22"/>
                <w:lang w:val="it-IT"/>
              </w:rPr>
              <w:t>Roche Rom</w:t>
            </w:r>
            <w:r w:rsidRPr="00F22672">
              <w:rPr>
                <w:noProof/>
                <w:szCs w:val="22"/>
                <w:lang w:val="ro-RO"/>
              </w:rPr>
              <w:t>ânia S.R.L.</w:t>
            </w:r>
          </w:p>
          <w:p w14:paraId="76CDC17C" w14:textId="77777777" w:rsidR="00060B21" w:rsidRPr="00F22672" w:rsidRDefault="00060B21" w:rsidP="00FC7454">
            <w:pPr>
              <w:tabs>
                <w:tab w:val="left" w:pos="-720"/>
                <w:tab w:val="left" w:pos="4536"/>
              </w:tabs>
              <w:suppressAutoHyphens/>
              <w:rPr>
                <w:noProof/>
                <w:szCs w:val="22"/>
                <w:lang w:val="pl-PL"/>
              </w:rPr>
            </w:pPr>
            <w:r w:rsidRPr="00F22672">
              <w:rPr>
                <w:noProof/>
                <w:szCs w:val="22"/>
                <w:lang w:val="pl-PL"/>
              </w:rPr>
              <w:t>Tel: +40 21 206 47 01</w:t>
            </w:r>
          </w:p>
          <w:p w14:paraId="647FCCDF" w14:textId="77777777" w:rsidR="0013327A" w:rsidRDefault="0013327A" w:rsidP="0013327A">
            <w:pPr>
              <w:rPr>
                <w:ins w:id="2402" w:author="AUTHOR"/>
                <w:b/>
                <w:noProof/>
                <w:lang w:val="it-IT"/>
              </w:rPr>
            </w:pPr>
          </w:p>
          <w:p w14:paraId="67235009" w14:textId="77777777" w:rsidR="0013327A" w:rsidRDefault="0013327A" w:rsidP="0013327A">
            <w:pPr>
              <w:rPr>
                <w:ins w:id="2403" w:author="AUTHOR"/>
                <w:b/>
                <w:noProof/>
                <w:lang w:val="it-IT"/>
              </w:rPr>
            </w:pPr>
          </w:p>
          <w:p w14:paraId="25F8E1D1" w14:textId="77777777" w:rsidR="0013327A" w:rsidRDefault="0013327A" w:rsidP="0013327A">
            <w:pPr>
              <w:rPr>
                <w:ins w:id="2404" w:author="AUTHOR"/>
                <w:b/>
                <w:noProof/>
                <w:lang w:val="it-IT"/>
              </w:rPr>
            </w:pPr>
          </w:p>
          <w:p w14:paraId="73A56644" w14:textId="77777777" w:rsidR="0013327A" w:rsidRDefault="0013327A" w:rsidP="0013327A">
            <w:pPr>
              <w:rPr>
                <w:ins w:id="2405" w:author="AUTHOR"/>
                <w:b/>
                <w:noProof/>
                <w:lang w:val="it-IT"/>
              </w:rPr>
            </w:pPr>
          </w:p>
          <w:p w14:paraId="715D1BF6" w14:textId="77777777" w:rsidR="0013327A" w:rsidRDefault="0013327A" w:rsidP="0013327A">
            <w:pPr>
              <w:rPr>
                <w:ins w:id="2406" w:author="AUTHOR"/>
                <w:b/>
                <w:noProof/>
                <w:lang w:val="it-IT"/>
              </w:rPr>
            </w:pPr>
          </w:p>
          <w:p w14:paraId="255B3A8C" w14:textId="77777777" w:rsidR="0013327A" w:rsidRDefault="0013327A" w:rsidP="0013327A">
            <w:pPr>
              <w:rPr>
                <w:ins w:id="2407" w:author="AUTHOR"/>
                <w:b/>
                <w:noProof/>
                <w:lang w:val="it-IT"/>
              </w:rPr>
            </w:pPr>
          </w:p>
          <w:p w14:paraId="1F83DBE0" w14:textId="77777777" w:rsidR="0013327A" w:rsidRDefault="0013327A" w:rsidP="0013327A">
            <w:pPr>
              <w:rPr>
                <w:ins w:id="2408" w:author="AUTHOR"/>
                <w:b/>
                <w:noProof/>
                <w:lang w:val="it-IT"/>
              </w:rPr>
            </w:pPr>
          </w:p>
          <w:p w14:paraId="4E84B40C" w14:textId="77777777" w:rsidR="00060B21" w:rsidRPr="00F22672" w:rsidRDefault="00060B21">
            <w:pPr>
              <w:rPr>
                <w:noProof/>
                <w:lang w:val="it-IT"/>
              </w:rPr>
              <w:pPrChange w:id="2409" w:author="AUTHOR">
                <w:pPr>
                  <w:tabs>
                    <w:tab w:val="left" w:pos="-720"/>
                    <w:tab w:val="left" w:pos="4536"/>
                  </w:tabs>
                  <w:suppressAutoHyphens/>
                </w:pPr>
              </w:pPrChange>
            </w:pPr>
          </w:p>
        </w:tc>
      </w:tr>
      <w:tr w:rsidR="0013327A" w:rsidRPr="00B76460" w14:paraId="0C6AAE83" w14:textId="77777777" w:rsidTr="00467FFD">
        <w:tblPrEx>
          <w:tblPrExChange w:id="2410" w:author="AUTHOR">
            <w:tblPrEx>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ins w:id="2411" w:author="AUTHOR"/>
          <w:trPrChange w:id="2412" w:author="AUTHOR">
            <w:trPr>
              <w:gridBefore w:val="1"/>
              <w:cantSplit/>
            </w:trPr>
          </w:trPrChange>
        </w:trPr>
        <w:tc>
          <w:tcPr>
            <w:tcW w:w="4590" w:type="dxa"/>
            <w:tcPrChange w:id="2413" w:author="AUTHOR">
              <w:tcPr>
                <w:tcW w:w="4590" w:type="dxa"/>
                <w:gridSpan w:val="2"/>
              </w:tcPr>
            </w:tcPrChange>
          </w:tcPr>
          <w:p w14:paraId="2799FF5E" w14:textId="77777777" w:rsidR="0013327A" w:rsidRPr="0013327A" w:rsidRDefault="0013327A" w:rsidP="0013327A">
            <w:pPr>
              <w:rPr>
                <w:ins w:id="2414" w:author="AUTHOR"/>
                <w:b/>
                <w:noProof/>
                <w:lang w:val="de-DE"/>
              </w:rPr>
            </w:pPr>
            <w:ins w:id="2415" w:author="AUTHOR">
              <w:r w:rsidRPr="0013327A">
                <w:rPr>
                  <w:b/>
                  <w:noProof/>
                  <w:lang w:val="de-DE"/>
                </w:rPr>
                <w:lastRenderedPageBreak/>
                <w:t>Hrvatska</w:t>
              </w:r>
            </w:ins>
          </w:p>
          <w:p w14:paraId="59E69370" w14:textId="77777777" w:rsidR="0013327A" w:rsidRPr="007C1605" w:rsidRDefault="0013327A" w:rsidP="0013327A">
            <w:pPr>
              <w:rPr>
                <w:ins w:id="2416" w:author="AUTHOR"/>
                <w:bCs/>
                <w:noProof/>
                <w:lang w:val="de-DE"/>
              </w:rPr>
            </w:pPr>
            <w:ins w:id="2417" w:author="AUTHOR">
              <w:r w:rsidRPr="007C1605">
                <w:rPr>
                  <w:bCs/>
                  <w:noProof/>
                  <w:lang w:val="de-DE"/>
                </w:rPr>
                <w:t>Roche d.o.o</w:t>
              </w:r>
            </w:ins>
          </w:p>
          <w:p w14:paraId="2C5C7804" w14:textId="7DB304CD" w:rsidR="0013327A" w:rsidRDefault="0013327A" w:rsidP="0013327A">
            <w:pPr>
              <w:rPr>
                <w:ins w:id="2418" w:author="AUTHOR"/>
                <w:b/>
                <w:noProof/>
                <w:lang w:val="fr-FR"/>
              </w:rPr>
            </w:pPr>
            <w:ins w:id="2419" w:author="AUTHOR">
              <w:r w:rsidRPr="007C1605">
                <w:rPr>
                  <w:bCs/>
                  <w:noProof/>
                  <w:lang w:val="de-DE"/>
                </w:rPr>
                <w:t>Tel: +385 1 47 22 333</w:t>
              </w:r>
            </w:ins>
          </w:p>
        </w:tc>
        <w:tc>
          <w:tcPr>
            <w:tcW w:w="4590" w:type="dxa"/>
            <w:tcPrChange w:id="2420" w:author="AUTHOR">
              <w:tcPr>
                <w:tcW w:w="4590" w:type="dxa"/>
                <w:gridSpan w:val="2"/>
              </w:tcPr>
            </w:tcPrChange>
          </w:tcPr>
          <w:p w14:paraId="06276C28" w14:textId="77777777" w:rsidR="0013327A" w:rsidRPr="00F30AB8" w:rsidRDefault="0013327A" w:rsidP="0013327A">
            <w:pPr>
              <w:rPr>
                <w:ins w:id="2421" w:author="AUTHOR"/>
                <w:b/>
                <w:noProof/>
                <w:lang w:val="it-IT"/>
              </w:rPr>
            </w:pPr>
            <w:ins w:id="2422" w:author="AUTHOR">
              <w:r w:rsidRPr="00F30AB8">
                <w:rPr>
                  <w:b/>
                  <w:noProof/>
                  <w:lang w:val="it-IT"/>
                </w:rPr>
                <w:t>Slovenija</w:t>
              </w:r>
            </w:ins>
          </w:p>
          <w:p w14:paraId="316CDE6C" w14:textId="77777777" w:rsidR="0013327A" w:rsidRPr="00F30AB8" w:rsidRDefault="0013327A" w:rsidP="0013327A">
            <w:pPr>
              <w:rPr>
                <w:ins w:id="2423" w:author="AUTHOR"/>
                <w:noProof/>
                <w:lang w:val="it-IT"/>
              </w:rPr>
            </w:pPr>
            <w:ins w:id="2424" w:author="AUTHOR">
              <w:r w:rsidRPr="00F30AB8">
                <w:rPr>
                  <w:noProof/>
                  <w:lang w:val="it-IT"/>
                </w:rPr>
                <w:t>Roche farmacevtska družba d.o.o.</w:t>
              </w:r>
            </w:ins>
          </w:p>
          <w:p w14:paraId="389DAF4D" w14:textId="77777777" w:rsidR="0013327A" w:rsidRPr="00F22672" w:rsidRDefault="0013327A" w:rsidP="0013327A">
            <w:pPr>
              <w:rPr>
                <w:ins w:id="2425" w:author="AUTHOR"/>
                <w:rFonts w:eastAsia="MS Mincho"/>
                <w:noProof/>
                <w:lang w:val="it-IT"/>
              </w:rPr>
            </w:pPr>
            <w:ins w:id="2426" w:author="AUTHOR">
              <w:r w:rsidRPr="00F22672">
                <w:rPr>
                  <w:rFonts w:eastAsia="MS Mincho"/>
                  <w:noProof/>
                  <w:lang w:val="it-IT"/>
                </w:rPr>
                <w:t>Tel: +386 - 1 360 26 00</w:t>
              </w:r>
            </w:ins>
          </w:p>
          <w:p w14:paraId="7274F868" w14:textId="77777777" w:rsidR="0013327A" w:rsidRPr="00F22672" w:rsidRDefault="0013327A" w:rsidP="00FC7454">
            <w:pPr>
              <w:tabs>
                <w:tab w:val="left" w:pos="-720"/>
                <w:tab w:val="left" w:pos="567"/>
                <w:tab w:val="left" w:pos="4536"/>
              </w:tabs>
              <w:suppressAutoHyphens/>
              <w:spacing w:line="260" w:lineRule="exact"/>
              <w:rPr>
                <w:ins w:id="2427" w:author="AUTHOR"/>
                <w:b/>
                <w:noProof/>
                <w:szCs w:val="22"/>
                <w:lang w:val="it-IT" w:eastAsia="en-US"/>
              </w:rPr>
            </w:pPr>
          </w:p>
        </w:tc>
      </w:tr>
      <w:tr w:rsidR="00060B21" w:rsidRPr="00F22672" w14:paraId="6CEF4BB5" w14:textId="77777777" w:rsidTr="00467FFD">
        <w:trPr>
          <w:cantSplit/>
          <w:trPrChange w:id="2428" w:author="AUTHOR">
            <w:trPr>
              <w:gridAfter w:val="0"/>
              <w:cantSplit/>
            </w:trPr>
          </w:trPrChange>
        </w:trPr>
        <w:tc>
          <w:tcPr>
            <w:tcW w:w="4590" w:type="dxa"/>
            <w:tcPrChange w:id="2429" w:author="AUTHOR">
              <w:tcPr>
                <w:tcW w:w="4590" w:type="dxa"/>
                <w:gridSpan w:val="2"/>
              </w:tcPr>
            </w:tcPrChange>
          </w:tcPr>
          <w:p w14:paraId="07FA8E60" w14:textId="2202EE02" w:rsidR="00060B21" w:rsidRPr="00F22672" w:rsidRDefault="00060B21" w:rsidP="00FC7454">
            <w:pPr>
              <w:rPr>
                <w:b/>
                <w:noProof/>
                <w:lang w:val="en-GB"/>
              </w:rPr>
            </w:pPr>
            <w:r w:rsidRPr="00F22672">
              <w:rPr>
                <w:b/>
                <w:noProof/>
                <w:lang w:val="en-GB"/>
              </w:rPr>
              <w:t>Ireland</w:t>
            </w:r>
            <w:ins w:id="2430" w:author="AUTHOR">
              <w:r w:rsidR="0013327A">
                <w:rPr>
                  <w:b/>
                  <w:noProof/>
                  <w:lang w:val="en-GB"/>
                </w:rPr>
                <w:t>, Malta</w:t>
              </w:r>
            </w:ins>
          </w:p>
          <w:p w14:paraId="4BA52440" w14:textId="77777777" w:rsidR="0013327A" w:rsidRDefault="00060B21" w:rsidP="00FC7454">
            <w:pPr>
              <w:rPr>
                <w:ins w:id="2431" w:author="AUTHOR"/>
              </w:rPr>
            </w:pPr>
            <w:r w:rsidRPr="00F22672">
              <w:rPr>
                <w:noProof/>
                <w:lang w:val="en-GB"/>
              </w:rPr>
              <w:t>Roche Products (Ireland) Ltd.</w:t>
            </w:r>
            <w:ins w:id="2432" w:author="AUTHOR">
              <w:r w:rsidR="0013327A">
                <w:t xml:space="preserve"> </w:t>
              </w:r>
            </w:ins>
          </w:p>
          <w:p w14:paraId="3234A59C" w14:textId="7EB39D44" w:rsidR="00060B21" w:rsidRPr="00F22672" w:rsidRDefault="0013327A" w:rsidP="00FC7454">
            <w:pPr>
              <w:rPr>
                <w:noProof/>
                <w:lang w:val="en-GB"/>
              </w:rPr>
            </w:pPr>
            <w:ins w:id="2433" w:author="AUTHOR">
              <w:r w:rsidRPr="0013327A">
                <w:rPr>
                  <w:noProof/>
                  <w:lang w:val="en-GB"/>
                </w:rPr>
                <w:t>Ireland/L-Irlanda</w:t>
              </w:r>
            </w:ins>
          </w:p>
          <w:p w14:paraId="28C21602" w14:textId="77777777" w:rsidR="00060B21" w:rsidRPr="00F22672" w:rsidRDefault="00060B21" w:rsidP="00FC7454">
            <w:pPr>
              <w:rPr>
                <w:noProof/>
                <w:lang w:val="en-GB"/>
              </w:rPr>
            </w:pPr>
            <w:r w:rsidRPr="00F22672">
              <w:rPr>
                <w:noProof/>
                <w:lang w:val="en-GB"/>
              </w:rPr>
              <w:t>Tel: +353 (0) 1 469 0700</w:t>
            </w:r>
          </w:p>
          <w:p w14:paraId="38D31761" w14:textId="77777777" w:rsidR="00060B21" w:rsidRPr="00F22672" w:rsidRDefault="00060B21" w:rsidP="00FC7454">
            <w:pPr>
              <w:rPr>
                <w:noProof/>
                <w:lang w:val="en-GB"/>
              </w:rPr>
            </w:pPr>
          </w:p>
        </w:tc>
        <w:tc>
          <w:tcPr>
            <w:tcW w:w="4590" w:type="dxa"/>
            <w:tcPrChange w:id="2434" w:author="AUTHOR">
              <w:tcPr>
                <w:tcW w:w="4590" w:type="dxa"/>
                <w:gridSpan w:val="2"/>
              </w:tcPr>
            </w:tcPrChange>
          </w:tcPr>
          <w:p w14:paraId="4CC376DB" w14:textId="77777777" w:rsidR="0013327A" w:rsidRPr="006616E4" w:rsidRDefault="0013327A" w:rsidP="0013327A">
            <w:pPr>
              <w:rPr>
                <w:ins w:id="2435" w:author="AUTHOR"/>
                <w:b/>
                <w:noProof/>
                <w:lang w:val="it-IT"/>
              </w:rPr>
            </w:pPr>
            <w:ins w:id="2436" w:author="AUTHOR">
              <w:r w:rsidRPr="006616E4">
                <w:rPr>
                  <w:b/>
                  <w:noProof/>
                  <w:lang w:val="it-IT"/>
                </w:rPr>
                <w:t xml:space="preserve">Slovenská republika </w:t>
              </w:r>
            </w:ins>
          </w:p>
          <w:p w14:paraId="01B39B3C" w14:textId="77777777" w:rsidR="0013327A" w:rsidRPr="00F22672" w:rsidRDefault="0013327A" w:rsidP="0013327A">
            <w:pPr>
              <w:rPr>
                <w:ins w:id="2437" w:author="AUTHOR"/>
                <w:noProof/>
                <w:lang w:val="it-IT"/>
              </w:rPr>
            </w:pPr>
            <w:ins w:id="2438" w:author="AUTHOR">
              <w:r w:rsidRPr="00F22672">
                <w:rPr>
                  <w:noProof/>
                  <w:lang w:val="sk-SK"/>
                </w:rPr>
                <w:t>Roche Slovensko, s.r.o.</w:t>
              </w:r>
            </w:ins>
          </w:p>
          <w:p w14:paraId="1534B71D" w14:textId="25858B5E" w:rsidR="00060B21" w:rsidRPr="00F30AB8" w:rsidDel="0013327A" w:rsidRDefault="0013327A" w:rsidP="0013327A">
            <w:pPr>
              <w:rPr>
                <w:del w:id="2439" w:author="AUTHOR"/>
                <w:b/>
                <w:noProof/>
                <w:lang w:val="it-IT"/>
              </w:rPr>
            </w:pPr>
            <w:ins w:id="2440" w:author="AUTHOR">
              <w:r w:rsidRPr="00F22672">
                <w:rPr>
                  <w:noProof/>
                  <w:lang w:val="pt-PT"/>
                </w:rPr>
                <w:t>Tel: +421 - 2 52638201</w:t>
              </w:r>
            </w:ins>
            <w:del w:id="2441" w:author="AUTHOR">
              <w:r w:rsidR="00060B21" w:rsidRPr="00F30AB8" w:rsidDel="0013327A">
                <w:rPr>
                  <w:b/>
                  <w:noProof/>
                  <w:lang w:val="it-IT"/>
                </w:rPr>
                <w:delText>Slovenija</w:delText>
              </w:r>
            </w:del>
          </w:p>
          <w:p w14:paraId="226182F8" w14:textId="3581767F" w:rsidR="00060B21" w:rsidRPr="00F30AB8" w:rsidDel="0013327A" w:rsidRDefault="00060B21" w:rsidP="0013327A">
            <w:pPr>
              <w:rPr>
                <w:del w:id="2442" w:author="AUTHOR"/>
                <w:noProof/>
                <w:lang w:val="it-IT"/>
              </w:rPr>
            </w:pPr>
            <w:del w:id="2443" w:author="AUTHOR">
              <w:r w:rsidRPr="00F30AB8" w:rsidDel="0013327A">
                <w:rPr>
                  <w:noProof/>
                  <w:lang w:val="it-IT"/>
                </w:rPr>
                <w:delText>Roche farmacevtska družba d.o.o.</w:delText>
              </w:r>
            </w:del>
          </w:p>
          <w:p w14:paraId="11EA16C0" w14:textId="1AD6BE3B" w:rsidR="00060B21" w:rsidRPr="00F22672" w:rsidDel="0013327A" w:rsidRDefault="00060B21" w:rsidP="0013327A">
            <w:pPr>
              <w:rPr>
                <w:del w:id="2444" w:author="AUTHOR"/>
                <w:rFonts w:eastAsia="MS Mincho"/>
                <w:noProof/>
                <w:lang w:val="it-IT"/>
              </w:rPr>
            </w:pPr>
            <w:del w:id="2445" w:author="AUTHOR">
              <w:r w:rsidRPr="00F22672" w:rsidDel="0013327A">
                <w:rPr>
                  <w:rFonts w:eastAsia="MS Mincho"/>
                  <w:noProof/>
                  <w:lang w:val="it-IT"/>
                </w:rPr>
                <w:delText>Tel: +386 - 1 360 26 00</w:delText>
              </w:r>
            </w:del>
          </w:p>
          <w:p w14:paraId="5C776F22" w14:textId="77777777" w:rsidR="00060B21" w:rsidRPr="00F22672" w:rsidRDefault="00060B21" w:rsidP="0013327A">
            <w:pPr>
              <w:rPr>
                <w:noProof/>
                <w:lang w:val="it-IT"/>
              </w:rPr>
            </w:pPr>
          </w:p>
        </w:tc>
      </w:tr>
      <w:tr w:rsidR="00060B21" w:rsidRPr="00F22672" w14:paraId="31A55FE3" w14:textId="77777777" w:rsidTr="00467FFD">
        <w:trPr>
          <w:cantSplit/>
          <w:trPrChange w:id="2446" w:author="AUTHOR">
            <w:trPr>
              <w:gridAfter w:val="0"/>
              <w:cantSplit/>
            </w:trPr>
          </w:trPrChange>
        </w:trPr>
        <w:tc>
          <w:tcPr>
            <w:tcW w:w="4590" w:type="dxa"/>
            <w:tcPrChange w:id="2447" w:author="AUTHOR">
              <w:tcPr>
                <w:tcW w:w="4590" w:type="dxa"/>
                <w:gridSpan w:val="2"/>
              </w:tcPr>
            </w:tcPrChange>
          </w:tcPr>
          <w:p w14:paraId="33384F39" w14:textId="77777777" w:rsidR="00060B21" w:rsidRPr="00F22672" w:rsidRDefault="00060B21" w:rsidP="00FC7454">
            <w:pPr>
              <w:tabs>
                <w:tab w:val="left" w:pos="720"/>
              </w:tabs>
              <w:rPr>
                <w:b/>
                <w:noProof/>
                <w:snapToGrid w:val="0"/>
                <w:lang w:val="pt-BR"/>
              </w:rPr>
            </w:pPr>
            <w:r w:rsidRPr="00F22672">
              <w:rPr>
                <w:b/>
                <w:noProof/>
                <w:snapToGrid w:val="0"/>
                <w:lang w:val="pt-BR"/>
              </w:rPr>
              <w:t xml:space="preserve">Ísland </w:t>
            </w:r>
          </w:p>
          <w:p w14:paraId="124409EA" w14:textId="77777777" w:rsidR="00060B21" w:rsidRPr="00F22672" w:rsidRDefault="00060B21" w:rsidP="00FC7454">
            <w:pPr>
              <w:tabs>
                <w:tab w:val="left" w:pos="720"/>
              </w:tabs>
              <w:rPr>
                <w:noProof/>
                <w:snapToGrid w:val="0"/>
                <w:lang w:val="pt-BR"/>
              </w:rPr>
            </w:pPr>
            <w:r w:rsidRPr="00F22672">
              <w:rPr>
                <w:noProof/>
                <w:snapToGrid w:val="0"/>
                <w:lang w:val="pt-BR"/>
              </w:rPr>
              <w:t xml:space="preserve">Roche </w:t>
            </w:r>
            <w:r w:rsidR="00435911">
              <w:rPr>
                <w:noProof/>
              </w:rPr>
              <w:t>Pharmaceuticals A/S</w:t>
            </w:r>
          </w:p>
          <w:p w14:paraId="573CFF11" w14:textId="77777777" w:rsidR="00060B21" w:rsidRPr="00F22672" w:rsidRDefault="00060B21" w:rsidP="00FC7454">
            <w:pPr>
              <w:tabs>
                <w:tab w:val="left" w:pos="720"/>
              </w:tabs>
              <w:rPr>
                <w:noProof/>
                <w:snapToGrid w:val="0"/>
                <w:lang w:val="pt-PT"/>
              </w:rPr>
            </w:pPr>
            <w:r w:rsidRPr="00F22672">
              <w:rPr>
                <w:noProof/>
                <w:szCs w:val="22"/>
                <w:lang w:val="pt-PT" w:eastAsia="en-US"/>
              </w:rPr>
              <w:t>c/o Icepharma hf</w:t>
            </w:r>
          </w:p>
          <w:p w14:paraId="5A121DB2" w14:textId="77777777" w:rsidR="00060B21" w:rsidRPr="00F22672" w:rsidRDefault="00060B21" w:rsidP="00FC7454">
            <w:pPr>
              <w:rPr>
                <w:rFonts w:ascii="Arial" w:hAnsi="Arial"/>
                <w:noProof/>
                <w:snapToGrid w:val="0"/>
                <w:lang w:val="pt-PT"/>
              </w:rPr>
            </w:pPr>
            <w:r w:rsidRPr="00F22672">
              <w:rPr>
                <w:noProof/>
                <w:lang w:val="pt-BR"/>
              </w:rPr>
              <w:t>S</w:t>
            </w:r>
            <w:r w:rsidRPr="00F22672">
              <w:rPr>
                <w:noProof/>
                <w:lang w:val="cs-CZ"/>
              </w:rPr>
              <w:t>í</w:t>
            </w:r>
            <w:r w:rsidRPr="00F22672">
              <w:rPr>
                <w:noProof/>
                <w:lang w:val="pt-BR"/>
              </w:rPr>
              <w:t>mi</w:t>
            </w:r>
            <w:r w:rsidRPr="00F22672">
              <w:rPr>
                <w:noProof/>
                <w:snapToGrid w:val="0"/>
                <w:lang w:val="pt-PT"/>
              </w:rPr>
              <w:t>: +354 540 8000</w:t>
            </w:r>
          </w:p>
          <w:p w14:paraId="040A0C6F" w14:textId="77777777" w:rsidR="00060B21" w:rsidRPr="00F22672" w:rsidRDefault="00060B21" w:rsidP="00FC7454">
            <w:pPr>
              <w:tabs>
                <w:tab w:val="left" w:pos="720"/>
              </w:tabs>
              <w:autoSpaceDE w:val="0"/>
              <w:autoSpaceDN w:val="0"/>
              <w:adjustRightInd w:val="0"/>
              <w:rPr>
                <w:b/>
                <w:noProof/>
                <w:lang w:val="pt-PT"/>
              </w:rPr>
            </w:pPr>
          </w:p>
        </w:tc>
        <w:tc>
          <w:tcPr>
            <w:tcW w:w="4590" w:type="dxa"/>
            <w:tcPrChange w:id="2448" w:author="AUTHOR">
              <w:tcPr>
                <w:tcW w:w="4590" w:type="dxa"/>
                <w:gridSpan w:val="2"/>
              </w:tcPr>
            </w:tcPrChange>
          </w:tcPr>
          <w:p w14:paraId="2AB66638" w14:textId="77777777" w:rsidR="0013327A" w:rsidRPr="00F22672" w:rsidRDefault="0013327A" w:rsidP="0013327A">
            <w:pPr>
              <w:rPr>
                <w:ins w:id="2449" w:author="AUTHOR"/>
                <w:b/>
                <w:noProof/>
                <w:lang w:val="de-CH"/>
              </w:rPr>
            </w:pPr>
            <w:ins w:id="2450" w:author="AUTHOR">
              <w:r w:rsidRPr="00F22672">
                <w:rPr>
                  <w:b/>
                  <w:noProof/>
                  <w:lang w:val="de-CH"/>
                </w:rPr>
                <w:t>Suomi/Finland</w:t>
              </w:r>
            </w:ins>
          </w:p>
          <w:p w14:paraId="327C42E5" w14:textId="77777777" w:rsidR="0013327A" w:rsidRPr="00F22672" w:rsidRDefault="0013327A" w:rsidP="0013327A">
            <w:pPr>
              <w:rPr>
                <w:ins w:id="2451" w:author="AUTHOR"/>
                <w:noProof/>
                <w:snapToGrid w:val="0"/>
                <w:lang w:val="de-CH"/>
              </w:rPr>
            </w:pPr>
            <w:ins w:id="2452" w:author="AUTHOR">
              <w:r w:rsidRPr="00F22672">
                <w:rPr>
                  <w:noProof/>
                  <w:lang w:val="de-CH"/>
                </w:rPr>
                <w:t>Roche Oy</w:t>
              </w:r>
              <w:r w:rsidRPr="00F22672">
                <w:rPr>
                  <w:noProof/>
                  <w:snapToGrid w:val="0"/>
                  <w:lang w:val="de-CH"/>
                </w:rPr>
                <w:t xml:space="preserve"> </w:t>
              </w:r>
            </w:ins>
          </w:p>
          <w:p w14:paraId="108BBED7" w14:textId="7CC1CDA5" w:rsidR="00060B21" w:rsidRPr="006616E4" w:rsidDel="0013327A" w:rsidRDefault="0013327A" w:rsidP="0013327A">
            <w:pPr>
              <w:rPr>
                <w:del w:id="2453" w:author="AUTHOR"/>
                <w:b/>
                <w:noProof/>
                <w:lang w:val="it-IT"/>
              </w:rPr>
            </w:pPr>
            <w:ins w:id="2454" w:author="AUTHOR">
              <w:r w:rsidRPr="00F22672">
                <w:rPr>
                  <w:noProof/>
                  <w:lang w:val="de-CH"/>
                </w:rPr>
                <w:t xml:space="preserve">Puh/Tel: +358 (0) </w:t>
              </w:r>
              <w:r w:rsidRPr="00F22672">
                <w:rPr>
                  <w:noProof/>
                  <w:lang w:val="de-DE"/>
                </w:rPr>
                <w:t>10 554 500</w:t>
              </w:r>
              <w:r w:rsidRPr="0013327A">
                <w:rPr>
                  <w:b/>
                  <w:noProof/>
                  <w:szCs w:val="22"/>
                  <w:lang w:val="en-GB"/>
                </w:rPr>
                <w:t xml:space="preserve"> </w:t>
              </w:r>
            </w:ins>
            <w:del w:id="2455" w:author="AUTHOR">
              <w:r w:rsidR="00060B21" w:rsidRPr="006616E4" w:rsidDel="0013327A">
                <w:rPr>
                  <w:b/>
                  <w:noProof/>
                  <w:lang w:val="it-IT"/>
                </w:rPr>
                <w:delText xml:space="preserve">Slovenská republika </w:delText>
              </w:r>
            </w:del>
          </w:p>
          <w:p w14:paraId="5C2500A4" w14:textId="09EC268A" w:rsidR="00060B21" w:rsidRPr="00F22672" w:rsidDel="0013327A" w:rsidRDefault="00060B21" w:rsidP="0013327A">
            <w:pPr>
              <w:rPr>
                <w:del w:id="2456" w:author="AUTHOR"/>
                <w:noProof/>
                <w:lang w:val="it-IT"/>
              </w:rPr>
            </w:pPr>
            <w:del w:id="2457" w:author="AUTHOR">
              <w:r w:rsidRPr="00F22672" w:rsidDel="0013327A">
                <w:rPr>
                  <w:noProof/>
                  <w:lang w:val="sk-SK"/>
                </w:rPr>
                <w:delText>Roche Slovensko, s.r.o.</w:delText>
              </w:r>
            </w:del>
          </w:p>
          <w:p w14:paraId="129678CF" w14:textId="438F28A4" w:rsidR="00060B21" w:rsidRPr="00F22672" w:rsidRDefault="00060B21" w:rsidP="0013327A">
            <w:pPr>
              <w:rPr>
                <w:b/>
                <w:noProof/>
                <w:lang w:val="pt-PT"/>
              </w:rPr>
            </w:pPr>
            <w:del w:id="2458" w:author="AUTHOR">
              <w:r w:rsidRPr="00F22672" w:rsidDel="0013327A">
                <w:rPr>
                  <w:noProof/>
                  <w:lang w:val="pt-PT"/>
                </w:rPr>
                <w:delText>Tel: +421 - 2 52638201</w:delText>
              </w:r>
            </w:del>
          </w:p>
        </w:tc>
      </w:tr>
      <w:tr w:rsidR="00060B21" w:rsidRPr="001335A4" w14:paraId="73E3B22E" w14:textId="77777777" w:rsidTr="00467FFD">
        <w:trPr>
          <w:cantSplit/>
          <w:trPrChange w:id="2459" w:author="AUTHOR">
            <w:trPr>
              <w:gridAfter w:val="0"/>
              <w:cantSplit/>
            </w:trPr>
          </w:trPrChange>
        </w:trPr>
        <w:tc>
          <w:tcPr>
            <w:tcW w:w="4590" w:type="dxa"/>
            <w:tcPrChange w:id="2460" w:author="AUTHOR">
              <w:tcPr>
                <w:tcW w:w="4590" w:type="dxa"/>
                <w:gridSpan w:val="2"/>
              </w:tcPr>
            </w:tcPrChange>
          </w:tcPr>
          <w:p w14:paraId="305C5445" w14:textId="77777777" w:rsidR="00060B21" w:rsidRPr="00F22672" w:rsidRDefault="00060B21" w:rsidP="00FC7454">
            <w:pPr>
              <w:rPr>
                <w:noProof/>
                <w:lang w:val="it-IT"/>
              </w:rPr>
            </w:pPr>
            <w:r w:rsidRPr="00F22672">
              <w:rPr>
                <w:b/>
                <w:noProof/>
                <w:lang w:val="it-IT"/>
              </w:rPr>
              <w:t>Italia</w:t>
            </w:r>
          </w:p>
          <w:p w14:paraId="61199582" w14:textId="77777777" w:rsidR="00060B21" w:rsidRPr="00F22672" w:rsidRDefault="00060B21" w:rsidP="00FC7454">
            <w:pPr>
              <w:rPr>
                <w:noProof/>
                <w:lang w:val="it-IT"/>
              </w:rPr>
            </w:pPr>
            <w:r w:rsidRPr="00F22672">
              <w:rPr>
                <w:noProof/>
                <w:lang w:val="it-IT"/>
              </w:rPr>
              <w:t>Roche S.p.A.</w:t>
            </w:r>
          </w:p>
          <w:p w14:paraId="2D899024" w14:textId="77777777" w:rsidR="00060B21" w:rsidRPr="00F22672" w:rsidRDefault="00060B21" w:rsidP="00FC7454">
            <w:pPr>
              <w:rPr>
                <w:b/>
                <w:noProof/>
                <w:lang w:val="de-CH"/>
              </w:rPr>
            </w:pPr>
            <w:r w:rsidRPr="00F22672">
              <w:rPr>
                <w:noProof/>
                <w:lang w:val="de-CH"/>
              </w:rPr>
              <w:t>Tel: +39 - 039 2471</w:t>
            </w:r>
          </w:p>
        </w:tc>
        <w:tc>
          <w:tcPr>
            <w:tcW w:w="4590" w:type="dxa"/>
            <w:tcPrChange w:id="2461" w:author="AUTHOR">
              <w:tcPr>
                <w:tcW w:w="4590" w:type="dxa"/>
                <w:gridSpan w:val="2"/>
              </w:tcPr>
            </w:tcPrChange>
          </w:tcPr>
          <w:p w14:paraId="116B8ED8" w14:textId="56F4C470" w:rsidR="00060B21" w:rsidRPr="00F22672" w:rsidDel="0013327A" w:rsidRDefault="00060B21" w:rsidP="00FC7454">
            <w:pPr>
              <w:rPr>
                <w:del w:id="2462" w:author="AUTHOR"/>
                <w:b/>
                <w:noProof/>
                <w:lang w:val="de-CH"/>
              </w:rPr>
            </w:pPr>
            <w:del w:id="2463" w:author="AUTHOR">
              <w:r w:rsidRPr="00F22672" w:rsidDel="0013327A">
                <w:rPr>
                  <w:b/>
                  <w:noProof/>
                  <w:lang w:val="de-CH"/>
                </w:rPr>
                <w:delText>Suomi/Finland</w:delText>
              </w:r>
            </w:del>
          </w:p>
          <w:p w14:paraId="6653BF2C" w14:textId="03D37DF1" w:rsidR="00060B21" w:rsidRPr="00F22672" w:rsidDel="0013327A" w:rsidRDefault="00060B21" w:rsidP="00FC7454">
            <w:pPr>
              <w:rPr>
                <w:del w:id="2464" w:author="AUTHOR"/>
                <w:noProof/>
                <w:snapToGrid w:val="0"/>
                <w:lang w:val="de-CH"/>
              </w:rPr>
            </w:pPr>
            <w:del w:id="2465" w:author="AUTHOR">
              <w:r w:rsidRPr="00F22672" w:rsidDel="0013327A">
                <w:rPr>
                  <w:noProof/>
                  <w:lang w:val="de-CH"/>
                </w:rPr>
                <w:delText>Roche Oy</w:delText>
              </w:r>
              <w:r w:rsidRPr="00F22672" w:rsidDel="0013327A">
                <w:rPr>
                  <w:noProof/>
                  <w:snapToGrid w:val="0"/>
                  <w:lang w:val="de-CH"/>
                </w:rPr>
                <w:delText xml:space="preserve"> </w:delText>
              </w:r>
            </w:del>
          </w:p>
          <w:p w14:paraId="2EA08CD8" w14:textId="0C9290A5" w:rsidR="0013327A" w:rsidRPr="0013327A" w:rsidRDefault="00060B21" w:rsidP="0013327A">
            <w:pPr>
              <w:rPr>
                <w:ins w:id="2466" w:author="AUTHOR"/>
                <w:noProof/>
                <w:szCs w:val="22"/>
                <w:lang w:val="en-GB"/>
              </w:rPr>
            </w:pPr>
            <w:del w:id="2467" w:author="AUTHOR">
              <w:r w:rsidRPr="00F22672" w:rsidDel="0013327A">
                <w:rPr>
                  <w:noProof/>
                  <w:lang w:val="de-CH"/>
                </w:rPr>
                <w:delText xml:space="preserve">Puh/Tel: +358 (0) </w:delText>
              </w:r>
              <w:r w:rsidRPr="00F22672" w:rsidDel="0013327A">
                <w:rPr>
                  <w:noProof/>
                  <w:lang w:val="de-DE"/>
                </w:rPr>
                <w:delText>10 554 500</w:delText>
              </w:r>
            </w:del>
            <w:ins w:id="2468" w:author="AUTHOR">
              <w:r w:rsidR="0013327A" w:rsidRPr="0013327A">
                <w:rPr>
                  <w:b/>
                  <w:noProof/>
                  <w:szCs w:val="22"/>
                  <w:lang w:val="en-GB"/>
                </w:rPr>
                <w:t>Sverige</w:t>
              </w:r>
            </w:ins>
          </w:p>
          <w:p w14:paraId="6047F570" w14:textId="77777777" w:rsidR="0013327A" w:rsidRPr="0013327A" w:rsidRDefault="0013327A" w:rsidP="0013327A">
            <w:pPr>
              <w:rPr>
                <w:ins w:id="2469" w:author="AUTHOR"/>
                <w:noProof/>
                <w:szCs w:val="22"/>
                <w:lang w:val="en-GB"/>
              </w:rPr>
            </w:pPr>
            <w:ins w:id="2470" w:author="AUTHOR">
              <w:r w:rsidRPr="0013327A">
                <w:rPr>
                  <w:noProof/>
                  <w:szCs w:val="22"/>
                  <w:lang w:val="en-GB"/>
                </w:rPr>
                <w:t>Roche AB</w:t>
              </w:r>
            </w:ins>
          </w:p>
          <w:p w14:paraId="439FA1A7" w14:textId="77777777" w:rsidR="0013327A" w:rsidRPr="0013327A" w:rsidRDefault="0013327A" w:rsidP="0013327A">
            <w:pPr>
              <w:suppressAutoHyphens/>
              <w:rPr>
                <w:ins w:id="2471" w:author="AUTHOR"/>
                <w:noProof/>
                <w:szCs w:val="22"/>
                <w:lang w:val="en-GB"/>
              </w:rPr>
            </w:pPr>
            <w:ins w:id="2472" w:author="AUTHOR">
              <w:r w:rsidRPr="0013327A">
                <w:rPr>
                  <w:noProof/>
                  <w:szCs w:val="22"/>
                  <w:lang w:val="en-GB"/>
                </w:rPr>
                <w:t>Tel: +46 (0) 8 726 1200</w:t>
              </w:r>
            </w:ins>
          </w:p>
          <w:p w14:paraId="35D9D87F" w14:textId="5E0966F2" w:rsidR="00060B21" w:rsidRPr="00F22672" w:rsidRDefault="00060B21" w:rsidP="00FC7454">
            <w:pPr>
              <w:rPr>
                <w:noProof/>
                <w:lang w:val="de-CH"/>
              </w:rPr>
            </w:pPr>
          </w:p>
          <w:p w14:paraId="01534DFE" w14:textId="77777777" w:rsidR="00060B21" w:rsidRPr="00F22672" w:rsidRDefault="00060B21" w:rsidP="00FC7454">
            <w:pPr>
              <w:rPr>
                <w:noProof/>
                <w:lang w:val="de-CH"/>
              </w:rPr>
            </w:pPr>
          </w:p>
        </w:tc>
      </w:tr>
      <w:tr w:rsidR="00060B21" w:rsidRPr="00F22672" w:rsidDel="0013327A" w14:paraId="2234C163" w14:textId="1EDB40A7" w:rsidTr="00467FFD">
        <w:trPr>
          <w:cantSplit/>
          <w:del w:id="2473" w:author="AUTHOR"/>
          <w:trPrChange w:id="2474" w:author="AUTHOR">
            <w:trPr>
              <w:gridAfter w:val="0"/>
              <w:cantSplit/>
            </w:trPr>
          </w:trPrChange>
        </w:trPr>
        <w:tc>
          <w:tcPr>
            <w:tcW w:w="4590" w:type="dxa"/>
            <w:tcPrChange w:id="2475" w:author="AUTHOR">
              <w:tcPr>
                <w:tcW w:w="4590" w:type="dxa"/>
                <w:gridSpan w:val="2"/>
              </w:tcPr>
            </w:tcPrChange>
          </w:tcPr>
          <w:p w14:paraId="013795AA" w14:textId="66A4337A" w:rsidR="00060B21" w:rsidRPr="00F30AB8" w:rsidDel="0013327A" w:rsidRDefault="00060B21" w:rsidP="00FC7454">
            <w:pPr>
              <w:rPr>
                <w:del w:id="2476" w:author="AUTHOR"/>
                <w:rFonts w:ascii="Arial" w:hAnsi="Arial" w:cs="Arial"/>
                <w:noProof/>
                <w:sz w:val="20"/>
                <w:lang w:eastAsia="en-US"/>
              </w:rPr>
            </w:pPr>
            <w:del w:id="2477" w:author="AUTHOR">
              <w:r w:rsidRPr="00F30AB8" w:rsidDel="0013327A">
                <w:rPr>
                  <w:b/>
                  <w:noProof/>
                </w:rPr>
                <w:delText>K</w:delText>
              </w:r>
              <w:r w:rsidRPr="00F22672" w:rsidDel="0013327A">
                <w:rPr>
                  <w:b/>
                  <w:noProof/>
                  <w:lang w:val="el-GR"/>
                </w:rPr>
                <w:delText>ύπρος</w:delText>
              </w:r>
              <w:r w:rsidRPr="00F30AB8" w:rsidDel="0013327A">
                <w:rPr>
                  <w:rFonts w:ascii="Arial" w:hAnsi="Arial" w:cs="Arial"/>
                  <w:noProof/>
                  <w:sz w:val="20"/>
                  <w:lang w:eastAsia="en-US"/>
                </w:rPr>
                <w:delText xml:space="preserve"> </w:delText>
              </w:r>
            </w:del>
          </w:p>
          <w:p w14:paraId="4C7538A7" w14:textId="72C4D2C5" w:rsidR="00702ADE" w:rsidRPr="00F30AB8" w:rsidDel="0013327A" w:rsidRDefault="00702ADE" w:rsidP="00702ADE">
            <w:pPr>
              <w:rPr>
                <w:del w:id="2478" w:author="AUTHOR"/>
                <w:noProof/>
              </w:rPr>
            </w:pPr>
            <w:del w:id="2479" w:author="AUTHOR">
              <w:r w:rsidRPr="00F30AB8" w:rsidDel="0013327A">
                <w:rPr>
                  <w:noProof/>
                </w:rPr>
                <w:delText>Roche (Hellas) A.E.</w:delText>
              </w:r>
            </w:del>
          </w:p>
          <w:p w14:paraId="10E83497" w14:textId="611BDF43" w:rsidR="00060B21" w:rsidRPr="00F22672" w:rsidDel="0013327A" w:rsidRDefault="00702ADE" w:rsidP="00702ADE">
            <w:pPr>
              <w:rPr>
                <w:del w:id="2480" w:author="AUTHOR"/>
                <w:noProof/>
              </w:rPr>
            </w:pPr>
            <w:del w:id="2481" w:author="AUTHOR">
              <w:r w:rsidRPr="00702ADE" w:rsidDel="0013327A">
                <w:rPr>
                  <w:noProof/>
                  <w:lang w:val="el-GR"/>
                </w:rPr>
                <w:delText>Τηλ: +30 210 61 66 100</w:delText>
              </w:r>
            </w:del>
          </w:p>
        </w:tc>
        <w:tc>
          <w:tcPr>
            <w:tcW w:w="4590" w:type="dxa"/>
            <w:tcPrChange w:id="2482" w:author="AUTHOR">
              <w:tcPr>
                <w:tcW w:w="4590" w:type="dxa"/>
                <w:gridSpan w:val="2"/>
              </w:tcPr>
            </w:tcPrChange>
          </w:tcPr>
          <w:p w14:paraId="373650C2" w14:textId="0F0BDB7E" w:rsidR="00060B21" w:rsidRPr="00F22672" w:rsidDel="0013327A" w:rsidRDefault="00060B21" w:rsidP="00FC7454">
            <w:pPr>
              <w:rPr>
                <w:del w:id="2483" w:author="AUTHOR"/>
                <w:noProof/>
                <w:lang w:val="en-GB"/>
              </w:rPr>
            </w:pPr>
            <w:del w:id="2484" w:author="AUTHOR">
              <w:r w:rsidRPr="00F22672" w:rsidDel="0013327A">
                <w:rPr>
                  <w:b/>
                  <w:noProof/>
                  <w:lang w:val="en-GB"/>
                </w:rPr>
                <w:delText>Sverige</w:delText>
              </w:r>
            </w:del>
          </w:p>
          <w:p w14:paraId="39C4FC64" w14:textId="1E9F7AE9" w:rsidR="00060B21" w:rsidRPr="00F22672" w:rsidDel="0013327A" w:rsidRDefault="00060B21" w:rsidP="00FC7454">
            <w:pPr>
              <w:rPr>
                <w:del w:id="2485" w:author="AUTHOR"/>
                <w:noProof/>
                <w:lang w:val="en-GB"/>
              </w:rPr>
            </w:pPr>
            <w:del w:id="2486" w:author="AUTHOR">
              <w:r w:rsidRPr="00F22672" w:rsidDel="0013327A">
                <w:rPr>
                  <w:noProof/>
                  <w:lang w:val="en-GB"/>
                </w:rPr>
                <w:delText>Roche AB</w:delText>
              </w:r>
            </w:del>
          </w:p>
          <w:p w14:paraId="551360F8" w14:textId="5F56562D" w:rsidR="00060B21" w:rsidRPr="00F22672" w:rsidDel="0013327A" w:rsidRDefault="00060B21" w:rsidP="00FC7454">
            <w:pPr>
              <w:suppressAutoHyphens/>
              <w:rPr>
                <w:del w:id="2487" w:author="AUTHOR"/>
                <w:noProof/>
                <w:lang w:val="en-GB"/>
              </w:rPr>
            </w:pPr>
            <w:del w:id="2488" w:author="AUTHOR">
              <w:r w:rsidRPr="00F22672" w:rsidDel="0013327A">
                <w:rPr>
                  <w:noProof/>
                  <w:lang w:val="en-GB"/>
                </w:rPr>
                <w:delText>Tel: +46 (0) 8 726 1200</w:delText>
              </w:r>
            </w:del>
          </w:p>
          <w:p w14:paraId="637BDF5C" w14:textId="0E34E8FF" w:rsidR="00060B21" w:rsidRPr="00F22672" w:rsidDel="0013327A" w:rsidRDefault="00060B21" w:rsidP="00FC7454">
            <w:pPr>
              <w:rPr>
                <w:del w:id="2489" w:author="AUTHOR"/>
                <w:noProof/>
              </w:rPr>
            </w:pPr>
          </w:p>
        </w:tc>
      </w:tr>
      <w:tr w:rsidR="00060B21" w:rsidRPr="000C7D20" w:rsidDel="0013327A" w14:paraId="37DD1E7D" w14:textId="4376F911" w:rsidTr="00467FFD">
        <w:trPr>
          <w:cantSplit/>
          <w:del w:id="2490" w:author="AUTHOR"/>
          <w:trPrChange w:id="2491" w:author="AUTHOR">
            <w:trPr>
              <w:gridAfter w:val="0"/>
              <w:cantSplit/>
            </w:trPr>
          </w:trPrChange>
        </w:trPr>
        <w:tc>
          <w:tcPr>
            <w:tcW w:w="4590" w:type="dxa"/>
            <w:tcPrChange w:id="2492" w:author="AUTHOR">
              <w:tcPr>
                <w:tcW w:w="4590" w:type="dxa"/>
                <w:gridSpan w:val="2"/>
              </w:tcPr>
            </w:tcPrChange>
          </w:tcPr>
          <w:p w14:paraId="5CEBBB32" w14:textId="69ED8D6E" w:rsidR="00060B21" w:rsidRPr="00F22672" w:rsidDel="0013327A" w:rsidRDefault="00060B21" w:rsidP="00FC7454">
            <w:pPr>
              <w:rPr>
                <w:del w:id="2493" w:author="AUTHOR"/>
                <w:b/>
                <w:noProof/>
                <w:lang w:val="it-IT"/>
              </w:rPr>
            </w:pPr>
            <w:del w:id="2494" w:author="AUTHOR">
              <w:r w:rsidRPr="00F22672" w:rsidDel="0013327A">
                <w:rPr>
                  <w:b/>
                  <w:noProof/>
                  <w:lang w:val="it-IT"/>
                </w:rPr>
                <w:delText>Latvija</w:delText>
              </w:r>
            </w:del>
          </w:p>
          <w:p w14:paraId="5A794AE6" w14:textId="127518F6" w:rsidR="00060B21" w:rsidRPr="00F22672" w:rsidDel="0013327A" w:rsidRDefault="00060B21" w:rsidP="00FC7454">
            <w:pPr>
              <w:rPr>
                <w:del w:id="2495" w:author="AUTHOR"/>
                <w:noProof/>
                <w:lang w:val="it-IT"/>
              </w:rPr>
            </w:pPr>
            <w:del w:id="2496" w:author="AUTHOR">
              <w:r w:rsidRPr="00F22672" w:rsidDel="0013327A">
                <w:rPr>
                  <w:bCs/>
                  <w:noProof/>
                  <w:lang w:val="lv-LV"/>
                </w:rPr>
                <w:delText>Roche Latvija SIA</w:delText>
              </w:r>
            </w:del>
          </w:p>
          <w:p w14:paraId="7A3B3C4F" w14:textId="32BD1B0B" w:rsidR="00060B21" w:rsidRPr="00F22672" w:rsidDel="0013327A" w:rsidRDefault="00060B21" w:rsidP="00FC7454">
            <w:pPr>
              <w:rPr>
                <w:del w:id="2497" w:author="AUTHOR"/>
                <w:noProof/>
                <w:lang w:val="it-IT"/>
              </w:rPr>
            </w:pPr>
            <w:del w:id="2498" w:author="AUTHOR">
              <w:r w:rsidRPr="00F22672" w:rsidDel="0013327A">
                <w:rPr>
                  <w:noProof/>
                  <w:lang w:val="it-IT"/>
                </w:rPr>
                <w:delText>Tel: +371 - 6 7039831</w:delText>
              </w:r>
            </w:del>
          </w:p>
          <w:p w14:paraId="4D858BF9" w14:textId="1BC347DF" w:rsidR="00060B21" w:rsidRPr="00F22672" w:rsidDel="0013327A" w:rsidRDefault="00060B21" w:rsidP="00FC7454">
            <w:pPr>
              <w:rPr>
                <w:del w:id="2499" w:author="AUTHOR"/>
                <w:b/>
                <w:noProof/>
                <w:lang w:val="it-IT"/>
              </w:rPr>
            </w:pPr>
          </w:p>
        </w:tc>
        <w:tc>
          <w:tcPr>
            <w:tcW w:w="4590" w:type="dxa"/>
            <w:tcPrChange w:id="2500" w:author="AUTHOR">
              <w:tcPr>
                <w:tcW w:w="4590" w:type="dxa"/>
                <w:gridSpan w:val="2"/>
              </w:tcPr>
            </w:tcPrChange>
          </w:tcPr>
          <w:p w14:paraId="2803E10B" w14:textId="2DA8E571" w:rsidR="00060B21" w:rsidRPr="00F30AB8" w:rsidDel="0013327A" w:rsidRDefault="00060B21">
            <w:pPr>
              <w:rPr>
                <w:del w:id="2501" w:author="AUTHOR"/>
                <w:noProof/>
                <w:lang w:val="es-ES"/>
              </w:rPr>
            </w:pPr>
          </w:p>
        </w:tc>
      </w:tr>
      <w:tr w:rsidR="00060B21" w:rsidRPr="001335A4" w:rsidDel="0013327A" w14:paraId="4D35DA97" w14:textId="24EFEFC7" w:rsidTr="00467FFD">
        <w:trPr>
          <w:cantSplit/>
          <w:del w:id="2502" w:author="AUTHOR"/>
          <w:trPrChange w:id="2503" w:author="AUTHOR">
            <w:trPr>
              <w:gridAfter w:val="0"/>
              <w:cantSplit/>
            </w:trPr>
          </w:trPrChange>
        </w:trPr>
        <w:tc>
          <w:tcPr>
            <w:tcW w:w="4590" w:type="dxa"/>
            <w:tcPrChange w:id="2504" w:author="AUTHOR">
              <w:tcPr>
                <w:tcW w:w="4590" w:type="dxa"/>
                <w:gridSpan w:val="2"/>
              </w:tcPr>
            </w:tcPrChange>
          </w:tcPr>
          <w:p w14:paraId="38E783CB" w14:textId="4CD18817" w:rsidR="00060B21" w:rsidRPr="00F22672" w:rsidDel="0013327A" w:rsidRDefault="00060B21" w:rsidP="00FC7454">
            <w:pPr>
              <w:suppressAutoHyphens/>
              <w:rPr>
                <w:del w:id="2505" w:author="AUTHOR"/>
                <w:b/>
                <w:noProof/>
                <w:lang w:val="fi-FI"/>
              </w:rPr>
            </w:pPr>
            <w:del w:id="2506" w:author="AUTHOR">
              <w:r w:rsidRPr="00F22672" w:rsidDel="0013327A">
                <w:rPr>
                  <w:b/>
                  <w:noProof/>
                  <w:lang w:val="fi-FI"/>
                </w:rPr>
                <w:delText>Lietuva</w:delText>
              </w:r>
            </w:del>
          </w:p>
          <w:p w14:paraId="24B7C92E" w14:textId="5897CCC7" w:rsidR="00060B21" w:rsidRPr="00F22672" w:rsidDel="0013327A" w:rsidRDefault="00060B21" w:rsidP="00FC7454">
            <w:pPr>
              <w:suppressAutoHyphens/>
              <w:rPr>
                <w:del w:id="2507" w:author="AUTHOR"/>
                <w:noProof/>
                <w:lang w:val="fi-FI"/>
              </w:rPr>
            </w:pPr>
            <w:del w:id="2508" w:author="AUTHOR">
              <w:r w:rsidRPr="00F22672" w:rsidDel="0013327A">
                <w:rPr>
                  <w:noProof/>
                  <w:lang w:val="fi-FI"/>
                </w:rPr>
                <w:delText>UAB “Roche Lietuva”</w:delText>
              </w:r>
            </w:del>
          </w:p>
          <w:p w14:paraId="39ADB9A9" w14:textId="270A6DD0" w:rsidR="00060B21" w:rsidRPr="00F22672" w:rsidDel="0013327A" w:rsidRDefault="00060B21" w:rsidP="00FC7454">
            <w:pPr>
              <w:suppressAutoHyphens/>
              <w:rPr>
                <w:del w:id="2509" w:author="AUTHOR"/>
                <w:noProof/>
                <w:lang w:val="fi-FI"/>
              </w:rPr>
            </w:pPr>
            <w:del w:id="2510" w:author="AUTHOR">
              <w:r w:rsidRPr="00F22672" w:rsidDel="0013327A">
                <w:rPr>
                  <w:noProof/>
                  <w:lang w:val="fi-FI"/>
                </w:rPr>
                <w:delText>Tel: +370 5 2546799</w:delText>
              </w:r>
            </w:del>
          </w:p>
          <w:p w14:paraId="58B85AF7" w14:textId="56239AF4" w:rsidR="00060B21" w:rsidRPr="00F22672" w:rsidDel="0013327A" w:rsidRDefault="00060B21" w:rsidP="006868F5">
            <w:pPr>
              <w:suppressAutoHyphens/>
              <w:rPr>
                <w:del w:id="2511" w:author="AUTHOR"/>
                <w:noProof/>
                <w:lang w:val="fi-FI"/>
              </w:rPr>
            </w:pPr>
          </w:p>
        </w:tc>
        <w:tc>
          <w:tcPr>
            <w:tcW w:w="4590" w:type="dxa"/>
            <w:tcPrChange w:id="2512" w:author="AUTHOR">
              <w:tcPr>
                <w:tcW w:w="4590" w:type="dxa"/>
                <w:gridSpan w:val="2"/>
              </w:tcPr>
            </w:tcPrChange>
          </w:tcPr>
          <w:p w14:paraId="33869604" w14:textId="2EFC6D0A" w:rsidR="00060B21" w:rsidRPr="00F22672" w:rsidDel="0013327A" w:rsidRDefault="00060B21" w:rsidP="00FC7454">
            <w:pPr>
              <w:suppressAutoHyphens/>
              <w:rPr>
                <w:del w:id="2513" w:author="AUTHOR"/>
                <w:noProof/>
                <w:lang w:val="fi-FI"/>
              </w:rPr>
            </w:pPr>
          </w:p>
        </w:tc>
      </w:tr>
    </w:tbl>
    <w:p w14:paraId="260FA31B" w14:textId="77777777" w:rsidR="00060B21" w:rsidRPr="00F22672" w:rsidRDefault="00060B21" w:rsidP="00060B21">
      <w:pPr>
        <w:ind w:right="-449"/>
        <w:rPr>
          <w:lang w:val="fi-FI"/>
        </w:rPr>
      </w:pPr>
    </w:p>
    <w:p w14:paraId="40F10AE4" w14:textId="77777777" w:rsidR="00060B21" w:rsidRPr="00F22672" w:rsidRDefault="00060B21" w:rsidP="00060B21">
      <w:pPr>
        <w:keepNext/>
        <w:keepLines/>
        <w:ind w:right="-448"/>
        <w:rPr>
          <w:b/>
          <w:bCs/>
          <w:lang w:val="es-ES"/>
        </w:rPr>
      </w:pPr>
      <w:r w:rsidRPr="00F22672">
        <w:rPr>
          <w:b/>
          <w:bCs/>
          <w:lang w:val="es-ES_tradnl"/>
        </w:rPr>
        <w:t xml:space="preserve">Fecha de la última revisión de este prospecto </w:t>
      </w:r>
    </w:p>
    <w:p w14:paraId="7A3B9CA0" w14:textId="77777777" w:rsidR="00060B21" w:rsidRPr="00F22672" w:rsidRDefault="00060B21" w:rsidP="00060B21">
      <w:pPr>
        <w:ind w:right="-449"/>
        <w:rPr>
          <w:b/>
          <w:bCs/>
          <w:lang w:val="es-ES_tradnl"/>
        </w:rPr>
      </w:pPr>
    </w:p>
    <w:p w14:paraId="5BF4911F" w14:textId="77777777" w:rsidR="00060B21" w:rsidRPr="00F22672" w:rsidRDefault="00060B21" w:rsidP="00060B21">
      <w:pPr>
        <w:ind w:right="-449"/>
        <w:rPr>
          <w:b/>
          <w:bCs/>
          <w:lang w:val="es-ES_tradnl"/>
        </w:rPr>
      </w:pPr>
      <w:r w:rsidRPr="00F22672">
        <w:rPr>
          <w:b/>
          <w:bCs/>
          <w:lang w:val="es-ES_tradnl"/>
        </w:rPr>
        <w:t>Otras fuentes de información</w:t>
      </w:r>
    </w:p>
    <w:p w14:paraId="50703AC9" w14:textId="51B7DD21" w:rsidR="00060B21" w:rsidRPr="00F22672" w:rsidRDefault="00060B21" w:rsidP="00060B21">
      <w:pPr>
        <w:ind w:right="-449"/>
        <w:rPr>
          <w:bCs/>
          <w:lang w:val="es-ES_tradnl"/>
        </w:rPr>
      </w:pPr>
      <w:r w:rsidRPr="00F22672">
        <w:rPr>
          <w:bCs/>
          <w:lang w:val="es-ES_tradnl"/>
        </w:rPr>
        <w:t>La información detallada de este medicamento está disponible en la página web de la Agencia Europea de Medicamentos</w:t>
      </w:r>
      <w:r w:rsidR="008104B8">
        <w:rPr>
          <w:bCs/>
          <w:lang w:val="es-ES_tradnl"/>
        </w:rPr>
        <w:t xml:space="preserve"> </w:t>
      </w:r>
      <w:r w:rsidR="00702ADE">
        <w:fldChar w:fldCharType="begin"/>
      </w:r>
      <w:r w:rsidR="00702ADE" w:rsidRPr="00467FFD">
        <w:rPr>
          <w:lang w:val="es-ES"/>
          <w:rPrChange w:id="2514" w:author="AUTHOR">
            <w:rPr/>
          </w:rPrChange>
        </w:rPr>
        <w:instrText>HYPERLINK "https://www.ema.europa.eu"</w:instrText>
      </w:r>
      <w:r w:rsidR="00702ADE">
        <w:fldChar w:fldCharType="separate"/>
      </w:r>
      <w:r w:rsidR="00702ADE" w:rsidRPr="00A549AC">
        <w:rPr>
          <w:rStyle w:val="Hyperlink"/>
          <w:bCs/>
          <w:lang w:val="es-ES"/>
        </w:rPr>
        <w:t>https://www.ema.europa.eu</w:t>
      </w:r>
      <w:r w:rsidR="00702ADE">
        <w:fldChar w:fldCharType="end"/>
      </w:r>
      <w:r w:rsidR="00702ADE" w:rsidRPr="00702ADE" w:rsidDel="00702ADE">
        <w:rPr>
          <w:rStyle w:val="Hyperlink"/>
          <w:bCs/>
          <w:color w:val="auto"/>
          <w:u w:val="none"/>
          <w:lang w:val="es-ES"/>
        </w:rPr>
        <w:t xml:space="preserve"> </w:t>
      </w:r>
      <w:r w:rsidRPr="00F22672">
        <w:rPr>
          <w:bCs/>
          <w:lang w:val="es-ES_tradnl"/>
        </w:rPr>
        <w:t>.</w:t>
      </w:r>
      <w:r w:rsidRPr="00F22672">
        <w:rPr>
          <w:lang w:val="es-ES_tradnl"/>
        </w:rPr>
        <w:t xml:space="preserve"> </w:t>
      </w:r>
    </w:p>
    <w:p w14:paraId="7C8C19C4" w14:textId="77777777" w:rsidR="00060B21" w:rsidRPr="00C636EA" w:rsidRDefault="00791C01" w:rsidP="00060B21">
      <w:pPr>
        <w:ind w:right="-449"/>
        <w:rPr>
          <w:bCs/>
          <w:sz w:val="24"/>
          <w:szCs w:val="24"/>
          <w:lang w:val="es-ES_tradnl"/>
        </w:rPr>
      </w:pPr>
      <w:r w:rsidRPr="00F22672">
        <w:rPr>
          <w:bCs/>
          <w:lang w:val="es-ES_tradnl"/>
        </w:rPr>
        <w:br w:type="page"/>
      </w:r>
    </w:p>
    <w:p w14:paraId="25C571DC" w14:textId="77777777" w:rsidR="00060B21" w:rsidRPr="006868F5" w:rsidRDefault="00060B21" w:rsidP="00D75946">
      <w:pPr>
        <w:rPr>
          <w:b/>
          <w:szCs w:val="22"/>
          <w:lang w:val="es-ES"/>
        </w:rPr>
      </w:pPr>
      <w:r w:rsidRPr="006868F5">
        <w:rPr>
          <w:b/>
          <w:szCs w:val="22"/>
          <w:lang w:val="es-ES"/>
        </w:rPr>
        <w:lastRenderedPageBreak/>
        <w:t>Esta información está destinada únicamente a profesionales sanitarios</w:t>
      </w:r>
      <w:r w:rsidR="00561A0F" w:rsidRPr="006868F5">
        <w:rPr>
          <w:b/>
          <w:szCs w:val="22"/>
          <w:lang w:val="es-ES"/>
        </w:rPr>
        <w:t>:</w:t>
      </w:r>
    </w:p>
    <w:p w14:paraId="22ADCFED" w14:textId="77777777" w:rsidR="00060B21" w:rsidRPr="006868F5" w:rsidRDefault="00060B21" w:rsidP="00060B21">
      <w:pPr>
        <w:ind w:right="-449"/>
        <w:rPr>
          <w:b/>
          <w:szCs w:val="22"/>
          <w:lang w:val="es-ES"/>
        </w:rPr>
      </w:pPr>
    </w:p>
    <w:p w14:paraId="010E8A1F" w14:textId="77777777" w:rsidR="00060B21" w:rsidRPr="006868F5" w:rsidRDefault="00060B21" w:rsidP="00060B21">
      <w:pPr>
        <w:rPr>
          <w:b/>
          <w:szCs w:val="22"/>
          <w:lang w:val="es-ES"/>
        </w:rPr>
      </w:pPr>
      <w:r w:rsidRPr="006868F5">
        <w:rPr>
          <w:b/>
          <w:szCs w:val="22"/>
          <w:lang w:val="es-ES"/>
        </w:rPr>
        <w:t>Instrucciones para la dilución previa a la administración</w:t>
      </w:r>
    </w:p>
    <w:p w14:paraId="25D584A1" w14:textId="77777777" w:rsidR="00060B21" w:rsidRPr="006868F5" w:rsidRDefault="00060B21" w:rsidP="00060B21">
      <w:pPr>
        <w:rPr>
          <w:lang w:val="es-ES"/>
        </w:rPr>
      </w:pPr>
      <w:r w:rsidRPr="006868F5">
        <w:rPr>
          <w:lang w:val="es-ES"/>
        </w:rPr>
        <w:t>Los medicamentos parenterales deben inspeccionarse visualmente antes de la administración por si tienen partículas o cambio de color. Sólo deben diluirse las soluciones que sean transparentes a opalescentes, incoloras a amarillo pálido y carentes de partículas visibles.</w:t>
      </w:r>
      <w:r w:rsidR="00281BC8" w:rsidRPr="00BE3753">
        <w:rPr>
          <w:lang w:val="es-ES"/>
        </w:rPr>
        <w:t xml:space="preserve"> </w:t>
      </w:r>
      <w:r w:rsidR="00281BC8" w:rsidRPr="00281BC8">
        <w:rPr>
          <w:lang w:val="es-ES"/>
        </w:rPr>
        <w:t>Utilice una aguja y una jeringa estéril para preparar</w:t>
      </w:r>
      <w:r w:rsidR="00281BC8">
        <w:rPr>
          <w:lang w:val="es-ES"/>
        </w:rPr>
        <w:t xml:space="preserve"> RoActemra.</w:t>
      </w:r>
    </w:p>
    <w:p w14:paraId="0B4DE544" w14:textId="77777777" w:rsidR="00060B21" w:rsidRPr="00F22672" w:rsidRDefault="00060B21" w:rsidP="00060B21">
      <w:pPr>
        <w:rPr>
          <w:lang w:val="es-ES_tradnl"/>
        </w:rPr>
      </w:pPr>
    </w:p>
    <w:p w14:paraId="46611956" w14:textId="77777777" w:rsidR="00060B21" w:rsidRPr="00CD7B19" w:rsidRDefault="00060B21" w:rsidP="00C636EA">
      <w:pPr>
        <w:ind w:right="-449"/>
        <w:rPr>
          <w:b/>
          <w:szCs w:val="22"/>
          <w:lang w:val="es-ES"/>
        </w:rPr>
      </w:pPr>
      <w:r w:rsidRPr="006868F5">
        <w:rPr>
          <w:b/>
          <w:szCs w:val="22"/>
          <w:lang w:val="es-ES"/>
        </w:rPr>
        <w:t xml:space="preserve">Pacientes </w:t>
      </w:r>
      <w:r w:rsidR="00561A0F" w:rsidRPr="006868F5">
        <w:rPr>
          <w:b/>
          <w:szCs w:val="22"/>
          <w:lang w:val="es-ES"/>
        </w:rPr>
        <w:t xml:space="preserve">adultos </w:t>
      </w:r>
      <w:r w:rsidRPr="006868F5">
        <w:rPr>
          <w:b/>
          <w:szCs w:val="22"/>
          <w:lang w:val="es-ES"/>
        </w:rPr>
        <w:t>con AR</w:t>
      </w:r>
      <w:r w:rsidR="0085789E">
        <w:rPr>
          <w:b/>
          <w:szCs w:val="22"/>
          <w:lang w:val="es-ES"/>
        </w:rPr>
        <w:t>, COVID 19</w:t>
      </w:r>
      <w:r w:rsidR="00DC6633">
        <w:rPr>
          <w:b/>
          <w:szCs w:val="22"/>
          <w:lang w:val="es-ES"/>
        </w:rPr>
        <w:t xml:space="preserve"> y SLC</w:t>
      </w:r>
      <w:r w:rsidR="00CD7B19">
        <w:rPr>
          <w:b/>
          <w:szCs w:val="22"/>
          <w:lang w:val="es-ES"/>
        </w:rPr>
        <w:t xml:space="preserve"> (con peso </w:t>
      </w:r>
      <w:r w:rsidR="00CD7B19" w:rsidRPr="00BD5A22">
        <w:rPr>
          <w:b/>
          <w:lang w:val="es-ES"/>
        </w:rPr>
        <w:t>≥</w:t>
      </w:r>
      <w:r w:rsidR="00CD7B19">
        <w:rPr>
          <w:b/>
          <w:szCs w:val="22"/>
          <w:lang w:val="es-ES"/>
        </w:rPr>
        <w:t>30 kg)</w:t>
      </w:r>
    </w:p>
    <w:p w14:paraId="1615E035" w14:textId="77777777" w:rsidR="00060B21" w:rsidRPr="006868F5" w:rsidRDefault="00060B21" w:rsidP="00060B21">
      <w:pPr>
        <w:rPr>
          <w:lang w:val="es-ES"/>
        </w:rPr>
      </w:pPr>
      <w:r w:rsidRPr="006868F5">
        <w:rPr>
          <w:lang w:val="es-ES"/>
        </w:rPr>
        <w:t>Retire de una bolsa de perfusión de 100 ml un volumen de solución para inyección estéril y apirógena de cloruro sódico 9 mg/ml (0,9 %) igual que el volumen de concentrado de RoActemra necesario para la dosis del paciente, en condiciones asépticas. La cantidad necesaria de concentrado de RoActemra</w:t>
      </w:r>
      <w:r w:rsidRPr="00F22672">
        <w:rPr>
          <w:lang w:val="es-ES_tradnl"/>
        </w:rPr>
        <w:t xml:space="preserve"> (</w:t>
      </w:r>
      <w:r w:rsidRPr="00F22672">
        <w:rPr>
          <w:b/>
          <w:lang w:val="es-ES_tradnl"/>
        </w:rPr>
        <w:t>0,4 ml/kg</w:t>
      </w:r>
      <w:r w:rsidRPr="00F22672">
        <w:rPr>
          <w:lang w:val="es-ES_tradnl"/>
        </w:rPr>
        <w:t xml:space="preserve">) </w:t>
      </w:r>
      <w:r w:rsidRPr="006868F5">
        <w:rPr>
          <w:lang w:val="es-ES"/>
        </w:rPr>
        <w:t xml:space="preserve">debe ser retirada del vial y </w:t>
      </w:r>
      <w:r w:rsidR="00DC4925" w:rsidRPr="006868F5">
        <w:rPr>
          <w:lang w:val="es-ES"/>
        </w:rPr>
        <w:t>depositada en</w:t>
      </w:r>
      <w:r w:rsidRPr="006868F5">
        <w:rPr>
          <w:lang w:val="es-ES"/>
        </w:rPr>
        <w:t xml:space="preserve"> la bolsa de perfusión</w:t>
      </w:r>
      <w:r w:rsidR="00DC4925" w:rsidRPr="006868F5">
        <w:rPr>
          <w:lang w:val="es-ES"/>
        </w:rPr>
        <w:t xml:space="preserve"> de 100 ml</w:t>
      </w:r>
      <w:r w:rsidRPr="006868F5">
        <w:rPr>
          <w:lang w:val="es-ES"/>
        </w:rPr>
        <w:t>. El volumen final debe ser de 100 ml. Para mezclar la solución, invierta suavemente la bolsa de perfusión para evitar la formación de espuma.</w:t>
      </w:r>
    </w:p>
    <w:p w14:paraId="604718E2" w14:textId="77777777" w:rsidR="00060B21" w:rsidRPr="00F22672" w:rsidRDefault="00060B21" w:rsidP="00060B21">
      <w:pPr>
        <w:rPr>
          <w:lang w:val="es-ES_tradnl"/>
        </w:rPr>
      </w:pPr>
    </w:p>
    <w:p w14:paraId="229288D2" w14:textId="77777777" w:rsidR="00060B21" w:rsidRPr="006868F5" w:rsidRDefault="00060B21" w:rsidP="00C636EA">
      <w:pPr>
        <w:ind w:right="-449"/>
        <w:rPr>
          <w:b/>
          <w:noProof/>
          <w:szCs w:val="22"/>
          <w:lang w:val="es-ES"/>
        </w:rPr>
      </w:pPr>
      <w:r w:rsidRPr="006868F5">
        <w:rPr>
          <w:b/>
          <w:noProof/>
          <w:szCs w:val="22"/>
          <w:lang w:val="es-ES"/>
        </w:rPr>
        <w:t>Uso en población pediátrica</w:t>
      </w:r>
    </w:p>
    <w:p w14:paraId="6A979749" w14:textId="77777777" w:rsidR="00060B21" w:rsidRPr="00F22672" w:rsidRDefault="00060B21" w:rsidP="00060B21">
      <w:pPr>
        <w:rPr>
          <w:lang w:val="es-ES_tradnl"/>
        </w:rPr>
      </w:pPr>
    </w:p>
    <w:p w14:paraId="5493B1CC" w14:textId="77777777" w:rsidR="00060B21" w:rsidRPr="006868F5" w:rsidRDefault="00060B21" w:rsidP="00C636EA">
      <w:pPr>
        <w:ind w:right="-449"/>
        <w:rPr>
          <w:b/>
          <w:lang w:val="es-ES"/>
        </w:rPr>
      </w:pPr>
      <w:r w:rsidRPr="006868F5">
        <w:rPr>
          <w:b/>
          <w:lang w:val="es-ES"/>
        </w:rPr>
        <w:t>Pacientes con AIJs</w:t>
      </w:r>
      <w:r w:rsidR="00CD7B19">
        <w:rPr>
          <w:b/>
          <w:lang w:val="es-ES"/>
        </w:rPr>
        <w:t>,</w:t>
      </w:r>
      <w:r w:rsidRPr="006868F5">
        <w:rPr>
          <w:b/>
          <w:lang w:val="es-ES"/>
        </w:rPr>
        <w:t xml:space="preserve"> con AIJp</w:t>
      </w:r>
      <w:r w:rsidR="00CD7B19">
        <w:rPr>
          <w:b/>
          <w:lang w:val="es-ES"/>
        </w:rPr>
        <w:t xml:space="preserve"> y SLC</w:t>
      </w:r>
      <w:r w:rsidRPr="006868F5">
        <w:rPr>
          <w:b/>
          <w:lang w:val="es-ES"/>
        </w:rPr>
        <w:t xml:space="preserve"> con peso ≥ 30 kg</w:t>
      </w:r>
    </w:p>
    <w:p w14:paraId="4118B6A0" w14:textId="77777777" w:rsidR="00060B21" w:rsidRPr="00F22672" w:rsidRDefault="00060B21" w:rsidP="00060B21">
      <w:pPr>
        <w:rPr>
          <w:lang w:val="es-ES"/>
        </w:rPr>
      </w:pPr>
      <w:r w:rsidRPr="006868F5">
        <w:rPr>
          <w:lang w:val="es-ES"/>
        </w:rPr>
        <w:t>Retire de una bolsa de perfusión de 100 ml un volumen de solución para inyección estéril y apirógena de cloruro sódico 9mg/ml (0,9%) igual que el volumen de concentrado de RoActemra necesario para la dosis del paciente, en condiciones asépticas. La cantidad necesaria de concentrado de RoActemra</w:t>
      </w:r>
      <w:r w:rsidRPr="00F22672">
        <w:rPr>
          <w:lang w:val="es-ES"/>
        </w:rPr>
        <w:t xml:space="preserve"> (</w:t>
      </w:r>
      <w:r w:rsidRPr="00F22672">
        <w:rPr>
          <w:b/>
          <w:lang w:val="es-ES"/>
        </w:rPr>
        <w:t>0,4 ml/kg</w:t>
      </w:r>
      <w:r w:rsidRPr="00F22672">
        <w:rPr>
          <w:lang w:val="es-ES"/>
        </w:rPr>
        <w:t xml:space="preserve">) </w:t>
      </w:r>
      <w:r w:rsidRPr="006868F5">
        <w:rPr>
          <w:lang w:val="es-ES"/>
        </w:rPr>
        <w:t xml:space="preserve">debe ser retirada del vial y </w:t>
      </w:r>
      <w:r w:rsidR="00DC4925" w:rsidRPr="006868F5">
        <w:rPr>
          <w:lang w:val="es-ES"/>
        </w:rPr>
        <w:t>depositada</w:t>
      </w:r>
      <w:r w:rsidRPr="006868F5">
        <w:rPr>
          <w:lang w:val="es-ES"/>
        </w:rPr>
        <w:t xml:space="preserve"> en la bolsa de perfusión</w:t>
      </w:r>
      <w:r w:rsidR="00DC4925" w:rsidRPr="006868F5">
        <w:rPr>
          <w:lang w:val="es-ES"/>
        </w:rPr>
        <w:t xml:space="preserve"> de 100 ml</w:t>
      </w:r>
      <w:r w:rsidRPr="006868F5">
        <w:rPr>
          <w:lang w:val="es-ES"/>
        </w:rPr>
        <w:t>. El volumen final debe ser 100 ml. Para mezclar la solución, invierta suavemente la bolsa de perfusión para evitar la formación de espuma.</w:t>
      </w:r>
      <w:r w:rsidRPr="00F22672">
        <w:rPr>
          <w:lang w:val="es-ES"/>
        </w:rPr>
        <w:t xml:space="preserve"> </w:t>
      </w:r>
    </w:p>
    <w:p w14:paraId="6C22F7F5" w14:textId="77777777" w:rsidR="00060B21" w:rsidRPr="00F22672" w:rsidRDefault="00060B21" w:rsidP="00060B21">
      <w:pPr>
        <w:rPr>
          <w:lang w:val="es-ES"/>
        </w:rPr>
      </w:pPr>
    </w:p>
    <w:p w14:paraId="148F580F" w14:textId="77777777" w:rsidR="00060B21" w:rsidRPr="006868F5" w:rsidRDefault="00060B21" w:rsidP="00C636EA">
      <w:pPr>
        <w:ind w:right="-449"/>
        <w:rPr>
          <w:b/>
          <w:lang w:val="es-ES"/>
        </w:rPr>
      </w:pPr>
      <w:r w:rsidRPr="006868F5">
        <w:rPr>
          <w:b/>
          <w:lang w:val="es-ES"/>
        </w:rPr>
        <w:t>Pacientes con AIJs</w:t>
      </w:r>
      <w:r w:rsidR="00CD7B19">
        <w:rPr>
          <w:b/>
          <w:lang w:val="es-ES"/>
        </w:rPr>
        <w:t xml:space="preserve"> y SLC</w:t>
      </w:r>
      <w:r w:rsidRPr="006868F5">
        <w:rPr>
          <w:b/>
          <w:lang w:val="es-ES"/>
        </w:rPr>
        <w:t xml:space="preserve"> con peso &lt; 30 kg</w:t>
      </w:r>
    </w:p>
    <w:p w14:paraId="5A31FA36" w14:textId="77777777" w:rsidR="00060B21" w:rsidRPr="00F22672" w:rsidRDefault="00060B21" w:rsidP="00060B21">
      <w:pPr>
        <w:rPr>
          <w:lang w:val="es-ES"/>
        </w:rPr>
      </w:pPr>
      <w:r w:rsidRPr="006868F5">
        <w:rPr>
          <w:lang w:val="es-ES"/>
        </w:rPr>
        <w:t>Retire de una bolsa de perfusión de 50 ml un volumen de solución para inyección estéril y apirógena de cloruro sódico 9 mg/ml (0,9 %) igual que el volumen de concentrado de RoActemra necesario para la dosis del paciente, en condiciones asépticas. La cantidad necesaria de concentrado de RoActemra</w:t>
      </w:r>
      <w:r w:rsidRPr="00F22672">
        <w:rPr>
          <w:lang w:val="es-ES_tradnl"/>
        </w:rPr>
        <w:t xml:space="preserve"> (</w:t>
      </w:r>
      <w:r w:rsidRPr="00F22672">
        <w:rPr>
          <w:b/>
          <w:lang w:val="es-ES_tradnl"/>
        </w:rPr>
        <w:t>0,6 ml/kg</w:t>
      </w:r>
      <w:r w:rsidRPr="00F22672">
        <w:rPr>
          <w:lang w:val="es-ES_tradnl"/>
        </w:rPr>
        <w:t xml:space="preserve">) </w:t>
      </w:r>
      <w:r w:rsidRPr="006868F5">
        <w:rPr>
          <w:lang w:val="es-ES"/>
        </w:rPr>
        <w:t xml:space="preserve">debe ser retirada del vial y </w:t>
      </w:r>
      <w:r w:rsidR="00DC4925" w:rsidRPr="006868F5">
        <w:rPr>
          <w:lang w:val="es-ES"/>
        </w:rPr>
        <w:t>depositada</w:t>
      </w:r>
      <w:r w:rsidRPr="006868F5">
        <w:rPr>
          <w:lang w:val="es-ES"/>
        </w:rPr>
        <w:t xml:space="preserve"> en la bolsa de perfusión</w:t>
      </w:r>
      <w:r w:rsidR="00DC4925" w:rsidRPr="006868F5">
        <w:rPr>
          <w:lang w:val="es-ES"/>
        </w:rPr>
        <w:t xml:space="preserve"> de 50 ml</w:t>
      </w:r>
      <w:r w:rsidRPr="006868F5">
        <w:rPr>
          <w:lang w:val="es-ES"/>
        </w:rPr>
        <w:t>. El volumen final debe ser de 50 ml. Para mezclar la solución, invierta suavemente la bolsa de perfusión para evitar la formación de espuma.</w:t>
      </w:r>
      <w:r w:rsidRPr="00F22672">
        <w:rPr>
          <w:lang w:val="es-ES"/>
        </w:rPr>
        <w:t xml:space="preserve"> </w:t>
      </w:r>
    </w:p>
    <w:p w14:paraId="4A58BD63" w14:textId="77777777" w:rsidR="00060B21" w:rsidRPr="00F22672" w:rsidRDefault="00060B21" w:rsidP="00060B21">
      <w:pPr>
        <w:rPr>
          <w:lang w:val="es-ES"/>
        </w:rPr>
      </w:pPr>
    </w:p>
    <w:p w14:paraId="49665BA7" w14:textId="77777777" w:rsidR="00060B21" w:rsidRPr="006868F5" w:rsidRDefault="00060B21" w:rsidP="00C636EA">
      <w:pPr>
        <w:ind w:right="-449"/>
        <w:rPr>
          <w:b/>
          <w:lang w:val="es-ES"/>
        </w:rPr>
      </w:pPr>
      <w:r w:rsidRPr="006868F5">
        <w:rPr>
          <w:b/>
          <w:lang w:val="es-ES"/>
        </w:rPr>
        <w:t>Pacientes con AIJp con peso &lt; 30 kg</w:t>
      </w:r>
    </w:p>
    <w:p w14:paraId="76D6E397" w14:textId="77777777" w:rsidR="00060B21" w:rsidRPr="006868F5" w:rsidRDefault="00060B21" w:rsidP="00060B21">
      <w:pPr>
        <w:rPr>
          <w:lang w:val="es-ES"/>
        </w:rPr>
      </w:pPr>
      <w:r w:rsidRPr="006868F5">
        <w:rPr>
          <w:lang w:val="es-ES"/>
        </w:rPr>
        <w:t>Retire de una bolsa de perfusión de 50 ml, un volumen de solución para inyección estéril y apirógena de cloruro sódico 9 mg/ml (0,9 %) igual al volumen de concentrado de RoActemra necesario para la dosis del paciente, en condiciones asépticas. La cantidad necesaria de concentrado de RoActemra</w:t>
      </w:r>
      <w:r w:rsidRPr="00F22672">
        <w:rPr>
          <w:lang w:val="es-ES_tradnl"/>
        </w:rPr>
        <w:t xml:space="preserve"> (</w:t>
      </w:r>
      <w:r w:rsidRPr="00F22672">
        <w:rPr>
          <w:b/>
          <w:lang w:val="es-ES_tradnl"/>
        </w:rPr>
        <w:t>0,5 ml/kg</w:t>
      </w:r>
      <w:r w:rsidRPr="00F22672">
        <w:rPr>
          <w:lang w:val="es-ES_tradnl"/>
        </w:rPr>
        <w:t xml:space="preserve">) </w:t>
      </w:r>
      <w:r w:rsidRPr="006868F5">
        <w:rPr>
          <w:lang w:val="es-ES"/>
        </w:rPr>
        <w:t xml:space="preserve">debe ser retirada del vial y </w:t>
      </w:r>
      <w:r w:rsidR="00DC4925" w:rsidRPr="006868F5">
        <w:rPr>
          <w:lang w:val="es-ES"/>
        </w:rPr>
        <w:t>depositada</w:t>
      </w:r>
      <w:r w:rsidRPr="006868F5">
        <w:rPr>
          <w:lang w:val="es-ES"/>
        </w:rPr>
        <w:t xml:space="preserve"> en la bolsa de perfusión</w:t>
      </w:r>
      <w:r w:rsidR="00DC4925" w:rsidRPr="006868F5">
        <w:rPr>
          <w:lang w:val="es-ES"/>
        </w:rPr>
        <w:t xml:space="preserve"> de 50 ml</w:t>
      </w:r>
      <w:r w:rsidRPr="006868F5">
        <w:rPr>
          <w:lang w:val="es-ES"/>
        </w:rPr>
        <w:t xml:space="preserve">. El volumen final debe ser de 50 ml. Para mezclar la solución, invierta suavemente la bolsa de perfusión para evitar la formación de espuma. </w:t>
      </w:r>
    </w:p>
    <w:p w14:paraId="2CE61476" w14:textId="77777777" w:rsidR="00060B21" w:rsidRPr="00F22672" w:rsidRDefault="00060B21" w:rsidP="00060B21">
      <w:pPr>
        <w:rPr>
          <w:lang w:val="es-ES"/>
        </w:rPr>
      </w:pPr>
    </w:p>
    <w:p w14:paraId="11ABCF68" w14:textId="77777777" w:rsidR="00060B21" w:rsidRPr="006868F5" w:rsidRDefault="00060B21" w:rsidP="00060B21">
      <w:pPr>
        <w:rPr>
          <w:lang w:val="es-ES"/>
        </w:rPr>
      </w:pPr>
      <w:r w:rsidRPr="006868F5">
        <w:rPr>
          <w:lang w:val="es-ES"/>
        </w:rPr>
        <w:t>RoActemra es para un único uso.</w:t>
      </w:r>
    </w:p>
    <w:p w14:paraId="074088C6" w14:textId="77777777" w:rsidR="00060B21" w:rsidRPr="006868F5" w:rsidRDefault="00060B21" w:rsidP="00060B21">
      <w:pPr>
        <w:rPr>
          <w:lang w:val="es-ES"/>
        </w:rPr>
      </w:pPr>
    </w:p>
    <w:p w14:paraId="51CBCC0D" w14:textId="77777777" w:rsidR="00060B21" w:rsidRPr="006868F5" w:rsidRDefault="00060B21" w:rsidP="00060B21">
      <w:pPr>
        <w:rPr>
          <w:lang w:val="es-ES"/>
        </w:rPr>
      </w:pPr>
      <w:r w:rsidRPr="006868F5">
        <w:rPr>
          <w:lang w:val="es-ES"/>
        </w:rPr>
        <w:t>Todo producto no usado o material de desecho debe eliminarse de acuerdo con los requisitos locales.</w:t>
      </w:r>
    </w:p>
    <w:p w14:paraId="125FEA70" w14:textId="77777777" w:rsidR="00B074DE" w:rsidRPr="00F22672" w:rsidRDefault="00060B21" w:rsidP="00097C58">
      <w:pPr>
        <w:jc w:val="center"/>
        <w:outlineLvl w:val="0"/>
        <w:rPr>
          <w:color w:val="231F20"/>
          <w:lang w:val="es-ES_tradnl"/>
        </w:rPr>
      </w:pPr>
      <w:r w:rsidRPr="00F22672">
        <w:rPr>
          <w:noProof/>
          <w:lang w:val="es-ES"/>
        </w:rPr>
        <w:br w:type="page"/>
      </w:r>
      <w:r w:rsidR="003D1E28" w:rsidRPr="00F22672" w:rsidDel="003D1E28">
        <w:rPr>
          <w:b/>
          <w:lang w:val="es-ES"/>
        </w:rPr>
        <w:lastRenderedPageBreak/>
        <w:t xml:space="preserve"> </w:t>
      </w:r>
    </w:p>
    <w:p w14:paraId="04B18AC1" w14:textId="77777777" w:rsidR="00D429E9" w:rsidRPr="00F22672" w:rsidRDefault="00D429E9" w:rsidP="00D429E9">
      <w:pPr>
        <w:jc w:val="center"/>
        <w:outlineLvl w:val="0"/>
        <w:rPr>
          <w:b/>
          <w:lang w:val="es-ES"/>
        </w:rPr>
      </w:pPr>
      <w:r w:rsidRPr="00F22672">
        <w:rPr>
          <w:b/>
          <w:lang w:val="es-ES"/>
        </w:rPr>
        <w:t>Prospecto: Información para el usuario</w:t>
      </w:r>
    </w:p>
    <w:p w14:paraId="2A24CD34" w14:textId="77777777" w:rsidR="00D429E9" w:rsidRPr="00F22672" w:rsidRDefault="00D429E9" w:rsidP="00D429E9">
      <w:pPr>
        <w:jc w:val="center"/>
        <w:outlineLvl w:val="0"/>
        <w:rPr>
          <w:b/>
          <w:lang w:val="es-ES"/>
        </w:rPr>
      </w:pPr>
    </w:p>
    <w:p w14:paraId="60E11B7B" w14:textId="77777777" w:rsidR="00D429E9" w:rsidRPr="00F22672" w:rsidRDefault="00D429E9" w:rsidP="00D429E9">
      <w:pPr>
        <w:jc w:val="center"/>
        <w:rPr>
          <w:b/>
          <w:bCs/>
          <w:lang w:val="es-ES"/>
        </w:rPr>
      </w:pPr>
      <w:r w:rsidRPr="00F22672">
        <w:rPr>
          <w:b/>
          <w:bCs/>
          <w:lang w:val="es-ES_tradnl"/>
        </w:rPr>
        <w:t xml:space="preserve">RoActemra 162 mg, solución </w:t>
      </w:r>
      <w:r w:rsidR="00D02454" w:rsidRPr="00F22672">
        <w:rPr>
          <w:b/>
          <w:bCs/>
          <w:lang w:val="es-ES_tradnl"/>
        </w:rPr>
        <w:t>inyectable</w:t>
      </w:r>
      <w:r w:rsidRPr="00F22672">
        <w:rPr>
          <w:b/>
          <w:bCs/>
          <w:lang w:val="es-ES_tradnl"/>
        </w:rPr>
        <w:t xml:space="preserve"> en jeringa precargada </w:t>
      </w:r>
    </w:p>
    <w:p w14:paraId="36E8247C" w14:textId="77777777" w:rsidR="00D429E9" w:rsidRPr="00F22672" w:rsidRDefault="0085789E" w:rsidP="00D429E9">
      <w:pPr>
        <w:jc w:val="center"/>
        <w:rPr>
          <w:bCs/>
          <w:lang w:val="es-ES_tradnl"/>
        </w:rPr>
      </w:pPr>
      <w:r>
        <w:rPr>
          <w:bCs/>
          <w:lang w:val="es-ES_tradnl"/>
        </w:rPr>
        <w:t>t</w:t>
      </w:r>
      <w:r w:rsidRPr="00F22672">
        <w:rPr>
          <w:bCs/>
          <w:lang w:val="es-ES_tradnl"/>
        </w:rPr>
        <w:t>ocilizumab</w:t>
      </w:r>
    </w:p>
    <w:p w14:paraId="02CC8AFB" w14:textId="77777777" w:rsidR="00D429E9" w:rsidRPr="00F22672" w:rsidRDefault="00D429E9" w:rsidP="0009240B">
      <w:pPr>
        <w:jc w:val="center"/>
        <w:rPr>
          <w:lang w:val="es-ES"/>
        </w:rPr>
      </w:pPr>
    </w:p>
    <w:p w14:paraId="7BFC822B" w14:textId="77777777" w:rsidR="003E3A62" w:rsidRPr="00F22672" w:rsidRDefault="003E3A62" w:rsidP="003E3A62">
      <w:pPr>
        <w:rPr>
          <w:b/>
          <w:bCs/>
          <w:lang w:val="es-ES"/>
        </w:rPr>
      </w:pPr>
      <w:r w:rsidRPr="00F22672">
        <w:rPr>
          <w:b/>
          <w:bCs/>
          <w:lang w:val="es-ES_tradnl"/>
        </w:rPr>
        <w:t>Lea todo el prospecto detenidamente antes de empezar a tomar e</w:t>
      </w:r>
      <w:r w:rsidR="00827BF0">
        <w:rPr>
          <w:b/>
          <w:bCs/>
          <w:lang w:val="es-ES_tradnl"/>
        </w:rPr>
        <w:t>ste</w:t>
      </w:r>
      <w:r w:rsidRPr="00F22672">
        <w:rPr>
          <w:b/>
          <w:bCs/>
          <w:lang w:val="es-ES_tradnl"/>
        </w:rPr>
        <w:t xml:space="preserve"> medicamento, </w:t>
      </w:r>
      <w:r w:rsidRPr="00F22672">
        <w:rPr>
          <w:b/>
          <w:szCs w:val="24"/>
          <w:lang w:val="es-ES_tradnl"/>
        </w:rPr>
        <w:t>porque contiene información importante para usted</w:t>
      </w:r>
      <w:r w:rsidRPr="00F22672">
        <w:rPr>
          <w:b/>
          <w:lang w:val="es-ES_tradnl"/>
        </w:rPr>
        <w:t>.</w:t>
      </w:r>
    </w:p>
    <w:p w14:paraId="211A944D" w14:textId="77777777" w:rsidR="003E3A62" w:rsidRPr="00F22672" w:rsidRDefault="003E3A62" w:rsidP="003E3A62">
      <w:pPr>
        <w:rPr>
          <w:b/>
          <w:bCs/>
          <w:lang w:val="es-ES"/>
        </w:rPr>
      </w:pPr>
    </w:p>
    <w:p w14:paraId="13B80EF0" w14:textId="77777777" w:rsidR="003E3A62" w:rsidRPr="00F22672" w:rsidRDefault="003E3A62" w:rsidP="003E3A62">
      <w:pPr>
        <w:ind w:left="567" w:hanging="567"/>
        <w:rPr>
          <w:lang w:val="es-ES"/>
        </w:rPr>
      </w:pPr>
      <w:r w:rsidRPr="00F22672">
        <w:rPr>
          <w:lang w:val="es-ES"/>
        </w:rPr>
        <w:sym w:font="Symbol" w:char="F0B7"/>
      </w:r>
      <w:r w:rsidRPr="00F22672">
        <w:rPr>
          <w:noProof/>
          <w:lang w:val="es-ES"/>
        </w:rPr>
        <w:tab/>
      </w:r>
      <w:r w:rsidRPr="00F22672">
        <w:rPr>
          <w:lang w:val="es-ES_tradnl"/>
        </w:rPr>
        <w:t>Conserve este prospecto,</w:t>
      </w:r>
      <w:r w:rsidRPr="00F22672">
        <w:rPr>
          <w:lang w:val="es-ES"/>
        </w:rPr>
        <w:t xml:space="preserve"> </w:t>
      </w:r>
      <w:r w:rsidRPr="00F22672">
        <w:rPr>
          <w:lang w:val="es-ES_tradnl"/>
        </w:rPr>
        <w:t>ya que puede tener que volver a leerlo.</w:t>
      </w:r>
    </w:p>
    <w:p w14:paraId="1721D32C" w14:textId="77777777" w:rsidR="003E3A62" w:rsidRPr="00F22672" w:rsidRDefault="003E3A62" w:rsidP="003E3A62">
      <w:pPr>
        <w:ind w:left="567" w:hanging="567"/>
        <w:rPr>
          <w:lang w:val="es-ES"/>
        </w:rPr>
      </w:pPr>
      <w:r w:rsidRPr="00F22672">
        <w:rPr>
          <w:lang w:val="es-ES"/>
        </w:rPr>
        <w:sym w:font="Symbol" w:char="F0B7"/>
      </w:r>
      <w:r w:rsidRPr="00F22672">
        <w:rPr>
          <w:noProof/>
          <w:lang w:val="es-ES"/>
        </w:rPr>
        <w:tab/>
      </w:r>
      <w:r w:rsidRPr="00F22672">
        <w:rPr>
          <w:lang w:val="es-ES_tradnl"/>
        </w:rPr>
        <w:t>Si tiene alguna duda, consulte a su médico, farmacéutico o enfermero.</w:t>
      </w:r>
    </w:p>
    <w:p w14:paraId="07AF0B7D" w14:textId="77777777" w:rsidR="003E3A62" w:rsidRPr="00F22672" w:rsidRDefault="000B5EA2" w:rsidP="00FF2AFA">
      <w:pPr>
        <w:ind w:left="567" w:hanging="567"/>
        <w:rPr>
          <w:lang w:val="es-ES"/>
        </w:rPr>
      </w:pPr>
      <w:r w:rsidRPr="008A106B">
        <w:rPr>
          <w:lang w:val="es-ES"/>
        </w:rPr>
        <w:sym w:font="Symbol" w:char="F0B7"/>
      </w:r>
      <w:r>
        <w:rPr>
          <w:lang w:val="es-ES"/>
        </w:rPr>
        <w:tab/>
      </w:r>
      <w:r w:rsidR="003E3A62" w:rsidRPr="00F22672">
        <w:rPr>
          <w:lang w:val="es-ES_tradnl"/>
        </w:rPr>
        <w:t>Este medicamento se le ha recetado solamente a usted</w:t>
      </w:r>
      <w:r w:rsidR="00F9246D">
        <w:rPr>
          <w:lang w:val="es-ES_tradnl"/>
        </w:rPr>
        <w:t xml:space="preserve">, </w:t>
      </w:r>
      <w:r w:rsidR="00F9246D" w:rsidRPr="006868F5">
        <w:rPr>
          <w:lang w:val="es-ES"/>
        </w:rPr>
        <w:t>y no debe dárselo a otras personas   aunque tengan los mismos síntomas que usted, ya que puede perjudicarles.</w:t>
      </w:r>
      <w:r w:rsidR="00F9246D">
        <w:rPr>
          <w:lang w:val="es-ES_tradnl"/>
        </w:rPr>
        <w:t xml:space="preserve"> </w:t>
      </w:r>
    </w:p>
    <w:p w14:paraId="61587F58" w14:textId="77777777" w:rsidR="003E3A62" w:rsidRPr="00F22672" w:rsidRDefault="003E3A62" w:rsidP="003E3A62">
      <w:pPr>
        <w:ind w:left="567" w:hanging="567"/>
        <w:rPr>
          <w:lang w:val="es-ES"/>
        </w:rPr>
      </w:pPr>
      <w:r w:rsidRPr="00F22672">
        <w:rPr>
          <w:lang w:val="es-ES"/>
        </w:rPr>
        <w:sym w:font="Symbol" w:char="F0B7"/>
      </w:r>
      <w:r w:rsidRPr="00F22672">
        <w:rPr>
          <w:noProof/>
          <w:lang w:val="es-ES"/>
        </w:rPr>
        <w:tab/>
      </w:r>
      <w:r w:rsidRPr="00F22672">
        <w:rPr>
          <w:lang w:val="es-ES_tradnl"/>
        </w:rPr>
        <w:t>Si experimenta efectos adversos, consulte a su médico, farmacéutico o enfermero, incluso si se trata de efectos adversos que no aparecen en este prospecto. Ver sección 4.</w:t>
      </w:r>
    </w:p>
    <w:p w14:paraId="1B1A3102" w14:textId="77777777" w:rsidR="003E3A62" w:rsidRPr="00F22672" w:rsidRDefault="003E3A62" w:rsidP="003E3A62">
      <w:pPr>
        <w:ind w:left="567" w:hanging="567"/>
        <w:rPr>
          <w:lang w:val="es-ES"/>
        </w:rPr>
      </w:pPr>
    </w:p>
    <w:p w14:paraId="56D6CBA1" w14:textId="5AA03E57" w:rsidR="003E3A62" w:rsidRPr="00F22672" w:rsidRDefault="003E3A62" w:rsidP="003E3A62">
      <w:pPr>
        <w:rPr>
          <w:lang w:val="es-ES"/>
        </w:rPr>
      </w:pPr>
      <w:r w:rsidRPr="00F22672">
        <w:rPr>
          <w:lang w:val="es-ES_tradnl"/>
        </w:rPr>
        <w:t xml:space="preserve">Además de este prospecto, se le dará una </w:t>
      </w:r>
      <w:r w:rsidRPr="00F22672">
        <w:rPr>
          <w:b/>
          <w:lang w:val="es-ES_tradnl"/>
        </w:rPr>
        <w:t xml:space="preserve">tarjeta de </w:t>
      </w:r>
      <w:r w:rsidR="00A17862">
        <w:rPr>
          <w:b/>
          <w:lang w:val="es-ES_tradnl"/>
        </w:rPr>
        <w:t xml:space="preserve">información para </w:t>
      </w:r>
      <w:r w:rsidRPr="00F22672">
        <w:rPr>
          <w:b/>
          <w:lang w:val="es-ES_tradnl"/>
        </w:rPr>
        <w:t>el paciente</w:t>
      </w:r>
      <w:r w:rsidRPr="00F22672">
        <w:rPr>
          <w:lang w:val="es-ES_tradnl"/>
        </w:rPr>
        <w:t>, que contiene información importante de seguridad que debe conocer antes de recibir RoActemra y durante el tratamiento con RoActemra.</w:t>
      </w:r>
    </w:p>
    <w:p w14:paraId="094EB848" w14:textId="77777777" w:rsidR="003E3A62" w:rsidRPr="00F22672" w:rsidRDefault="003E3A62" w:rsidP="003E3A62">
      <w:pPr>
        <w:rPr>
          <w:lang w:val="es-ES"/>
        </w:rPr>
      </w:pPr>
    </w:p>
    <w:p w14:paraId="2C005F00" w14:textId="77777777" w:rsidR="003E3A62" w:rsidRPr="00F22672" w:rsidRDefault="003E3A62" w:rsidP="003E3A62">
      <w:pPr>
        <w:rPr>
          <w:lang w:val="es-ES"/>
        </w:rPr>
      </w:pPr>
      <w:r w:rsidRPr="00F22672">
        <w:rPr>
          <w:b/>
          <w:bCs/>
          <w:lang w:val="es-ES_tradnl"/>
        </w:rPr>
        <w:t>Contenido del prospecto:</w:t>
      </w:r>
      <w:r w:rsidRPr="00F22672">
        <w:rPr>
          <w:lang w:val="es-ES"/>
        </w:rPr>
        <w:t xml:space="preserve"> </w:t>
      </w:r>
    </w:p>
    <w:p w14:paraId="2549495C" w14:textId="77777777" w:rsidR="003E3A62" w:rsidRPr="00556927" w:rsidRDefault="003E3A62" w:rsidP="003E3A62">
      <w:pPr>
        <w:rPr>
          <w:lang w:val="es-ES"/>
        </w:rPr>
      </w:pPr>
      <w:r w:rsidRPr="00556927">
        <w:rPr>
          <w:lang w:val="es-ES"/>
        </w:rPr>
        <w:t>1.</w:t>
      </w:r>
      <w:r w:rsidRPr="00556927">
        <w:rPr>
          <w:lang w:val="es-ES"/>
        </w:rPr>
        <w:tab/>
      </w:r>
      <w:r w:rsidRPr="00556927">
        <w:rPr>
          <w:lang w:val="es-ES_tradnl"/>
        </w:rPr>
        <w:t>Qué es RoActemra y para qué se utiliza</w:t>
      </w:r>
    </w:p>
    <w:p w14:paraId="07901768" w14:textId="77777777" w:rsidR="003E3A62" w:rsidRPr="00556927" w:rsidRDefault="003E3A62" w:rsidP="003E3A62">
      <w:pPr>
        <w:rPr>
          <w:lang w:val="es-ES"/>
        </w:rPr>
      </w:pPr>
      <w:r w:rsidRPr="00556927">
        <w:rPr>
          <w:lang w:val="es-ES"/>
        </w:rPr>
        <w:t>2.</w:t>
      </w:r>
      <w:r w:rsidRPr="00556927">
        <w:rPr>
          <w:lang w:val="es-ES"/>
        </w:rPr>
        <w:tab/>
        <w:t xml:space="preserve">Qué necesita saber </w:t>
      </w:r>
      <w:r w:rsidRPr="00556927">
        <w:rPr>
          <w:lang w:val="es-ES_tradnl"/>
        </w:rPr>
        <w:t xml:space="preserve">antes de </w:t>
      </w:r>
      <w:r w:rsidR="008104B8" w:rsidRPr="00556927">
        <w:rPr>
          <w:lang w:val="es-ES_tradnl"/>
        </w:rPr>
        <w:t>empezar a usar</w:t>
      </w:r>
      <w:r w:rsidRPr="00556927">
        <w:rPr>
          <w:lang w:val="es-ES_tradnl"/>
        </w:rPr>
        <w:t xml:space="preserve"> RoActemra</w:t>
      </w:r>
    </w:p>
    <w:p w14:paraId="3DDEA11C" w14:textId="77777777" w:rsidR="003E3A62" w:rsidRPr="00556927" w:rsidRDefault="003E3A62" w:rsidP="003E3A62">
      <w:pPr>
        <w:rPr>
          <w:lang w:val="es-ES"/>
        </w:rPr>
      </w:pPr>
      <w:r w:rsidRPr="00556927">
        <w:rPr>
          <w:lang w:val="es-ES"/>
        </w:rPr>
        <w:t>3.</w:t>
      </w:r>
      <w:r w:rsidRPr="00556927">
        <w:rPr>
          <w:lang w:val="es-ES"/>
        </w:rPr>
        <w:tab/>
      </w:r>
      <w:r w:rsidRPr="00556927">
        <w:rPr>
          <w:lang w:val="es-ES_tradnl"/>
        </w:rPr>
        <w:t xml:space="preserve">Cómo </w:t>
      </w:r>
      <w:r w:rsidR="008104B8" w:rsidRPr="00556927">
        <w:rPr>
          <w:lang w:val="es-ES_tradnl"/>
        </w:rPr>
        <w:t xml:space="preserve">usar </w:t>
      </w:r>
      <w:r w:rsidRPr="00556927">
        <w:rPr>
          <w:lang w:val="es-ES_tradnl"/>
        </w:rPr>
        <w:t>RoActemra</w:t>
      </w:r>
    </w:p>
    <w:p w14:paraId="20D78F15" w14:textId="77777777" w:rsidR="003E3A62" w:rsidRPr="00556927" w:rsidRDefault="003E3A62" w:rsidP="003E3A62">
      <w:pPr>
        <w:rPr>
          <w:lang w:val="es-ES"/>
        </w:rPr>
      </w:pPr>
      <w:r w:rsidRPr="00556927">
        <w:rPr>
          <w:lang w:val="es-ES"/>
        </w:rPr>
        <w:t>4.</w:t>
      </w:r>
      <w:r w:rsidRPr="00556927">
        <w:rPr>
          <w:lang w:val="es-ES"/>
        </w:rPr>
        <w:tab/>
      </w:r>
      <w:r w:rsidRPr="00556927">
        <w:rPr>
          <w:lang w:val="es-ES_tradnl"/>
        </w:rPr>
        <w:t>Posibles efectos adversos</w:t>
      </w:r>
    </w:p>
    <w:p w14:paraId="0898DF4A" w14:textId="77777777" w:rsidR="003E3A62" w:rsidRPr="00556927" w:rsidRDefault="003E3A62" w:rsidP="003E3A62">
      <w:pPr>
        <w:rPr>
          <w:lang w:val="es-ES"/>
        </w:rPr>
      </w:pPr>
      <w:r w:rsidRPr="00556927">
        <w:rPr>
          <w:lang w:val="es-ES"/>
        </w:rPr>
        <w:t>5.</w:t>
      </w:r>
      <w:r w:rsidRPr="00556927">
        <w:rPr>
          <w:lang w:val="es-ES"/>
        </w:rPr>
        <w:tab/>
      </w:r>
      <w:r w:rsidRPr="00556927">
        <w:rPr>
          <w:lang w:val="es-ES_tradnl"/>
        </w:rPr>
        <w:t>Conservación de RoActemra</w:t>
      </w:r>
    </w:p>
    <w:p w14:paraId="6BBAD85F" w14:textId="77777777" w:rsidR="003E3A62" w:rsidRPr="00556927" w:rsidRDefault="003E3A62" w:rsidP="003E3A62">
      <w:pPr>
        <w:rPr>
          <w:lang w:val="es-ES"/>
        </w:rPr>
      </w:pPr>
      <w:r w:rsidRPr="00556927">
        <w:rPr>
          <w:lang w:val="es-ES"/>
        </w:rPr>
        <w:t>6.</w:t>
      </w:r>
      <w:r w:rsidRPr="00556927">
        <w:rPr>
          <w:lang w:val="es-ES"/>
        </w:rPr>
        <w:tab/>
        <w:t xml:space="preserve">Contenido del envase e </w:t>
      </w:r>
      <w:r w:rsidRPr="00556927">
        <w:rPr>
          <w:lang w:val="es-ES_tradnl"/>
        </w:rPr>
        <w:t>información adicional</w:t>
      </w:r>
    </w:p>
    <w:p w14:paraId="7A0BA114" w14:textId="77777777" w:rsidR="003E3A62" w:rsidRPr="00F22672" w:rsidRDefault="003E3A62" w:rsidP="003E3A62">
      <w:pPr>
        <w:rPr>
          <w:lang w:val="es-ES"/>
        </w:rPr>
      </w:pPr>
    </w:p>
    <w:p w14:paraId="2B2F841D" w14:textId="77777777" w:rsidR="003E3A62" w:rsidRPr="00F22672" w:rsidRDefault="003E3A62" w:rsidP="003E3A62">
      <w:pPr>
        <w:rPr>
          <w:lang w:val="es-ES"/>
        </w:rPr>
      </w:pPr>
    </w:p>
    <w:p w14:paraId="58EC0C26" w14:textId="77777777" w:rsidR="003E3A62" w:rsidRPr="00FF2AFA" w:rsidRDefault="003E3A62" w:rsidP="00C636EA">
      <w:pPr>
        <w:keepNext/>
        <w:keepLines/>
        <w:rPr>
          <w:b/>
          <w:szCs w:val="22"/>
          <w:lang w:val="es-ES"/>
        </w:rPr>
      </w:pPr>
      <w:r w:rsidRPr="00FF2AFA">
        <w:rPr>
          <w:b/>
          <w:szCs w:val="22"/>
          <w:lang w:val="es-ES"/>
        </w:rPr>
        <w:t>1.</w:t>
      </w:r>
      <w:r w:rsidRPr="00FF2AFA">
        <w:rPr>
          <w:b/>
          <w:szCs w:val="22"/>
          <w:lang w:val="es-ES"/>
        </w:rPr>
        <w:tab/>
        <w:t>Qué es RoActemra y para qué se utiliza</w:t>
      </w:r>
      <w:r w:rsidRPr="00FF2AFA" w:rsidDel="00B36F08">
        <w:rPr>
          <w:b/>
          <w:szCs w:val="22"/>
          <w:lang w:val="es-ES"/>
        </w:rPr>
        <w:t xml:space="preserve"> </w:t>
      </w:r>
    </w:p>
    <w:p w14:paraId="729AEFCF" w14:textId="77777777" w:rsidR="001000A9" w:rsidRDefault="001000A9" w:rsidP="003E3A62">
      <w:pPr>
        <w:rPr>
          <w:lang w:val="es-ES"/>
        </w:rPr>
      </w:pPr>
    </w:p>
    <w:p w14:paraId="3CEEC884" w14:textId="77777777" w:rsidR="003E3A62" w:rsidRPr="00F22672" w:rsidRDefault="003E3A62" w:rsidP="003E3A62">
      <w:pPr>
        <w:rPr>
          <w:lang w:val="es-ES"/>
        </w:rPr>
      </w:pPr>
      <w:r w:rsidRPr="00F22672">
        <w:rPr>
          <w:lang w:val="es-ES"/>
        </w:rPr>
        <w:t xml:space="preserve">RoActemra contiene una sustancia activa llamada tocilizumab, que es una proteína obtenida a partir de células inmunitarias específicas (anticuerpo monoclonal), que bloquea la acción de un tipo de proteína </w:t>
      </w:r>
      <w:r w:rsidR="00372726" w:rsidRPr="00F22672">
        <w:rPr>
          <w:lang w:val="es-ES"/>
        </w:rPr>
        <w:t xml:space="preserve">específica </w:t>
      </w:r>
      <w:r w:rsidRPr="00F22672">
        <w:rPr>
          <w:lang w:val="es-ES"/>
        </w:rPr>
        <w:t>(citoquina) llamada inter-leucina 6. Esta proteína está implicada en proceso</w:t>
      </w:r>
      <w:r w:rsidR="00372726" w:rsidRPr="00F22672">
        <w:rPr>
          <w:lang w:val="es-ES"/>
        </w:rPr>
        <w:t>s</w:t>
      </w:r>
      <w:r w:rsidRPr="00F22672">
        <w:rPr>
          <w:lang w:val="es-ES"/>
        </w:rPr>
        <w:t xml:space="preserve"> inflamatorio</w:t>
      </w:r>
      <w:r w:rsidR="00372726" w:rsidRPr="00F22672">
        <w:rPr>
          <w:lang w:val="es-ES"/>
        </w:rPr>
        <w:t>s</w:t>
      </w:r>
      <w:r w:rsidRPr="00F22672">
        <w:rPr>
          <w:lang w:val="es-ES"/>
        </w:rPr>
        <w:t xml:space="preserve"> del cuerpo, y bloqueándola se puede reducir la inflamación.</w:t>
      </w:r>
      <w:r w:rsidR="00F9246D">
        <w:rPr>
          <w:lang w:val="es-ES"/>
        </w:rPr>
        <w:t xml:space="preserve"> </w:t>
      </w:r>
      <w:r w:rsidR="00F9246D" w:rsidRPr="006868F5">
        <w:rPr>
          <w:szCs w:val="22"/>
          <w:lang w:val="es-ES"/>
        </w:rPr>
        <w:t>RoActemra está indicado para tratar:</w:t>
      </w:r>
    </w:p>
    <w:p w14:paraId="2F8F5495" w14:textId="77777777" w:rsidR="003E3A62" w:rsidRPr="00F22672" w:rsidRDefault="003E3A62" w:rsidP="003E3A62">
      <w:pPr>
        <w:rPr>
          <w:lang w:val="es-ES"/>
        </w:rPr>
      </w:pPr>
    </w:p>
    <w:p w14:paraId="28ACAFCC" w14:textId="77777777" w:rsidR="001000A9" w:rsidRDefault="00FA269E" w:rsidP="00FA269E">
      <w:pPr>
        <w:ind w:left="357" w:hanging="357"/>
        <w:rPr>
          <w:lang w:val="es-ES"/>
        </w:rPr>
      </w:pPr>
      <w:r w:rsidRPr="00F22672">
        <w:rPr>
          <w:lang w:val="es-ES"/>
        </w:rPr>
        <w:sym w:font="Symbol" w:char="F0B7"/>
      </w:r>
      <w:r>
        <w:rPr>
          <w:lang w:val="es-ES"/>
        </w:rPr>
        <w:tab/>
      </w:r>
      <w:r w:rsidR="00372726" w:rsidRPr="00F22672">
        <w:rPr>
          <w:b/>
          <w:lang w:val="es-ES_tradnl"/>
        </w:rPr>
        <w:t>adultos</w:t>
      </w:r>
      <w:r w:rsidR="00372726" w:rsidRPr="00F22672">
        <w:rPr>
          <w:lang w:val="es-ES_tradnl"/>
        </w:rPr>
        <w:t xml:space="preserve"> con </w:t>
      </w:r>
      <w:r w:rsidR="003E3A62" w:rsidRPr="00F22672">
        <w:rPr>
          <w:lang w:val="es-ES_tradnl"/>
        </w:rPr>
        <w:t xml:space="preserve">artritis reumatoide activa </w:t>
      </w:r>
      <w:r w:rsidR="00372726" w:rsidRPr="00F22672">
        <w:rPr>
          <w:lang w:val="es-ES_tradnl"/>
        </w:rPr>
        <w:t xml:space="preserve">(AR) </w:t>
      </w:r>
      <w:r w:rsidR="003E3A62" w:rsidRPr="00F22672">
        <w:rPr>
          <w:lang w:val="es-ES_tradnl"/>
        </w:rPr>
        <w:t>de moderada a grave, que es una enfermedad autoinmune, si los tratamientos previos no han funcionado bien.</w:t>
      </w:r>
      <w:r w:rsidR="003E3A62" w:rsidRPr="00F22672">
        <w:rPr>
          <w:lang w:val="es-ES"/>
        </w:rPr>
        <w:t xml:space="preserve"> </w:t>
      </w:r>
    </w:p>
    <w:p w14:paraId="03E0EC85" w14:textId="77777777" w:rsidR="001000A9" w:rsidRDefault="001000A9" w:rsidP="001000A9">
      <w:pPr>
        <w:rPr>
          <w:lang w:val="es-ES"/>
        </w:rPr>
      </w:pPr>
    </w:p>
    <w:p w14:paraId="66DE61C3" w14:textId="77777777" w:rsidR="001000A9" w:rsidRDefault="00FA269E" w:rsidP="00FA269E">
      <w:pPr>
        <w:ind w:left="357" w:hanging="357"/>
        <w:rPr>
          <w:lang w:val="es-ES"/>
        </w:rPr>
      </w:pPr>
      <w:r w:rsidRPr="00F22672">
        <w:rPr>
          <w:lang w:val="es-ES"/>
        </w:rPr>
        <w:sym w:font="Symbol" w:char="F0B7"/>
      </w:r>
      <w:r>
        <w:rPr>
          <w:lang w:val="es-ES"/>
        </w:rPr>
        <w:tab/>
      </w:r>
      <w:r w:rsidR="001000A9" w:rsidRPr="001000A9">
        <w:rPr>
          <w:b/>
          <w:lang w:val="es-ES"/>
        </w:rPr>
        <w:t>adultos</w:t>
      </w:r>
      <w:r w:rsidR="001000A9" w:rsidRPr="00F22672">
        <w:rPr>
          <w:lang w:val="es-ES"/>
        </w:rPr>
        <w:t xml:space="preserve"> </w:t>
      </w:r>
      <w:r w:rsidR="00B87772">
        <w:rPr>
          <w:lang w:val="es-ES"/>
        </w:rPr>
        <w:t xml:space="preserve">con </w:t>
      </w:r>
      <w:r w:rsidR="001000A9" w:rsidRPr="00F22672">
        <w:rPr>
          <w:lang w:val="es-ES"/>
        </w:rPr>
        <w:t xml:space="preserve">artritis reumatoide </w:t>
      </w:r>
      <w:r w:rsidR="00B87772" w:rsidRPr="006868F5">
        <w:rPr>
          <w:b/>
          <w:lang w:val="es-ES"/>
        </w:rPr>
        <w:t>(AR)</w:t>
      </w:r>
      <w:r w:rsidR="00B87772">
        <w:rPr>
          <w:lang w:val="es-ES"/>
        </w:rPr>
        <w:t xml:space="preserve"> </w:t>
      </w:r>
      <w:r w:rsidR="001000A9" w:rsidRPr="00F22672">
        <w:rPr>
          <w:lang w:val="es-ES"/>
        </w:rPr>
        <w:t>grave, activa y progresiva</w:t>
      </w:r>
      <w:r w:rsidR="00B87772">
        <w:rPr>
          <w:lang w:val="es-ES"/>
        </w:rPr>
        <w:t>, que no han sido</w:t>
      </w:r>
      <w:r w:rsidR="007C1C8C">
        <w:rPr>
          <w:lang w:val="es-ES"/>
        </w:rPr>
        <w:t xml:space="preserve"> previamente</w:t>
      </w:r>
      <w:r w:rsidR="00B87772">
        <w:rPr>
          <w:lang w:val="es-ES"/>
        </w:rPr>
        <w:t xml:space="preserve"> trat</w:t>
      </w:r>
      <w:r w:rsidR="007C1C8C">
        <w:rPr>
          <w:lang w:val="es-ES"/>
        </w:rPr>
        <w:t xml:space="preserve">ados </w:t>
      </w:r>
      <w:r w:rsidR="00B87772">
        <w:rPr>
          <w:lang w:val="es-ES"/>
        </w:rPr>
        <w:t>con metotrexato</w:t>
      </w:r>
      <w:r w:rsidR="001000A9" w:rsidRPr="00F22672">
        <w:rPr>
          <w:lang w:val="es-ES"/>
        </w:rPr>
        <w:t>.</w:t>
      </w:r>
    </w:p>
    <w:p w14:paraId="7C595F8F" w14:textId="77777777" w:rsidR="001000A9" w:rsidRPr="001000A9" w:rsidRDefault="001000A9" w:rsidP="001000A9">
      <w:pPr>
        <w:ind w:left="360"/>
        <w:rPr>
          <w:lang w:val="es-ES"/>
        </w:rPr>
      </w:pPr>
    </w:p>
    <w:p w14:paraId="0BB3FC78" w14:textId="77777777" w:rsidR="003E3A62" w:rsidRPr="00F22672" w:rsidRDefault="003E3A62" w:rsidP="006868F5">
      <w:pPr>
        <w:ind w:left="426"/>
        <w:rPr>
          <w:lang w:val="es-ES"/>
        </w:rPr>
      </w:pPr>
      <w:r w:rsidRPr="00F22672">
        <w:rPr>
          <w:lang w:val="es-ES_tradnl"/>
        </w:rPr>
        <w:t xml:space="preserve">RoActemra ayuda a reducir </w:t>
      </w:r>
      <w:r w:rsidR="00B87772">
        <w:rPr>
          <w:lang w:val="es-ES_tradnl"/>
        </w:rPr>
        <w:t xml:space="preserve">los </w:t>
      </w:r>
      <w:r w:rsidRPr="00F22672">
        <w:rPr>
          <w:lang w:val="es-ES_tradnl"/>
        </w:rPr>
        <w:t xml:space="preserve">síntomas </w:t>
      </w:r>
      <w:r w:rsidR="00B87772">
        <w:rPr>
          <w:lang w:val="es-ES_tradnl"/>
        </w:rPr>
        <w:t xml:space="preserve">de la AR </w:t>
      </w:r>
      <w:r w:rsidRPr="00F22672">
        <w:rPr>
          <w:lang w:val="es-ES_tradnl"/>
        </w:rPr>
        <w:t>tales como el dolor y la hinchazón en sus articulaciones y puede también mejorar así su rendimiento en las tareas diarias. Ro</w:t>
      </w:r>
      <w:r w:rsidR="00B920FA">
        <w:rPr>
          <w:lang w:val="es-ES_tradnl"/>
        </w:rPr>
        <w:t>A</w:t>
      </w:r>
      <w:r w:rsidRPr="00F22672">
        <w:rPr>
          <w:lang w:val="es-ES_tradnl"/>
        </w:rPr>
        <w:t>ctemra ha demostrado disminuir la progresión del daño en el cartílago y los hueso</w:t>
      </w:r>
      <w:r w:rsidR="009C0B87" w:rsidRPr="00F22672">
        <w:rPr>
          <w:lang w:val="es-ES_tradnl"/>
        </w:rPr>
        <w:t>s</w:t>
      </w:r>
      <w:r w:rsidRPr="00F22672">
        <w:rPr>
          <w:lang w:val="es-ES_tradnl"/>
        </w:rPr>
        <w:t xml:space="preserve"> de sus articulaciones causados por la enfermedad y mejorar su capacidad para realizar sus actividades diarias.</w:t>
      </w:r>
    </w:p>
    <w:p w14:paraId="12E94377" w14:textId="77777777" w:rsidR="003E3A62" w:rsidRPr="00F22672" w:rsidRDefault="003E3A62" w:rsidP="003E3A62">
      <w:pPr>
        <w:ind w:left="562" w:hanging="562"/>
        <w:rPr>
          <w:lang w:val="es-ES"/>
        </w:rPr>
      </w:pPr>
    </w:p>
    <w:p w14:paraId="19CDE4BB" w14:textId="77777777" w:rsidR="003E3A62" w:rsidRDefault="003E3A62" w:rsidP="006868F5">
      <w:pPr>
        <w:ind w:left="426"/>
        <w:rPr>
          <w:lang w:val="es-ES_tradnl"/>
        </w:rPr>
      </w:pPr>
      <w:r w:rsidRPr="00F22672">
        <w:rPr>
          <w:lang w:val="es-ES_tradnl"/>
        </w:rPr>
        <w:t>RoActemra normalmente se utiliza</w:t>
      </w:r>
      <w:r w:rsidR="00EA5821" w:rsidRPr="00F22672">
        <w:rPr>
          <w:lang w:val="es-ES_tradnl"/>
        </w:rPr>
        <w:t xml:space="preserve"> en combinación con </w:t>
      </w:r>
      <w:r w:rsidR="00B87772">
        <w:rPr>
          <w:lang w:val="es-ES_tradnl"/>
        </w:rPr>
        <w:t xml:space="preserve">otro medicamento para la AR llamado </w:t>
      </w:r>
      <w:r w:rsidR="00EA5821" w:rsidRPr="00F22672">
        <w:rPr>
          <w:lang w:val="es-ES_tradnl"/>
        </w:rPr>
        <w:t>metotrexato.</w:t>
      </w:r>
      <w:r w:rsidRPr="00F22672">
        <w:rPr>
          <w:lang w:val="es-ES_tradnl"/>
        </w:rPr>
        <w:t xml:space="preserve"> Sin embargo, RoActemra se le puede administrar solo, si su médico determina que el metotrexato no es adecuado.</w:t>
      </w:r>
    </w:p>
    <w:p w14:paraId="0ACC8BC4" w14:textId="77777777" w:rsidR="00B87772" w:rsidRDefault="00B87772" w:rsidP="006868F5">
      <w:pPr>
        <w:ind w:left="426"/>
        <w:rPr>
          <w:lang w:val="es-ES_tradnl"/>
        </w:rPr>
      </w:pPr>
    </w:p>
    <w:p w14:paraId="641A89A9" w14:textId="77777777" w:rsidR="00B87772" w:rsidRDefault="001F185D" w:rsidP="006868F5">
      <w:pPr>
        <w:ind w:left="425" w:hanging="425"/>
        <w:rPr>
          <w:lang w:val="es-ES"/>
        </w:rPr>
      </w:pPr>
      <w:r w:rsidRPr="00F22672">
        <w:rPr>
          <w:lang w:val="es-ES_tradnl"/>
        </w:rPr>
        <w:sym w:font="Symbol" w:char="F0B7"/>
      </w:r>
      <w:r>
        <w:rPr>
          <w:lang w:val="es-ES_tradnl"/>
        </w:rPr>
        <w:tab/>
      </w:r>
      <w:r w:rsidR="001A1BCB">
        <w:rPr>
          <w:b/>
          <w:lang w:val="es-ES_tradnl"/>
        </w:rPr>
        <w:t>a</w:t>
      </w:r>
      <w:r w:rsidR="00B87772" w:rsidRPr="00557792">
        <w:rPr>
          <w:b/>
          <w:lang w:val="es-ES"/>
        </w:rPr>
        <w:t>dultos con una enfermedad de las arterias llamada arteritis de células gigantes (ACG)</w:t>
      </w:r>
      <w:r w:rsidR="00B87772">
        <w:rPr>
          <w:lang w:val="es-ES"/>
        </w:rPr>
        <w:t>, causada p</w:t>
      </w:r>
      <w:r w:rsidR="001A1BCB">
        <w:rPr>
          <w:lang w:val="es-ES"/>
        </w:rPr>
        <w:t xml:space="preserve">or la inflamación de las </w:t>
      </w:r>
      <w:r w:rsidR="00B87772">
        <w:rPr>
          <w:lang w:val="es-ES"/>
        </w:rPr>
        <w:t>arterias</w:t>
      </w:r>
      <w:r w:rsidR="001A1BCB">
        <w:rPr>
          <w:lang w:val="es-ES"/>
        </w:rPr>
        <w:t xml:space="preserve"> más </w:t>
      </w:r>
      <w:r w:rsidR="008104B8">
        <w:rPr>
          <w:lang w:val="es-ES"/>
        </w:rPr>
        <w:t>grandes</w:t>
      </w:r>
      <w:r w:rsidR="00B87772">
        <w:rPr>
          <w:lang w:val="es-ES"/>
        </w:rPr>
        <w:t xml:space="preserve"> del cuerpo, e</w:t>
      </w:r>
      <w:r w:rsidR="001A1BCB">
        <w:rPr>
          <w:lang w:val="es-ES"/>
        </w:rPr>
        <w:t>specialmente aquellas que suministran</w:t>
      </w:r>
      <w:r w:rsidR="00B87772">
        <w:rPr>
          <w:lang w:val="es-ES"/>
        </w:rPr>
        <w:t xml:space="preserve"> sangre a la cabeza y </w:t>
      </w:r>
      <w:r w:rsidR="008104B8">
        <w:rPr>
          <w:lang w:val="es-ES"/>
        </w:rPr>
        <w:t>a</w:t>
      </w:r>
      <w:r w:rsidR="00B87772">
        <w:rPr>
          <w:lang w:val="es-ES"/>
        </w:rPr>
        <w:t xml:space="preserve">l cuello. </w:t>
      </w:r>
      <w:r w:rsidR="00FA79ED" w:rsidRPr="00FA79ED">
        <w:rPr>
          <w:lang w:val="es-ES"/>
        </w:rPr>
        <w:t xml:space="preserve">Los síntomas </w:t>
      </w:r>
      <w:r w:rsidR="001A1BCB">
        <w:rPr>
          <w:lang w:val="es-ES"/>
        </w:rPr>
        <w:t>pueden incluir</w:t>
      </w:r>
      <w:r w:rsidR="00FA79ED" w:rsidRPr="00FA79ED">
        <w:rPr>
          <w:lang w:val="es-ES"/>
        </w:rPr>
        <w:t xml:space="preserve"> dolor de cabeza, fatiga y dolor en la mandíbula. Los efectos pueden incluir derrames cerebrales y ceguera.</w:t>
      </w:r>
    </w:p>
    <w:p w14:paraId="691FFFB8" w14:textId="77777777" w:rsidR="00A25BFD" w:rsidRDefault="00A25BFD" w:rsidP="006868F5">
      <w:pPr>
        <w:ind w:left="426"/>
        <w:rPr>
          <w:lang w:val="es-ES"/>
        </w:rPr>
      </w:pPr>
    </w:p>
    <w:p w14:paraId="0BA22232" w14:textId="77777777" w:rsidR="00FA79ED" w:rsidRDefault="00FA79ED" w:rsidP="00BE3753">
      <w:pPr>
        <w:keepNext/>
        <w:keepLines/>
        <w:ind w:left="425"/>
        <w:rPr>
          <w:lang w:val="es-ES"/>
        </w:rPr>
      </w:pPr>
      <w:r w:rsidRPr="00FA79ED">
        <w:rPr>
          <w:lang w:val="es-ES"/>
        </w:rPr>
        <w:lastRenderedPageBreak/>
        <w:t>RoAct</w:t>
      </w:r>
      <w:r w:rsidR="001A1BCB">
        <w:rPr>
          <w:lang w:val="es-ES"/>
        </w:rPr>
        <w:t>emra puede reducir el dolor e hinchazón de</w:t>
      </w:r>
      <w:r w:rsidRPr="00FA79ED">
        <w:rPr>
          <w:lang w:val="es-ES"/>
        </w:rPr>
        <w:t xml:space="preserve"> las arteria</w:t>
      </w:r>
      <w:r w:rsidR="001A1BCB">
        <w:rPr>
          <w:lang w:val="es-ES"/>
        </w:rPr>
        <w:t>s y venas de cabeza, cuello y</w:t>
      </w:r>
      <w:r w:rsidRPr="00FA79ED">
        <w:rPr>
          <w:lang w:val="es-ES"/>
        </w:rPr>
        <w:t xml:space="preserve"> brazos.</w:t>
      </w:r>
    </w:p>
    <w:p w14:paraId="66067E4D" w14:textId="77777777" w:rsidR="00FA79ED" w:rsidRDefault="00FA79ED" w:rsidP="00BE3753">
      <w:pPr>
        <w:keepNext/>
        <w:keepLines/>
        <w:ind w:left="425"/>
        <w:rPr>
          <w:lang w:val="es-ES"/>
        </w:rPr>
      </w:pPr>
    </w:p>
    <w:p w14:paraId="22283B46" w14:textId="77777777" w:rsidR="00FA79ED" w:rsidRDefault="00FA79ED" w:rsidP="00BE3753">
      <w:pPr>
        <w:keepNext/>
        <w:keepLines/>
        <w:ind w:left="425"/>
        <w:rPr>
          <w:lang w:val="es-ES"/>
        </w:rPr>
      </w:pPr>
      <w:r w:rsidRPr="00FA79ED">
        <w:rPr>
          <w:lang w:val="es-ES"/>
        </w:rPr>
        <w:t>La ACG se trata a menudo con medicamentos llamados esteroides. Por lo general son eficaces, pero pueden tener e</w:t>
      </w:r>
      <w:r w:rsidR="001A1BCB">
        <w:rPr>
          <w:lang w:val="es-ES"/>
        </w:rPr>
        <w:t>fectos secundarios si se usan a</w:t>
      </w:r>
      <w:r w:rsidRPr="00FA79ED">
        <w:rPr>
          <w:lang w:val="es-ES"/>
        </w:rPr>
        <w:t xml:space="preserve"> dosis altas durante mucho tiempo. La reducción de la dosis de esteroides también </w:t>
      </w:r>
      <w:r w:rsidR="001A1BCB">
        <w:rPr>
          <w:lang w:val="es-ES"/>
        </w:rPr>
        <w:t xml:space="preserve">puede conducir a un brote de </w:t>
      </w:r>
      <w:r w:rsidRPr="00FA79ED">
        <w:rPr>
          <w:lang w:val="es-ES"/>
        </w:rPr>
        <w:t>ACG. La adición de Ro</w:t>
      </w:r>
      <w:r w:rsidR="001A1BCB">
        <w:rPr>
          <w:lang w:val="es-ES"/>
        </w:rPr>
        <w:t>Actemra al tratamiento hace</w:t>
      </w:r>
      <w:r w:rsidRPr="00FA79ED">
        <w:rPr>
          <w:lang w:val="es-ES"/>
        </w:rPr>
        <w:t xml:space="preserve"> que</w:t>
      </w:r>
      <w:r w:rsidR="001A1BCB">
        <w:rPr>
          <w:lang w:val="es-ES"/>
        </w:rPr>
        <w:t xml:space="preserve"> el tiempo de uso de</w:t>
      </w:r>
      <w:r w:rsidRPr="00FA79ED">
        <w:rPr>
          <w:lang w:val="es-ES"/>
        </w:rPr>
        <w:t xml:space="preserve"> los esteroi</w:t>
      </w:r>
      <w:r w:rsidR="001A1BCB">
        <w:rPr>
          <w:lang w:val="es-ES"/>
        </w:rPr>
        <w:t xml:space="preserve">des </w:t>
      </w:r>
      <w:r w:rsidR="00C31F61">
        <w:rPr>
          <w:lang w:val="es-ES"/>
        </w:rPr>
        <w:t xml:space="preserve">pueda </w:t>
      </w:r>
      <w:r w:rsidR="001A1BCB">
        <w:rPr>
          <w:lang w:val="es-ES"/>
        </w:rPr>
        <w:t>s</w:t>
      </w:r>
      <w:r w:rsidR="00C31F61">
        <w:rPr>
          <w:lang w:val="es-ES"/>
        </w:rPr>
        <w:t>er</w:t>
      </w:r>
      <w:r w:rsidRPr="00FA79ED">
        <w:rPr>
          <w:lang w:val="es-ES"/>
        </w:rPr>
        <w:t xml:space="preserve"> más corto, mientras </w:t>
      </w:r>
      <w:r w:rsidR="00C31F61">
        <w:rPr>
          <w:lang w:val="es-ES"/>
        </w:rPr>
        <w:t xml:space="preserve">que siguen controlando la </w:t>
      </w:r>
      <w:r w:rsidRPr="00FA79ED">
        <w:rPr>
          <w:lang w:val="es-ES"/>
        </w:rPr>
        <w:t>A</w:t>
      </w:r>
      <w:r w:rsidR="00C31F61">
        <w:rPr>
          <w:lang w:val="es-ES"/>
        </w:rPr>
        <w:t>CG</w:t>
      </w:r>
      <w:r w:rsidRPr="00FA79ED">
        <w:rPr>
          <w:lang w:val="es-ES"/>
        </w:rPr>
        <w:t>.</w:t>
      </w:r>
    </w:p>
    <w:p w14:paraId="7C76A419" w14:textId="77777777" w:rsidR="0000549C" w:rsidRDefault="0021578C" w:rsidP="00FF2AFA">
      <w:pPr>
        <w:ind w:left="567" w:hanging="567"/>
        <w:rPr>
          <w:lang w:val="es-ES"/>
        </w:rPr>
      </w:pPr>
      <w:r w:rsidRPr="008A106B">
        <w:rPr>
          <w:lang w:val="es-ES"/>
        </w:rPr>
        <w:sym w:font="Symbol" w:char="F0B7"/>
      </w:r>
      <w:r>
        <w:rPr>
          <w:lang w:val="es-ES"/>
        </w:rPr>
        <w:tab/>
      </w:r>
      <w:r w:rsidR="0000549C" w:rsidRPr="00115310">
        <w:rPr>
          <w:b/>
          <w:lang w:val="es-ES"/>
        </w:rPr>
        <w:t xml:space="preserve">niños y adolescentes, de 1 año de edad y mayores con </w:t>
      </w:r>
      <w:r w:rsidR="0000549C" w:rsidRPr="00FF2AFA">
        <w:rPr>
          <w:b/>
          <w:i/>
          <w:lang w:val="es-ES"/>
        </w:rPr>
        <w:t>artritis idiopática juvenil sistémica (AIJs)</w:t>
      </w:r>
      <w:r w:rsidR="0000549C" w:rsidRPr="00115310">
        <w:rPr>
          <w:b/>
          <w:lang w:val="es-ES"/>
        </w:rPr>
        <w:t xml:space="preserve"> activa,</w:t>
      </w:r>
      <w:r w:rsidR="0000549C">
        <w:rPr>
          <w:lang w:val="es-ES"/>
        </w:rPr>
        <w:t xml:space="preserve"> </w:t>
      </w:r>
      <w:r w:rsidR="0000549C" w:rsidRPr="00115310">
        <w:rPr>
          <w:lang w:val="es-ES"/>
        </w:rPr>
        <w:t>una enfermedad inflamatoria que causa dolor e hinchazón en una o más articulaciones, así como fiebre y erupción</w:t>
      </w:r>
      <w:r w:rsidR="0000549C">
        <w:rPr>
          <w:lang w:val="es-ES"/>
        </w:rPr>
        <w:t xml:space="preserve"> cutánea.</w:t>
      </w:r>
    </w:p>
    <w:p w14:paraId="6E8251B5" w14:textId="77777777" w:rsidR="0000549C" w:rsidRDefault="0000549C" w:rsidP="00FF2AFA">
      <w:pPr>
        <w:ind w:left="567" w:hanging="567"/>
        <w:rPr>
          <w:lang w:val="es-ES"/>
        </w:rPr>
      </w:pPr>
    </w:p>
    <w:p w14:paraId="18858C0F" w14:textId="77777777" w:rsidR="0000549C" w:rsidRDefault="0000549C" w:rsidP="00FF2AFA">
      <w:pPr>
        <w:ind w:left="567" w:hanging="567"/>
        <w:rPr>
          <w:lang w:val="es-ES"/>
        </w:rPr>
      </w:pPr>
      <w:r>
        <w:rPr>
          <w:lang w:val="es-ES"/>
        </w:rPr>
        <w:tab/>
        <w:t xml:space="preserve">RoActemra </w:t>
      </w:r>
      <w:r w:rsidRPr="00115310">
        <w:rPr>
          <w:lang w:val="es-ES"/>
        </w:rPr>
        <w:t>se utiliza para mejorar los síntomas de la A</w:t>
      </w:r>
      <w:r>
        <w:rPr>
          <w:lang w:val="es-ES"/>
        </w:rPr>
        <w:t>IJs</w:t>
      </w:r>
      <w:r w:rsidRPr="00115310">
        <w:rPr>
          <w:lang w:val="es-ES"/>
        </w:rPr>
        <w:t>. Se puede administrar en combinación con metotrexato o solo</w:t>
      </w:r>
    </w:p>
    <w:p w14:paraId="565AE64D" w14:textId="77777777" w:rsidR="00A5312D" w:rsidRDefault="00A5312D" w:rsidP="00FF2AFA">
      <w:pPr>
        <w:ind w:left="567" w:hanging="567"/>
        <w:rPr>
          <w:lang w:val="es-ES"/>
        </w:rPr>
      </w:pPr>
    </w:p>
    <w:p w14:paraId="7842036B" w14:textId="77777777" w:rsidR="00A5312D" w:rsidRPr="00A5312D" w:rsidRDefault="0021578C" w:rsidP="00FF2AFA">
      <w:pPr>
        <w:tabs>
          <w:tab w:val="left" w:pos="284"/>
          <w:tab w:val="left" w:pos="426"/>
        </w:tabs>
        <w:ind w:left="567" w:hanging="567"/>
        <w:rPr>
          <w:lang w:val="es-ES"/>
        </w:rPr>
      </w:pPr>
      <w:r w:rsidRPr="008A106B">
        <w:rPr>
          <w:lang w:val="es-ES"/>
        </w:rPr>
        <w:sym w:font="Symbol" w:char="F0B7"/>
      </w:r>
      <w:r>
        <w:rPr>
          <w:lang w:val="es-ES"/>
        </w:rPr>
        <w:tab/>
      </w:r>
      <w:r w:rsidR="00A5312D" w:rsidRPr="006616E4">
        <w:rPr>
          <w:b/>
          <w:szCs w:val="22"/>
          <w:lang w:val="es-ES"/>
        </w:rPr>
        <w:t>niños y adolescentes,</w:t>
      </w:r>
      <w:r w:rsidR="00A5312D" w:rsidRPr="00A5312D">
        <w:rPr>
          <w:lang w:val="es-ES"/>
        </w:rPr>
        <w:t xml:space="preserve"> de 2 años</w:t>
      </w:r>
      <w:r w:rsidR="00A5312D">
        <w:rPr>
          <w:lang w:val="es-ES"/>
        </w:rPr>
        <w:t xml:space="preserve"> </w:t>
      </w:r>
      <w:r w:rsidR="009847A8">
        <w:rPr>
          <w:lang w:val="es-ES"/>
        </w:rPr>
        <w:t>de edad en adelante</w:t>
      </w:r>
      <w:r w:rsidR="00A5312D">
        <w:rPr>
          <w:lang w:val="es-ES"/>
        </w:rPr>
        <w:t xml:space="preserve">, </w:t>
      </w:r>
      <w:r w:rsidR="009847A8">
        <w:rPr>
          <w:lang w:val="es-ES"/>
        </w:rPr>
        <w:t>con</w:t>
      </w:r>
      <w:r w:rsidR="00A5312D">
        <w:rPr>
          <w:lang w:val="es-ES"/>
        </w:rPr>
        <w:t xml:space="preserve"> </w:t>
      </w:r>
      <w:r w:rsidR="00A5312D" w:rsidRPr="006616E4">
        <w:rPr>
          <w:b/>
          <w:i/>
          <w:szCs w:val="22"/>
          <w:lang w:val="es-ES"/>
        </w:rPr>
        <w:t>artritis idiopática j</w:t>
      </w:r>
      <w:r w:rsidR="009847A8" w:rsidRPr="009847A8">
        <w:rPr>
          <w:b/>
          <w:i/>
          <w:szCs w:val="22"/>
          <w:lang w:val="es-ES"/>
        </w:rPr>
        <w:t>uvenil poliarticular activa (</w:t>
      </w:r>
      <w:r w:rsidR="00A5312D" w:rsidRPr="006616E4">
        <w:rPr>
          <w:b/>
          <w:i/>
          <w:szCs w:val="22"/>
          <w:lang w:val="es-ES"/>
        </w:rPr>
        <w:t>A</w:t>
      </w:r>
      <w:r w:rsidR="009847A8">
        <w:rPr>
          <w:b/>
          <w:i/>
          <w:szCs w:val="22"/>
          <w:lang w:val="es-ES"/>
        </w:rPr>
        <w:t>IJp</w:t>
      </w:r>
      <w:r w:rsidR="00A5312D" w:rsidRPr="006616E4">
        <w:rPr>
          <w:b/>
          <w:i/>
          <w:szCs w:val="22"/>
          <w:lang w:val="es-ES"/>
        </w:rPr>
        <w:t>)</w:t>
      </w:r>
      <w:r w:rsidR="00BE1967">
        <w:rPr>
          <w:b/>
          <w:i/>
          <w:szCs w:val="22"/>
          <w:lang w:val="es-ES"/>
        </w:rPr>
        <w:t xml:space="preserve">. </w:t>
      </w:r>
      <w:r w:rsidR="00BE1967">
        <w:rPr>
          <w:szCs w:val="22"/>
          <w:lang w:val="es-ES"/>
        </w:rPr>
        <w:t>É</w:t>
      </w:r>
      <w:r w:rsidR="00BE1967" w:rsidRPr="006616E4">
        <w:rPr>
          <w:szCs w:val="22"/>
          <w:lang w:val="es-ES"/>
        </w:rPr>
        <w:t>s</w:t>
      </w:r>
      <w:r w:rsidR="00BE1967">
        <w:rPr>
          <w:szCs w:val="22"/>
          <w:lang w:val="es-ES"/>
        </w:rPr>
        <w:t>ta es</w:t>
      </w:r>
      <w:r w:rsidR="009847A8" w:rsidRPr="006616E4">
        <w:rPr>
          <w:szCs w:val="22"/>
          <w:lang w:val="es-ES"/>
        </w:rPr>
        <w:t xml:space="preserve"> </w:t>
      </w:r>
      <w:r w:rsidR="00A5312D" w:rsidRPr="00A5312D">
        <w:rPr>
          <w:lang w:val="es-ES"/>
        </w:rPr>
        <w:t>una enfermedad inflamatoria que causa dolor e hinchazón en una o más articulaciones.</w:t>
      </w:r>
    </w:p>
    <w:p w14:paraId="178A0BD8" w14:textId="77777777" w:rsidR="00A5312D" w:rsidRPr="00A5312D" w:rsidRDefault="00A5312D" w:rsidP="00A50280">
      <w:pPr>
        <w:ind w:left="425" w:hanging="425"/>
        <w:rPr>
          <w:lang w:val="es-ES"/>
        </w:rPr>
      </w:pPr>
    </w:p>
    <w:p w14:paraId="25F52D92" w14:textId="77777777" w:rsidR="00A5312D" w:rsidRDefault="009847A8" w:rsidP="00A5312D">
      <w:pPr>
        <w:ind w:left="426"/>
        <w:rPr>
          <w:lang w:val="es-ES"/>
        </w:rPr>
      </w:pPr>
      <w:r w:rsidRPr="00E40E9A">
        <w:rPr>
          <w:lang w:val="es-ES"/>
        </w:rPr>
        <w:t>RoActemra se utiliza</w:t>
      </w:r>
      <w:r w:rsidR="00A5312D" w:rsidRPr="00E40E9A">
        <w:rPr>
          <w:lang w:val="es-ES"/>
        </w:rPr>
        <w:t xml:space="preserve"> </w:t>
      </w:r>
      <w:r w:rsidRPr="00E40E9A">
        <w:rPr>
          <w:lang w:val="es-ES"/>
        </w:rPr>
        <w:t xml:space="preserve">para mejorar los síntomas de la </w:t>
      </w:r>
      <w:r w:rsidR="00A5312D" w:rsidRPr="00E40E9A">
        <w:rPr>
          <w:lang w:val="es-ES"/>
        </w:rPr>
        <w:t>A</w:t>
      </w:r>
      <w:r w:rsidRPr="00E40E9A">
        <w:rPr>
          <w:lang w:val="es-ES"/>
        </w:rPr>
        <w:t>IJp</w:t>
      </w:r>
      <w:r w:rsidR="00A5312D" w:rsidRPr="00E40E9A">
        <w:rPr>
          <w:lang w:val="es-ES"/>
        </w:rPr>
        <w:t>. Se puede administrar en combinación con metotrexato o solo.</w:t>
      </w:r>
    </w:p>
    <w:p w14:paraId="49E1F42F" w14:textId="77777777" w:rsidR="00A5312D" w:rsidRDefault="00A5312D" w:rsidP="006868F5">
      <w:pPr>
        <w:ind w:left="426"/>
        <w:rPr>
          <w:lang w:val="es-ES"/>
        </w:rPr>
      </w:pPr>
    </w:p>
    <w:p w14:paraId="7C61871D" w14:textId="77777777" w:rsidR="003E3A62" w:rsidRPr="0087486A" w:rsidRDefault="003E3A62" w:rsidP="00C10DA7">
      <w:pPr>
        <w:rPr>
          <w:lang w:val="es-ES"/>
        </w:rPr>
      </w:pPr>
    </w:p>
    <w:p w14:paraId="44894DC9" w14:textId="77777777" w:rsidR="003E3A62" w:rsidRPr="00FF2AFA" w:rsidRDefault="003E3A62" w:rsidP="00A14C8C">
      <w:pPr>
        <w:keepNext/>
        <w:keepLines/>
        <w:rPr>
          <w:b/>
          <w:szCs w:val="22"/>
          <w:lang w:val="es-ES"/>
        </w:rPr>
      </w:pPr>
      <w:r w:rsidRPr="00FF2AFA">
        <w:rPr>
          <w:b/>
          <w:szCs w:val="22"/>
          <w:lang w:val="es-ES"/>
        </w:rPr>
        <w:t>2.</w:t>
      </w:r>
      <w:r w:rsidRPr="00FF2AFA">
        <w:rPr>
          <w:b/>
          <w:szCs w:val="22"/>
          <w:lang w:val="es-ES"/>
        </w:rPr>
        <w:tab/>
        <w:t xml:space="preserve">Qué necesita saber antes de </w:t>
      </w:r>
      <w:r w:rsidR="008104B8" w:rsidRPr="00FF2AFA">
        <w:rPr>
          <w:b/>
          <w:szCs w:val="22"/>
          <w:lang w:val="es-ES"/>
        </w:rPr>
        <w:t>empezar a usar</w:t>
      </w:r>
      <w:r w:rsidRPr="00FF2AFA">
        <w:rPr>
          <w:b/>
          <w:szCs w:val="22"/>
          <w:lang w:val="es-ES"/>
        </w:rPr>
        <w:t xml:space="preserve"> RoActemra</w:t>
      </w:r>
    </w:p>
    <w:p w14:paraId="6279E15F" w14:textId="77777777" w:rsidR="00A14C8C" w:rsidRPr="0087486A" w:rsidRDefault="00A14C8C" w:rsidP="006868F5">
      <w:pPr>
        <w:rPr>
          <w:lang w:val="es-ES"/>
        </w:rPr>
      </w:pPr>
    </w:p>
    <w:p w14:paraId="78C7F30B" w14:textId="77777777" w:rsidR="003E3A62" w:rsidRPr="00D75946" w:rsidRDefault="003E3A62" w:rsidP="00A14C8C">
      <w:pPr>
        <w:keepNext/>
        <w:keepLines/>
        <w:rPr>
          <w:b/>
          <w:bCs/>
          <w:szCs w:val="22"/>
          <w:lang w:val="es-ES_tradnl"/>
        </w:rPr>
      </w:pPr>
      <w:r w:rsidRPr="00D75946">
        <w:rPr>
          <w:b/>
          <w:bCs/>
          <w:szCs w:val="22"/>
          <w:lang w:val="es-ES_tradnl"/>
        </w:rPr>
        <w:t xml:space="preserve">No se le administrará RoActemra </w:t>
      </w:r>
    </w:p>
    <w:p w14:paraId="29C3DEAA" w14:textId="77777777" w:rsidR="003E3A62" w:rsidRPr="00F22672" w:rsidRDefault="003E3A62" w:rsidP="00A14C8C">
      <w:pPr>
        <w:keepNext/>
        <w:keepLines/>
        <w:ind w:left="567" w:hanging="567"/>
        <w:rPr>
          <w:lang w:val="es-ES_tradnl"/>
        </w:rPr>
      </w:pPr>
      <w:r w:rsidRPr="00F22672">
        <w:rPr>
          <w:lang w:val="es-ES"/>
        </w:rPr>
        <w:sym w:font="Symbol" w:char="F0B7"/>
      </w:r>
      <w:r w:rsidRPr="00F22672">
        <w:rPr>
          <w:noProof/>
          <w:lang w:val="es-ES"/>
        </w:rPr>
        <w:tab/>
      </w:r>
      <w:r w:rsidRPr="00F22672">
        <w:rPr>
          <w:lang w:val="es-ES"/>
        </w:rPr>
        <w:t xml:space="preserve">Si </w:t>
      </w:r>
      <w:r w:rsidR="00E40E9A">
        <w:rPr>
          <w:lang w:val="es-ES"/>
        </w:rPr>
        <w:t xml:space="preserve">usted o </w:t>
      </w:r>
      <w:r w:rsidR="00E40E9A" w:rsidRPr="0041595B">
        <w:rPr>
          <w:lang w:val="es-ES"/>
        </w:rPr>
        <w:t xml:space="preserve">un </w:t>
      </w:r>
      <w:r w:rsidR="00A5312D" w:rsidRPr="0041595B">
        <w:rPr>
          <w:lang w:val="es-ES"/>
        </w:rPr>
        <w:t>niño</w:t>
      </w:r>
      <w:r w:rsidR="0041595B">
        <w:rPr>
          <w:lang w:val="es-ES"/>
        </w:rPr>
        <w:t xml:space="preserve"> (si él es el paciente</w:t>
      </w:r>
      <w:r w:rsidR="00A5312D">
        <w:rPr>
          <w:lang w:val="es-ES"/>
        </w:rPr>
        <w:t xml:space="preserve"> al que cuida</w:t>
      </w:r>
      <w:r w:rsidR="0041595B">
        <w:rPr>
          <w:lang w:val="es-ES"/>
        </w:rPr>
        <w:t>)</w:t>
      </w:r>
      <w:r w:rsidR="00A5312D" w:rsidRPr="00F22672">
        <w:rPr>
          <w:lang w:val="es-ES"/>
        </w:rPr>
        <w:t xml:space="preserve"> </w:t>
      </w:r>
      <w:r w:rsidRPr="00F22672">
        <w:rPr>
          <w:lang w:val="es-ES"/>
        </w:rPr>
        <w:t>es alérgico a</w:t>
      </w:r>
      <w:r w:rsidR="00827BF0">
        <w:rPr>
          <w:lang w:val="es-ES"/>
        </w:rPr>
        <w:t>l</w:t>
      </w:r>
      <w:r w:rsidRPr="00F22672">
        <w:rPr>
          <w:lang w:val="es-ES"/>
        </w:rPr>
        <w:t xml:space="preserve"> </w:t>
      </w:r>
      <w:r w:rsidRPr="00F22672">
        <w:rPr>
          <w:lang w:val="es-ES_tradnl"/>
        </w:rPr>
        <w:t xml:space="preserve">tocilizumab o </w:t>
      </w:r>
      <w:r w:rsidR="00827BF0">
        <w:rPr>
          <w:lang w:val="es-ES_tradnl"/>
        </w:rPr>
        <w:t xml:space="preserve">a alguno </w:t>
      </w:r>
      <w:r w:rsidRPr="00F22672">
        <w:rPr>
          <w:lang w:val="es-ES_tradnl"/>
        </w:rPr>
        <w:t>de los demás componentes de este medicamento (enumerados en la sección 6).</w:t>
      </w:r>
    </w:p>
    <w:p w14:paraId="5A41E85D" w14:textId="77777777" w:rsidR="003E3A62" w:rsidRPr="00F22672" w:rsidRDefault="003E3A62" w:rsidP="00A14C8C">
      <w:pPr>
        <w:keepNext/>
        <w:keepLines/>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00DD19FD" w:rsidRPr="00CD42AF">
        <w:rPr>
          <w:lang w:val="es-ES"/>
        </w:rPr>
        <w:t>usted o un niño (si él es el paciente al que cuida</w:t>
      </w:r>
      <w:r w:rsidR="001F2E5A">
        <w:rPr>
          <w:lang w:val="es-ES"/>
        </w:rPr>
        <w:t>)</w:t>
      </w:r>
      <w:r w:rsidR="00DD19FD" w:rsidRPr="00F22672">
        <w:rPr>
          <w:lang w:val="es-ES_tradnl"/>
        </w:rPr>
        <w:t xml:space="preserve"> </w:t>
      </w:r>
      <w:r w:rsidRPr="00F22672">
        <w:rPr>
          <w:lang w:val="es-ES_tradnl"/>
        </w:rPr>
        <w:t>una infección activa grave.</w:t>
      </w:r>
    </w:p>
    <w:p w14:paraId="2D7C1200" w14:textId="77777777" w:rsidR="003E3A62" w:rsidRPr="00F22672" w:rsidRDefault="003E3A62" w:rsidP="003E3A62">
      <w:pPr>
        <w:ind w:left="567" w:hanging="567"/>
        <w:rPr>
          <w:lang w:val="es-ES_tradnl"/>
        </w:rPr>
      </w:pPr>
    </w:p>
    <w:p w14:paraId="0BCB5827" w14:textId="77777777" w:rsidR="003E3A62" w:rsidRPr="00F22672" w:rsidRDefault="003E3A62" w:rsidP="003E3A62">
      <w:pPr>
        <w:ind w:left="567" w:hanging="567"/>
        <w:rPr>
          <w:lang w:val="es-ES"/>
        </w:rPr>
      </w:pPr>
      <w:r w:rsidRPr="00F22672">
        <w:rPr>
          <w:lang w:val="es-ES"/>
        </w:rPr>
        <w:t xml:space="preserve">Si </w:t>
      </w:r>
      <w:r w:rsidR="00372726" w:rsidRPr="00F22672">
        <w:rPr>
          <w:lang w:val="es-ES"/>
        </w:rPr>
        <w:t>le sucede algo de esto</w:t>
      </w:r>
      <w:r w:rsidRPr="00F22672">
        <w:rPr>
          <w:lang w:val="es-ES"/>
        </w:rPr>
        <w:t>, consulte con el médico. No utilice RoActemra.</w:t>
      </w:r>
    </w:p>
    <w:p w14:paraId="130194F5" w14:textId="77777777" w:rsidR="003E3A62" w:rsidRPr="00F22672" w:rsidRDefault="003E3A62" w:rsidP="003E3A62">
      <w:pPr>
        <w:ind w:left="567" w:hanging="567"/>
        <w:rPr>
          <w:lang w:val="es-ES"/>
        </w:rPr>
      </w:pPr>
    </w:p>
    <w:p w14:paraId="3EBC24BD" w14:textId="77777777" w:rsidR="003E3A62" w:rsidRPr="006868F5" w:rsidRDefault="003E3A62" w:rsidP="00D75946">
      <w:pPr>
        <w:keepNext/>
        <w:keepLines/>
        <w:rPr>
          <w:b/>
          <w:noProof/>
          <w:szCs w:val="22"/>
          <w:lang w:val="es-ES"/>
        </w:rPr>
      </w:pPr>
      <w:r w:rsidRPr="006868F5">
        <w:rPr>
          <w:b/>
          <w:noProof/>
          <w:szCs w:val="22"/>
          <w:lang w:val="es-ES"/>
        </w:rPr>
        <w:t>Advertencias y precauciones</w:t>
      </w:r>
    </w:p>
    <w:p w14:paraId="52DA472B" w14:textId="77777777" w:rsidR="003E3A62" w:rsidRPr="00F22672" w:rsidRDefault="003E3A62" w:rsidP="00D75946">
      <w:pPr>
        <w:keepNext/>
        <w:keepLines/>
        <w:ind w:left="567" w:hanging="567"/>
        <w:rPr>
          <w:lang w:val="es-ES"/>
        </w:rPr>
      </w:pPr>
    </w:p>
    <w:p w14:paraId="1AE914AA" w14:textId="77777777" w:rsidR="003E3A62" w:rsidRPr="00F22672" w:rsidRDefault="003E3A62" w:rsidP="00D75946">
      <w:pPr>
        <w:keepNext/>
        <w:keepLines/>
        <w:ind w:left="567" w:hanging="567"/>
        <w:rPr>
          <w:lang w:val="es-ES"/>
        </w:rPr>
      </w:pPr>
      <w:r w:rsidRPr="00F22672">
        <w:rPr>
          <w:lang w:val="es-ES"/>
        </w:rPr>
        <w:t>Consulte a su médico, farmacéutico o enfermero antes de empezar a recibir RoActemra.</w:t>
      </w:r>
    </w:p>
    <w:p w14:paraId="7ACA81A4" w14:textId="77777777" w:rsidR="003E3A62" w:rsidRPr="00F22672" w:rsidRDefault="003E3A62" w:rsidP="00D75946">
      <w:pPr>
        <w:keepNext/>
        <w:keepLines/>
        <w:rPr>
          <w:lang w:val="es-ES"/>
        </w:rPr>
      </w:pPr>
    </w:p>
    <w:p w14:paraId="45DC6025" w14:textId="77777777" w:rsidR="003E3A62" w:rsidRPr="00F22672" w:rsidRDefault="003E3A62" w:rsidP="00D75946">
      <w:pPr>
        <w:keepNext/>
        <w:keepLines/>
        <w:ind w:left="567" w:hanging="567"/>
        <w:rPr>
          <w:lang w:val="es-ES_tradnl"/>
        </w:rPr>
      </w:pPr>
      <w:r w:rsidRPr="00F22672">
        <w:rPr>
          <w:lang w:val="es-ES"/>
        </w:rPr>
        <w:sym w:font="Symbol" w:char="F0B7"/>
      </w:r>
      <w:r w:rsidRPr="00F22672">
        <w:rPr>
          <w:noProof/>
          <w:lang w:val="es-ES"/>
        </w:rPr>
        <w:tab/>
      </w:r>
      <w:r w:rsidRPr="00F22672">
        <w:rPr>
          <w:bCs/>
          <w:lang w:val="es-ES_tradnl"/>
        </w:rPr>
        <w:t xml:space="preserve">Si experimenta </w:t>
      </w:r>
      <w:r w:rsidRPr="00F22672">
        <w:rPr>
          <w:b/>
          <w:bCs/>
          <w:lang w:val="es-ES_tradnl"/>
        </w:rPr>
        <w:t>reacciones alérgicas</w:t>
      </w:r>
      <w:r w:rsidRPr="00F22672">
        <w:rPr>
          <w:lang w:val="es-ES_tradnl"/>
        </w:rPr>
        <w:t xml:space="preserve"> como sensación de opresión torácica, sibilancias, mareos o aturdimiento intenso, hinchazón de los labios, lengua, cara o erupción cutánea, ronchas o picor durante o después de la inyección, </w:t>
      </w:r>
      <w:r w:rsidRPr="00F22672">
        <w:rPr>
          <w:b/>
          <w:bCs/>
          <w:lang w:val="es-ES_tradnl"/>
        </w:rPr>
        <w:t>informe a su médico inmediatamente</w:t>
      </w:r>
      <w:r w:rsidRPr="00F22672">
        <w:rPr>
          <w:lang w:val="es-ES_tradnl"/>
        </w:rPr>
        <w:t>.</w:t>
      </w:r>
    </w:p>
    <w:p w14:paraId="3261571D" w14:textId="77777777" w:rsidR="003E3A62" w:rsidRPr="00F22672" w:rsidRDefault="003E3A62" w:rsidP="003E3A62">
      <w:pPr>
        <w:ind w:left="567" w:hanging="567"/>
        <w:rPr>
          <w:lang w:val="es-ES_tradnl"/>
        </w:rPr>
      </w:pPr>
    </w:p>
    <w:p w14:paraId="5B57CE0C" w14:textId="77777777" w:rsidR="003E3A62" w:rsidRPr="00F22672" w:rsidRDefault="003E3A62" w:rsidP="003E3A62">
      <w:pPr>
        <w:ind w:left="567" w:hanging="567"/>
        <w:rPr>
          <w:lang w:val="es-ES_tradnl"/>
        </w:rPr>
      </w:pPr>
      <w:r w:rsidRPr="00F22672">
        <w:rPr>
          <w:lang w:val="es-ES"/>
        </w:rPr>
        <w:sym w:font="Symbol" w:char="F0B7"/>
      </w:r>
      <w:r w:rsidRPr="00F22672">
        <w:rPr>
          <w:lang w:val="es-ES_tradnl"/>
        </w:rPr>
        <w:tab/>
      </w:r>
      <w:r w:rsidR="00FC59A2" w:rsidRPr="00F22672">
        <w:rPr>
          <w:lang w:val="es-ES_tradnl"/>
        </w:rPr>
        <w:t>Si ha experimentado algún síntoma de reacción alérgica después de la administración de RoActemra, no tome la siguiente dosis hasta haber informado a su médico y que su médico le haya indicado que tome la siguiente dosis.</w:t>
      </w:r>
    </w:p>
    <w:p w14:paraId="52888C62" w14:textId="77777777" w:rsidR="003E3A62" w:rsidRPr="00F22672" w:rsidRDefault="003E3A62" w:rsidP="003E3A62">
      <w:pPr>
        <w:rPr>
          <w:lang w:val="es-ES"/>
        </w:rPr>
      </w:pPr>
    </w:p>
    <w:p w14:paraId="5B7E6643" w14:textId="77777777" w:rsidR="003E3A62" w:rsidRPr="00F22672" w:rsidRDefault="003E3A62" w:rsidP="003E3A62">
      <w:pPr>
        <w:keepNext/>
        <w:keepLines/>
        <w:ind w:left="567" w:hanging="567"/>
        <w:rPr>
          <w:lang w:val="es-ES"/>
        </w:rPr>
      </w:pPr>
      <w:r w:rsidRPr="00F22672">
        <w:rPr>
          <w:lang w:val="es-ES"/>
        </w:rPr>
        <w:sym w:font="Symbol" w:char="F0B7"/>
      </w:r>
      <w:r w:rsidRPr="00F22672">
        <w:rPr>
          <w:noProof/>
          <w:lang w:val="es-ES"/>
        </w:rPr>
        <w:tab/>
      </w:r>
      <w:r w:rsidRPr="00F22672">
        <w:rPr>
          <w:bCs/>
          <w:lang w:val="es-ES_tradnl"/>
        </w:rPr>
        <w:t xml:space="preserve">Si tiene cualquier tipo de </w:t>
      </w:r>
      <w:r w:rsidRPr="00F22672">
        <w:rPr>
          <w:b/>
          <w:bCs/>
          <w:lang w:val="es-ES_tradnl"/>
        </w:rPr>
        <w:t>infección</w:t>
      </w:r>
      <w:r w:rsidRPr="00F22672">
        <w:rPr>
          <w:b/>
          <w:lang w:val="es-ES_tradnl"/>
        </w:rPr>
        <w:t>,</w:t>
      </w:r>
      <w:r w:rsidRPr="00F22672">
        <w:rPr>
          <w:lang w:val="es-ES_tradnl"/>
        </w:rPr>
        <w:t xml:space="preserve"> ya sea de evolución corta o larga, o si </w:t>
      </w:r>
      <w:r w:rsidR="00372726" w:rsidRPr="00F22672">
        <w:rPr>
          <w:lang w:val="es-ES_tradnl"/>
        </w:rPr>
        <w:t>contrae</w:t>
      </w:r>
      <w:r w:rsidRPr="00F22672">
        <w:rPr>
          <w:lang w:val="es-ES_tradnl"/>
        </w:rPr>
        <w:t xml:space="preserve"> infecciones a menudo</w:t>
      </w:r>
      <w:r w:rsidRPr="00F22672">
        <w:rPr>
          <w:b/>
          <w:lang w:val="es-ES_tradnl"/>
        </w:rPr>
        <w:t>. Informe inmediatamente a su médico</w:t>
      </w:r>
      <w:r w:rsidRPr="00F22672">
        <w:rPr>
          <w:lang w:val="es-ES_tradnl"/>
        </w:rPr>
        <w:t xml:space="preserve"> si se encuentra mal.</w:t>
      </w:r>
      <w:r w:rsidRPr="00F22672">
        <w:rPr>
          <w:lang w:val="es-ES"/>
        </w:rPr>
        <w:t xml:space="preserve"> </w:t>
      </w:r>
      <w:r w:rsidRPr="00F22672">
        <w:rPr>
          <w:lang w:val="es-ES_tradnl"/>
        </w:rPr>
        <w:t>RoActemra puede reducir la capacidad de su cuerpo para responder a las infecciones y puede hacer que una infección existente empeore o aumente la probabilidad de adquirir una nueva infección.</w:t>
      </w:r>
    </w:p>
    <w:p w14:paraId="1B26104D" w14:textId="77777777" w:rsidR="003E3A62" w:rsidRPr="00F22672" w:rsidRDefault="003E3A62" w:rsidP="003E3A62">
      <w:pPr>
        <w:rPr>
          <w:lang w:val="es-ES"/>
        </w:rPr>
      </w:pPr>
    </w:p>
    <w:p w14:paraId="1E4C2C65"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bCs/>
          <w:lang w:val="es-ES_tradnl"/>
        </w:rPr>
        <w:t xml:space="preserve">Si ha tenido </w:t>
      </w:r>
      <w:r w:rsidRPr="00F22672">
        <w:rPr>
          <w:b/>
          <w:bCs/>
          <w:lang w:val="es-ES_tradnl"/>
        </w:rPr>
        <w:t>tuberculosis</w:t>
      </w:r>
      <w:r w:rsidRPr="00F22672">
        <w:rPr>
          <w:lang w:val="es-ES_tradnl"/>
        </w:rPr>
        <w:t>, informe a su médico.</w:t>
      </w:r>
      <w:r w:rsidRPr="00F22672">
        <w:rPr>
          <w:lang w:val="es-ES"/>
        </w:rPr>
        <w:t xml:space="preserve"> </w:t>
      </w:r>
      <w:r w:rsidRPr="00F22672">
        <w:rPr>
          <w:lang w:val="es-ES_tradnl"/>
        </w:rPr>
        <w:t>Su médico comprobará los signos y síntomas de tuberculosis antes de comenzar el tratamiento con RoActemra. Informe a su médico inmediatamente si los síntomas de tuberculosis (tos persistente, pérdida de peso, malestar general, febrícula), o cualquier otra infección aparecen durante o después del tratamiento</w:t>
      </w:r>
      <w:r w:rsidR="00372726" w:rsidRPr="00F22672">
        <w:rPr>
          <w:lang w:val="es-ES_tradnl"/>
        </w:rPr>
        <w:t>.</w:t>
      </w:r>
    </w:p>
    <w:p w14:paraId="6B4FF109" w14:textId="77777777" w:rsidR="003E3A62" w:rsidRPr="00F22672" w:rsidRDefault="003E3A62" w:rsidP="003E3A62">
      <w:pPr>
        <w:rPr>
          <w:lang w:val="es-ES"/>
        </w:rPr>
      </w:pPr>
    </w:p>
    <w:p w14:paraId="74DED802" w14:textId="77777777" w:rsidR="003E3A62" w:rsidRPr="00F22672" w:rsidRDefault="003E3A62" w:rsidP="003E3A62">
      <w:pPr>
        <w:ind w:left="567" w:hanging="567"/>
        <w:rPr>
          <w:lang w:val="es-ES"/>
        </w:rPr>
      </w:pPr>
      <w:r w:rsidRPr="00F22672">
        <w:rPr>
          <w:lang w:val="es-ES"/>
        </w:rPr>
        <w:sym w:font="Symbol" w:char="F0B7"/>
      </w:r>
      <w:r w:rsidRPr="00F22672">
        <w:rPr>
          <w:noProof/>
          <w:lang w:val="es-ES"/>
        </w:rPr>
        <w:tab/>
      </w:r>
      <w:r w:rsidRPr="00F22672">
        <w:rPr>
          <w:bCs/>
          <w:lang w:val="es-ES_tradnl"/>
        </w:rPr>
        <w:t xml:space="preserve">Si ha tenido </w:t>
      </w:r>
      <w:r w:rsidRPr="00F22672">
        <w:rPr>
          <w:b/>
          <w:bCs/>
          <w:lang w:val="es-ES_tradnl"/>
        </w:rPr>
        <w:t>úlcera intestinal o diverticulitis</w:t>
      </w:r>
      <w:r w:rsidRPr="00F22672">
        <w:rPr>
          <w:bCs/>
          <w:lang w:val="es-ES_tradnl"/>
        </w:rPr>
        <w:t xml:space="preserve">, </w:t>
      </w:r>
      <w:r w:rsidRPr="00F22672">
        <w:rPr>
          <w:lang w:val="es-ES_tradnl"/>
        </w:rPr>
        <w:t>informe a su médico.</w:t>
      </w:r>
      <w:r w:rsidRPr="00F22672">
        <w:rPr>
          <w:lang w:val="es-ES"/>
        </w:rPr>
        <w:t xml:space="preserve"> </w:t>
      </w:r>
      <w:r w:rsidRPr="00F22672">
        <w:rPr>
          <w:lang w:val="es-ES_tradnl"/>
        </w:rPr>
        <w:t>Los síntomas incluirían</w:t>
      </w:r>
      <w:r w:rsidRPr="00F22672">
        <w:rPr>
          <w:lang w:val="es-ES"/>
        </w:rPr>
        <w:t xml:space="preserve"> </w:t>
      </w:r>
      <w:r w:rsidRPr="00F22672">
        <w:rPr>
          <w:lang w:val="es-ES_tradnl"/>
        </w:rPr>
        <w:t>dolor abdominal y cambios inexplicables en los hábitos intestinales con fiebre.</w:t>
      </w:r>
    </w:p>
    <w:p w14:paraId="2411BABE" w14:textId="77777777" w:rsidR="003E3A62" w:rsidRPr="00F22672" w:rsidRDefault="003E3A62" w:rsidP="003E3A62">
      <w:pPr>
        <w:rPr>
          <w:lang w:val="es-ES"/>
        </w:rPr>
      </w:pPr>
    </w:p>
    <w:p w14:paraId="5735C1CC" w14:textId="77777777" w:rsidR="003E3A62" w:rsidRPr="00F22672" w:rsidRDefault="003E3A62" w:rsidP="003E3A62">
      <w:pPr>
        <w:ind w:left="567" w:hanging="567"/>
        <w:rPr>
          <w:lang w:val="es-ES"/>
        </w:rPr>
      </w:pPr>
      <w:r w:rsidRPr="00F22672">
        <w:rPr>
          <w:lang w:val="es-ES"/>
        </w:rPr>
        <w:lastRenderedPageBreak/>
        <w:sym w:font="Symbol" w:char="F0B7"/>
      </w:r>
      <w:r w:rsidRPr="00F22672">
        <w:rPr>
          <w:noProof/>
          <w:lang w:val="es-ES"/>
        </w:rPr>
        <w:tab/>
      </w:r>
      <w:r w:rsidRPr="00F22672">
        <w:rPr>
          <w:bCs/>
          <w:lang w:val="es-ES_tradnl"/>
        </w:rPr>
        <w:t xml:space="preserve">Si tiene </w:t>
      </w:r>
      <w:r w:rsidRPr="00F22672">
        <w:rPr>
          <w:b/>
          <w:bCs/>
          <w:lang w:val="es-ES_tradnl"/>
        </w:rPr>
        <w:t>enfermedad hepática</w:t>
      </w:r>
      <w:r w:rsidRPr="00F22672">
        <w:rPr>
          <w:lang w:val="es-ES_tradnl"/>
        </w:rPr>
        <w:t>, informe a su médico.</w:t>
      </w:r>
      <w:r w:rsidRPr="00F22672">
        <w:rPr>
          <w:lang w:val="es-ES"/>
        </w:rPr>
        <w:t xml:space="preserve"> </w:t>
      </w:r>
      <w:r w:rsidRPr="00F22672">
        <w:rPr>
          <w:lang w:val="es-ES_tradnl"/>
        </w:rPr>
        <w:t>Antes de usar RoActemra, su médico le realizará un análisis de sangre para medir su función hepática.</w:t>
      </w:r>
    </w:p>
    <w:p w14:paraId="4458807B" w14:textId="77777777" w:rsidR="003E3A62" w:rsidRPr="00F22672" w:rsidRDefault="003E3A62" w:rsidP="003E3A62">
      <w:pPr>
        <w:ind w:left="567" w:hanging="567"/>
        <w:rPr>
          <w:lang w:val="es-ES"/>
        </w:rPr>
      </w:pPr>
    </w:p>
    <w:p w14:paraId="1245D291" w14:textId="77777777" w:rsidR="003E3A62" w:rsidRPr="00F22672" w:rsidRDefault="003E3A62" w:rsidP="006616E4">
      <w:pPr>
        <w:keepNext/>
        <w:keepLines/>
        <w:ind w:left="567" w:hanging="567"/>
        <w:rPr>
          <w:lang w:val="es-ES_tradnl"/>
        </w:rPr>
      </w:pPr>
      <w:r w:rsidRPr="00F22672">
        <w:rPr>
          <w:lang w:val="es-ES"/>
        </w:rPr>
        <w:sym w:font="Symbol" w:char="F0B7"/>
      </w:r>
      <w:r w:rsidRPr="00F22672">
        <w:rPr>
          <w:noProof/>
          <w:lang w:val="es-ES"/>
        </w:rPr>
        <w:tab/>
      </w:r>
      <w:r w:rsidRPr="00F22672">
        <w:rPr>
          <w:b/>
          <w:bCs/>
          <w:lang w:val="es-ES_tradnl"/>
        </w:rPr>
        <w:t xml:space="preserve">Si </w:t>
      </w:r>
      <w:r w:rsidR="00846DD6" w:rsidRPr="00F22672">
        <w:rPr>
          <w:b/>
          <w:bCs/>
          <w:lang w:val="es-ES_tradnl"/>
        </w:rPr>
        <w:t xml:space="preserve">algún paciente </w:t>
      </w:r>
      <w:r w:rsidRPr="00F22672">
        <w:rPr>
          <w:b/>
          <w:bCs/>
          <w:lang w:val="es-ES_tradnl"/>
        </w:rPr>
        <w:t xml:space="preserve">ha </w:t>
      </w:r>
      <w:r w:rsidR="00846DD6" w:rsidRPr="00F22672">
        <w:rPr>
          <w:b/>
          <w:bCs/>
          <w:lang w:val="es-ES_tradnl"/>
        </w:rPr>
        <w:t xml:space="preserve">sido </w:t>
      </w:r>
      <w:r w:rsidRPr="00F22672">
        <w:rPr>
          <w:b/>
          <w:bCs/>
          <w:lang w:val="es-ES_tradnl"/>
        </w:rPr>
        <w:t xml:space="preserve">vacunado recientemente, </w:t>
      </w:r>
      <w:r w:rsidRPr="00F22672">
        <w:rPr>
          <w:bCs/>
          <w:lang w:val="es-ES_tradnl"/>
        </w:rPr>
        <w:t>o tiene previsto vacunarse,</w:t>
      </w:r>
      <w:r w:rsidRPr="00F22672">
        <w:rPr>
          <w:lang w:val="es-ES_tradnl"/>
        </w:rPr>
        <w:t xml:space="preserve"> informe a su médico.</w:t>
      </w:r>
      <w:r w:rsidRPr="00F22672">
        <w:rPr>
          <w:lang w:val="es-ES"/>
        </w:rPr>
        <w:t xml:space="preserve"> Todos los pacientes deben estar al día con su calendario de vacunación antes de comenzar el tratamiento con RoActemra.</w:t>
      </w:r>
      <w:r w:rsidRPr="00F22672">
        <w:rPr>
          <w:lang w:val="es-ES_tradnl"/>
        </w:rPr>
        <w:t xml:space="preserve"> Determinados tipos de vacunas no deben administrarse mientras reciba RoActemra</w:t>
      </w:r>
      <w:r w:rsidR="00D179AF" w:rsidRPr="00F22672">
        <w:rPr>
          <w:lang w:val="es-ES_tradnl"/>
        </w:rPr>
        <w:t>.</w:t>
      </w:r>
    </w:p>
    <w:p w14:paraId="1BABBD06" w14:textId="77777777" w:rsidR="003E3A62" w:rsidRPr="00F22672" w:rsidRDefault="003E3A62" w:rsidP="003E3A62">
      <w:pPr>
        <w:ind w:left="567" w:hanging="567"/>
        <w:rPr>
          <w:lang w:val="es-ES_tradnl"/>
        </w:rPr>
      </w:pPr>
    </w:p>
    <w:p w14:paraId="267F596F"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cáncer</w:t>
      </w:r>
      <w:r w:rsidRPr="00F22672">
        <w:rPr>
          <w:lang w:val="es-ES_tradnl"/>
        </w:rPr>
        <w:t xml:space="preserve">, avise a su médico. Su médico tendrá que decidir si puede </w:t>
      </w:r>
      <w:r w:rsidR="00372726" w:rsidRPr="00F22672">
        <w:rPr>
          <w:lang w:val="es-ES_tradnl"/>
        </w:rPr>
        <w:t xml:space="preserve">seguir </w:t>
      </w:r>
      <w:r w:rsidRPr="00F22672">
        <w:rPr>
          <w:lang w:val="es-ES_tradnl"/>
        </w:rPr>
        <w:t>recibi</w:t>
      </w:r>
      <w:r w:rsidR="00372726" w:rsidRPr="00F22672">
        <w:rPr>
          <w:lang w:val="es-ES_tradnl"/>
        </w:rPr>
        <w:t>endo</w:t>
      </w:r>
      <w:r w:rsidRPr="00F22672">
        <w:rPr>
          <w:lang w:val="es-ES_tradnl"/>
        </w:rPr>
        <w:t xml:space="preserve"> tratamiento con RoActemra.</w:t>
      </w:r>
    </w:p>
    <w:p w14:paraId="7E96D162" w14:textId="77777777" w:rsidR="003E3A62" w:rsidRPr="00F22672" w:rsidRDefault="003E3A62" w:rsidP="003E3A62">
      <w:pPr>
        <w:ind w:left="567" w:hanging="567"/>
        <w:rPr>
          <w:lang w:val="es-ES_tradnl"/>
        </w:rPr>
      </w:pPr>
    </w:p>
    <w:p w14:paraId="7AEBA98A"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factores de riesgo cardiovascular</w:t>
      </w:r>
      <w:r w:rsidRPr="00F22672">
        <w:rPr>
          <w:lang w:val="es-ES_tradnl"/>
        </w:rPr>
        <w:t>, tales como aumento de la presión arterial, y valores altos de colesterol, informe a su médico. Estos factores necesitan ser controlados mientras recibe tratamiento con RoActemra.</w:t>
      </w:r>
    </w:p>
    <w:p w14:paraId="3DD40699" w14:textId="77777777" w:rsidR="003E3A62" w:rsidRPr="00F22672" w:rsidRDefault="003E3A62" w:rsidP="003E3A62">
      <w:pPr>
        <w:ind w:left="567" w:hanging="567"/>
        <w:rPr>
          <w:lang w:val="es-ES_tradnl"/>
        </w:rPr>
      </w:pPr>
    </w:p>
    <w:p w14:paraId="0A0DF1FA"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 xml:space="preserve">problemas de </w:t>
      </w:r>
      <w:r w:rsidR="00372726" w:rsidRPr="00F22672">
        <w:rPr>
          <w:b/>
          <w:lang w:val="es-ES_tradnl"/>
        </w:rPr>
        <w:t xml:space="preserve">riñón de </w:t>
      </w:r>
      <w:r w:rsidRPr="00F22672">
        <w:rPr>
          <w:b/>
          <w:lang w:val="es-ES_tradnl"/>
        </w:rPr>
        <w:t>moderados a graves</w:t>
      </w:r>
      <w:r w:rsidRPr="00F22672">
        <w:rPr>
          <w:lang w:val="es-ES_tradnl"/>
        </w:rPr>
        <w:t>, su médico le vigilará.</w:t>
      </w:r>
    </w:p>
    <w:p w14:paraId="5408C7DB" w14:textId="77777777" w:rsidR="003E3A62" w:rsidRPr="00F22672" w:rsidRDefault="003E3A62" w:rsidP="003E3A62">
      <w:pPr>
        <w:rPr>
          <w:lang w:val="es-ES_tradnl"/>
        </w:rPr>
      </w:pPr>
    </w:p>
    <w:p w14:paraId="6FE7F3B3"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 xml:space="preserve">Si tiene </w:t>
      </w:r>
      <w:r w:rsidRPr="00F22672">
        <w:rPr>
          <w:b/>
          <w:lang w:val="es-ES_tradnl"/>
        </w:rPr>
        <w:t>dolores de cabeza persistentes.</w:t>
      </w:r>
    </w:p>
    <w:p w14:paraId="307CFD62" w14:textId="77777777" w:rsidR="003E3A62" w:rsidRPr="00F22672" w:rsidRDefault="003E3A62" w:rsidP="003E3A62">
      <w:pPr>
        <w:rPr>
          <w:lang w:val="es-ES_tradnl"/>
        </w:rPr>
      </w:pPr>
    </w:p>
    <w:p w14:paraId="46116D0C" w14:textId="77777777" w:rsidR="003E3A62" w:rsidRPr="00F22672" w:rsidRDefault="003E3A62" w:rsidP="003E3A62">
      <w:pPr>
        <w:rPr>
          <w:lang w:val="es-ES"/>
        </w:rPr>
      </w:pPr>
      <w:r w:rsidRPr="00F22672">
        <w:rPr>
          <w:lang w:val="es-ES_tradnl"/>
        </w:rPr>
        <w:t>Su médico le realizará análisis de sangre antes de que reciba RoActemra</w:t>
      </w:r>
      <w:r w:rsidR="00463AB9" w:rsidRPr="00F22672">
        <w:rPr>
          <w:lang w:val="es-ES_tradnl"/>
        </w:rPr>
        <w:t>,</w:t>
      </w:r>
      <w:r w:rsidRPr="00F22672">
        <w:rPr>
          <w:lang w:val="es-ES_tradnl"/>
        </w:rPr>
        <w:t xml:space="preserve"> para determinar si tiene un recuento bajo de glóbulos blancos sanguíneos, un recuento bajo de plaquetas o elevación de las enzimas hepáticas.</w:t>
      </w:r>
    </w:p>
    <w:p w14:paraId="25913409" w14:textId="77777777" w:rsidR="003E3A62" w:rsidRPr="00F22672" w:rsidRDefault="003E3A62" w:rsidP="003E3A62">
      <w:pPr>
        <w:keepLines/>
        <w:rPr>
          <w:b/>
          <w:bCs/>
          <w:lang w:val="es-ES"/>
        </w:rPr>
      </w:pPr>
    </w:p>
    <w:p w14:paraId="4E860C78" w14:textId="77777777" w:rsidR="003E3A62" w:rsidRPr="006868F5" w:rsidRDefault="003E3A62" w:rsidP="003E3A62">
      <w:pPr>
        <w:keepNext/>
        <w:keepLines/>
        <w:rPr>
          <w:b/>
          <w:bCs/>
          <w:noProof/>
          <w:szCs w:val="22"/>
          <w:lang w:val="es-ES"/>
        </w:rPr>
      </w:pPr>
      <w:r w:rsidRPr="006868F5">
        <w:rPr>
          <w:b/>
          <w:bCs/>
          <w:noProof/>
          <w:szCs w:val="22"/>
          <w:lang w:val="es-ES"/>
        </w:rPr>
        <w:t>Niños y adolescentes</w:t>
      </w:r>
    </w:p>
    <w:p w14:paraId="07993136" w14:textId="77777777" w:rsidR="00DD19FD" w:rsidRDefault="003E3A62" w:rsidP="003E3A62">
      <w:pPr>
        <w:rPr>
          <w:lang w:val="es-ES_tradnl"/>
        </w:rPr>
      </w:pPr>
      <w:r w:rsidRPr="00F22672">
        <w:rPr>
          <w:lang w:val="es-ES_tradnl"/>
        </w:rPr>
        <w:t xml:space="preserve">No se recomienda </w:t>
      </w:r>
      <w:r w:rsidR="00C10795" w:rsidRPr="00F22672">
        <w:rPr>
          <w:lang w:val="es-ES_tradnl"/>
        </w:rPr>
        <w:t>la inyección</w:t>
      </w:r>
      <w:r w:rsidRPr="00F22672">
        <w:rPr>
          <w:lang w:val="es-ES_tradnl"/>
        </w:rPr>
        <w:t xml:space="preserve"> de RoActemra subcutáneo en niños menores de </w:t>
      </w:r>
      <w:r w:rsidR="00DD19FD">
        <w:rPr>
          <w:lang w:val="es-ES_tradnl"/>
        </w:rPr>
        <w:t>1 año de edad</w:t>
      </w:r>
      <w:r w:rsidR="00716776">
        <w:rPr>
          <w:lang w:val="es-ES_tradnl"/>
        </w:rPr>
        <w:t>.</w:t>
      </w:r>
    </w:p>
    <w:p w14:paraId="1B01A163" w14:textId="77777777" w:rsidR="00716776" w:rsidRDefault="00716776" w:rsidP="003E3A62">
      <w:pPr>
        <w:rPr>
          <w:lang w:val="es-ES_tradnl"/>
        </w:rPr>
      </w:pPr>
      <w:r>
        <w:rPr>
          <w:lang w:val="es-ES_tradnl"/>
        </w:rPr>
        <w:t>RoActemra no debe administrarse a niños con AIJs con un peso inferior a 10 kg.</w:t>
      </w:r>
    </w:p>
    <w:p w14:paraId="2899125B" w14:textId="77777777" w:rsidR="00716776" w:rsidRDefault="00716776" w:rsidP="003E3A62">
      <w:pPr>
        <w:rPr>
          <w:lang w:val="es-ES_tradnl"/>
        </w:rPr>
      </w:pPr>
    </w:p>
    <w:p w14:paraId="1361FA2A" w14:textId="77777777" w:rsidR="003E3A62" w:rsidRPr="00F22672" w:rsidRDefault="00DD19FD" w:rsidP="003E3A62">
      <w:pPr>
        <w:rPr>
          <w:lang w:val="es-ES_tradnl"/>
        </w:rPr>
      </w:pPr>
      <w:r w:rsidRPr="00CD42AF">
        <w:rPr>
          <w:lang w:val="es-ES"/>
        </w:rPr>
        <w:t xml:space="preserve">Si un niño tiene un historial de </w:t>
      </w:r>
      <w:r w:rsidRPr="000D2A86">
        <w:rPr>
          <w:b/>
          <w:i/>
          <w:lang w:val="es-ES"/>
        </w:rPr>
        <w:t>síndrome de activación de macrófagos</w:t>
      </w:r>
      <w:r w:rsidRPr="00CD42AF">
        <w:rPr>
          <w:lang w:val="es-ES"/>
        </w:rPr>
        <w:t xml:space="preserve"> (activación y proliferación incontrolada de células sanguíneas específicas), informe a su médico. Su médico deberá decidir si aún se le puede administrar RoActemra</w:t>
      </w:r>
      <w:r w:rsidR="003E3A62" w:rsidRPr="00F22672">
        <w:rPr>
          <w:lang w:val="es-ES_tradnl"/>
        </w:rPr>
        <w:t>.</w:t>
      </w:r>
    </w:p>
    <w:p w14:paraId="30C6CD37" w14:textId="77777777" w:rsidR="003E3A62" w:rsidRPr="00F22672" w:rsidRDefault="003E3A62" w:rsidP="003E3A62">
      <w:pPr>
        <w:rPr>
          <w:lang w:val="es-ES"/>
        </w:rPr>
      </w:pPr>
    </w:p>
    <w:p w14:paraId="55BB740C" w14:textId="77777777" w:rsidR="003E3A62" w:rsidRPr="00D75946" w:rsidRDefault="00827BF0" w:rsidP="00097C58">
      <w:pPr>
        <w:keepNext/>
        <w:keepLines/>
        <w:rPr>
          <w:b/>
          <w:bCs/>
          <w:szCs w:val="22"/>
          <w:lang w:val="es-ES_tradnl"/>
        </w:rPr>
      </w:pPr>
      <w:r w:rsidRPr="006868F5">
        <w:rPr>
          <w:b/>
          <w:szCs w:val="22"/>
          <w:lang w:val="es-ES"/>
        </w:rPr>
        <w:t>O</w:t>
      </w:r>
      <w:r w:rsidR="003E3A62" w:rsidRPr="006868F5">
        <w:rPr>
          <w:b/>
          <w:szCs w:val="22"/>
          <w:lang w:val="es-ES"/>
        </w:rPr>
        <w:t>tros medicamentos</w:t>
      </w:r>
      <w:r w:rsidRPr="006868F5">
        <w:rPr>
          <w:b/>
          <w:szCs w:val="22"/>
          <w:lang w:val="es-ES"/>
        </w:rPr>
        <w:t xml:space="preserve"> y RoActemra</w:t>
      </w:r>
    </w:p>
    <w:p w14:paraId="135FCBA0" w14:textId="77777777" w:rsidR="003E3A62" w:rsidRDefault="003E3A62" w:rsidP="00097C58">
      <w:pPr>
        <w:keepNext/>
        <w:keepLines/>
        <w:rPr>
          <w:lang w:val="es-ES"/>
        </w:rPr>
      </w:pPr>
      <w:r w:rsidRPr="00F22672">
        <w:rPr>
          <w:lang w:val="es-ES_tradnl"/>
        </w:rPr>
        <w:t xml:space="preserve">Informe a su médico si está </w:t>
      </w:r>
      <w:r w:rsidR="00372726" w:rsidRPr="00F22672">
        <w:rPr>
          <w:lang w:val="es-ES_tradnl"/>
        </w:rPr>
        <w:t xml:space="preserve">tomando </w:t>
      </w:r>
      <w:r w:rsidR="00846DD6" w:rsidRPr="00F22672">
        <w:rPr>
          <w:lang w:val="es-ES_tradnl"/>
        </w:rPr>
        <w:t>cualquier otro medicamento</w:t>
      </w:r>
      <w:r w:rsidRPr="00F22672">
        <w:rPr>
          <w:lang w:val="es-ES_tradnl"/>
        </w:rPr>
        <w:t xml:space="preserve">, </w:t>
      </w:r>
      <w:r w:rsidR="00846DD6" w:rsidRPr="00F22672">
        <w:rPr>
          <w:lang w:val="es-ES_tradnl"/>
        </w:rPr>
        <w:t xml:space="preserve">o </w:t>
      </w:r>
      <w:r w:rsidRPr="00F22672">
        <w:rPr>
          <w:lang w:val="es-ES_tradnl"/>
        </w:rPr>
        <w:t xml:space="preserve">ha </w:t>
      </w:r>
      <w:r w:rsidR="00372726" w:rsidRPr="00F22672">
        <w:rPr>
          <w:lang w:val="es-ES_tradnl"/>
        </w:rPr>
        <w:t>tomado</w:t>
      </w:r>
      <w:r w:rsidRPr="00F22672">
        <w:rPr>
          <w:lang w:val="es-ES_tradnl"/>
        </w:rPr>
        <w:t xml:space="preserve"> recientemente</w:t>
      </w:r>
      <w:r w:rsidR="00A801E5" w:rsidRPr="00F22672">
        <w:rPr>
          <w:lang w:val="es-ES_tradnl"/>
        </w:rPr>
        <w:t xml:space="preserve"> </w:t>
      </w:r>
      <w:r w:rsidR="00372726" w:rsidRPr="00F22672">
        <w:rPr>
          <w:lang w:val="es-ES_tradnl"/>
        </w:rPr>
        <w:t>alguno</w:t>
      </w:r>
      <w:r w:rsidRPr="00F22672">
        <w:rPr>
          <w:lang w:val="es-ES_tradnl"/>
        </w:rPr>
        <w:t>.</w:t>
      </w:r>
      <w:r w:rsidRPr="00F22672">
        <w:rPr>
          <w:lang w:val="es-ES"/>
        </w:rPr>
        <w:t xml:space="preserve"> </w:t>
      </w:r>
      <w:r w:rsidRPr="00F22672">
        <w:rPr>
          <w:lang w:val="es-ES_tradnl"/>
        </w:rPr>
        <w:t>Esto se debe a que RoActemra puede afectar a la forma en la que actúan algunos medicamentos</w:t>
      </w:r>
      <w:r w:rsidRPr="00F22672">
        <w:rPr>
          <w:lang w:val="es-ES"/>
        </w:rPr>
        <w:t xml:space="preserve">, y puede necesitarse un ajuste de dosis. </w:t>
      </w:r>
      <w:r w:rsidR="00846DD6" w:rsidRPr="00F22672">
        <w:rPr>
          <w:b/>
          <w:lang w:val="es-ES"/>
        </w:rPr>
        <w:t xml:space="preserve">Informe </w:t>
      </w:r>
      <w:r w:rsidRPr="00F22672">
        <w:rPr>
          <w:b/>
          <w:lang w:val="es-ES"/>
        </w:rPr>
        <w:t>a su médico</w:t>
      </w:r>
      <w:r w:rsidRPr="00F22672">
        <w:rPr>
          <w:lang w:val="es-ES"/>
        </w:rPr>
        <w:t xml:space="preserve"> si </w:t>
      </w:r>
      <w:r w:rsidR="00540B95">
        <w:rPr>
          <w:lang w:val="es-ES"/>
        </w:rPr>
        <w:t>ha</w:t>
      </w:r>
      <w:r w:rsidR="0006341F">
        <w:rPr>
          <w:lang w:val="es-ES"/>
        </w:rPr>
        <w:t xml:space="preserve"> </w:t>
      </w:r>
      <w:r w:rsidRPr="00F22672">
        <w:rPr>
          <w:lang w:val="es-ES"/>
        </w:rPr>
        <w:t>utilizado</w:t>
      </w:r>
      <w:r w:rsidR="0006341F">
        <w:rPr>
          <w:lang w:val="es-ES"/>
        </w:rPr>
        <w:t xml:space="preserve"> </w:t>
      </w:r>
      <w:r w:rsidR="00540B95">
        <w:rPr>
          <w:lang w:val="es-ES"/>
        </w:rPr>
        <w:t xml:space="preserve">recientemente </w:t>
      </w:r>
      <w:r w:rsidRPr="00F22672">
        <w:rPr>
          <w:lang w:val="es-ES"/>
        </w:rPr>
        <w:t>medicamentos que contienen cualquiera de estas sustancias activas:</w:t>
      </w:r>
    </w:p>
    <w:p w14:paraId="5D1375BE" w14:textId="77777777" w:rsidR="00441A06" w:rsidRPr="00F22672" w:rsidRDefault="000F7E43" w:rsidP="000F7E43">
      <w:pPr>
        <w:keepNext/>
        <w:keepLines/>
        <w:rPr>
          <w:lang w:val="es-ES"/>
        </w:rPr>
      </w:pPr>
      <w:r w:rsidRPr="00F22672">
        <w:rPr>
          <w:lang w:val="es-ES_tradnl"/>
        </w:rPr>
        <w:sym w:font="Symbol" w:char="F0B7"/>
      </w:r>
      <w:r w:rsidRPr="00F22672">
        <w:rPr>
          <w:lang w:val="es-ES_tradnl"/>
        </w:rPr>
        <w:tab/>
      </w:r>
      <w:r w:rsidR="00441A06">
        <w:rPr>
          <w:lang w:val="es-ES"/>
        </w:rPr>
        <w:t>metilprednisolona, dexametasona, usados para reducir la inflamación</w:t>
      </w:r>
    </w:p>
    <w:p w14:paraId="4E98D1D7" w14:textId="77777777" w:rsidR="003E3A62" w:rsidRPr="00F22672" w:rsidRDefault="003E3A62" w:rsidP="003E3A62">
      <w:pPr>
        <w:ind w:left="567" w:hanging="567"/>
        <w:rPr>
          <w:lang w:val="es-ES_tradnl"/>
        </w:rPr>
      </w:pPr>
      <w:r w:rsidRPr="00F22672">
        <w:rPr>
          <w:lang w:val="es-ES_tradnl"/>
        </w:rPr>
        <w:sym w:font="Symbol" w:char="F0B7"/>
      </w:r>
      <w:r w:rsidRPr="00F22672">
        <w:rPr>
          <w:lang w:val="es-ES_tradnl"/>
        </w:rPr>
        <w:tab/>
      </w:r>
      <w:r w:rsidR="00DD19FD">
        <w:rPr>
          <w:lang w:val="es-ES_tradnl"/>
        </w:rPr>
        <w:t xml:space="preserve">simvastatina o </w:t>
      </w:r>
      <w:r w:rsidRPr="00F22672">
        <w:rPr>
          <w:lang w:val="es-ES_tradnl"/>
        </w:rPr>
        <w:t>atorvastatina, utilizada para reducir los niveles de colesterol</w:t>
      </w:r>
    </w:p>
    <w:p w14:paraId="57B6FA73" w14:textId="77777777" w:rsidR="003E3A62" w:rsidRPr="00F22672" w:rsidRDefault="003E3A62" w:rsidP="003E3A62">
      <w:pPr>
        <w:ind w:left="567" w:hanging="567"/>
        <w:rPr>
          <w:lang w:val="es-ES_tradnl"/>
        </w:rPr>
      </w:pPr>
      <w:r w:rsidRPr="00F22672">
        <w:rPr>
          <w:lang w:val="es-ES_tradnl"/>
        </w:rPr>
        <w:sym w:font="Symbol" w:char="F0B7"/>
      </w:r>
      <w:r w:rsidRPr="00F22672">
        <w:rPr>
          <w:lang w:val="es-ES_tradnl"/>
        </w:rPr>
        <w:tab/>
        <w:t>antagonistas de los canales del calcio, como el amlodipino utilizado en el tratamiento del aumento de la presión arterial</w:t>
      </w:r>
    </w:p>
    <w:p w14:paraId="21B2E359" w14:textId="77777777" w:rsidR="003E3A62" w:rsidRPr="00F22672" w:rsidRDefault="003E3A62" w:rsidP="003E3A62">
      <w:pPr>
        <w:ind w:left="567" w:hanging="567"/>
        <w:rPr>
          <w:lang w:val="es-ES_tradnl"/>
        </w:rPr>
      </w:pPr>
      <w:r w:rsidRPr="00F22672">
        <w:rPr>
          <w:lang w:val="es-ES_tradnl"/>
        </w:rPr>
        <w:sym w:font="Symbol" w:char="F0B7"/>
      </w:r>
      <w:r w:rsidRPr="00F22672">
        <w:rPr>
          <w:lang w:val="es-ES_tradnl"/>
        </w:rPr>
        <w:tab/>
      </w:r>
      <w:proofErr w:type="gramStart"/>
      <w:r w:rsidRPr="00F22672">
        <w:rPr>
          <w:lang w:val="es-ES_tradnl"/>
        </w:rPr>
        <w:t>teofilina utilizado</w:t>
      </w:r>
      <w:proofErr w:type="gramEnd"/>
      <w:r w:rsidRPr="00F22672">
        <w:rPr>
          <w:lang w:val="es-ES_tradnl"/>
        </w:rPr>
        <w:t xml:space="preserve"> en el tratamiento del asma</w:t>
      </w:r>
    </w:p>
    <w:p w14:paraId="66C89171" w14:textId="77777777" w:rsidR="003E3A62" w:rsidRPr="00EF2448" w:rsidRDefault="003E3A62" w:rsidP="003E3A62">
      <w:pPr>
        <w:ind w:left="567" w:hanging="567"/>
        <w:rPr>
          <w:lang w:val="pt-BR"/>
        </w:rPr>
      </w:pPr>
      <w:r w:rsidRPr="00F22672">
        <w:rPr>
          <w:lang w:val="es-ES_tradnl"/>
        </w:rPr>
        <w:sym w:font="Symbol" w:char="F0B7"/>
      </w:r>
      <w:r w:rsidRPr="00EF2448">
        <w:rPr>
          <w:lang w:val="pt-BR"/>
        </w:rPr>
        <w:tab/>
        <w:t xml:space="preserve">warfarina </w:t>
      </w:r>
      <w:r w:rsidR="00F87B21" w:rsidRPr="00EF2448">
        <w:rPr>
          <w:lang w:val="pt-BR"/>
        </w:rPr>
        <w:t>o fenprocumon</w:t>
      </w:r>
      <w:r w:rsidR="00A813E6" w:rsidRPr="00EF2448">
        <w:rPr>
          <w:lang w:val="pt-BR"/>
        </w:rPr>
        <w:t>a</w:t>
      </w:r>
      <w:r w:rsidR="00F87B21" w:rsidRPr="00EF2448">
        <w:rPr>
          <w:lang w:val="pt-BR"/>
        </w:rPr>
        <w:t xml:space="preserve">, </w:t>
      </w:r>
      <w:r w:rsidRPr="00EF2448">
        <w:rPr>
          <w:lang w:val="pt-BR"/>
        </w:rPr>
        <w:t>utilizado</w:t>
      </w:r>
      <w:r w:rsidR="00F87B21" w:rsidRPr="00EF2448">
        <w:rPr>
          <w:lang w:val="pt-BR"/>
        </w:rPr>
        <w:t>s</w:t>
      </w:r>
      <w:r w:rsidRPr="00EF2448">
        <w:rPr>
          <w:lang w:val="pt-BR"/>
        </w:rPr>
        <w:t xml:space="preserve"> como anticoagulante</w:t>
      </w:r>
      <w:r w:rsidR="00F87B21" w:rsidRPr="00EF2448">
        <w:rPr>
          <w:lang w:val="pt-BR"/>
        </w:rPr>
        <w:t>s</w:t>
      </w:r>
    </w:p>
    <w:p w14:paraId="37807A29" w14:textId="77777777" w:rsidR="003E3A62" w:rsidRPr="00F22672" w:rsidRDefault="003E3A62" w:rsidP="003E3A62">
      <w:pPr>
        <w:ind w:left="567" w:hanging="567"/>
        <w:rPr>
          <w:lang w:val="es-ES"/>
        </w:rPr>
      </w:pPr>
      <w:r w:rsidRPr="00F22672">
        <w:rPr>
          <w:lang w:val="es-ES"/>
        </w:rPr>
        <w:sym w:font="Symbol" w:char="F0B7"/>
      </w:r>
      <w:r w:rsidRPr="00F22672">
        <w:rPr>
          <w:lang w:val="es-ES"/>
        </w:rPr>
        <w:tab/>
        <w:t>fenitoina utilizado en el tratamiento de las convulsiones</w:t>
      </w:r>
    </w:p>
    <w:p w14:paraId="56DB5621" w14:textId="77777777" w:rsidR="003E3A62" w:rsidRPr="00F22672" w:rsidRDefault="003E3A62" w:rsidP="003E3A62">
      <w:pPr>
        <w:ind w:left="567" w:hanging="567"/>
        <w:rPr>
          <w:lang w:val="es-ES"/>
        </w:rPr>
      </w:pPr>
      <w:r w:rsidRPr="00F22672">
        <w:rPr>
          <w:lang w:val="es-ES"/>
        </w:rPr>
        <w:sym w:font="Symbol" w:char="F0B7"/>
      </w:r>
      <w:r w:rsidRPr="00F22672">
        <w:rPr>
          <w:lang w:val="es-ES"/>
        </w:rPr>
        <w:tab/>
      </w:r>
      <w:proofErr w:type="gramStart"/>
      <w:r w:rsidRPr="00F22672">
        <w:rPr>
          <w:lang w:val="es-ES"/>
        </w:rPr>
        <w:t>ciclos</w:t>
      </w:r>
      <w:r w:rsidR="00181CE9" w:rsidRPr="00F22672">
        <w:rPr>
          <w:lang w:val="es-ES"/>
        </w:rPr>
        <w:t>p</w:t>
      </w:r>
      <w:r w:rsidRPr="00F22672">
        <w:rPr>
          <w:lang w:val="es-ES"/>
        </w:rPr>
        <w:t>orina utilizado</w:t>
      </w:r>
      <w:proofErr w:type="gramEnd"/>
      <w:r w:rsidRPr="00F22672">
        <w:rPr>
          <w:lang w:val="es-ES"/>
        </w:rPr>
        <w:t xml:space="preserve"> en los trasplantes de órganos como inmunosupresor</w:t>
      </w:r>
    </w:p>
    <w:p w14:paraId="378404A8" w14:textId="77777777" w:rsidR="003E3A62" w:rsidRPr="00F22672" w:rsidRDefault="003E3A62" w:rsidP="003E3A62">
      <w:pPr>
        <w:ind w:left="567" w:hanging="567"/>
        <w:rPr>
          <w:lang w:val="es-ES"/>
        </w:rPr>
      </w:pPr>
      <w:r w:rsidRPr="00F22672">
        <w:rPr>
          <w:lang w:val="es-ES"/>
        </w:rPr>
        <w:sym w:font="Symbol" w:char="F0B7"/>
      </w:r>
      <w:r w:rsidRPr="00F22672">
        <w:rPr>
          <w:lang w:val="es-ES"/>
        </w:rPr>
        <w:tab/>
      </w:r>
      <w:r w:rsidR="003B120A" w:rsidRPr="00F22672">
        <w:rPr>
          <w:lang w:val="es-ES"/>
        </w:rPr>
        <w:t>b</w:t>
      </w:r>
      <w:r w:rsidRPr="00F22672">
        <w:rPr>
          <w:lang w:val="es-ES"/>
        </w:rPr>
        <w:t>enzodiazepinas, como el temazepan utilizado para calmar la ansiedad</w:t>
      </w:r>
      <w:r w:rsidR="00D179AF" w:rsidRPr="00F22672">
        <w:rPr>
          <w:lang w:val="es-ES"/>
        </w:rPr>
        <w:t>.</w:t>
      </w:r>
    </w:p>
    <w:p w14:paraId="5EB3849C" w14:textId="77777777" w:rsidR="003E3A62" w:rsidRPr="00F22672" w:rsidRDefault="003E3A62" w:rsidP="003E3A62">
      <w:pPr>
        <w:rPr>
          <w:lang w:val="es-ES"/>
        </w:rPr>
      </w:pPr>
    </w:p>
    <w:p w14:paraId="27F33DDF" w14:textId="77777777" w:rsidR="003E3A62" w:rsidRPr="00F22672" w:rsidRDefault="003E3A62" w:rsidP="003E3A62">
      <w:pPr>
        <w:rPr>
          <w:lang w:val="es-ES"/>
        </w:rPr>
      </w:pPr>
      <w:r w:rsidRPr="00F22672">
        <w:rPr>
          <w:bCs/>
          <w:lang w:val="es-ES_tradnl"/>
        </w:rPr>
        <w:t xml:space="preserve">Debido a que no hay experiencia clínica </w:t>
      </w:r>
      <w:r w:rsidRPr="00F22672">
        <w:rPr>
          <w:lang w:val="es-ES_tradnl"/>
        </w:rPr>
        <w:t>no se recomienda el uso de RoActemra con otros medicamentos biológicos empleados para tratar la AR</w:t>
      </w:r>
      <w:r w:rsidR="00A5312D">
        <w:rPr>
          <w:lang w:val="es-ES_tradnl"/>
        </w:rPr>
        <w:t>,</w:t>
      </w:r>
      <w:r w:rsidR="00DD19FD" w:rsidRPr="00DD19FD">
        <w:rPr>
          <w:lang w:val="es-ES_tradnl"/>
        </w:rPr>
        <w:t xml:space="preserve"> </w:t>
      </w:r>
      <w:r w:rsidR="00DD19FD">
        <w:rPr>
          <w:lang w:val="es-ES_tradnl"/>
        </w:rPr>
        <w:t>AIJs</w:t>
      </w:r>
      <w:r w:rsidR="001F2E5A">
        <w:rPr>
          <w:lang w:val="es-ES_tradnl"/>
        </w:rPr>
        <w:t>,</w:t>
      </w:r>
      <w:r w:rsidR="00A5312D">
        <w:rPr>
          <w:lang w:val="es-ES_tradnl"/>
        </w:rPr>
        <w:t xml:space="preserve"> AIJp</w:t>
      </w:r>
      <w:r w:rsidR="00FA79ED">
        <w:rPr>
          <w:lang w:val="es-ES_tradnl"/>
        </w:rPr>
        <w:t xml:space="preserve"> o ACG</w:t>
      </w:r>
      <w:r w:rsidRPr="00F22672">
        <w:rPr>
          <w:lang w:val="es-ES_tradnl"/>
        </w:rPr>
        <w:t>.</w:t>
      </w:r>
    </w:p>
    <w:p w14:paraId="39996EC0" w14:textId="77777777" w:rsidR="003E3A62" w:rsidRPr="00F22672" w:rsidRDefault="003E3A62" w:rsidP="003E3A62">
      <w:pPr>
        <w:rPr>
          <w:lang w:val="es-ES"/>
        </w:rPr>
      </w:pPr>
    </w:p>
    <w:p w14:paraId="4E3A9451" w14:textId="77777777" w:rsidR="003E3A62" w:rsidRPr="006868F5" w:rsidRDefault="003E3A62" w:rsidP="006868F5">
      <w:pPr>
        <w:keepNext/>
        <w:keepLines/>
        <w:ind w:left="561" w:hanging="561"/>
        <w:rPr>
          <w:b/>
          <w:szCs w:val="22"/>
          <w:lang w:val="es-ES"/>
        </w:rPr>
      </w:pPr>
      <w:r w:rsidRPr="006868F5">
        <w:rPr>
          <w:b/>
          <w:szCs w:val="22"/>
          <w:lang w:val="es-ES"/>
        </w:rPr>
        <w:t>Embarazo</w:t>
      </w:r>
      <w:r w:rsidR="00846DD6" w:rsidRPr="006868F5">
        <w:rPr>
          <w:b/>
          <w:szCs w:val="22"/>
          <w:lang w:val="es-ES"/>
        </w:rPr>
        <w:t>,</w:t>
      </w:r>
      <w:r w:rsidRPr="006868F5">
        <w:rPr>
          <w:b/>
          <w:szCs w:val="22"/>
          <w:lang w:val="es-ES"/>
        </w:rPr>
        <w:t xml:space="preserve"> lactancia</w:t>
      </w:r>
      <w:r w:rsidR="00FA79ED" w:rsidRPr="006868F5">
        <w:rPr>
          <w:b/>
          <w:szCs w:val="22"/>
          <w:lang w:val="es-ES"/>
        </w:rPr>
        <w:t xml:space="preserve"> y fertilidad</w:t>
      </w:r>
    </w:p>
    <w:p w14:paraId="3858B5BA" w14:textId="77777777" w:rsidR="00846DD6" w:rsidRPr="00F22672" w:rsidRDefault="00846DD6" w:rsidP="003E3A62">
      <w:pPr>
        <w:keepNext/>
        <w:rPr>
          <w:b/>
          <w:bCs/>
          <w:sz w:val="24"/>
          <w:szCs w:val="24"/>
          <w:lang w:val="es-ES_tradnl"/>
        </w:rPr>
      </w:pPr>
    </w:p>
    <w:p w14:paraId="3E40734B" w14:textId="77777777" w:rsidR="003E3A62" w:rsidRPr="00F22672" w:rsidRDefault="003E3A62" w:rsidP="003E3A62">
      <w:pPr>
        <w:rPr>
          <w:lang w:val="es-ES_tradnl"/>
        </w:rPr>
      </w:pPr>
      <w:r w:rsidRPr="006868F5">
        <w:rPr>
          <w:b/>
          <w:szCs w:val="22"/>
          <w:lang w:val="es-ES"/>
        </w:rPr>
        <w:t>RoActemra no se debe utilizar durante el embarazo,</w:t>
      </w:r>
      <w:r w:rsidRPr="00F22672">
        <w:rPr>
          <w:lang w:val="es-ES_tradnl"/>
        </w:rPr>
        <w:t xml:space="preserve"> salvo que sea claramente necesario. Hable con su médico si está embarazada, cree que pudiera estarlo, o tiene previsto quedarse embarazada.</w:t>
      </w:r>
    </w:p>
    <w:p w14:paraId="4993CC1A" w14:textId="77777777" w:rsidR="003E3A62" w:rsidRPr="00F22672" w:rsidRDefault="003E3A62" w:rsidP="003E3A62">
      <w:pPr>
        <w:rPr>
          <w:lang w:val="es-ES_tradnl"/>
        </w:rPr>
      </w:pPr>
    </w:p>
    <w:p w14:paraId="4609E2B4" w14:textId="77777777" w:rsidR="003E3A62" w:rsidRPr="00F22672" w:rsidRDefault="003E3A62" w:rsidP="003E3A62">
      <w:pPr>
        <w:rPr>
          <w:lang w:val="es-ES_tradnl"/>
        </w:rPr>
      </w:pPr>
      <w:r w:rsidRPr="006868F5">
        <w:rPr>
          <w:b/>
          <w:szCs w:val="22"/>
          <w:lang w:val="es-ES"/>
        </w:rPr>
        <w:t>Las mujeres en edad fértil deben</w:t>
      </w:r>
      <w:r w:rsidRPr="00F22672">
        <w:rPr>
          <w:lang w:val="es-ES_tradnl"/>
        </w:rPr>
        <w:t xml:space="preserve"> utilizar métodos anticonceptivos eficaces durante y hasta 3 meses después de finalizar el tratamiento.</w:t>
      </w:r>
    </w:p>
    <w:p w14:paraId="044AE464" w14:textId="77777777" w:rsidR="003E3A62" w:rsidRPr="00F22672" w:rsidRDefault="003E3A62" w:rsidP="003E3A62">
      <w:pPr>
        <w:rPr>
          <w:lang w:val="es-ES_tradnl"/>
        </w:rPr>
      </w:pPr>
    </w:p>
    <w:p w14:paraId="4828915E" w14:textId="77777777" w:rsidR="003E3A62" w:rsidRPr="00F22672" w:rsidRDefault="00372726" w:rsidP="003E3A62">
      <w:pPr>
        <w:rPr>
          <w:lang w:val="es-ES"/>
        </w:rPr>
      </w:pPr>
      <w:r w:rsidRPr="006868F5">
        <w:rPr>
          <w:b/>
          <w:szCs w:val="22"/>
          <w:lang w:val="es-ES"/>
        </w:rPr>
        <w:t>Interrumpa la lactancia si comienza el tratamiento con RoActemra</w:t>
      </w:r>
      <w:r w:rsidRPr="00F22672">
        <w:rPr>
          <w:lang w:val="es-ES_tradnl"/>
        </w:rPr>
        <w:t>, y consulte con su médico</w:t>
      </w:r>
      <w:r w:rsidR="003E3A62" w:rsidRPr="00F22672">
        <w:rPr>
          <w:lang w:val="es-ES_tradnl"/>
        </w:rPr>
        <w:t>. Antes de reiniciar la lactancia deben haber pasado al menos 3 meses desde su último tratamiento con RoActemra.</w:t>
      </w:r>
      <w:r w:rsidR="003E3A62" w:rsidRPr="00F22672">
        <w:rPr>
          <w:lang w:val="es-ES"/>
        </w:rPr>
        <w:t xml:space="preserve"> Se desconoce si RoActemra pasa a la leche materna. </w:t>
      </w:r>
    </w:p>
    <w:p w14:paraId="575D9019" w14:textId="77777777" w:rsidR="003E3A62" w:rsidRPr="00F22672" w:rsidRDefault="003E3A62" w:rsidP="003E3A62">
      <w:pPr>
        <w:rPr>
          <w:lang w:val="es-ES"/>
        </w:rPr>
      </w:pPr>
    </w:p>
    <w:p w14:paraId="3B6DFDD4" w14:textId="77777777" w:rsidR="003E3A62" w:rsidRPr="006868F5" w:rsidRDefault="003E3A62" w:rsidP="00D75946">
      <w:pPr>
        <w:keepNext/>
        <w:keepLines/>
        <w:rPr>
          <w:b/>
          <w:szCs w:val="22"/>
          <w:lang w:val="es-ES"/>
        </w:rPr>
      </w:pPr>
      <w:r w:rsidRPr="006868F5">
        <w:rPr>
          <w:b/>
          <w:szCs w:val="22"/>
          <w:lang w:val="es-ES"/>
        </w:rPr>
        <w:t>Conducción y uso de máquinas</w:t>
      </w:r>
    </w:p>
    <w:p w14:paraId="05AF7354" w14:textId="77777777" w:rsidR="003E3A62" w:rsidRPr="00F22672" w:rsidRDefault="003E3A62" w:rsidP="003E3A62">
      <w:pPr>
        <w:rPr>
          <w:lang w:val="es-ES_tradnl"/>
        </w:rPr>
      </w:pPr>
      <w:r w:rsidRPr="00F22672">
        <w:rPr>
          <w:lang w:val="es-ES_tradnl"/>
        </w:rPr>
        <w:t>Este medicamento puede producir mareos, si usted se siente mareado, no conduzca ni utilice máquinas.</w:t>
      </w:r>
    </w:p>
    <w:p w14:paraId="36E811AB" w14:textId="77777777" w:rsidR="00702ADE" w:rsidRDefault="00702ADE" w:rsidP="00702ADE">
      <w:pPr>
        <w:rPr>
          <w:lang w:val="es-ES"/>
        </w:rPr>
      </w:pPr>
    </w:p>
    <w:p w14:paraId="7FFA90C7" w14:textId="0408DCE0" w:rsidR="00702ADE" w:rsidRPr="00F30AB8" w:rsidRDefault="00702ADE" w:rsidP="00702ADE">
      <w:pPr>
        <w:rPr>
          <w:b/>
          <w:szCs w:val="22"/>
          <w:lang w:val="es-ES"/>
        </w:rPr>
      </w:pPr>
      <w:r w:rsidRPr="00F30AB8">
        <w:rPr>
          <w:b/>
          <w:szCs w:val="22"/>
          <w:lang w:val="es-ES"/>
        </w:rPr>
        <w:t>RoActemra contiene polisorbato</w:t>
      </w:r>
      <w:ins w:id="2515" w:author="AUTHOR">
        <w:r w:rsidR="00024761">
          <w:rPr>
            <w:b/>
            <w:szCs w:val="22"/>
            <w:lang w:val="es-ES"/>
          </w:rPr>
          <w:t xml:space="preserve"> </w:t>
        </w:r>
        <w:r w:rsidR="00024761" w:rsidRPr="00467FFD">
          <w:rPr>
            <w:b/>
            <w:szCs w:val="22"/>
            <w:lang w:val="es-ES"/>
            <w:rPrChange w:id="2516" w:author="AUTHOR">
              <w:rPr>
                <w:b/>
                <w:szCs w:val="22"/>
                <w:lang w:val="en-GB"/>
              </w:rPr>
            </w:rPrChange>
          </w:rPr>
          <w:t>80 (E 433)</w:t>
        </w:r>
      </w:ins>
    </w:p>
    <w:p w14:paraId="3D04D289" w14:textId="1263A7D3" w:rsidR="003E3A62" w:rsidRPr="00F22672" w:rsidRDefault="00702ADE" w:rsidP="00702ADE">
      <w:pPr>
        <w:rPr>
          <w:lang w:val="es-ES"/>
        </w:rPr>
      </w:pPr>
      <w:r w:rsidRPr="00702ADE">
        <w:rPr>
          <w:lang w:val="es-ES"/>
        </w:rPr>
        <w:t xml:space="preserve">Este medicamento contiene 0,18 mg de polisorbato 80 en cada </w:t>
      </w:r>
      <w:r w:rsidR="0069055D">
        <w:rPr>
          <w:lang w:val="es-ES"/>
        </w:rPr>
        <w:t>jeringa precargada</w:t>
      </w:r>
      <w:r w:rsidRPr="00702ADE">
        <w:rPr>
          <w:lang w:val="es-ES"/>
        </w:rPr>
        <w:t xml:space="preserve"> con 162 mg/0,9 ml, que equivale a 0,2 mg/ml. Los polisorbatos pueden causar reacciones alérgicas. Informe a su médico si usted o su hijo</w:t>
      </w:r>
      <w:r w:rsidR="00024761">
        <w:rPr>
          <w:lang w:val="es-ES"/>
        </w:rPr>
        <w:t xml:space="preserve"> </w:t>
      </w:r>
      <w:r w:rsidRPr="00702ADE">
        <w:rPr>
          <w:lang w:val="es-ES"/>
        </w:rPr>
        <w:t>tiene alguna alergia conocida.</w:t>
      </w:r>
    </w:p>
    <w:p w14:paraId="7D0DB220" w14:textId="77777777" w:rsidR="003E3A62" w:rsidRDefault="003E3A62" w:rsidP="003E3A62">
      <w:pPr>
        <w:rPr>
          <w:lang w:val="es-ES"/>
        </w:rPr>
      </w:pPr>
    </w:p>
    <w:p w14:paraId="2BCA2B95" w14:textId="77777777" w:rsidR="00A85257" w:rsidRPr="00F22672" w:rsidRDefault="00A85257" w:rsidP="003E3A62">
      <w:pPr>
        <w:rPr>
          <w:lang w:val="es-ES"/>
        </w:rPr>
      </w:pPr>
    </w:p>
    <w:p w14:paraId="11776618" w14:textId="77777777" w:rsidR="003E3A62" w:rsidRPr="00FF2AFA" w:rsidRDefault="003E3A62" w:rsidP="00D75946">
      <w:pPr>
        <w:keepNext/>
        <w:keepLines/>
        <w:rPr>
          <w:b/>
          <w:szCs w:val="22"/>
          <w:lang w:val="es-ES"/>
        </w:rPr>
      </w:pPr>
      <w:r w:rsidRPr="00FF2AFA">
        <w:rPr>
          <w:b/>
          <w:szCs w:val="22"/>
          <w:lang w:val="es-ES"/>
        </w:rPr>
        <w:t>3.</w:t>
      </w:r>
      <w:r w:rsidRPr="00FF2AFA">
        <w:rPr>
          <w:b/>
          <w:szCs w:val="22"/>
          <w:lang w:val="es-ES"/>
        </w:rPr>
        <w:tab/>
        <w:t xml:space="preserve">Cómo </w:t>
      </w:r>
      <w:r w:rsidR="00CA782D" w:rsidRPr="00FF2AFA">
        <w:rPr>
          <w:b/>
          <w:szCs w:val="22"/>
          <w:lang w:val="es-ES"/>
        </w:rPr>
        <w:t xml:space="preserve">usar </w:t>
      </w:r>
      <w:r w:rsidRPr="00FF2AFA">
        <w:rPr>
          <w:b/>
          <w:szCs w:val="22"/>
          <w:lang w:val="es-ES"/>
        </w:rPr>
        <w:t>RoActemra</w:t>
      </w:r>
    </w:p>
    <w:p w14:paraId="2C9472EC" w14:textId="77777777" w:rsidR="003E3A62" w:rsidRPr="00F22672" w:rsidRDefault="003E3A62" w:rsidP="003E3A62">
      <w:pPr>
        <w:rPr>
          <w:b/>
          <w:bCs/>
          <w:lang w:val="es-ES_tradnl"/>
        </w:rPr>
      </w:pPr>
    </w:p>
    <w:p w14:paraId="56099728" w14:textId="77777777" w:rsidR="003E3A62" w:rsidRDefault="003E3A62" w:rsidP="003E3A62">
      <w:pPr>
        <w:rPr>
          <w:bCs/>
          <w:lang w:val="es-ES_tradnl"/>
        </w:rPr>
      </w:pPr>
      <w:r w:rsidRPr="00F22672">
        <w:rPr>
          <w:bCs/>
          <w:lang w:val="es-ES_tradnl"/>
        </w:rPr>
        <w:t>Siga exactamente las instrucciones de administración de este medicamento indicadas por su médico, farmacéutico o enfermero. En caso de duda, consulte de nuevo a su médico, farmacéutico o enfermero.</w:t>
      </w:r>
    </w:p>
    <w:p w14:paraId="48F8C80D" w14:textId="77777777" w:rsidR="00FA79ED" w:rsidRDefault="00FA79ED" w:rsidP="003E3A62">
      <w:pPr>
        <w:rPr>
          <w:bCs/>
          <w:lang w:val="es-ES_tradnl"/>
        </w:rPr>
      </w:pPr>
    </w:p>
    <w:p w14:paraId="0B1F717E" w14:textId="6D7C6167" w:rsidR="00FA79ED" w:rsidRPr="00F22672" w:rsidRDefault="00FA79ED" w:rsidP="00FA79ED">
      <w:pPr>
        <w:rPr>
          <w:bCs/>
          <w:lang w:val="es-ES_tradnl"/>
        </w:rPr>
      </w:pPr>
      <w:r w:rsidRPr="00F22672">
        <w:rPr>
          <w:bCs/>
          <w:lang w:val="es-ES_tradnl"/>
        </w:rPr>
        <w:t xml:space="preserve">El tratamiento </w:t>
      </w:r>
      <w:ins w:id="2517" w:author="AUTHOR">
        <w:r w:rsidR="00806EEE" w:rsidRPr="00806EEE">
          <w:rPr>
            <w:bCs/>
            <w:lang w:val="es-ES_tradnl"/>
          </w:rPr>
          <w:t>lo debe recetar</w:t>
        </w:r>
      </w:ins>
      <w:del w:id="2518" w:author="AUTHOR">
        <w:r w:rsidRPr="00F22672" w:rsidDel="00806EEE">
          <w:rPr>
            <w:bCs/>
            <w:lang w:val="es-ES_tradnl"/>
          </w:rPr>
          <w:delText>se debe iniciar por</w:delText>
        </w:r>
      </w:del>
      <w:r w:rsidRPr="00F22672">
        <w:rPr>
          <w:bCs/>
          <w:lang w:val="es-ES_tradnl"/>
        </w:rPr>
        <w:t xml:space="preserve"> un profesional sanitario con experiencia en el diagnóstico y tratamiento de la AR</w:t>
      </w:r>
      <w:r w:rsidR="00A5312D">
        <w:rPr>
          <w:bCs/>
          <w:lang w:val="es-ES_tradnl"/>
        </w:rPr>
        <w:t>,</w:t>
      </w:r>
      <w:r w:rsidR="00DD19FD" w:rsidRPr="00DD19FD">
        <w:rPr>
          <w:lang w:val="es-ES_tradnl"/>
        </w:rPr>
        <w:t xml:space="preserve"> </w:t>
      </w:r>
      <w:r w:rsidR="00DD19FD">
        <w:rPr>
          <w:lang w:val="es-ES_tradnl"/>
        </w:rPr>
        <w:t>AIJs</w:t>
      </w:r>
      <w:r w:rsidR="001F2E5A">
        <w:rPr>
          <w:lang w:val="es-ES_tradnl"/>
        </w:rPr>
        <w:t>,</w:t>
      </w:r>
      <w:r w:rsidR="00A5312D">
        <w:rPr>
          <w:bCs/>
          <w:lang w:val="es-ES_tradnl"/>
        </w:rPr>
        <w:t xml:space="preserve"> </w:t>
      </w:r>
      <w:r w:rsidR="00A5312D">
        <w:rPr>
          <w:lang w:val="es-ES_tradnl"/>
        </w:rPr>
        <w:t>AIJp</w:t>
      </w:r>
      <w:r>
        <w:rPr>
          <w:bCs/>
          <w:lang w:val="es-ES_tradnl"/>
        </w:rPr>
        <w:t xml:space="preserve"> o ACG</w:t>
      </w:r>
      <w:r w:rsidRPr="00F22672">
        <w:rPr>
          <w:bCs/>
          <w:lang w:val="es-ES_tradnl"/>
        </w:rPr>
        <w:t>.</w:t>
      </w:r>
    </w:p>
    <w:p w14:paraId="5051AF49" w14:textId="77777777" w:rsidR="003E3A62" w:rsidRPr="00F22672" w:rsidRDefault="003E3A62" w:rsidP="003E3A62">
      <w:pPr>
        <w:rPr>
          <w:bCs/>
          <w:lang w:val="es-ES_tradnl"/>
        </w:rPr>
      </w:pPr>
    </w:p>
    <w:p w14:paraId="68BE6C6B" w14:textId="77777777" w:rsidR="00FA79ED" w:rsidRDefault="003E3A62" w:rsidP="003E3A62">
      <w:pPr>
        <w:rPr>
          <w:bCs/>
          <w:lang w:val="es-ES_tradnl"/>
        </w:rPr>
      </w:pPr>
      <w:r w:rsidRPr="00F22672">
        <w:rPr>
          <w:b/>
          <w:bCs/>
          <w:lang w:val="es-ES_tradnl"/>
        </w:rPr>
        <w:t>La dosis recomendada</w:t>
      </w:r>
      <w:r w:rsidRPr="00F22672">
        <w:rPr>
          <w:bCs/>
          <w:lang w:val="es-ES_tradnl"/>
        </w:rPr>
        <w:t xml:space="preserve"> </w:t>
      </w:r>
    </w:p>
    <w:p w14:paraId="6C522A19" w14:textId="6953EA23" w:rsidR="00DD19FD" w:rsidRDefault="00FA79ED" w:rsidP="003E3A62">
      <w:pPr>
        <w:rPr>
          <w:bCs/>
          <w:lang w:val="es-ES_tradnl"/>
        </w:rPr>
      </w:pPr>
      <w:r>
        <w:rPr>
          <w:bCs/>
          <w:lang w:val="es-ES_tradnl"/>
        </w:rPr>
        <w:t>La dosis para los adultos</w:t>
      </w:r>
      <w:r w:rsidR="00C31F61">
        <w:rPr>
          <w:bCs/>
          <w:lang w:val="es-ES_tradnl"/>
        </w:rPr>
        <w:t xml:space="preserve"> </w:t>
      </w:r>
      <w:r w:rsidR="0009589C">
        <w:rPr>
          <w:bCs/>
          <w:lang w:val="es-ES_tradnl"/>
        </w:rPr>
        <w:t xml:space="preserve">con AR </w:t>
      </w:r>
      <w:del w:id="2519" w:author="AUTHOR">
        <w:r w:rsidR="0009589C" w:rsidDel="00B707BE">
          <w:rPr>
            <w:bCs/>
            <w:lang w:val="es-ES_tradnl"/>
          </w:rPr>
          <w:delText xml:space="preserve">y </w:delText>
        </w:r>
      </w:del>
      <w:ins w:id="2520" w:author="AUTHOR">
        <w:r w:rsidR="00B707BE">
          <w:rPr>
            <w:bCs/>
            <w:lang w:val="es-ES_tradnl"/>
          </w:rPr>
          <w:t xml:space="preserve">o </w:t>
        </w:r>
      </w:ins>
      <w:r w:rsidR="0009589C">
        <w:rPr>
          <w:bCs/>
          <w:lang w:val="es-ES_tradnl"/>
        </w:rPr>
        <w:t xml:space="preserve">ACG </w:t>
      </w:r>
      <w:r w:rsidR="003E3A62" w:rsidRPr="00F22672">
        <w:rPr>
          <w:bCs/>
          <w:lang w:val="es-ES_tradnl"/>
        </w:rPr>
        <w:t xml:space="preserve">es </w:t>
      </w:r>
      <w:r w:rsidR="00C31F61">
        <w:rPr>
          <w:bCs/>
          <w:lang w:val="es-ES_tradnl"/>
        </w:rPr>
        <w:t xml:space="preserve">de </w:t>
      </w:r>
      <w:r w:rsidR="003E3A62" w:rsidRPr="00F22672">
        <w:rPr>
          <w:bCs/>
          <w:lang w:val="es-ES_tradnl"/>
        </w:rPr>
        <w:t xml:space="preserve">162 mg (el contenido de una </w:t>
      </w:r>
      <w:r w:rsidR="003125D7" w:rsidRPr="00F22672">
        <w:rPr>
          <w:bCs/>
          <w:lang w:val="es-ES_tradnl"/>
        </w:rPr>
        <w:t>jeringa</w:t>
      </w:r>
      <w:r w:rsidR="003E3A62" w:rsidRPr="00F22672">
        <w:rPr>
          <w:bCs/>
          <w:lang w:val="es-ES_tradnl"/>
        </w:rPr>
        <w:t xml:space="preserve"> precargada) administrada una vez por semana</w:t>
      </w:r>
      <w:r w:rsidR="001F2E5A">
        <w:rPr>
          <w:bCs/>
          <w:lang w:val="es-ES_tradnl"/>
        </w:rPr>
        <w:t>.</w:t>
      </w:r>
    </w:p>
    <w:p w14:paraId="2725EA22" w14:textId="77777777" w:rsidR="001F2E5A" w:rsidRDefault="001F2E5A" w:rsidP="003E3A62">
      <w:pPr>
        <w:rPr>
          <w:bCs/>
          <w:lang w:val="es-ES_tradnl"/>
        </w:rPr>
      </w:pPr>
    </w:p>
    <w:p w14:paraId="7493E74D" w14:textId="77777777" w:rsidR="00DD19FD" w:rsidRPr="00467FFD" w:rsidRDefault="00DD19FD" w:rsidP="00DD19FD">
      <w:pPr>
        <w:keepNext/>
        <w:keepLines/>
        <w:rPr>
          <w:b/>
          <w:szCs w:val="22"/>
          <w:lang w:val="es-ES"/>
          <w:rPrChange w:id="2521" w:author="AUTHOR">
            <w:rPr>
              <w:b/>
              <w:sz w:val="24"/>
              <w:szCs w:val="24"/>
              <w:lang w:val="es-ES"/>
            </w:rPr>
          </w:rPrChange>
        </w:rPr>
      </w:pPr>
      <w:r w:rsidRPr="00467FFD">
        <w:rPr>
          <w:b/>
          <w:szCs w:val="22"/>
          <w:lang w:val="es-ES"/>
          <w:rPrChange w:id="2522" w:author="AUTHOR">
            <w:rPr>
              <w:b/>
              <w:sz w:val="24"/>
              <w:szCs w:val="24"/>
              <w:lang w:val="es-ES"/>
            </w:rPr>
          </w:rPrChange>
        </w:rPr>
        <w:t>Niños y adolescentes con AIJs (de 1 año de edad en adelante)</w:t>
      </w:r>
    </w:p>
    <w:p w14:paraId="691D63B7" w14:textId="77777777" w:rsidR="00DD19FD" w:rsidRPr="000D2A86" w:rsidRDefault="00DD19FD" w:rsidP="00DD19FD">
      <w:pPr>
        <w:rPr>
          <w:b/>
          <w:szCs w:val="22"/>
          <w:lang w:val="es-ES"/>
        </w:rPr>
      </w:pPr>
      <w:r w:rsidRPr="000D2A86">
        <w:rPr>
          <w:b/>
          <w:szCs w:val="22"/>
          <w:lang w:val="es-ES"/>
        </w:rPr>
        <w:t>La dosis habitual de RoActemra depende del peso del paciente.</w:t>
      </w:r>
    </w:p>
    <w:p w14:paraId="27874F4E" w14:textId="77777777" w:rsidR="00DD19FD" w:rsidRPr="0009589C" w:rsidRDefault="00DD19FD" w:rsidP="0069055D">
      <w:pPr>
        <w:ind w:left="567" w:hanging="567"/>
        <w:rPr>
          <w:bCs/>
          <w:lang w:val="es-ES_tradnl"/>
        </w:rPr>
      </w:pPr>
      <w:r w:rsidRPr="000D2A86">
        <w:rPr>
          <w:b/>
          <w:szCs w:val="22"/>
          <w:lang w:val="es-ES"/>
        </w:rPr>
        <w:t>•</w:t>
      </w:r>
      <w:r w:rsidRPr="0009589C">
        <w:rPr>
          <w:bCs/>
          <w:lang w:val="es-ES_tradnl"/>
        </w:rPr>
        <w:t xml:space="preserve"> </w:t>
      </w:r>
      <w:r w:rsidR="0069055D">
        <w:rPr>
          <w:bCs/>
          <w:lang w:val="es-ES_tradnl"/>
        </w:rPr>
        <w:tab/>
      </w:r>
      <w:r w:rsidRPr="0009589C">
        <w:rPr>
          <w:bCs/>
          <w:lang w:val="es-ES_tradnl"/>
        </w:rPr>
        <w:t xml:space="preserve">Si el paciente pesa </w:t>
      </w:r>
      <w:r w:rsidRPr="000D2A86">
        <w:rPr>
          <w:b/>
          <w:szCs w:val="22"/>
          <w:lang w:val="es-ES"/>
        </w:rPr>
        <w:t>menos de 30 kg</w:t>
      </w:r>
      <w:r w:rsidRPr="0009589C">
        <w:rPr>
          <w:bCs/>
          <w:lang w:val="es-ES_tradnl"/>
        </w:rPr>
        <w:t xml:space="preserve">: la dosis es de 162 mg (el contenido de 1 jeringa precargada), </w:t>
      </w:r>
      <w:r w:rsidRPr="000D2A86">
        <w:rPr>
          <w:szCs w:val="22"/>
          <w:lang w:val="es-ES"/>
        </w:rPr>
        <w:t>una vez cada 2 semanas</w:t>
      </w:r>
    </w:p>
    <w:p w14:paraId="0CFA256D" w14:textId="77777777" w:rsidR="003E3A62" w:rsidRPr="00DD19FD" w:rsidRDefault="00DD19FD" w:rsidP="0069055D">
      <w:pPr>
        <w:ind w:left="567" w:hanging="567"/>
        <w:rPr>
          <w:szCs w:val="22"/>
          <w:lang w:val="es-ES"/>
        </w:rPr>
      </w:pPr>
      <w:r w:rsidRPr="006616E4">
        <w:rPr>
          <w:b/>
          <w:szCs w:val="22"/>
          <w:lang w:val="es-ES"/>
        </w:rPr>
        <w:t xml:space="preserve">• </w:t>
      </w:r>
      <w:r w:rsidR="0069055D">
        <w:rPr>
          <w:b/>
          <w:szCs w:val="22"/>
          <w:lang w:val="es-ES"/>
        </w:rPr>
        <w:tab/>
      </w:r>
      <w:r w:rsidRPr="0009589C">
        <w:rPr>
          <w:bCs/>
          <w:lang w:val="es-ES_tradnl"/>
        </w:rPr>
        <w:t xml:space="preserve">Si el paciente pesa </w:t>
      </w:r>
      <w:r w:rsidRPr="006616E4">
        <w:rPr>
          <w:b/>
          <w:szCs w:val="22"/>
          <w:lang w:val="es-ES"/>
        </w:rPr>
        <w:t>30 kg o más</w:t>
      </w:r>
      <w:r w:rsidRPr="0009589C">
        <w:rPr>
          <w:bCs/>
          <w:lang w:val="es-ES_tradnl"/>
        </w:rPr>
        <w:t xml:space="preserve">: la dosis es de 162 mg (el contenido de 1 jeringa precargada), </w:t>
      </w:r>
      <w:r w:rsidRPr="000D2A86">
        <w:rPr>
          <w:szCs w:val="22"/>
          <w:lang w:val="es-ES"/>
        </w:rPr>
        <w:t>una vez cada semana.</w:t>
      </w:r>
    </w:p>
    <w:p w14:paraId="737A8203" w14:textId="77777777" w:rsidR="0009589C" w:rsidRDefault="0009589C" w:rsidP="003E3A62">
      <w:pPr>
        <w:rPr>
          <w:bCs/>
          <w:lang w:val="es-ES_tradnl"/>
        </w:rPr>
      </w:pPr>
    </w:p>
    <w:p w14:paraId="3DDAAEDE" w14:textId="77777777" w:rsidR="0009589C" w:rsidRPr="00467FFD" w:rsidRDefault="0009589C" w:rsidP="006616E4">
      <w:pPr>
        <w:keepNext/>
        <w:keepLines/>
        <w:rPr>
          <w:b/>
          <w:szCs w:val="22"/>
          <w:lang w:val="es-ES"/>
          <w:rPrChange w:id="2523" w:author="AUTHOR">
            <w:rPr>
              <w:b/>
              <w:sz w:val="24"/>
              <w:szCs w:val="24"/>
              <w:lang w:val="es-ES"/>
            </w:rPr>
          </w:rPrChange>
        </w:rPr>
      </w:pPr>
      <w:r w:rsidRPr="00467FFD">
        <w:rPr>
          <w:b/>
          <w:szCs w:val="22"/>
          <w:lang w:val="es-ES"/>
          <w:rPrChange w:id="2524" w:author="AUTHOR">
            <w:rPr>
              <w:b/>
              <w:sz w:val="24"/>
              <w:szCs w:val="24"/>
              <w:lang w:val="es-ES"/>
            </w:rPr>
          </w:rPrChange>
        </w:rPr>
        <w:t>Niños y adolescentes con AIJp (</w:t>
      </w:r>
      <w:r w:rsidR="008B6EF3" w:rsidRPr="00467FFD">
        <w:rPr>
          <w:b/>
          <w:szCs w:val="22"/>
          <w:lang w:val="es-ES"/>
          <w:rPrChange w:id="2525" w:author="AUTHOR">
            <w:rPr>
              <w:b/>
              <w:sz w:val="24"/>
              <w:szCs w:val="24"/>
              <w:lang w:val="es-ES"/>
            </w:rPr>
          </w:rPrChange>
        </w:rPr>
        <w:t xml:space="preserve">de </w:t>
      </w:r>
      <w:r w:rsidRPr="00467FFD">
        <w:rPr>
          <w:b/>
          <w:szCs w:val="22"/>
          <w:lang w:val="es-ES"/>
          <w:rPrChange w:id="2526" w:author="AUTHOR">
            <w:rPr>
              <w:b/>
              <w:sz w:val="24"/>
              <w:szCs w:val="24"/>
              <w:lang w:val="es-ES"/>
            </w:rPr>
          </w:rPrChange>
        </w:rPr>
        <w:t xml:space="preserve">2 años </w:t>
      </w:r>
      <w:r w:rsidR="008B6EF3" w:rsidRPr="00467FFD">
        <w:rPr>
          <w:b/>
          <w:szCs w:val="22"/>
          <w:lang w:val="es-ES"/>
          <w:rPrChange w:id="2527" w:author="AUTHOR">
            <w:rPr>
              <w:b/>
              <w:sz w:val="24"/>
              <w:szCs w:val="24"/>
              <w:lang w:val="es-ES"/>
            </w:rPr>
          </w:rPrChange>
        </w:rPr>
        <w:t>de edad en adelante</w:t>
      </w:r>
      <w:r w:rsidRPr="00467FFD">
        <w:rPr>
          <w:b/>
          <w:szCs w:val="22"/>
          <w:lang w:val="es-ES"/>
          <w:rPrChange w:id="2528" w:author="AUTHOR">
            <w:rPr>
              <w:b/>
              <w:sz w:val="24"/>
              <w:szCs w:val="24"/>
              <w:lang w:val="es-ES"/>
            </w:rPr>
          </w:rPrChange>
        </w:rPr>
        <w:t>)</w:t>
      </w:r>
    </w:p>
    <w:p w14:paraId="09734535" w14:textId="77777777" w:rsidR="0009589C" w:rsidRPr="00EF2448" w:rsidRDefault="0009589C" w:rsidP="0009589C">
      <w:pPr>
        <w:rPr>
          <w:b/>
          <w:szCs w:val="22"/>
          <w:lang w:val="es-ES"/>
        </w:rPr>
      </w:pPr>
      <w:r w:rsidRPr="00EF2448">
        <w:rPr>
          <w:b/>
          <w:szCs w:val="22"/>
          <w:lang w:val="es-ES"/>
        </w:rPr>
        <w:t>La dosis habitual de RoActemra depende del peso del paciente.</w:t>
      </w:r>
    </w:p>
    <w:p w14:paraId="2632AB77" w14:textId="77777777" w:rsidR="0009589C" w:rsidRPr="0009589C" w:rsidRDefault="0009589C" w:rsidP="0069055D">
      <w:pPr>
        <w:ind w:left="567" w:hanging="567"/>
        <w:rPr>
          <w:bCs/>
          <w:lang w:val="es-ES_tradnl"/>
        </w:rPr>
      </w:pPr>
      <w:r w:rsidRPr="00EF2448">
        <w:rPr>
          <w:b/>
          <w:szCs w:val="22"/>
          <w:lang w:val="es-ES"/>
        </w:rPr>
        <w:t>•</w:t>
      </w:r>
      <w:r w:rsidRPr="0009589C">
        <w:rPr>
          <w:bCs/>
          <w:lang w:val="es-ES_tradnl"/>
        </w:rPr>
        <w:t xml:space="preserve"> </w:t>
      </w:r>
      <w:r w:rsidR="0069055D">
        <w:rPr>
          <w:bCs/>
          <w:lang w:val="es-ES_tradnl"/>
        </w:rPr>
        <w:tab/>
      </w:r>
      <w:r w:rsidRPr="0009589C">
        <w:rPr>
          <w:bCs/>
          <w:lang w:val="es-ES_tradnl"/>
        </w:rPr>
        <w:t xml:space="preserve">Si el paciente pesa </w:t>
      </w:r>
      <w:r w:rsidRPr="00EF2448">
        <w:rPr>
          <w:b/>
          <w:szCs w:val="22"/>
          <w:lang w:val="es-ES"/>
        </w:rPr>
        <w:t>menos de 30 kg</w:t>
      </w:r>
      <w:r w:rsidRPr="0009589C">
        <w:rPr>
          <w:bCs/>
          <w:lang w:val="es-ES_tradnl"/>
        </w:rPr>
        <w:t xml:space="preserve">: la dosis es de 162 mg (el contenido de 1 jeringa precargada), </w:t>
      </w:r>
      <w:r w:rsidRPr="00EF2448">
        <w:rPr>
          <w:b/>
          <w:szCs w:val="22"/>
          <w:lang w:val="es-ES"/>
        </w:rPr>
        <w:t>una vez cada 3 semanas</w:t>
      </w:r>
    </w:p>
    <w:p w14:paraId="00E8CA54" w14:textId="77777777" w:rsidR="0009589C" w:rsidRPr="006616E4" w:rsidRDefault="0009589C" w:rsidP="0069055D">
      <w:pPr>
        <w:ind w:left="567" w:hanging="567"/>
        <w:rPr>
          <w:b/>
          <w:szCs w:val="22"/>
          <w:lang w:val="es-ES"/>
        </w:rPr>
      </w:pPr>
      <w:r w:rsidRPr="006616E4">
        <w:rPr>
          <w:b/>
          <w:szCs w:val="22"/>
          <w:lang w:val="es-ES"/>
        </w:rPr>
        <w:t xml:space="preserve">• </w:t>
      </w:r>
      <w:r w:rsidR="0069055D">
        <w:rPr>
          <w:b/>
          <w:szCs w:val="22"/>
          <w:lang w:val="es-ES"/>
        </w:rPr>
        <w:tab/>
      </w:r>
      <w:r w:rsidRPr="0009589C">
        <w:rPr>
          <w:bCs/>
          <w:lang w:val="es-ES_tradnl"/>
        </w:rPr>
        <w:t xml:space="preserve">Si el paciente pesa </w:t>
      </w:r>
      <w:r w:rsidRPr="006616E4">
        <w:rPr>
          <w:b/>
          <w:szCs w:val="22"/>
          <w:lang w:val="es-ES"/>
        </w:rPr>
        <w:t>30 kg o más</w:t>
      </w:r>
      <w:r w:rsidRPr="0009589C">
        <w:rPr>
          <w:bCs/>
          <w:lang w:val="es-ES_tradnl"/>
        </w:rPr>
        <w:t xml:space="preserve">: la dosis es de 162 mg (el contenido de 1 jeringa precargada), </w:t>
      </w:r>
      <w:r w:rsidRPr="006616E4">
        <w:rPr>
          <w:b/>
          <w:szCs w:val="22"/>
          <w:lang w:val="es-ES"/>
        </w:rPr>
        <w:t>una vez cada 2 semanas.</w:t>
      </w:r>
    </w:p>
    <w:p w14:paraId="7DA6A0AC" w14:textId="77777777" w:rsidR="003E3A62" w:rsidRPr="006616E4" w:rsidRDefault="003E3A62" w:rsidP="003E3A62">
      <w:pPr>
        <w:rPr>
          <w:bCs/>
          <w:lang w:val="es-ES"/>
        </w:rPr>
      </w:pPr>
    </w:p>
    <w:p w14:paraId="7C6EF479" w14:textId="77777777" w:rsidR="003E3A62" w:rsidRPr="00F22672" w:rsidRDefault="003E3A62" w:rsidP="003E3A62">
      <w:pPr>
        <w:rPr>
          <w:lang w:val="es-ES"/>
        </w:rPr>
      </w:pPr>
      <w:r w:rsidRPr="00F22672">
        <w:rPr>
          <w:bCs/>
          <w:lang w:val="es-ES_tradnl"/>
        </w:rPr>
        <w:t>RoActemra se administra mediante inyección debajo de la piel (</w:t>
      </w:r>
      <w:r w:rsidRPr="00F22672">
        <w:rPr>
          <w:bCs/>
          <w:i/>
          <w:lang w:val="es-ES_tradnl"/>
        </w:rPr>
        <w:t>subcutáneamente</w:t>
      </w:r>
      <w:r w:rsidRPr="00F22672">
        <w:rPr>
          <w:bCs/>
          <w:lang w:val="es-ES_tradnl"/>
        </w:rPr>
        <w:t>). Al inicio, su médico o enfermero puede inyectarle RoActemra</w:t>
      </w:r>
      <w:r w:rsidRPr="00F22672">
        <w:rPr>
          <w:lang w:val="es-ES"/>
        </w:rPr>
        <w:t xml:space="preserve">. Sin embargo, su médico puede decidir que usted mismo se inyecte RoActemra. En este caso usted recibirá </w:t>
      </w:r>
      <w:del w:id="2529" w:author="AUTHOR">
        <w:r w:rsidRPr="00F22672" w:rsidDel="00806EEE">
          <w:rPr>
            <w:lang w:val="es-ES"/>
          </w:rPr>
          <w:delText>in</w:delText>
        </w:r>
      </w:del>
      <w:r w:rsidRPr="00F22672">
        <w:rPr>
          <w:lang w:val="es-ES"/>
        </w:rPr>
        <w:t xml:space="preserve">formación de </w:t>
      </w:r>
      <w:r w:rsidR="003125D7" w:rsidRPr="00F22672">
        <w:rPr>
          <w:lang w:val="es-ES"/>
        </w:rPr>
        <w:t>cómo</w:t>
      </w:r>
      <w:r w:rsidRPr="00F22672">
        <w:rPr>
          <w:lang w:val="es-ES"/>
        </w:rPr>
        <w:t xml:space="preserve"> autoinyectarse RoActemra.</w:t>
      </w:r>
      <w:r w:rsidR="0009589C">
        <w:rPr>
          <w:lang w:val="es-ES"/>
        </w:rPr>
        <w:t xml:space="preserve"> </w:t>
      </w:r>
      <w:r w:rsidR="0009589C" w:rsidRPr="0009589C">
        <w:rPr>
          <w:lang w:val="es-ES"/>
        </w:rPr>
        <w:t>Los padres y c</w:t>
      </w:r>
      <w:r w:rsidR="0009589C">
        <w:rPr>
          <w:lang w:val="es-ES"/>
        </w:rPr>
        <w:t>uidadores recibirán instrucciones</w:t>
      </w:r>
      <w:r w:rsidR="0009589C" w:rsidRPr="0009589C">
        <w:rPr>
          <w:lang w:val="es-ES"/>
        </w:rPr>
        <w:t xml:space="preserve"> sobre cómo inyectar RoActemra a los pacientes que no pueden inyectarse</w:t>
      </w:r>
      <w:r w:rsidR="0009589C">
        <w:rPr>
          <w:lang w:val="es-ES"/>
        </w:rPr>
        <w:t xml:space="preserve"> por sí mismos</w:t>
      </w:r>
      <w:r w:rsidR="0009589C" w:rsidRPr="0009589C">
        <w:rPr>
          <w:lang w:val="es-ES"/>
        </w:rPr>
        <w:t>, como los niños.</w:t>
      </w:r>
    </w:p>
    <w:p w14:paraId="47A5B36D" w14:textId="77777777" w:rsidR="003E3A62" w:rsidRPr="00F22672" w:rsidRDefault="003E3A62" w:rsidP="003E3A62">
      <w:pPr>
        <w:rPr>
          <w:lang w:val="es-ES"/>
        </w:rPr>
      </w:pPr>
    </w:p>
    <w:p w14:paraId="3AE144F9" w14:textId="77777777" w:rsidR="003E3A62" w:rsidRPr="00F22672" w:rsidRDefault="003E3A62" w:rsidP="003E3A62">
      <w:pPr>
        <w:rPr>
          <w:bCs/>
          <w:lang w:val="es-ES"/>
        </w:rPr>
      </w:pPr>
      <w:r w:rsidRPr="00F22672">
        <w:rPr>
          <w:lang w:val="es-ES"/>
        </w:rPr>
        <w:t>Hable con su médico si tiene alguna pregunta sobre como autoadministrarse una inyección</w:t>
      </w:r>
      <w:r w:rsidR="00DD19FD">
        <w:rPr>
          <w:lang w:val="es-ES"/>
        </w:rPr>
        <w:t xml:space="preserve"> o al niño que cuida</w:t>
      </w:r>
      <w:r w:rsidRPr="00F22672">
        <w:rPr>
          <w:lang w:val="es-ES"/>
        </w:rPr>
        <w:t>. Al final de este prospecto usted encontrará “instrucciones de administración” detalladas.</w:t>
      </w:r>
    </w:p>
    <w:p w14:paraId="6F1FDF44" w14:textId="77777777" w:rsidR="003E3A62" w:rsidRPr="00F22672" w:rsidRDefault="003E3A62" w:rsidP="003E3A62">
      <w:pPr>
        <w:rPr>
          <w:bCs/>
          <w:lang w:val="es-ES_tradnl"/>
        </w:rPr>
      </w:pPr>
    </w:p>
    <w:p w14:paraId="34C5399A" w14:textId="77777777" w:rsidR="003E3A62" w:rsidRPr="006868F5" w:rsidRDefault="003E3A62" w:rsidP="00D75946">
      <w:pPr>
        <w:keepNext/>
        <w:keepLines/>
        <w:rPr>
          <w:b/>
          <w:szCs w:val="22"/>
          <w:lang w:val="es-ES"/>
        </w:rPr>
      </w:pPr>
      <w:r w:rsidRPr="006868F5">
        <w:rPr>
          <w:b/>
          <w:szCs w:val="22"/>
          <w:lang w:val="es-ES"/>
        </w:rPr>
        <w:t>Si se le administra más RoActemra del que debe</w:t>
      </w:r>
    </w:p>
    <w:p w14:paraId="0D3F9334" w14:textId="77777777" w:rsidR="003E3A62" w:rsidRPr="00F22672" w:rsidRDefault="003E3A62" w:rsidP="003E3A62">
      <w:pPr>
        <w:rPr>
          <w:lang w:val="es-ES"/>
        </w:rPr>
      </w:pPr>
      <w:r w:rsidRPr="00F22672">
        <w:rPr>
          <w:lang w:val="es-ES_tradnl"/>
        </w:rPr>
        <w:t xml:space="preserve">Como RoActemra se administra en una </w:t>
      </w:r>
      <w:r w:rsidR="00463AB9" w:rsidRPr="00F22672">
        <w:rPr>
          <w:lang w:val="es-ES_tradnl"/>
        </w:rPr>
        <w:t>jeringa</w:t>
      </w:r>
      <w:r w:rsidRPr="00F22672">
        <w:rPr>
          <w:lang w:val="es-ES_tradnl"/>
        </w:rPr>
        <w:t xml:space="preserve"> precargada, es poco probable que se le administre demasiado.</w:t>
      </w:r>
      <w:r w:rsidRPr="00F22672">
        <w:rPr>
          <w:lang w:val="es-ES"/>
        </w:rPr>
        <w:t xml:space="preserve"> </w:t>
      </w:r>
      <w:r w:rsidRPr="00F22672">
        <w:rPr>
          <w:lang w:val="es-ES_tradnl"/>
        </w:rPr>
        <w:t>Sin embargo, si le preocupa, hable con su médico</w:t>
      </w:r>
      <w:r w:rsidRPr="00F22672">
        <w:rPr>
          <w:lang w:val="es-ES"/>
        </w:rPr>
        <w:t>, farmacéutico o enfermero.</w:t>
      </w:r>
    </w:p>
    <w:p w14:paraId="5AFEE597" w14:textId="77777777" w:rsidR="007C4F7A" w:rsidRDefault="007C4F7A" w:rsidP="003E3A62">
      <w:pPr>
        <w:rPr>
          <w:b/>
          <w:sz w:val="24"/>
          <w:szCs w:val="24"/>
          <w:lang w:val="es-ES"/>
        </w:rPr>
      </w:pPr>
    </w:p>
    <w:p w14:paraId="7FBAB86E" w14:textId="77777777" w:rsidR="0009589C" w:rsidRPr="00467FFD" w:rsidRDefault="0009589C" w:rsidP="00F30AB8">
      <w:pPr>
        <w:keepNext/>
        <w:keepLines/>
        <w:rPr>
          <w:b/>
          <w:szCs w:val="22"/>
          <w:lang w:val="es-ES"/>
          <w:rPrChange w:id="2530" w:author="AUTHOR">
            <w:rPr>
              <w:b/>
              <w:sz w:val="24"/>
              <w:szCs w:val="24"/>
              <w:lang w:val="es-ES"/>
            </w:rPr>
          </w:rPrChange>
        </w:rPr>
      </w:pPr>
      <w:r w:rsidRPr="00467FFD">
        <w:rPr>
          <w:b/>
          <w:szCs w:val="22"/>
          <w:lang w:val="es-ES"/>
          <w:rPrChange w:id="2531" w:author="AUTHOR">
            <w:rPr>
              <w:b/>
              <w:sz w:val="24"/>
              <w:szCs w:val="24"/>
              <w:lang w:val="es-ES"/>
            </w:rPr>
          </w:rPrChange>
        </w:rPr>
        <w:lastRenderedPageBreak/>
        <w:t xml:space="preserve">Si un adulto con AR y ACG </w:t>
      </w:r>
      <w:r w:rsidR="00DD19FD" w:rsidRPr="00467FFD">
        <w:rPr>
          <w:b/>
          <w:szCs w:val="22"/>
          <w:lang w:val="es-ES"/>
          <w:rPrChange w:id="2532" w:author="AUTHOR">
            <w:rPr>
              <w:b/>
              <w:sz w:val="24"/>
              <w:szCs w:val="24"/>
              <w:lang w:val="es-ES"/>
            </w:rPr>
          </w:rPrChange>
        </w:rPr>
        <w:t xml:space="preserve">o un niño o adolescente con AIJs </w:t>
      </w:r>
      <w:r w:rsidR="00F94E5C" w:rsidRPr="00467FFD">
        <w:rPr>
          <w:b/>
          <w:szCs w:val="22"/>
          <w:lang w:val="es-ES"/>
          <w:rPrChange w:id="2533" w:author="AUTHOR">
            <w:rPr>
              <w:b/>
              <w:sz w:val="24"/>
              <w:szCs w:val="24"/>
              <w:lang w:val="es-ES"/>
            </w:rPr>
          </w:rPrChange>
        </w:rPr>
        <w:t xml:space="preserve">perdió u </w:t>
      </w:r>
      <w:r w:rsidRPr="00467FFD">
        <w:rPr>
          <w:b/>
          <w:szCs w:val="22"/>
          <w:lang w:val="es-ES"/>
          <w:rPrChange w:id="2534" w:author="AUTHOR">
            <w:rPr>
              <w:b/>
              <w:sz w:val="24"/>
              <w:szCs w:val="24"/>
              <w:lang w:val="es-ES"/>
            </w:rPr>
          </w:rPrChange>
        </w:rPr>
        <w:t>olvidó una dosis</w:t>
      </w:r>
    </w:p>
    <w:p w14:paraId="3942475A" w14:textId="77777777" w:rsidR="0009589C" w:rsidRPr="0009589C" w:rsidRDefault="0009589C" w:rsidP="00F30AB8">
      <w:pPr>
        <w:keepNext/>
        <w:keepLines/>
        <w:rPr>
          <w:bCs/>
          <w:lang w:val="es-ES_tradnl"/>
        </w:rPr>
      </w:pPr>
      <w:r w:rsidRPr="0009589C">
        <w:rPr>
          <w:bCs/>
          <w:lang w:val="es-ES_tradnl"/>
        </w:rPr>
        <w:t xml:space="preserve">Es muy importante usar RoActemra exactamente </w:t>
      </w:r>
      <w:r w:rsidR="00F94E5C">
        <w:rPr>
          <w:bCs/>
          <w:lang w:val="es-ES_tradnl"/>
        </w:rPr>
        <w:t>como lo prescribe</w:t>
      </w:r>
      <w:r w:rsidRPr="0009589C">
        <w:rPr>
          <w:bCs/>
          <w:lang w:val="es-ES_tradnl"/>
        </w:rPr>
        <w:t xml:space="preserve"> su médico. Mantenga </w:t>
      </w:r>
      <w:r w:rsidR="00F94E5C">
        <w:rPr>
          <w:bCs/>
          <w:lang w:val="es-ES_tradnl"/>
        </w:rPr>
        <w:t xml:space="preserve">el registro de su próxima </w:t>
      </w:r>
      <w:r w:rsidRPr="0009589C">
        <w:rPr>
          <w:bCs/>
          <w:lang w:val="es-ES_tradnl"/>
        </w:rPr>
        <w:t>dosis.</w:t>
      </w:r>
    </w:p>
    <w:p w14:paraId="3EB8170B" w14:textId="77777777" w:rsidR="0009589C" w:rsidRPr="0009589C" w:rsidRDefault="0009589C" w:rsidP="00F30AB8">
      <w:pPr>
        <w:keepNext/>
        <w:keepLines/>
        <w:ind w:left="567" w:hanging="567"/>
        <w:rPr>
          <w:bCs/>
          <w:lang w:val="es-ES_tradnl"/>
        </w:rPr>
      </w:pPr>
      <w:r w:rsidRPr="0009589C">
        <w:rPr>
          <w:bCs/>
          <w:lang w:val="es-ES_tradnl"/>
        </w:rPr>
        <w:t xml:space="preserve">• </w:t>
      </w:r>
      <w:r w:rsidR="0069055D">
        <w:rPr>
          <w:bCs/>
          <w:lang w:val="es-ES_tradnl"/>
        </w:rPr>
        <w:tab/>
      </w:r>
      <w:r w:rsidRPr="0009589C">
        <w:rPr>
          <w:bCs/>
          <w:lang w:val="es-ES_tradnl"/>
        </w:rPr>
        <w:t xml:space="preserve">Si </w:t>
      </w:r>
      <w:r w:rsidR="00F94E5C">
        <w:rPr>
          <w:bCs/>
          <w:lang w:val="es-ES_tradnl"/>
        </w:rPr>
        <w:t xml:space="preserve">usted </w:t>
      </w:r>
      <w:r w:rsidRPr="0009589C">
        <w:rPr>
          <w:bCs/>
          <w:lang w:val="es-ES_tradnl"/>
        </w:rPr>
        <w:t xml:space="preserve">olvida su dosis semanal </w:t>
      </w:r>
      <w:r w:rsidR="00F94E5C">
        <w:rPr>
          <w:bCs/>
          <w:lang w:val="es-ES_tradnl"/>
        </w:rPr>
        <w:t>d</w:t>
      </w:r>
      <w:r w:rsidRPr="0009589C">
        <w:rPr>
          <w:bCs/>
          <w:lang w:val="es-ES_tradnl"/>
        </w:rPr>
        <w:t>en</w:t>
      </w:r>
      <w:r w:rsidR="00F94E5C">
        <w:rPr>
          <w:bCs/>
          <w:lang w:val="es-ES_tradnl"/>
        </w:rPr>
        <w:t>tro</w:t>
      </w:r>
      <w:r w:rsidRPr="0009589C">
        <w:rPr>
          <w:bCs/>
          <w:lang w:val="es-ES_tradnl"/>
        </w:rPr>
        <w:t xml:space="preserve"> de</w:t>
      </w:r>
      <w:r w:rsidR="00F94E5C">
        <w:rPr>
          <w:bCs/>
          <w:lang w:val="es-ES_tradnl"/>
        </w:rPr>
        <w:t xml:space="preserve"> los</w:t>
      </w:r>
      <w:r w:rsidRPr="0009589C">
        <w:rPr>
          <w:bCs/>
          <w:lang w:val="es-ES_tradnl"/>
        </w:rPr>
        <w:t xml:space="preserve"> 7 días, tome su dosis </w:t>
      </w:r>
      <w:r w:rsidR="00F94E5C">
        <w:rPr>
          <w:bCs/>
          <w:lang w:val="es-ES_tradnl"/>
        </w:rPr>
        <w:t xml:space="preserve">en </w:t>
      </w:r>
      <w:r w:rsidRPr="0009589C">
        <w:rPr>
          <w:bCs/>
          <w:lang w:val="es-ES_tradnl"/>
        </w:rPr>
        <w:t>el próximo día programado.</w:t>
      </w:r>
    </w:p>
    <w:p w14:paraId="3758E88C" w14:textId="4A51BF81" w:rsidR="0009589C" w:rsidRPr="0009589C" w:rsidRDefault="0009589C" w:rsidP="0069055D">
      <w:pPr>
        <w:ind w:left="567" w:hanging="567"/>
        <w:rPr>
          <w:bCs/>
          <w:lang w:val="es-ES_tradnl"/>
        </w:rPr>
      </w:pPr>
      <w:r w:rsidRPr="0009589C">
        <w:rPr>
          <w:bCs/>
          <w:lang w:val="es-ES_tradnl"/>
        </w:rPr>
        <w:t xml:space="preserve">• </w:t>
      </w:r>
      <w:r w:rsidR="0069055D">
        <w:rPr>
          <w:bCs/>
          <w:lang w:val="es-ES_tradnl"/>
        </w:rPr>
        <w:tab/>
      </w:r>
      <w:r w:rsidRPr="0009589C">
        <w:rPr>
          <w:bCs/>
          <w:lang w:val="es-ES_tradnl"/>
        </w:rPr>
        <w:t xml:space="preserve">Si </w:t>
      </w:r>
      <w:r w:rsidR="00F94E5C">
        <w:rPr>
          <w:bCs/>
          <w:lang w:val="es-ES_tradnl"/>
        </w:rPr>
        <w:t>usted se olvida de su</w:t>
      </w:r>
      <w:r w:rsidR="005951F7">
        <w:rPr>
          <w:bCs/>
          <w:lang w:val="es-ES_tradnl"/>
        </w:rPr>
        <w:t xml:space="preserve"> dosis de </w:t>
      </w:r>
      <w:ins w:id="2535" w:author="AUTHOR">
        <w:r w:rsidR="00FE70E0">
          <w:rPr>
            <w:bCs/>
            <w:lang w:val="es-ES_tradnl"/>
          </w:rPr>
          <w:t xml:space="preserve">una vez </w:t>
        </w:r>
      </w:ins>
      <w:r w:rsidR="005951F7">
        <w:rPr>
          <w:bCs/>
          <w:lang w:val="es-ES_tradnl"/>
        </w:rPr>
        <w:t>cada dos</w:t>
      </w:r>
      <w:r w:rsidRPr="0009589C">
        <w:rPr>
          <w:bCs/>
          <w:lang w:val="es-ES_tradnl"/>
        </w:rPr>
        <w:t xml:space="preserve"> semanas </w:t>
      </w:r>
      <w:r w:rsidR="00F94E5C">
        <w:rPr>
          <w:bCs/>
          <w:lang w:val="es-ES_tradnl"/>
        </w:rPr>
        <w:t>d</w:t>
      </w:r>
      <w:r w:rsidR="005951F7">
        <w:rPr>
          <w:bCs/>
          <w:lang w:val="es-ES_tradnl"/>
        </w:rPr>
        <w:t>entro</w:t>
      </w:r>
      <w:r w:rsidR="00F94E5C">
        <w:rPr>
          <w:bCs/>
          <w:lang w:val="es-ES_tradnl"/>
        </w:rPr>
        <w:t xml:space="preserve"> de </w:t>
      </w:r>
      <w:r w:rsidR="005951F7">
        <w:rPr>
          <w:bCs/>
          <w:lang w:val="es-ES_tradnl"/>
        </w:rPr>
        <w:t xml:space="preserve">los </w:t>
      </w:r>
      <w:r w:rsidRPr="0009589C">
        <w:rPr>
          <w:bCs/>
          <w:lang w:val="es-ES_tradnl"/>
        </w:rPr>
        <w:t>7 días, inye</w:t>
      </w:r>
      <w:r w:rsidR="00F94E5C">
        <w:rPr>
          <w:bCs/>
          <w:lang w:val="es-ES_tradnl"/>
        </w:rPr>
        <w:t>cte una dosis tan pronto como se</w:t>
      </w:r>
      <w:r w:rsidRPr="0009589C">
        <w:rPr>
          <w:bCs/>
          <w:lang w:val="es-ES_tradnl"/>
        </w:rPr>
        <w:t xml:space="preserve"> </w:t>
      </w:r>
      <w:r w:rsidR="00F94E5C">
        <w:rPr>
          <w:bCs/>
          <w:lang w:val="es-ES_tradnl"/>
        </w:rPr>
        <w:t>acuer</w:t>
      </w:r>
      <w:r w:rsidRPr="0009589C">
        <w:rPr>
          <w:bCs/>
          <w:lang w:val="es-ES_tradnl"/>
        </w:rPr>
        <w:t xml:space="preserve">de y </w:t>
      </w:r>
      <w:r w:rsidR="00DE3BA0">
        <w:rPr>
          <w:bCs/>
          <w:lang w:val="es-ES_tradnl"/>
        </w:rPr>
        <w:t>administre</w:t>
      </w:r>
      <w:r w:rsidRPr="0009589C">
        <w:rPr>
          <w:bCs/>
          <w:lang w:val="es-ES_tradnl"/>
        </w:rPr>
        <w:t xml:space="preserve"> su </w:t>
      </w:r>
      <w:r w:rsidR="00F94E5C">
        <w:rPr>
          <w:bCs/>
          <w:lang w:val="es-ES_tradnl"/>
        </w:rPr>
        <w:t>siguiente</w:t>
      </w:r>
      <w:r w:rsidRPr="0009589C">
        <w:rPr>
          <w:bCs/>
          <w:lang w:val="es-ES_tradnl"/>
        </w:rPr>
        <w:t xml:space="preserve"> dosis </w:t>
      </w:r>
      <w:r w:rsidR="00F94E5C">
        <w:rPr>
          <w:bCs/>
          <w:lang w:val="es-ES_tradnl"/>
        </w:rPr>
        <w:t>según su calendario original.</w:t>
      </w:r>
    </w:p>
    <w:p w14:paraId="68DE1DBF" w14:textId="4C1275F2" w:rsidR="003E3A62" w:rsidRDefault="0009589C" w:rsidP="0069055D">
      <w:pPr>
        <w:ind w:left="567" w:hanging="567"/>
        <w:rPr>
          <w:bCs/>
          <w:lang w:val="es-ES_tradnl"/>
        </w:rPr>
      </w:pPr>
      <w:r w:rsidRPr="0009589C">
        <w:rPr>
          <w:bCs/>
          <w:lang w:val="es-ES_tradnl"/>
        </w:rPr>
        <w:t xml:space="preserve">• </w:t>
      </w:r>
      <w:r w:rsidR="0069055D">
        <w:rPr>
          <w:bCs/>
          <w:lang w:val="es-ES_tradnl"/>
        </w:rPr>
        <w:tab/>
      </w:r>
      <w:r w:rsidRPr="0009589C">
        <w:rPr>
          <w:bCs/>
          <w:lang w:val="es-ES_tradnl"/>
        </w:rPr>
        <w:t xml:space="preserve">Si </w:t>
      </w:r>
      <w:r w:rsidR="00F94E5C">
        <w:rPr>
          <w:bCs/>
          <w:lang w:val="es-ES_tradnl"/>
        </w:rPr>
        <w:t xml:space="preserve">usted olvida su dosis </w:t>
      </w:r>
      <w:ins w:id="2536" w:author="AUTHOR">
        <w:r w:rsidR="00FE70E0">
          <w:rPr>
            <w:bCs/>
            <w:lang w:val="es-ES_tradnl"/>
          </w:rPr>
          <w:t xml:space="preserve">semanal o de una vez cada dos semanas </w:t>
        </w:r>
      </w:ins>
      <w:r w:rsidR="00F94E5C">
        <w:rPr>
          <w:bCs/>
          <w:lang w:val="es-ES_tradnl"/>
        </w:rPr>
        <w:t>durante</w:t>
      </w:r>
      <w:r w:rsidRPr="0009589C">
        <w:rPr>
          <w:bCs/>
          <w:lang w:val="es-ES_tradnl"/>
        </w:rPr>
        <w:t xml:space="preserve"> </w:t>
      </w:r>
      <w:ins w:id="2537" w:author="AUTHOR">
        <w:r w:rsidR="00FE70E0">
          <w:rPr>
            <w:bCs/>
            <w:lang w:val="es-ES_tradnl"/>
          </w:rPr>
          <w:t xml:space="preserve">más de </w:t>
        </w:r>
      </w:ins>
      <w:r w:rsidRPr="0009589C">
        <w:rPr>
          <w:bCs/>
          <w:lang w:val="es-ES_tradnl"/>
        </w:rPr>
        <w:t>7 días</w:t>
      </w:r>
      <w:del w:id="2538" w:author="AUTHOR">
        <w:r w:rsidRPr="0009589C" w:rsidDel="00FE70E0">
          <w:rPr>
            <w:bCs/>
            <w:lang w:val="es-ES_tradnl"/>
          </w:rPr>
          <w:delText xml:space="preserve"> o más</w:delText>
        </w:r>
      </w:del>
      <w:r w:rsidRPr="0009589C">
        <w:rPr>
          <w:bCs/>
          <w:lang w:val="es-ES_tradnl"/>
        </w:rPr>
        <w:t>, o no está seguro de cuándo inyectar</w:t>
      </w:r>
      <w:r w:rsidR="00F94E5C">
        <w:rPr>
          <w:bCs/>
          <w:lang w:val="es-ES_tradnl"/>
        </w:rPr>
        <w:t>se</w:t>
      </w:r>
      <w:r w:rsidRPr="0009589C">
        <w:rPr>
          <w:bCs/>
          <w:lang w:val="es-ES_tradnl"/>
        </w:rPr>
        <w:t xml:space="preserve"> RoActemra, llame a su médico o farmacéutico.</w:t>
      </w:r>
    </w:p>
    <w:p w14:paraId="2C280EE4" w14:textId="77777777" w:rsidR="0009589C" w:rsidRDefault="0009589C" w:rsidP="0009589C">
      <w:pPr>
        <w:rPr>
          <w:bCs/>
          <w:lang w:val="es-ES_tradnl"/>
        </w:rPr>
      </w:pPr>
    </w:p>
    <w:p w14:paraId="17D006E4" w14:textId="77777777" w:rsidR="0009589C" w:rsidRPr="00467FFD" w:rsidRDefault="00F94E5C" w:rsidP="00A50280">
      <w:pPr>
        <w:keepNext/>
        <w:keepLines/>
        <w:rPr>
          <w:b/>
          <w:szCs w:val="22"/>
          <w:lang w:val="es-ES"/>
          <w:rPrChange w:id="2539" w:author="AUTHOR">
            <w:rPr>
              <w:b/>
              <w:sz w:val="24"/>
              <w:szCs w:val="24"/>
              <w:lang w:val="es-ES"/>
            </w:rPr>
          </w:rPrChange>
        </w:rPr>
      </w:pPr>
      <w:r w:rsidRPr="00467FFD">
        <w:rPr>
          <w:b/>
          <w:szCs w:val="22"/>
          <w:lang w:val="es-ES"/>
          <w:rPrChange w:id="2540" w:author="AUTHOR">
            <w:rPr>
              <w:b/>
              <w:sz w:val="24"/>
              <w:szCs w:val="24"/>
              <w:lang w:val="es-ES"/>
            </w:rPr>
          </w:rPrChange>
        </w:rPr>
        <w:t xml:space="preserve">Si un niño o adolescente con </w:t>
      </w:r>
      <w:r w:rsidR="0009589C" w:rsidRPr="00467FFD">
        <w:rPr>
          <w:b/>
          <w:szCs w:val="22"/>
          <w:lang w:val="es-ES"/>
          <w:rPrChange w:id="2541" w:author="AUTHOR">
            <w:rPr>
              <w:b/>
              <w:sz w:val="24"/>
              <w:szCs w:val="24"/>
              <w:lang w:val="es-ES"/>
            </w:rPr>
          </w:rPrChange>
        </w:rPr>
        <w:t>A</w:t>
      </w:r>
      <w:r w:rsidRPr="00467FFD">
        <w:rPr>
          <w:b/>
          <w:szCs w:val="22"/>
          <w:lang w:val="es-ES"/>
          <w:rPrChange w:id="2542" w:author="AUTHOR">
            <w:rPr>
              <w:b/>
              <w:sz w:val="24"/>
              <w:szCs w:val="24"/>
              <w:lang w:val="es-ES"/>
            </w:rPr>
          </w:rPrChange>
        </w:rPr>
        <w:t>IJp</w:t>
      </w:r>
      <w:r w:rsidR="00C26A9F" w:rsidRPr="00467FFD">
        <w:rPr>
          <w:b/>
          <w:szCs w:val="22"/>
          <w:lang w:val="es-ES"/>
          <w:rPrChange w:id="2543" w:author="AUTHOR">
            <w:rPr>
              <w:b/>
              <w:sz w:val="24"/>
              <w:szCs w:val="24"/>
              <w:lang w:val="es-ES"/>
            </w:rPr>
          </w:rPrChange>
        </w:rPr>
        <w:t xml:space="preserve"> perdió u olvidó</w:t>
      </w:r>
      <w:r w:rsidR="0009589C" w:rsidRPr="00467FFD">
        <w:rPr>
          <w:b/>
          <w:szCs w:val="22"/>
          <w:lang w:val="es-ES"/>
          <w:rPrChange w:id="2544" w:author="AUTHOR">
            <w:rPr>
              <w:b/>
              <w:sz w:val="24"/>
              <w:szCs w:val="24"/>
              <w:lang w:val="es-ES"/>
            </w:rPr>
          </w:rPrChange>
        </w:rPr>
        <w:t xml:space="preserve"> una dosis</w:t>
      </w:r>
    </w:p>
    <w:p w14:paraId="22A505F0" w14:textId="77777777" w:rsidR="0009589C" w:rsidRPr="0009589C" w:rsidRDefault="0009589C" w:rsidP="0009589C">
      <w:pPr>
        <w:rPr>
          <w:bCs/>
          <w:lang w:val="es-ES_tradnl"/>
        </w:rPr>
      </w:pPr>
      <w:r w:rsidRPr="0009589C">
        <w:rPr>
          <w:bCs/>
          <w:lang w:val="es-ES_tradnl"/>
        </w:rPr>
        <w:t xml:space="preserve">Es muy importante usar RoActemra </w:t>
      </w:r>
      <w:r w:rsidR="00DE3BA0">
        <w:rPr>
          <w:bCs/>
          <w:lang w:val="es-ES_tradnl"/>
        </w:rPr>
        <w:t>exactamente como lo prescribe el médico. Mantenga el</w:t>
      </w:r>
      <w:r w:rsidRPr="0009589C">
        <w:rPr>
          <w:bCs/>
          <w:lang w:val="es-ES_tradnl"/>
        </w:rPr>
        <w:t xml:space="preserve"> registro de la próxima</w:t>
      </w:r>
      <w:r w:rsidR="00DE3BA0">
        <w:rPr>
          <w:bCs/>
          <w:lang w:val="es-ES_tradnl"/>
        </w:rPr>
        <w:t xml:space="preserve"> </w:t>
      </w:r>
      <w:r w:rsidRPr="0009589C">
        <w:rPr>
          <w:bCs/>
          <w:lang w:val="es-ES_tradnl"/>
        </w:rPr>
        <w:t>dosis.</w:t>
      </w:r>
    </w:p>
    <w:p w14:paraId="2FE18900" w14:textId="77777777" w:rsidR="0009589C" w:rsidRPr="0009589C" w:rsidRDefault="00DE3BA0" w:rsidP="0069055D">
      <w:pPr>
        <w:ind w:left="567" w:hanging="567"/>
        <w:rPr>
          <w:bCs/>
          <w:lang w:val="es-ES_tradnl"/>
        </w:rPr>
      </w:pPr>
      <w:r>
        <w:rPr>
          <w:bCs/>
          <w:lang w:val="es-ES_tradnl"/>
        </w:rPr>
        <w:t xml:space="preserve">• </w:t>
      </w:r>
      <w:r w:rsidR="0069055D">
        <w:rPr>
          <w:bCs/>
          <w:lang w:val="es-ES_tradnl"/>
        </w:rPr>
        <w:tab/>
      </w:r>
      <w:r>
        <w:rPr>
          <w:bCs/>
          <w:lang w:val="es-ES_tradnl"/>
        </w:rPr>
        <w:t>Si olvida una dosis d</w:t>
      </w:r>
      <w:r w:rsidR="00280312">
        <w:rPr>
          <w:bCs/>
          <w:lang w:val="es-ES_tradnl"/>
        </w:rPr>
        <w:t>entro de los</w:t>
      </w:r>
      <w:r w:rsidR="0009589C" w:rsidRPr="0009589C">
        <w:rPr>
          <w:bCs/>
          <w:lang w:val="es-ES_tradnl"/>
        </w:rPr>
        <w:t xml:space="preserve"> 7 días, inyecte una dosis tan </w:t>
      </w:r>
      <w:r>
        <w:rPr>
          <w:bCs/>
          <w:lang w:val="es-ES_tradnl"/>
        </w:rPr>
        <w:t>pronto como se</w:t>
      </w:r>
      <w:r w:rsidR="0009589C" w:rsidRPr="0009589C">
        <w:rPr>
          <w:bCs/>
          <w:lang w:val="es-ES_tradnl"/>
        </w:rPr>
        <w:t xml:space="preserve"> </w:t>
      </w:r>
      <w:r>
        <w:rPr>
          <w:bCs/>
          <w:lang w:val="es-ES_tradnl"/>
        </w:rPr>
        <w:t>acue</w:t>
      </w:r>
      <w:r w:rsidR="0009589C" w:rsidRPr="0009589C">
        <w:rPr>
          <w:bCs/>
          <w:lang w:val="es-ES_tradnl"/>
        </w:rPr>
        <w:t xml:space="preserve">rde y administre la siguiente dosis </w:t>
      </w:r>
      <w:r>
        <w:rPr>
          <w:bCs/>
          <w:lang w:val="es-ES_tradnl"/>
        </w:rPr>
        <w:t>según su calendario original</w:t>
      </w:r>
      <w:r w:rsidR="0009589C" w:rsidRPr="0009589C">
        <w:rPr>
          <w:bCs/>
          <w:lang w:val="es-ES_tradnl"/>
        </w:rPr>
        <w:t>.</w:t>
      </w:r>
    </w:p>
    <w:p w14:paraId="7A51A368" w14:textId="1C6DD43A" w:rsidR="0009589C" w:rsidRDefault="00DE3BA0" w:rsidP="00F30AB8">
      <w:pPr>
        <w:ind w:left="567" w:hanging="567"/>
        <w:rPr>
          <w:bCs/>
          <w:lang w:val="es-ES_tradnl"/>
        </w:rPr>
      </w:pPr>
      <w:r>
        <w:rPr>
          <w:bCs/>
          <w:lang w:val="es-ES_tradnl"/>
        </w:rPr>
        <w:t xml:space="preserve">• </w:t>
      </w:r>
      <w:r w:rsidR="0069055D">
        <w:rPr>
          <w:bCs/>
          <w:lang w:val="es-ES_tradnl"/>
        </w:rPr>
        <w:tab/>
      </w:r>
      <w:r>
        <w:rPr>
          <w:bCs/>
          <w:lang w:val="es-ES_tradnl"/>
        </w:rPr>
        <w:t>Si olvida una dosis du</w:t>
      </w:r>
      <w:r w:rsidR="0009589C" w:rsidRPr="0009589C">
        <w:rPr>
          <w:bCs/>
          <w:lang w:val="es-ES_tradnl"/>
        </w:rPr>
        <w:t>r</w:t>
      </w:r>
      <w:r>
        <w:rPr>
          <w:bCs/>
          <w:lang w:val="es-ES_tradnl"/>
        </w:rPr>
        <w:t>ante</w:t>
      </w:r>
      <w:r w:rsidR="0009589C" w:rsidRPr="0009589C">
        <w:rPr>
          <w:bCs/>
          <w:lang w:val="es-ES_tradnl"/>
        </w:rPr>
        <w:t xml:space="preserve"> </w:t>
      </w:r>
      <w:ins w:id="2545" w:author="AUTHOR">
        <w:r w:rsidR="00806EEE">
          <w:rPr>
            <w:bCs/>
            <w:lang w:val="es-ES_tradnl"/>
          </w:rPr>
          <w:t xml:space="preserve">más de </w:t>
        </w:r>
      </w:ins>
      <w:r w:rsidR="0009589C" w:rsidRPr="0009589C">
        <w:rPr>
          <w:bCs/>
          <w:lang w:val="es-ES_tradnl"/>
        </w:rPr>
        <w:t>7 días</w:t>
      </w:r>
      <w:del w:id="2546" w:author="AUTHOR">
        <w:r w:rsidR="0009589C" w:rsidRPr="0009589C" w:rsidDel="00806EEE">
          <w:rPr>
            <w:bCs/>
            <w:lang w:val="es-ES_tradnl"/>
          </w:rPr>
          <w:delText xml:space="preserve"> o más</w:delText>
        </w:r>
      </w:del>
      <w:r w:rsidR="0009589C" w:rsidRPr="0009589C">
        <w:rPr>
          <w:bCs/>
          <w:lang w:val="es-ES_tradnl"/>
        </w:rPr>
        <w:t>, o no está seguro de cuándo inyectar</w:t>
      </w:r>
      <w:r>
        <w:rPr>
          <w:bCs/>
          <w:lang w:val="es-ES_tradnl"/>
        </w:rPr>
        <w:t>se RoActemra, llame al</w:t>
      </w:r>
      <w:r w:rsidR="0009589C" w:rsidRPr="0009589C">
        <w:rPr>
          <w:bCs/>
          <w:lang w:val="es-ES_tradnl"/>
        </w:rPr>
        <w:t xml:space="preserve"> médico o al farmacéutico.</w:t>
      </w:r>
    </w:p>
    <w:p w14:paraId="28F6C7E4" w14:textId="77777777" w:rsidR="0009589C" w:rsidRPr="00F22672" w:rsidRDefault="0009589C" w:rsidP="0009589C">
      <w:pPr>
        <w:rPr>
          <w:bCs/>
          <w:lang w:val="es-ES_tradnl"/>
        </w:rPr>
      </w:pPr>
    </w:p>
    <w:p w14:paraId="1E5F3A17" w14:textId="77777777" w:rsidR="003E3A62" w:rsidRPr="006868F5" w:rsidRDefault="003E3A62" w:rsidP="00D75946">
      <w:pPr>
        <w:keepNext/>
        <w:keepLines/>
        <w:rPr>
          <w:b/>
          <w:szCs w:val="22"/>
          <w:lang w:val="es-ES"/>
        </w:rPr>
      </w:pPr>
      <w:r w:rsidRPr="006868F5">
        <w:rPr>
          <w:b/>
          <w:szCs w:val="22"/>
          <w:lang w:val="es-ES"/>
        </w:rPr>
        <w:t>Si interrumpe el tratamiento con RoActemra</w:t>
      </w:r>
    </w:p>
    <w:p w14:paraId="46444A0A" w14:textId="77777777" w:rsidR="003E3A62" w:rsidRPr="00F22672" w:rsidRDefault="003E3A62" w:rsidP="003E3A62">
      <w:pPr>
        <w:rPr>
          <w:bCs/>
          <w:lang w:val="es-ES_tradnl"/>
        </w:rPr>
      </w:pPr>
      <w:r w:rsidRPr="00F22672">
        <w:rPr>
          <w:bCs/>
          <w:lang w:val="es-ES_tradnl"/>
        </w:rPr>
        <w:t>No debe detener el tratamiento con RoActemra sin consultárselo a su médico previamente.</w:t>
      </w:r>
    </w:p>
    <w:p w14:paraId="44D938A0" w14:textId="77777777" w:rsidR="003E3A62" w:rsidRPr="00F22672" w:rsidRDefault="003E3A62" w:rsidP="003E3A62">
      <w:pPr>
        <w:rPr>
          <w:lang w:val="es-ES"/>
        </w:rPr>
      </w:pPr>
    </w:p>
    <w:p w14:paraId="5C5E278B" w14:textId="77777777" w:rsidR="003E3A62" w:rsidRPr="00F22672" w:rsidRDefault="003E3A62" w:rsidP="003E3A62">
      <w:pPr>
        <w:rPr>
          <w:lang w:val="es-ES"/>
        </w:rPr>
      </w:pPr>
      <w:r w:rsidRPr="00F22672">
        <w:rPr>
          <w:lang w:val="es-ES_tradnl"/>
        </w:rPr>
        <w:t xml:space="preserve">Si tiene cualquier otra duda sobre el uso de este medicamento, </w:t>
      </w:r>
      <w:r w:rsidRPr="00F22672">
        <w:rPr>
          <w:bCs/>
          <w:lang w:val="es-ES_tradnl"/>
        </w:rPr>
        <w:t>pregunte a su médico, farmacéutico o enfermero</w:t>
      </w:r>
      <w:r w:rsidRPr="00F22672">
        <w:rPr>
          <w:lang w:val="es-ES_tradnl"/>
        </w:rPr>
        <w:t>.</w:t>
      </w:r>
    </w:p>
    <w:p w14:paraId="231FDC09" w14:textId="77777777" w:rsidR="003E3A62" w:rsidRPr="00F22672" w:rsidRDefault="003E3A62" w:rsidP="003E3A62">
      <w:pPr>
        <w:rPr>
          <w:lang w:val="es-ES"/>
        </w:rPr>
      </w:pPr>
    </w:p>
    <w:p w14:paraId="18490543" w14:textId="77777777" w:rsidR="003E3A62" w:rsidRPr="00F22672" w:rsidRDefault="003E3A62" w:rsidP="003E3A62">
      <w:pPr>
        <w:rPr>
          <w:lang w:val="es-ES"/>
        </w:rPr>
      </w:pPr>
    </w:p>
    <w:p w14:paraId="445B9376" w14:textId="77777777" w:rsidR="003E3A62" w:rsidRPr="00FF2AFA" w:rsidRDefault="003E3A62" w:rsidP="00C636EA">
      <w:pPr>
        <w:rPr>
          <w:b/>
          <w:szCs w:val="22"/>
          <w:lang w:val="es-ES"/>
        </w:rPr>
      </w:pPr>
      <w:r w:rsidRPr="00FF2AFA">
        <w:rPr>
          <w:b/>
          <w:szCs w:val="22"/>
          <w:lang w:val="es-ES"/>
        </w:rPr>
        <w:t>4.</w:t>
      </w:r>
      <w:r w:rsidRPr="00FF2AFA">
        <w:rPr>
          <w:b/>
          <w:szCs w:val="22"/>
          <w:lang w:val="es-ES"/>
        </w:rPr>
        <w:tab/>
        <w:t>Posibles efectos adversos</w:t>
      </w:r>
    </w:p>
    <w:p w14:paraId="0834F195" w14:textId="77777777" w:rsidR="003E3A62" w:rsidRPr="00F22672" w:rsidRDefault="003E3A62" w:rsidP="003E3A62">
      <w:pPr>
        <w:rPr>
          <w:lang w:val="es-ES"/>
        </w:rPr>
      </w:pPr>
    </w:p>
    <w:p w14:paraId="7224A131" w14:textId="77777777" w:rsidR="003E3A62" w:rsidRPr="00F22672" w:rsidRDefault="003E3A62" w:rsidP="003E3A62">
      <w:pPr>
        <w:rPr>
          <w:lang w:val="es-ES"/>
        </w:rPr>
      </w:pPr>
      <w:r w:rsidRPr="00F22672">
        <w:rPr>
          <w:lang w:val="es-ES_tradnl"/>
        </w:rPr>
        <w:t>Al igual que todos los medicamentos, este medicamento puede producir efectos adversos, aunque no todas las personas los</w:t>
      </w:r>
      <w:r w:rsidRPr="00F22672">
        <w:rPr>
          <w:lang w:val="es-ES"/>
        </w:rPr>
        <w:t xml:space="preserve"> </w:t>
      </w:r>
      <w:r w:rsidRPr="00F22672">
        <w:rPr>
          <w:lang w:val="es-ES_tradnl"/>
        </w:rPr>
        <w:t>sufran.</w:t>
      </w:r>
      <w:r w:rsidRPr="00F22672">
        <w:rPr>
          <w:lang w:val="es-ES"/>
        </w:rPr>
        <w:t xml:space="preserve"> </w:t>
      </w:r>
    </w:p>
    <w:p w14:paraId="0248BA42" w14:textId="77777777" w:rsidR="003E3A62" w:rsidRPr="00F22672" w:rsidRDefault="003E3A62" w:rsidP="003E3A62">
      <w:pPr>
        <w:rPr>
          <w:lang w:val="es-ES"/>
        </w:rPr>
      </w:pPr>
      <w:r w:rsidRPr="00F22672">
        <w:rPr>
          <w:lang w:val="es-ES"/>
        </w:rPr>
        <w:t>Los efectos adversos pueden ocurrir hasta al menos 3 meses después de su última dosis de RoActemra.</w:t>
      </w:r>
    </w:p>
    <w:p w14:paraId="3B1E275B" w14:textId="77777777" w:rsidR="003E3A62" w:rsidRPr="00F22672" w:rsidRDefault="003E3A62" w:rsidP="003E3A62">
      <w:pPr>
        <w:rPr>
          <w:lang w:val="es-ES"/>
        </w:rPr>
      </w:pPr>
    </w:p>
    <w:p w14:paraId="0ED89C70" w14:textId="77777777" w:rsidR="003E3A62" w:rsidRPr="006868F5" w:rsidRDefault="003E3A62" w:rsidP="00D75946">
      <w:pPr>
        <w:keepNext/>
        <w:keepLines/>
        <w:rPr>
          <w:b/>
          <w:szCs w:val="22"/>
          <w:lang w:val="es-ES"/>
        </w:rPr>
      </w:pPr>
      <w:r w:rsidRPr="006868F5">
        <w:rPr>
          <w:b/>
          <w:szCs w:val="22"/>
          <w:lang w:val="es-ES"/>
        </w:rPr>
        <w:t>Posibles efectos adversos graves: consulte con su médico</w:t>
      </w:r>
      <w:r w:rsidR="00846DD6" w:rsidRPr="006868F5">
        <w:rPr>
          <w:b/>
          <w:szCs w:val="22"/>
          <w:lang w:val="es-ES"/>
        </w:rPr>
        <w:t xml:space="preserve"> inmediatamente</w:t>
      </w:r>
      <w:r w:rsidRPr="006868F5">
        <w:rPr>
          <w:b/>
          <w:szCs w:val="22"/>
          <w:lang w:val="es-ES"/>
        </w:rPr>
        <w:t xml:space="preserve">. </w:t>
      </w:r>
    </w:p>
    <w:p w14:paraId="26F63F05" w14:textId="77777777" w:rsidR="0069055D" w:rsidRPr="00F30AB8" w:rsidRDefault="0069055D" w:rsidP="00827461">
      <w:pPr>
        <w:rPr>
          <w:iCs/>
          <w:lang w:val="es-ES"/>
        </w:rPr>
      </w:pPr>
      <w:r w:rsidRPr="00F30AB8">
        <w:rPr>
          <w:iCs/>
          <w:lang w:val="es-ES"/>
        </w:rPr>
        <w:t xml:space="preserve">Consulte con su médico </w:t>
      </w:r>
      <w:r w:rsidRPr="00F30AB8">
        <w:rPr>
          <w:b/>
          <w:bCs/>
          <w:iCs/>
          <w:lang w:val="es-ES"/>
        </w:rPr>
        <w:t>inmediatamente</w:t>
      </w:r>
      <w:r w:rsidRPr="00F30AB8">
        <w:rPr>
          <w:iCs/>
          <w:lang w:val="es-ES"/>
        </w:rPr>
        <w:t xml:space="preserve"> si experimenta alguno de los siguientes efectos adversos:</w:t>
      </w:r>
    </w:p>
    <w:p w14:paraId="4FDC5D7C" w14:textId="77777777" w:rsidR="00827461" w:rsidRPr="00F22672" w:rsidRDefault="00827461" w:rsidP="00827461">
      <w:pPr>
        <w:rPr>
          <w:i/>
          <w:lang w:val="es-ES_tradnl"/>
        </w:rPr>
      </w:pPr>
      <w:r w:rsidRPr="00F22672">
        <w:rPr>
          <w:i/>
          <w:lang w:val="es-ES"/>
        </w:rPr>
        <w:t xml:space="preserve">Estos son frecuentes: </w:t>
      </w:r>
      <w:r w:rsidRPr="00F22672">
        <w:rPr>
          <w:i/>
          <w:lang w:val="es-ES_tradnl"/>
        </w:rPr>
        <w:t xml:space="preserve">Pueden afectar </w:t>
      </w:r>
      <w:r w:rsidR="00372726" w:rsidRPr="00F22672">
        <w:rPr>
          <w:i/>
          <w:lang w:val="es-ES_tradnl"/>
        </w:rPr>
        <w:t>hasta</w:t>
      </w:r>
      <w:r w:rsidRPr="00F22672">
        <w:rPr>
          <w:i/>
          <w:lang w:val="es-ES_tradnl"/>
        </w:rPr>
        <w:t xml:space="preserve"> de 1 de cada 10 pacientes</w:t>
      </w:r>
    </w:p>
    <w:p w14:paraId="53FB4080" w14:textId="77777777" w:rsidR="00827461" w:rsidRPr="00F22672" w:rsidRDefault="00827461" w:rsidP="003E3A62">
      <w:pPr>
        <w:rPr>
          <w:lang w:val="es-ES_tradnl"/>
        </w:rPr>
      </w:pPr>
    </w:p>
    <w:p w14:paraId="68E66243" w14:textId="77777777" w:rsidR="003E3A62" w:rsidRPr="00F22672" w:rsidRDefault="003E3A62" w:rsidP="003E3A62">
      <w:pPr>
        <w:ind w:left="567" w:hanging="567"/>
        <w:rPr>
          <w:lang w:val="es-ES"/>
        </w:rPr>
      </w:pPr>
      <w:r w:rsidRPr="006868F5">
        <w:rPr>
          <w:b/>
          <w:szCs w:val="22"/>
          <w:lang w:val="es-ES"/>
        </w:rPr>
        <w:t>Reacciones alérgicas</w:t>
      </w:r>
      <w:r w:rsidRPr="00F22672">
        <w:rPr>
          <w:lang w:val="es-ES"/>
        </w:rPr>
        <w:t xml:space="preserve"> durante o después de la inyección:</w:t>
      </w:r>
    </w:p>
    <w:p w14:paraId="69549687" w14:textId="77777777" w:rsidR="003E3A62" w:rsidRPr="00F22672" w:rsidRDefault="000F12C4" w:rsidP="000F12C4">
      <w:pPr>
        <w:ind w:left="562" w:hanging="562"/>
        <w:rPr>
          <w:lang w:val="es-ES"/>
        </w:rPr>
      </w:pPr>
      <w:r w:rsidRPr="00F22672">
        <w:rPr>
          <w:lang w:val="es-ES"/>
        </w:rPr>
        <w:sym w:font="Symbol" w:char="F0B7"/>
      </w:r>
      <w:r w:rsidRPr="00F22672">
        <w:rPr>
          <w:noProof/>
          <w:lang w:val="es-ES"/>
        </w:rPr>
        <w:tab/>
      </w:r>
      <w:r w:rsidR="003E3A62" w:rsidRPr="00F22672">
        <w:rPr>
          <w:lang w:val="es-ES_tradnl"/>
        </w:rPr>
        <w:t xml:space="preserve">dificultad para respirar, </w:t>
      </w:r>
      <w:r w:rsidR="00F37655">
        <w:rPr>
          <w:lang w:val="es-ES_tradnl"/>
        </w:rPr>
        <w:t>o</w:t>
      </w:r>
      <w:r w:rsidR="003E3A62" w:rsidRPr="00F22672">
        <w:rPr>
          <w:lang w:val="es-ES_tradnl"/>
        </w:rPr>
        <w:t>presión torácica o aturdimiento</w:t>
      </w:r>
    </w:p>
    <w:p w14:paraId="6D1FB259" w14:textId="77777777" w:rsidR="003E3A62" w:rsidRPr="00F22672" w:rsidRDefault="000F12C4" w:rsidP="000F12C4">
      <w:pPr>
        <w:ind w:left="562" w:hanging="562"/>
        <w:rPr>
          <w:lang w:val="es-ES"/>
        </w:rPr>
      </w:pPr>
      <w:r w:rsidRPr="00F22672">
        <w:rPr>
          <w:lang w:val="es-ES"/>
        </w:rPr>
        <w:sym w:font="Symbol" w:char="F0B7"/>
      </w:r>
      <w:r w:rsidRPr="00F22672">
        <w:rPr>
          <w:noProof/>
          <w:lang w:val="es-ES"/>
        </w:rPr>
        <w:tab/>
      </w:r>
      <w:r w:rsidR="003E3A62" w:rsidRPr="00F22672">
        <w:rPr>
          <w:lang w:val="es-ES_tradnl"/>
        </w:rPr>
        <w:t xml:space="preserve">erupción cutánea, </w:t>
      </w:r>
      <w:r w:rsidR="00D20444" w:rsidRPr="00F22672">
        <w:rPr>
          <w:lang w:val="es-ES_tradnl"/>
        </w:rPr>
        <w:t>picor,</w:t>
      </w:r>
      <w:r w:rsidR="003E3A62" w:rsidRPr="00F22672">
        <w:rPr>
          <w:lang w:val="es-ES_tradnl"/>
        </w:rPr>
        <w:t xml:space="preserve"> ronchas, hinchazón de los labios, lengua o cara</w:t>
      </w:r>
    </w:p>
    <w:p w14:paraId="340AFEFE" w14:textId="77777777" w:rsidR="003E3A62" w:rsidRPr="00F22672" w:rsidRDefault="003E3A62" w:rsidP="00F30AB8">
      <w:pPr>
        <w:jc w:val="both"/>
        <w:rPr>
          <w:lang w:val="es-ES"/>
        </w:rPr>
      </w:pPr>
    </w:p>
    <w:p w14:paraId="24E531D6" w14:textId="77777777" w:rsidR="003E3A62" w:rsidRPr="006868F5" w:rsidRDefault="00827461" w:rsidP="003E3A62">
      <w:pPr>
        <w:rPr>
          <w:b/>
          <w:szCs w:val="22"/>
          <w:lang w:val="es-ES"/>
        </w:rPr>
      </w:pPr>
      <w:r w:rsidRPr="006868F5">
        <w:rPr>
          <w:b/>
          <w:szCs w:val="22"/>
          <w:lang w:val="es-ES"/>
        </w:rPr>
        <w:t>Signos de i</w:t>
      </w:r>
      <w:r w:rsidR="003E3A62" w:rsidRPr="006868F5">
        <w:rPr>
          <w:b/>
          <w:szCs w:val="22"/>
          <w:lang w:val="es-ES"/>
        </w:rPr>
        <w:t>nfecciones</w:t>
      </w:r>
      <w:r w:rsidRPr="006868F5">
        <w:rPr>
          <w:b/>
          <w:szCs w:val="22"/>
          <w:lang w:val="es-ES"/>
        </w:rPr>
        <w:t xml:space="preserve"> graves</w:t>
      </w:r>
      <w:r w:rsidR="00D179AF" w:rsidRPr="006868F5">
        <w:rPr>
          <w:b/>
          <w:szCs w:val="22"/>
          <w:lang w:val="es-ES"/>
        </w:rPr>
        <w:t>:</w:t>
      </w:r>
      <w:r w:rsidR="003E3A62" w:rsidRPr="006868F5">
        <w:rPr>
          <w:b/>
          <w:szCs w:val="22"/>
          <w:lang w:val="es-ES"/>
        </w:rPr>
        <w:t xml:space="preserve"> </w:t>
      </w:r>
    </w:p>
    <w:p w14:paraId="07B5B73C"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fiebre y escalofríos</w:t>
      </w:r>
    </w:p>
    <w:p w14:paraId="61434020" w14:textId="77777777" w:rsidR="003E3A62" w:rsidRPr="00F2267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ampollas en la boca o la piel</w:t>
      </w:r>
    </w:p>
    <w:p w14:paraId="6C0008D4" w14:textId="77777777" w:rsidR="003E3A62" w:rsidRDefault="003E3A62" w:rsidP="003E3A62">
      <w:pPr>
        <w:ind w:left="567" w:hanging="567"/>
        <w:rPr>
          <w:lang w:val="es-ES_tradnl"/>
        </w:rPr>
      </w:pPr>
      <w:r w:rsidRPr="00F22672">
        <w:rPr>
          <w:lang w:val="es-ES"/>
        </w:rPr>
        <w:sym w:font="Symbol" w:char="F0B7"/>
      </w:r>
      <w:r w:rsidRPr="00F22672">
        <w:rPr>
          <w:noProof/>
          <w:lang w:val="es-ES"/>
        </w:rPr>
        <w:tab/>
      </w:r>
      <w:r w:rsidRPr="00F22672">
        <w:rPr>
          <w:lang w:val="es-ES_tradnl"/>
        </w:rPr>
        <w:t>dolor de estómago</w:t>
      </w:r>
    </w:p>
    <w:p w14:paraId="585F9ADC" w14:textId="77777777" w:rsidR="00F8551A" w:rsidRDefault="00F8551A" w:rsidP="003E3A62">
      <w:pPr>
        <w:ind w:left="567" w:hanging="567"/>
        <w:rPr>
          <w:lang w:val="es-ES_tradnl"/>
        </w:rPr>
      </w:pPr>
    </w:p>
    <w:p w14:paraId="66C4CED9" w14:textId="77777777" w:rsidR="00F8551A" w:rsidRDefault="00F8551A" w:rsidP="003E3A62">
      <w:pPr>
        <w:ind w:left="567" w:hanging="567"/>
        <w:rPr>
          <w:b/>
          <w:lang w:val="es-ES_tradnl"/>
        </w:rPr>
      </w:pPr>
      <w:r>
        <w:rPr>
          <w:b/>
          <w:lang w:val="es-ES_tradnl"/>
        </w:rPr>
        <w:t>Signos y síntomas de toxicidad hepática</w:t>
      </w:r>
    </w:p>
    <w:p w14:paraId="27404E60" w14:textId="77777777" w:rsidR="00F8551A" w:rsidRDefault="00F8551A" w:rsidP="003E3A62">
      <w:pPr>
        <w:ind w:left="567" w:hanging="567"/>
        <w:rPr>
          <w:i/>
          <w:lang w:val="es-ES_tradnl"/>
        </w:rPr>
      </w:pPr>
      <w:r>
        <w:rPr>
          <w:i/>
          <w:lang w:val="es-ES_tradnl"/>
        </w:rPr>
        <w:t>Pueden afectar hasta 1 de cada 1.000 pacientes</w:t>
      </w:r>
    </w:p>
    <w:p w14:paraId="690B6FCC" w14:textId="77777777" w:rsidR="00F8551A" w:rsidRPr="00EF2448" w:rsidRDefault="00B27F09" w:rsidP="002E6CA5">
      <w:pPr>
        <w:ind w:left="567" w:hanging="567"/>
        <w:rPr>
          <w:lang w:val="es-ES_tradnl"/>
        </w:rPr>
      </w:pPr>
      <w:r w:rsidRPr="00F22672">
        <w:rPr>
          <w:lang w:val="es-ES"/>
        </w:rPr>
        <w:sym w:font="Symbol" w:char="F0B7"/>
      </w:r>
      <w:r w:rsidRPr="00F22672">
        <w:rPr>
          <w:noProof/>
          <w:lang w:val="es-ES"/>
        </w:rPr>
        <w:tab/>
      </w:r>
      <w:r w:rsidR="00B53C13" w:rsidRPr="00C43B95">
        <w:rPr>
          <w:lang w:val="es-ES_tradnl"/>
        </w:rPr>
        <w:t>c</w:t>
      </w:r>
      <w:r w:rsidR="00F8551A" w:rsidRPr="00EF2448">
        <w:rPr>
          <w:lang w:val="es-ES_tradnl"/>
        </w:rPr>
        <w:t>ansancio</w:t>
      </w:r>
    </w:p>
    <w:p w14:paraId="76CCC46A" w14:textId="77777777" w:rsidR="00F8551A" w:rsidRPr="00EF2448" w:rsidRDefault="00B27F09" w:rsidP="002E6CA5">
      <w:pPr>
        <w:ind w:left="567" w:hanging="567"/>
        <w:rPr>
          <w:lang w:val="es-ES_tradnl"/>
        </w:rPr>
      </w:pPr>
      <w:r w:rsidRPr="00F22672">
        <w:rPr>
          <w:lang w:val="es-ES"/>
        </w:rPr>
        <w:sym w:font="Symbol" w:char="F0B7"/>
      </w:r>
      <w:r w:rsidRPr="00F22672">
        <w:rPr>
          <w:noProof/>
          <w:lang w:val="es-ES"/>
        </w:rPr>
        <w:tab/>
      </w:r>
      <w:r w:rsidR="00B53C13" w:rsidRPr="00C43B95">
        <w:rPr>
          <w:lang w:val="es-ES_tradnl"/>
        </w:rPr>
        <w:t>d</w:t>
      </w:r>
      <w:r w:rsidR="00F8551A" w:rsidRPr="00EF2448">
        <w:rPr>
          <w:lang w:val="es-ES_tradnl"/>
        </w:rPr>
        <w:t>olor abdominal</w:t>
      </w:r>
    </w:p>
    <w:p w14:paraId="28981883" w14:textId="77777777" w:rsidR="00F8551A" w:rsidRPr="00C43B95" w:rsidRDefault="00B27F09" w:rsidP="002E6CA5">
      <w:pPr>
        <w:ind w:left="567" w:hanging="567"/>
        <w:rPr>
          <w:lang w:val="es-ES_tradnl"/>
        </w:rPr>
      </w:pPr>
      <w:r w:rsidRPr="00F22672">
        <w:rPr>
          <w:lang w:val="es-ES"/>
        </w:rPr>
        <w:sym w:font="Symbol" w:char="F0B7"/>
      </w:r>
      <w:r w:rsidRPr="00F22672">
        <w:rPr>
          <w:noProof/>
          <w:lang w:val="es-ES"/>
        </w:rPr>
        <w:tab/>
      </w:r>
      <w:r w:rsidR="00B53C13" w:rsidRPr="00C43B95">
        <w:rPr>
          <w:lang w:val="es-ES_tradnl"/>
        </w:rPr>
        <w:t>i</w:t>
      </w:r>
      <w:r w:rsidR="00F8551A" w:rsidRPr="00EF2448">
        <w:rPr>
          <w:lang w:val="es-ES_tradnl"/>
        </w:rPr>
        <w:t>ctericia (</w:t>
      </w:r>
      <w:r w:rsidR="00B53C13">
        <w:rPr>
          <w:lang w:val="es-ES_tradnl"/>
        </w:rPr>
        <w:t>de</w:t>
      </w:r>
      <w:r w:rsidR="00F8551A" w:rsidRPr="00EF2448">
        <w:rPr>
          <w:lang w:val="es-ES_tradnl"/>
        </w:rPr>
        <w:t>coloración amarillenta de piel u ojos)</w:t>
      </w:r>
    </w:p>
    <w:p w14:paraId="6DF112C2" w14:textId="77777777" w:rsidR="003E3A62" w:rsidRPr="00F22672" w:rsidRDefault="003E3A62" w:rsidP="003E3A62">
      <w:pPr>
        <w:ind w:left="567" w:hanging="567"/>
        <w:rPr>
          <w:lang w:val="es-ES"/>
        </w:rPr>
      </w:pPr>
    </w:p>
    <w:p w14:paraId="54698D05" w14:textId="77777777" w:rsidR="0069055D" w:rsidRPr="00F30AB8" w:rsidRDefault="0069055D" w:rsidP="003E3A62">
      <w:pPr>
        <w:rPr>
          <w:b/>
          <w:bCs/>
          <w:lang w:val="es-ES"/>
        </w:rPr>
      </w:pPr>
      <w:r w:rsidRPr="00F30AB8">
        <w:rPr>
          <w:b/>
          <w:bCs/>
          <w:lang w:val="es-ES"/>
        </w:rPr>
        <w:t>Lista de otros posibles efectos adversos</w:t>
      </w:r>
    </w:p>
    <w:p w14:paraId="7053CC0F" w14:textId="77777777" w:rsidR="003E3A62" w:rsidRPr="00F22672" w:rsidRDefault="003E3A62" w:rsidP="003E3A62">
      <w:pPr>
        <w:rPr>
          <w:b/>
          <w:lang w:val="es-ES"/>
        </w:rPr>
      </w:pPr>
      <w:r w:rsidRPr="00F22672">
        <w:rPr>
          <w:lang w:val="es-ES"/>
        </w:rPr>
        <w:t xml:space="preserve">Si nota alguno de estos síntomas, avise a su médico </w:t>
      </w:r>
      <w:r w:rsidR="007C4F7A">
        <w:rPr>
          <w:b/>
          <w:lang w:val="es-ES"/>
        </w:rPr>
        <w:t>lo antes posibl</w:t>
      </w:r>
      <w:r w:rsidR="007C4F7A" w:rsidRPr="00F22672">
        <w:rPr>
          <w:b/>
          <w:lang w:val="es-ES"/>
        </w:rPr>
        <w:t>e</w:t>
      </w:r>
      <w:r w:rsidRPr="00F22672">
        <w:rPr>
          <w:b/>
          <w:lang w:val="es-ES"/>
        </w:rPr>
        <w:t>.</w:t>
      </w:r>
    </w:p>
    <w:p w14:paraId="59C85415" w14:textId="77777777" w:rsidR="003E3A62" w:rsidRPr="00F22672" w:rsidRDefault="003E3A62" w:rsidP="003E3A62">
      <w:pPr>
        <w:rPr>
          <w:b/>
          <w:lang w:val="es-ES"/>
        </w:rPr>
      </w:pPr>
    </w:p>
    <w:p w14:paraId="754E948C" w14:textId="77777777" w:rsidR="003E3A62" w:rsidRPr="006868F5" w:rsidRDefault="003E3A62" w:rsidP="006868F5">
      <w:pPr>
        <w:keepNext/>
        <w:rPr>
          <w:b/>
          <w:szCs w:val="22"/>
          <w:lang w:val="es-ES"/>
        </w:rPr>
      </w:pPr>
      <w:r w:rsidRPr="006868F5">
        <w:rPr>
          <w:b/>
          <w:szCs w:val="22"/>
          <w:lang w:val="es-ES"/>
        </w:rPr>
        <w:t xml:space="preserve">Efectos adversos muy frecuentes: </w:t>
      </w:r>
    </w:p>
    <w:p w14:paraId="62A5C6C7" w14:textId="77777777" w:rsidR="003E3A62" w:rsidRPr="00F22672" w:rsidRDefault="003E3A62" w:rsidP="006868F5">
      <w:pPr>
        <w:keepNext/>
        <w:rPr>
          <w:i/>
          <w:lang w:val="es-ES_tradnl"/>
        </w:rPr>
      </w:pPr>
      <w:r w:rsidRPr="00F22672">
        <w:rPr>
          <w:i/>
          <w:lang w:val="es-ES_tradnl"/>
        </w:rPr>
        <w:t>Pueden afectar a más de 1 de cada 10 pacientes</w:t>
      </w:r>
    </w:p>
    <w:p w14:paraId="0CC7AD51" w14:textId="77777777" w:rsidR="003E3A62" w:rsidRPr="00F22672" w:rsidRDefault="003E3A62" w:rsidP="002E6CA5">
      <w:pPr>
        <w:ind w:left="709" w:hanging="709"/>
        <w:rPr>
          <w:b/>
          <w:bCs/>
          <w:lang w:val="es-ES"/>
        </w:rPr>
      </w:pPr>
      <w:r w:rsidRPr="00F22672">
        <w:rPr>
          <w:lang w:val="es-ES"/>
        </w:rPr>
        <w:sym w:font="Symbol" w:char="F0B7"/>
      </w:r>
      <w:r w:rsidRPr="00F22672">
        <w:rPr>
          <w:lang w:val="es-ES"/>
        </w:rPr>
        <w:tab/>
      </w:r>
      <w:r w:rsidRPr="00F22672">
        <w:rPr>
          <w:bCs/>
          <w:lang w:val="es-ES_tradnl"/>
        </w:rPr>
        <w:t>infecciones de las vías respiratorias superiores, con síntomas típicos como tos, congestión nasal, moqueo, dolor de garganta y dolor de cabeza</w:t>
      </w:r>
    </w:p>
    <w:p w14:paraId="6350BAEA" w14:textId="77777777" w:rsidR="003E3A62" w:rsidRDefault="003E3A62" w:rsidP="002E6CA5">
      <w:pPr>
        <w:ind w:left="709" w:hanging="709"/>
        <w:rPr>
          <w:bCs/>
          <w:lang w:val="es-ES_tradnl"/>
        </w:rPr>
      </w:pPr>
      <w:r w:rsidRPr="00F22672">
        <w:rPr>
          <w:lang w:val="es-ES"/>
        </w:rPr>
        <w:lastRenderedPageBreak/>
        <w:sym w:font="Symbol" w:char="F0B7"/>
      </w:r>
      <w:r w:rsidRPr="00F22672">
        <w:rPr>
          <w:lang w:val="es-ES"/>
        </w:rPr>
        <w:tab/>
      </w:r>
      <w:r w:rsidRPr="00F22672">
        <w:rPr>
          <w:bCs/>
          <w:lang w:val="es-ES_tradnl"/>
        </w:rPr>
        <w:t>niveles altos de grasa en sangre (colesterol)</w:t>
      </w:r>
    </w:p>
    <w:p w14:paraId="2B1F8F95" w14:textId="77777777" w:rsidR="0009589C" w:rsidRPr="006616E4" w:rsidRDefault="00A1715E" w:rsidP="002E6CA5">
      <w:pPr>
        <w:ind w:left="709" w:hanging="709"/>
        <w:rPr>
          <w:lang w:val="es-ES"/>
        </w:rPr>
      </w:pPr>
      <w:r w:rsidRPr="008A106B">
        <w:rPr>
          <w:lang w:val="es-ES"/>
        </w:rPr>
        <w:sym w:font="Symbol" w:char="F0B7"/>
      </w:r>
      <w:r>
        <w:rPr>
          <w:lang w:val="es-ES"/>
        </w:rPr>
        <w:tab/>
      </w:r>
      <w:r w:rsidR="0009589C" w:rsidRPr="006A1006">
        <w:rPr>
          <w:lang w:val="es-ES"/>
        </w:rPr>
        <w:t>r</w:t>
      </w:r>
      <w:r w:rsidR="0009589C" w:rsidRPr="006616E4">
        <w:rPr>
          <w:lang w:val="es-ES"/>
        </w:rPr>
        <w:t xml:space="preserve">eacciones </w:t>
      </w:r>
      <w:r w:rsidR="001A033E" w:rsidRPr="006A1006">
        <w:rPr>
          <w:lang w:val="es-ES"/>
        </w:rPr>
        <w:t xml:space="preserve">en el </w:t>
      </w:r>
      <w:r w:rsidR="001A033E" w:rsidRPr="00BE7EBF">
        <w:rPr>
          <w:lang w:val="es-ES"/>
        </w:rPr>
        <w:t>lugar</w:t>
      </w:r>
      <w:r w:rsidR="0009589C" w:rsidRPr="006616E4">
        <w:rPr>
          <w:lang w:val="es-ES"/>
        </w:rPr>
        <w:t xml:space="preserve"> de </w:t>
      </w:r>
      <w:r w:rsidR="0052665F" w:rsidRPr="006A1006">
        <w:rPr>
          <w:lang w:val="es-ES"/>
        </w:rPr>
        <w:t xml:space="preserve">la </w:t>
      </w:r>
      <w:r w:rsidR="0009589C" w:rsidRPr="006616E4">
        <w:rPr>
          <w:lang w:val="es-ES"/>
        </w:rPr>
        <w:t>inyección</w:t>
      </w:r>
    </w:p>
    <w:p w14:paraId="74D4022B" w14:textId="77777777" w:rsidR="003E3A62" w:rsidRPr="00D75946" w:rsidRDefault="003E3A62" w:rsidP="00D75946">
      <w:pPr>
        <w:keepNext/>
        <w:keepLines/>
        <w:rPr>
          <w:b/>
          <w:bCs/>
          <w:szCs w:val="22"/>
          <w:lang w:val="es-ES_tradnl"/>
        </w:rPr>
      </w:pPr>
    </w:p>
    <w:p w14:paraId="046430EC" w14:textId="77777777" w:rsidR="003E3A62" w:rsidRPr="006868F5" w:rsidRDefault="003E3A62" w:rsidP="006868F5">
      <w:pPr>
        <w:rPr>
          <w:b/>
          <w:szCs w:val="22"/>
          <w:lang w:val="es-ES"/>
        </w:rPr>
      </w:pPr>
      <w:r w:rsidRPr="006868F5">
        <w:rPr>
          <w:b/>
          <w:szCs w:val="22"/>
          <w:lang w:val="es-ES"/>
        </w:rPr>
        <w:t xml:space="preserve">Efectos adversos frecuentes: </w:t>
      </w:r>
    </w:p>
    <w:p w14:paraId="12B5869C" w14:textId="77777777" w:rsidR="003E3A62" w:rsidRPr="00F22672" w:rsidRDefault="003E3A62" w:rsidP="003E3A62">
      <w:pPr>
        <w:keepNext/>
        <w:keepLines/>
        <w:rPr>
          <w:bCs/>
          <w:i/>
          <w:lang w:val="es-ES"/>
        </w:rPr>
      </w:pPr>
      <w:r w:rsidRPr="00F22672">
        <w:rPr>
          <w:bCs/>
          <w:i/>
          <w:lang w:val="es-ES"/>
        </w:rPr>
        <w:t>Pueden afectar hasta 1 de cada 10 pacientes</w:t>
      </w:r>
    </w:p>
    <w:p w14:paraId="58F9BCFA" w14:textId="77777777" w:rsidR="003E3A62" w:rsidRPr="00F22672" w:rsidRDefault="003E3A62" w:rsidP="002E6CA5">
      <w:pPr>
        <w:keepNext/>
        <w:keepLines/>
        <w:ind w:left="709" w:hanging="709"/>
        <w:rPr>
          <w:bCs/>
          <w:lang w:val="es-ES_tradnl"/>
        </w:rPr>
      </w:pPr>
      <w:r w:rsidRPr="00F22672">
        <w:rPr>
          <w:lang w:val="es-ES"/>
        </w:rPr>
        <w:sym w:font="Symbol" w:char="F0B7"/>
      </w:r>
      <w:r w:rsidRPr="00F22672">
        <w:rPr>
          <w:lang w:val="es-ES"/>
        </w:rPr>
        <w:tab/>
      </w:r>
      <w:r w:rsidR="00B920FA">
        <w:rPr>
          <w:bCs/>
          <w:lang w:val="es-ES_tradnl"/>
        </w:rPr>
        <w:t>i</w:t>
      </w:r>
      <w:r w:rsidR="004D070A" w:rsidRPr="00F22672">
        <w:rPr>
          <w:bCs/>
          <w:lang w:val="es-ES_tradnl"/>
        </w:rPr>
        <w:t>nfección de pulmón (neumonía)</w:t>
      </w:r>
      <w:r w:rsidRPr="00F22672">
        <w:rPr>
          <w:bCs/>
          <w:lang w:val="es-ES_tradnl"/>
        </w:rPr>
        <w:t xml:space="preserve"> </w:t>
      </w:r>
    </w:p>
    <w:p w14:paraId="7FD3A665" w14:textId="77777777" w:rsidR="003E3A62" w:rsidRPr="00F22672" w:rsidRDefault="003E3A62" w:rsidP="002E6CA5">
      <w:pPr>
        <w:keepNext/>
        <w:keepLines/>
        <w:ind w:left="709" w:hanging="709"/>
        <w:rPr>
          <w:lang w:val="es-ES"/>
        </w:rPr>
      </w:pPr>
      <w:r w:rsidRPr="00F22672">
        <w:rPr>
          <w:lang w:val="es-ES"/>
        </w:rPr>
        <w:sym w:font="Symbol" w:char="F0B7"/>
      </w:r>
      <w:r w:rsidRPr="00F22672">
        <w:rPr>
          <w:lang w:val="es-ES"/>
        </w:rPr>
        <w:tab/>
        <w:t>herpes (herpes zoster)</w:t>
      </w:r>
    </w:p>
    <w:p w14:paraId="75A38040" w14:textId="77777777" w:rsidR="003E3A62" w:rsidRPr="00F22672" w:rsidRDefault="003E3A62" w:rsidP="002E6CA5">
      <w:pPr>
        <w:ind w:left="709" w:hanging="709"/>
        <w:rPr>
          <w:lang w:val="es-ES"/>
        </w:rPr>
      </w:pPr>
      <w:r w:rsidRPr="00F22672">
        <w:rPr>
          <w:lang w:val="es-ES"/>
        </w:rPr>
        <w:sym w:font="Symbol" w:char="F0B7"/>
      </w:r>
      <w:r w:rsidRPr="00F22672">
        <w:rPr>
          <w:lang w:val="es-ES"/>
        </w:rPr>
        <w:tab/>
        <w:t>calenturas (herpes simple oral), ampollas</w:t>
      </w:r>
    </w:p>
    <w:p w14:paraId="1C7C185B" w14:textId="77777777" w:rsidR="003E3A62" w:rsidRPr="00F22672" w:rsidRDefault="003E3A62" w:rsidP="002E6CA5">
      <w:pPr>
        <w:ind w:left="709" w:hanging="709"/>
        <w:rPr>
          <w:lang w:val="es-ES"/>
        </w:rPr>
      </w:pPr>
      <w:r w:rsidRPr="00F22672">
        <w:rPr>
          <w:lang w:val="es-ES"/>
        </w:rPr>
        <w:sym w:font="Symbol" w:char="F0B7"/>
      </w:r>
      <w:r w:rsidRPr="00F22672">
        <w:rPr>
          <w:lang w:val="es-ES"/>
        </w:rPr>
        <w:tab/>
        <w:t>infecciones en la piel (</w:t>
      </w:r>
      <w:r w:rsidR="00B920FA">
        <w:rPr>
          <w:lang w:val="es-ES"/>
        </w:rPr>
        <w:t>c</w:t>
      </w:r>
      <w:r w:rsidRPr="00F22672">
        <w:rPr>
          <w:lang w:val="es-ES"/>
        </w:rPr>
        <w:t>elulitis), a veces con fiebre y escalofríos</w:t>
      </w:r>
    </w:p>
    <w:p w14:paraId="5FBF0D55" w14:textId="77777777" w:rsidR="003E3A62" w:rsidRPr="00F22672" w:rsidRDefault="003E3A62" w:rsidP="002E6CA5">
      <w:pPr>
        <w:ind w:left="709" w:hanging="709"/>
        <w:rPr>
          <w:lang w:val="es-ES"/>
        </w:rPr>
      </w:pPr>
      <w:r w:rsidRPr="00F22672">
        <w:rPr>
          <w:lang w:val="es-ES"/>
        </w:rPr>
        <w:sym w:font="Symbol" w:char="F0B7"/>
      </w:r>
      <w:r w:rsidRPr="00F22672">
        <w:rPr>
          <w:lang w:val="es-ES"/>
        </w:rPr>
        <w:tab/>
        <w:t>erupción y picor, urticaria</w:t>
      </w:r>
    </w:p>
    <w:p w14:paraId="3F6F7183" w14:textId="77777777" w:rsidR="003E3A62" w:rsidRPr="00F22672" w:rsidRDefault="003E3A62" w:rsidP="002E6CA5">
      <w:pPr>
        <w:ind w:left="709" w:hanging="709"/>
        <w:rPr>
          <w:lang w:val="es-ES"/>
        </w:rPr>
      </w:pPr>
      <w:r w:rsidRPr="00F22672">
        <w:rPr>
          <w:lang w:val="es-ES"/>
        </w:rPr>
        <w:sym w:font="Symbol" w:char="F0B7"/>
      </w:r>
      <w:r w:rsidRPr="00F22672">
        <w:rPr>
          <w:lang w:val="es-ES"/>
        </w:rPr>
        <w:tab/>
        <w:t>reacciones alérgicas (hipersensibilidad)</w:t>
      </w:r>
    </w:p>
    <w:p w14:paraId="31627D31" w14:textId="77777777" w:rsidR="003E3A62" w:rsidRPr="00F22672" w:rsidRDefault="003E3A62" w:rsidP="002E6CA5">
      <w:pPr>
        <w:ind w:left="709" w:hanging="709"/>
        <w:rPr>
          <w:lang w:val="es-ES"/>
        </w:rPr>
      </w:pPr>
      <w:r w:rsidRPr="00F22672">
        <w:rPr>
          <w:lang w:val="es-ES"/>
        </w:rPr>
        <w:sym w:font="Symbol" w:char="F0B7"/>
      </w:r>
      <w:r w:rsidRPr="00F22672">
        <w:rPr>
          <w:lang w:val="es-ES"/>
        </w:rPr>
        <w:tab/>
        <w:t>infección ocular (conjuntivitis)</w:t>
      </w:r>
    </w:p>
    <w:p w14:paraId="2A698909" w14:textId="77777777" w:rsidR="003E3A62" w:rsidRPr="00F22672" w:rsidRDefault="003E3A62" w:rsidP="002E6CA5">
      <w:pPr>
        <w:ind w:left="709" w:hanging="709"/>
        <w:rPr>
          <w:lang w:val="es-ES"/>
        </w:rPr>
      </w:pPr>
      <w:r w:rsidRPr="00F22672">
        <w:rPr>
          <w:lang w:val="es-ES"/>
        </w:rPr>
        <w:sym w:font="Symbol" w:char="F0B7"/>
      </w:r>
      <w:r w:rsidRPr="00F22672">
        <w:rPr>
          <w:lang w:val="es-ES"/>
        </w:rPr>
        <w:tab/>
        <w:t>dolor de cabeza, mareos, hipertensión</w:t>
      </w:r>
    </w:p>
    <w:p w14:paraId="2DBAD5A5" w14:textId="77777777" w:rsidR="003E3A62" w:rsidRPr="00F22672" w:rsidRDefault="003E3A62" w:rsidP="002E6CA5">
      <w:pPr>
        <w:ind w:left="709" w:hanging="709"/>
        <w:rPr>
          <w:lang w:val="es-ES"/>
        </w:rPr>
      </w:pPr>
      <w:r w:rsidRPr="00F22672">
        <w:rPr>
          <w:lang w:val="es-ES"/>
        </w:rPr>
        <w:sym w:font="Symbol" w:char="F0B7"/>
      </w:r>
      <w:r w:rsidRPr="00F22672">
        <w:rPr>
          <w:lang w:val="es-ES"/>
        </w:rPr>
        <w:tab/>
        <w:t>úlceras en la boca, dolor de estómago</w:t>
      </w:r>
    </w:p>
    <w:p w14:paraId="73A2D755" w14:textId="77777777" w:rsidR="003E3A62" w:rsidRPr="00F22672" w:rsidRDefault="003E3A62" w:rsidP="002E6CA5">
      <w:pPr>
        <w:ind w:left="709" w:hanging="709"/>
        <w:rPr>
          <w:lang w:val="es-ES"/>
        </w:rPr>
      </w:pPr>
      <w:r w:rsidRPr="00F22672">
        <w:rPr>
          <w:lang w:val="es-ES"/>
        </w:rPr>
        <w:sym w:font="Symbol" w:char="F0B7"/>
      </w:r>
      <w:r w:rsidRPr="00F22672">
        <w:rPr>
          <w:lang w:val="es-ES"/>
        </w:rPr>
        <w:tab/>
        <w:t>retención de líquido (edema) en la parte inferior de las piernas, aumento de peso</w:t>
      </w:r>
    </w:p>
    <w:p w14:paraId="492BC127" w14:textId="77777777" w:rsidR="003E3A62" w:rsidRPr="00F22672" w:rsidRDefault="003E3A62" w:rsidP="002E6CA5">
      <w:pPr>
        <w:ind w:left="709" w:hanging="709"/>
        <w:rPr>
          <w:lang w:val="es-ES"/>
        </w:rPr>
      </w:pPr>
      <w:r w:rsidRPr="00F22672">
        <w:rPr>
          <w:lang w:val="es-ES"/>
        </w:rPr>
        <w:sym w:font="Symbol" w:char="F0B7"/>
      </w:r>
      <w:r w:rsidRPr="00F22672">
        <w:rPr>
          <w:lang w:val="es-ES"/>
        </w:rPr>
        <w:tab/>
        <w:t>tos, respiración entrecortada</w:t>
      </w:r>
    </w:p>
    <w:p w14:paraId="2E9DD6F3" w14:textId="77777777" w:rsidR="003E3A62" w:rsidRPr="00F22672" w:rsidRDefault="003E3A62" w:rsidP="002E6CA5">
      <w:pPr>
        <w:ind w:left="709" w:hanging="709"/>
        <w:rPr>
          <w:lang w:val="es-ES"/>
        </w:rPr>
      </w:pPr>
      <w:r w:rsidRPr="00F22672">
        <w:rPr>
          <w:lang w:val="es-ES"/>
        </w:rPr>
        <w:sym w:font="Symbol" w:char="F0B7"/>
      </w:r>
      <w:r w:rsidRPr="00F22672">
        <w:rPr>
          <w:lang w:val="es-ES"/>
        </w:rPr>
        <w:tab/>
        <w:t>recuentos bajos de los glóbulos blancos en análisis de sangre (neutropenia, leucopenia)</w:t>
      </w:r>
    </w:p>
    <w:p w14:paraId="784C03B0" w14:textId="77777777" w:rsidR="003E3A62" w:rsidRPr="00F22672" w:rsidRDefault="003E3A62" w:rsidP="002E6CA5">
      <w:pPr>
        <w:ind w:left="709" w:hanging="709"/>
        <w:rPr>
          <w:lang w:val="es-ES"/>
        </w:rPr>
      </w:pPr>
      <w:r w:rsidRPr="00F22672">
        <w:rPr>
          <w:lang w:val="es-ES"/>
        </w:rPr>
        <w:sym w:font="Symbol" w:char="F0B7"/>
      </w:r>
      <w:r w:rsidRPr="00F22672">
        <w:rPr>
          <w:lang w:val="es-ES"/>
        </w:rPr>
        <w:tab/>
        <w:t>pruebas de función hepática alteradas (elevación de las transaminasas)</w:t>
      </w:r>
    </w:p>
    <w:p w14:paraId="173667DB" w14:textId="77777777" w:rsidR="003E3A62" w:rsidRDefault="003E3A62" w:rsidP="002E6CA5">
      <w:pPr>
        <w:keepNext/>
        <w:keepLines/>
        <w:ind w:left="709" w:hanging="709"/>
        <w:rPr>
          <w:lang w:val="es-ES"/>
        </w:rPr>
      </w:pPr>
      <w:r w:rsidRPr="00F22672">
        <w:rPr>
          <w:lang w:val="es-ES"/>
        </w:rPr>
        <w:sym w:font="Symbol" w:char="F0B7"/>
      </w:r>
      <w:r w:rsidRPr="00F22672">
        <w:rPr>
          <w:lang w:val="es-ES"/>
        </w:rPr>
        <w:tab/>
        <w:t>aumento de la bilirrubina medido mediante análisis de sangre</w:t>
      </w:r>
    </w:p>
    <w:p w14:paraId="1D3B0C36" w14:textId="77777777" w:rsidR="007C4F7A" w:rsidRPr="00F22672" w:rsidRDefault="00B27F09" w:rsidP="002E6CA5">
      <w:pPr>
        <w:keepNext/>
        <w:keepLines/>
        <w:ind w:left="709" w:hanging="709"/>
        <w:rPr>
          <w:lang w:val="es-ES"/>
        </w:rPr>
      </w:pPr>
      <w:r w:rsidRPr="00F22672">
        <w:rPr>
          <w:lang w:val="es-ES"/>
        </w:rPr>
        <w:sym w:font="Symbol" w:char="F0B7"/>
      </w:r>
      <w:r w:rsidRPr="00F22672">
        <w:rPr>
          <w:noProof/>
          <w:lang w:val="es-ES"/>
        </w:rPr>
        <w:tab/>
      </w:r>
      <w:r w:rsidR="007C4F7A">
        <w:rPr>
          <w:lang w:val="es-ES"/>
        </w:rPr>
        <w:t>niveles bajos de fibrinógeno en sangre (proteína involucrada en la coagulación de la sangre)</w:t>
      </w:r>
    </w:p>
    <w:p w14:paraId="7D502A50" w14:textId="77777777" w:rsidR="003E3A62" w:rsidRPr="00F22672" w:rsidRDefault="003E3A62" w:rsidP="003E3A62">
      <w:pPr>
        <w:ind w:left="720"/>
        <w:rPr>
          <w:bCs/>
          <w:lang w:val="es-ES_tradnl"/>
        </w:rPr>
      </w:pPr>
    </w:p>
    <w:p w14:paraId="07742FD5" w14:textId="77777777" w:rsidR="003E3A62" w:rsidRPr="006868F5" w:rsidRDefault="003E3A62" w:rsidP="006868F5">
      <w:pPr>
        <w:rPr>
          <w:b/>
          <w:szCs w:val="22"/>
          <w:lang w:val="es-ES"/>
        </w:rPr>
      </w:pPr>
      <w:r w:rsidRPr="006868F5">
        <w:rPr>
          <w:b/>
          <w:szCs w:val="22"/>
          <w:lang w:val="es-ES"/>
        </w:rPr>
        <w:t xml:space="preserve">Efectos adversos poco frecuentes: </w:t>
      </w:r>
    </w:p>
    <w:p w14:paraId="0F5BC018" w14:textId="77777777" w:rsidR="003E3A62" w:rsidRPr="00F22672" w:rsidRDefault="003E3A62" w:rsidP="003E3A62">
      <w:pPr>
        <w:rPr>
          <w:bCs/>
          <w:lang w:val="es-ES"/>
        </w:rPr>
      </w:pPr>
      <w:r w:rsidRPr="006868F5">
        <w:rPr>
          <w:bCs/>
          <w:i/>
          <w:lang w:val="es-ES"/>
        </w:rPr>
        <w:t>Pueden afectar hasta 1 de cada 100 pacientes</w:t>
      </w:r>
    </w:p>
    <w:p w14:paraId="4DE517A8" w14:textId="77777777" w:rsidR="003E3A62" w:rsidRPr="00F22672" w:rsidRDefault="003E3A62" w:rsidP="002E6CA5">
      <w:pPr>
        <w:ind w:left="714" w:hanging="714"/>
        <w:rPr>
          <w:lang w:val="es-ES"/>
        </w:rPr>
      </w:pPr>
      <w:r w:rsidRPr="00F22672">
        <w:rPr>
          <w:b/>
          <w:bCs/>
          <w:position w:val="2"/>
          <w:sz w:val="17"/>
          <w:lang w:val="es-ES"/>
        </w:rPr>
        <w:sym w:font="Symbol" w:char="F0B7"/>
      </w:r>
      <w:r w:rsidRPr="00F22672">
        <w:rPr>
          <w:lang w:val="es-ES"/>
        </w:rPr>
        <w:tab/>
        <w:t>diverticulitis (fiebre, náuseas, diarrea, estreñimiento, dolor de estómago)</w:t>
      </w:r>
    </w:p>
    <w:p w14:paraId="68C9780C" w14:textId="77777777" w:rsidR="003E3A62" w:rsidRPr="00F22672" w:rsidRDefault="003E3A62" w:rsidP="002E6CA5">
      <w:pPr>
        <w:ind w:left="714" w:hanging="714"/>
        <w:rPr>
          <w:bCs/>
          <w:lang w:val="es-ES"/>
        </w:rPr>
      </w:pPr>
      <w:r w:rsidRPr="00F22672">
        <w:rPr>
          <w:b/>
          <w:bCs/>
          <w:position w:val="2"/>
          <w:sz w:val="17"/>
          <w:lang w:val="es-ES"/>
        </w:rPr>
        <w:sym w:font="Symbol" w:char="F0B7"/>
      </w:r>
      <w:r w:rsidRPr="00F22672">
        <w:rPr>
          <w:bCs/>
          <w:lang w:val="es-ES"/>
        </w:rPr>
        <w:tab/>
        <w:t>zonas hinchadas y rojas en la boca</w:t>
      </w:r>
    </w:p>
    <w:p w14:paraId="140F5368" w14:textId="77777777" w:rsidR="003E3A62" w:rsidRPr="00F22672" w:rsidRDefault="003E3A62" w:rsidP="002E6CA5">
      <w:pPr>
        <w:ind w:left="714" w:hanging="714"/>
        <w:rPr>
          <w:bCs/>
          <w:lang w:val="es-ES"/>
        </w:rPr>
      </w:pPr>
      <w:r w:rsidRPr="00F22672">
        <w:rPr>
          <w:b/>
          <w:bCs/>
          <w:position w:val="2"/>
          <w:sz w:val="17"/>
          <w:lang w:val="es-ES"/>
        </w:rPr>
        <w:sym w:font="Symbol" w:char="F0B7"/>
      </w:r>
      <w:r w:rsidRPr="00F22672">
        <w:rPr>
          <w:bCs/>
          <w:lang w:val="es-ES"/>
        </w:rPr>
        <w:tab/>
        <w:t>grasas elevadas en la sangre (triglicéridos)</w:t>
      </w:r>
    </w:p>
    <w:p w14:paraId="2AFF779A" w14:textId="77777777" w:rsidR="003E3A62" w:rsidRPr="00F22672" w:rsidRDefault="003E3A62" w:rsidP="002E6CA5">
      <w:pPr>
        <w:ind w:left="714" w:hanging="714"/>
        <w:rPr>
          <w:bCs/>
          <w:lang w:val="es-ES"/>
        </w:rPr>
      </w:pPr>
      <w:r w:rsidRPr="00F22672">
        <w:rPr>
          <w:b/>
          <w:bCs/>
          <w:position w:val="2"/>
          <w:sz w:val="17"/>
          <w:lang w:val="es-ES"/>
        </w:rPr>
        <w:sym w:font="Symbol" w:char="F0B7"/>
      </w:r>
      <w:r w:rsidRPr="00F22672">
        <w:rPr>
          <w:bCs/>
          <w:lang w:val="es-ES"/>
        </w:rPr>
        <w:tab/>
        <w:t>úlceras estomacales</w:t>
      </w:r>
    </w:p>
    <w:p w14:paraId="259C18FA" w14:textId="77777777" w:rsidR="003E3A62" w:rsidRPr="00F22672" w:rsidRDefault="003E3A62" w:rsidP="002E6CA5">
      <w:pPr>
        <w:ind w:left="714" w:hanging="714"/>
        <w:rPr>
          <w:bCs/>
          <w:lang w:val="es-ES"/>
        </w:rPr>
      </w:pPr>
      <w:r w:rsidRPr="00F22672">
        <w:rPr>
          <w:b/>
          <w:bCs/>
          <w:position w:val="2"/>
          <w:sz w:val="17"/>
          <w:lang w:val="es-ES"/>
        </w:rPr>
        <w:sym w:font="Symbol" w:char="F0B7"/>
      </w:r>
      <w:r w:rsidRPr="00F22672">
        <w:rPr>
          <w:bCs/>
          <w:lang w:val="es-ES"/>
        </w:rPr>
        <w:tab/>
      </w:r>
      <w:r w:rsidR="00372726" w:rsidRPr="00F22672">
        <w:rPr>
          <w:bCs/>
          <w:lang w:val="es-ES"/>
        </w:rPr>
        <w:t>piedras en el riñón</w:t>
      </w:r>
    </w:p>
    <w:p w14:paraId="7076F3FA" w14:textId="77777777" w:rsidR="007C4F7A" w:rsidRDefault="003E3A62" w:rsidP="002E6CA5">
      <w:pPr>
        <w:ind w:left="709" w:hanging="714"/>
        <w:rPr>
          <w:bCs/>
          <w:lang w:val="es-ES"/>
        </w:rPr>
      </w:pPr>
      <w:r w:rsidRPr="00F22672">
        <w:rPr>
          <w:b/>
          <w:bCs/>
          <w:position w:val="2"/>
          <w:sz w:val="17"/>
          <w:lang w:val="es-ES"/>
        </w:rPr>
        <w:sym w:font="Symbol" w:char="F0B7"/>
      </w:r>
      <w:r w:rsidRPr="00F22672">
        <w:rPr>
          <w:bCs/>
          <w:lang w:val="es-ES"/>
        </w:rPr>
        <w:tab/>
        <w:t>hipotiroidismo</w:t>
      </w:r>
    </w:p>
    <w:p w14:paraId="1E7AB0C3" w14:textId="77777777" w:rsidR="00F8551A" w:rsidRDefault="00F8551A" w:rsidP="00A50280">
      <w:pPr>
        <w:ind w:left="714" w:hanging="357"/>
        <w:rPr>
          <w:bCs/>
          <w:lang w:val="es-ES"/>
        </w:rPr>
      </w:pPr>
    </w:p>
    <w:p w14:paraId="63DBF4E4" w14:textId="77777777" w:rsidR="001F2E5A" w:rsidRDefault="00F8551A" w:rsidP="00EF2448">
      <w:pPr>
        <w:ind w:left="357" w:hanging="357"/>
        <w:rPr>
          <w:b/>
          <w:bCs/>
          <w:lang w:val="es-ES"/>
        </w:rPr>
      </w:pPr>
      <w:r>
        <w:rPr>
          <w:b/>
          <w:bCs/>
          <w:lang w:val="es-ES"/>
        </w:rPr>
        <w:t>Efectos adversos raros</w:t>
      </w:r>
      <w:r w:rsidR="00B53C13">
        <w:rPr>
          <w:b/>
          <w:bCs/>
          <w:lang w:val="es-ES"/>
        </w:rPr>
        <w:t>:</w:t>
      </w:r>
    </w:p>
    <w:p w14:paraId="084EB6AF" w14:textId="77777777" w:rsidR="00F8551A" w:rsidRDefault="00F8551A" w:rsidP="00EF2448">
      <w:pPr>
        <w:ind w:left="357" w:hanging="357"/>
        <w:rPr>
          <w:bCs/>
          <w:i/>
          <w:lang w:val="es-ES"/>
        </w:rPr>
      </w:pPr>
      <w:r>
        <w:rPr>
          <w:bCs/>
          <w:i/>
          <w:lang w:val="es-ES"/>
        </w:rPr>
        <w:t>Pueden afectar hasta 1 de cada 1.000 pacientes</w:t>
      </w:r>
    </w:p>
    <w:p w14:paraId="4EC3019C" w14:textId="77777777" w:rsidR="003F776F" w:rsidRPr="00E576A0" w:rsidRDefault="00F12E00" w:rsidP="002E6CA5">
      <w:pPr>
        <w:ind w:left="709" w:hanging="709"/>
        <w:rPr>
          <w:bCs/>
          <w:i/>
          <w:lang w:val="es-ES"/>
        </w:rPr>
      </w:pPr>
      <w:r w:rsidRPr="008A106B">
        <w:rPr>
          <w:lang w:val="es-ES"/>
        </w:rPr>
        <w:sym w:font="Symbol" w:char="F0B7"/>
      </w:r>
      <w:r w:rsidR="003F776F">
        <w:rPr>
          <w:bCs/>
          <w:lang w:val="es-ES"/>
        </w:rPr>
        <w:t xml:space="preserve">  </w:t>
      </w:r>
      <w:r w:rsidR="002E6CA5">
        <w:rPr>
          <w:bCs/>
          <w:lang w:val="es-ES"/>
        </w:rPr>
        <w:tab/>
      </w:r>
      <w:r w:rsidR="003F776F">
        <w:rPr>
          <w:bCs/>
          <w:lang w:val="es-ES"/>
        </w:rPr>
        <w:t>Síndrome de Stevens-Johnson (erupción cutánea, que puede dar lugar a ampollas y descamación grave de la piel)</w:t>
      </w:r>
    </w:p>
    <w:p w14:paraId="2A2193B1" w14:textId="0201584A" w:rsidR="003F776F" w:rsidRDefault="00F12E00" w:rsidP="002E6CA5">
      <w:pPr>
        <w:ind w:left="709" w:hanging="709"/>
        <w:rPr>
          <w:bCs/>
          <w:i/>
          <w:lang w:val="es-ES"/>
        </w:rPr>
      </w:pPr>
      <w:r w:rsidRPr="008A106B">
        <w:rPr>
          <w:lang w:val="es-ES"/>
        </w:rPr>
        <w:sym w:font="Symbol" w:char="F0B7"/>
      </w:r>
      <w:r w:rsidR="003F776F">
        <w:rPr>
          <w:bCs/>
          <w:lang w:val="es-ES"/>
        </w:rPr>
        <w:t xml:space="preserve">   </w:t>
      </w:r>
      <w:r w:rsidR="002E6CA5">
        <w:rPr>
          <w:bCs/>
          <w:lang w:val="es-ES"/>
        </w:rPr>
        <w:tab/>
      </w:r>
      <w:r w:rsidR="003F776F">
        <w:rPr>
          <w:bCs/>
          <w:lang w:val="es-ES"/>
        </w:rPr>
        <w:t>Reacciones alérgicas mortales (Anafilaxia</w:t>
      </w:r>
      <w:r w:rsidR="003F776F" w:rsidRPr="00E576A0">
        <w:rPr>
          <w:color w:val="222222"/>
          <w:szCs w:val="22"/>
          <w:shd w:val="clear" w:color="auto" w:fill="FFFFFF"/>
          <w:lang w:val="es-ES"/>
        </w:rPr>
        <w:t>)</w:t>
      </w:r>
    </w:p>
    <w:p w14:paraId="652BB4DB" w14:textId="77777777" w:rsidR="00F8551A" w:rsidRPr="00EF2448" w:rsidRDefault="00B27F09" w:rsidP="002E6CA5">
      <w:pPr>
        <w:ind w:left="709" w:hanging="709"/>
        <w:rPr>
          <w:bCs/>
          <w:i/>
          <w:lang w:val="es-ES"/>
        </w:rPr>
      </w:pPr>
      <w:r w:rsidRPr="00F22672">
        <w:rPr>
          <w:lang w:val="es-ES"/>
        </w:rPr>
        <w:sym w:font="Symbol" w:char="F0B7"/>
      </w:r>
      <w:r w:rsidRPr="00F22672">
        <w:rPr>
          <w:noProof/>
          <w:lang w:val="es-ES"/>
        </w:rPr>
        <w:tab/>
      </w:r>
      <w:r w:rsidR="004706E4">
        <w:rPr>
          <w:bCs/>
          <w:lang w:val="es-ES"/>
        </w:rPr>
        <w:t>inflamación del hígado (hepatitis), ictericia</w:t>
      </w:r>
    </w:p>
    <w:p w14:paraId="58C6214E" w14:textId="77777777" w:rsidR="00B920FA" w:rsidRPr="00F22672" w:rsidRDefault="00B920FA" w:rsidP="00EF2448">
      <w:pPr>
        <w:ind w:left="714" w:hanging="357"/>
        <w:rPr>
          <w:bCs/>
          <w:lang w:val="es-ES"/>
        </w:rPr>
      </w:pPr>
    </w:p>
    <w:p w14:paraId="43F88ED1" w14:textId="77777777" w:rsidR="00785683" w:rsidRPr="006868F5" w:rsidRDefault="00785683" w:rsidP="00785683">
      <w:pPr>
        <w:rPr>
          <w:b/>
          <w:szCs w:val="22"/>
          <w:lang w:val="es-ES"/>
        </w:rPr>
      </w:pPr>
      <w:r w:rsidRPr="006868F5">
        <w:rPr>
          <w:b/>
          <w:szCs w:val="22"/>
          <w:lang w:val="es-ES"/>
        </w:rPr>
        <w:t xml:space="preserve">Efectos </w:t>
      </w:r>
      <w:proofErr w:type="gramStart"/>
      <w:r w:rsidRPr="006868F5">
        <w:rPr>
          <w:b/>
          <w:szCs w:val="22"/>
          <w:lang w:val="es-ES"/>
        </w:rPr>
        <w:t xml:space="preserve">adversos </w:t>
      </w:r>
      <w:r w:rsidR="00587BEB">
        <w:rPr>
          <w:b/>
          <w:szCs w:val="22"/>
          <w:lang w:val="es-ES"/>
        </w:rPr>
        <w:t xml:space="preserve"> muy</w:t>
      </w:r>
      <w:proofErr w:type="gramEnd"/>
      <w:r w:rsidR="00587BEB">
        <w:rPr>
          <w:b/>
          <w:szCs w:val="22"/>
          <w:lang w:val="es-ES"/>
        </w:rPr>
        <w:t xml:space="preserve"> </w:t>
      </w:r>
      <w:r w:rsidR="007C4F7A">
        <w:rPr>
          <w:b/>
          <w:szCs w:val="22"/>
          <w:lang w:val="es-ES"/>
        </w:rPr>
        <w:t>raros</w:t>
      </w:r>
      <w:r w:rsidRPr="006868F5">
        <w:rPr>
          <w:b/>
          <w:szCs w:val="22"/>
          <w:lang w:val="es-ES"/>
        </w:rPr>
        <w:t>:</w:t>
      </w:r>
    </w:p>
    <w:p w14:paraId="318BCDD4" w14:textId="77777777" w:rsidR="00785683" w:rsidRPr="00F22672" w:rsidRDefault="00785683" w:rsidP="00785683">
      <w:pPr>
        <w:rPr>
          <w:bCs/>
          <w:i/>
          <w:szCs w:val="22"/>
          <w:lang w:val="es-ES"/>
        </w:rPr>
      </w:pPr>
      <w:r w:rsidRPr="00F22672">
        <w:rPr>
          <w:bCs/>
          <w:i/>
          <w:szCs w:val="22"/>
          <w:lang w:val="es-ES"/>
        </w:rPr>
        <w:t>Pueden afectar hasta 1 de cada 1</w:t>
      </w:r>
      <w:r w:rsidR="00587BEB">
        <w:rPr>
          <w:bCs/>
          <w:i/>
          <w:szCs w:val="22"/>
          <w:lang w:val="es-ES"/>
        </w:rPr>
        <w:t>0</w:t>
      </w:r>
      <w:r w:rsidRPr="00F22672">
        <w:rPr>
          <w:bCs/>
          <w:i/>
          <w:szCs w:val="22"/>
          <w:lang w:val="es-ES"/>
        </w:rPr>
        <w:t>.000 pacientes</w:t>
      </w:r>
    </w:p>
    <w:p w14:paraId="5B64190D" w14:textId="77777777" w:rsidR="003F776F" w:rsidRDefault="00F12E00" w:rsidP="002E6CA5">
      <w:pPr>
        <w:ind w:left="714" w:hanging="714"/>
        <w:rPr>
          <w:lang w:val="es-ES"/>
        </w:rPr>
      </w:pPr>
      <w:r w:rsidRPr="008A106B">
        <w:rPr>
          <w:lang w:val="es-ES"/>
        </w:rPr>
        <w:sym w:font="Symbol" w:char="F0B7"/>
      </w:r>
      <w:r>
        <w:rPr>
          <w:lang w:val="es-ES"/>
        </w:rPr>
        <w:tab/>
      </w:r>
      <w:r w:rsidR="00EB51B9">
        <w:rPr>
          <w:lang w:val="es-ES"/>
        </w:rPr>
        <w:t xml:space="preserve">recuento </w:t>
      </w:r>
      <w:r w:rsidR="003F776F">
        <w:rPr>
          <w:lang w:val="es-ES"/>
        </w:rPr>
        <w:t>bajo de glóbulos blancos, glóbulos rojos y plaquetas en los análisis de sangre</w:t>
      </w:r>
    </w:p>
    <w:p w14:paraId="2A21FC2A" w14:textId="77777777" w:rsidR="004706E4" w:rsidRDefault="00B27F09" w:rsidP="002E6CA5">
      <w:pPr>
        <w:ind w:left="709" w:hanging="714"/>
        <w:rPr>
          <w:lang w:val="es-ES"/>
        </w:rPr>
      </w:pPr>
      <w:r w:rsidRPr="00F22672">
        <w:rPr>
          <w:lang w:val="es-ES"/>
        </w:rPr>
        <w:sym w:font="Symbol" w:char="F0B7"/>
      </w:r>
      <w:r w:rsidRPr="00F22672">
        <w:rPr>
          <w:noProof/>
          <w:lang w:val="es-ES"/>
        </w:rPr>
        <w:tab/>
      </w:r>
      <w:r w:rsidR="00B53C13">
        <w:rPr>
          <w:lang w:val="es-ES"/>
        </w:rPr>
        <w:t>f</w:t>
      </w:r>
      <w:r w:rsidR="004706E4">
        <w:rPr>
          <w:lang w:val="es-ES"/>
        </w:rPr>
        <w:t>allo hepático</w:t>
      </w:r>
    </w:p>
    <w:p w14:paraId="74D39512" w14:textId="77777777" w:rsidR="0040524D" w:rsidRDefault="0040524D" w:rsidP="006868F5">
      <w:pPr>
        <w:tabs>
          <w:tab w:val="left" w:pos="567"/>
          <w:tab w:val="left" w:pos="709"/>
        </w:tabs>
        <w:ind w:left="567" w:hanging="357"/>
        <w:rPr>
          <w:lang w:val="es-ES"/>
        </w:rPr>
      </w:pPr>
    </w:p>
    <w:p w14:paraId="740ACE1E" w14:textId="77777777" w:rsidR="0040524D" w:rsidRDefault="0040524D" w:rsidP="006616E4">
      <w:pPr>
        <w:rPr>
          <w:b/>
          <w:szCs w:val="22"/>
          <w:lang w:val="es-ES"/>
        </w:rPr>
      </w:pPr>
      <w:r w:rsidRPr="006616E4">
        <w:rPr>
          <w:b/>
          <w:szCs w:val="22"/>
          <w:lang w:val="es-ES"/>
        </w:rPr>
        <w:t xml:space="preserve">Efectos </w:t>
      </w:r>
      <w:r w:rsidR="008F4CA2">
        <w:rPr>
          <w:b/>
          <w:szCs w:val="22"/>
          <w:lang w:val="es-ES"/>
        </w:rPr>
        <w:t>adversos</w:t>
      </w:r>
      <w:r w:rsidR="008F4CA2" w:rsidRPr="008F4CA2">
        <w:rPr>
          <w:b/>
          <w:szCs w:val="22"/>
          <w:lang w:val="es-ES"/>
        </w:rPr>
        <w:t xml:space="preserve"> en niños y adolescentes con </w:t>
      </w:r>
      <w:r w:rsidR="006703DF">
        <w:rPr>
          <w:b/>
          <w:szCs w:val="22"/>
          <w:lang w:val="es-ES"/>
        </w:rPr>
        <w:t xml:space="preserve">AIJs o </w:t>
      </w:r>
      <w:r w:rsidRPr="006616E4">
        <w:rPr>
          <w:b/>
          <w:szCs w:val="22"/>
          <w:lang w:val="es-ES"/>
        </w:rPr>
        <w:t>A</w:t>
      </w:r>
      <w:r w:rsidR="008F4CA2">
        <w:rPr>
          <w:b/>
          <w:szCs w:val="22"/>
          <w:lang w:val="es-ES"/>
        </w:rPr>
        <w:t>IJp</w:t>
      </w:r>
    </w:p>
    <w:p w14:paraId="4C2D2E21" w14:textId="08A4B540" w:rsidR="00B76460" w:rsidRPr="006616E4" w:rsidRDefault="008F4CA2" w:rsidP="006616E4">
      <w:pPr>
        <w:rPr>
          <w:b/>
          <w:szCs w:val="22"/>
          <w:lang w:val="es-ES"/>
        </w:rPr>
      </w:pPr>
      <w:r>
        <w:rPr>
          <w:bCs/>
          <w:szCs w:val="22"/>
          <w:lang w:val="es-ES"/>
        </w:rPr>
        <w:t xml:space="preserve">En niños y adolescentes con </w:t>
      </w:r>
      <w:r w:rsidR="00086201">
        <w:rPr>
          <w:bCs/>
          <w:szCs w:val="22"/>
          <w:lang w:val="es-ES"/>
        </w:rPr>
        <w:t xml:space="preserve">AIJs o </w:t>
      </w:r>
      <w:r w:rsidR="0040524D" w:rsidRPr="0040524D">
        <w:rPr>
          <w:bCs/>
          <w:szCs w:val="22"/>
          <w:lang w:val="es-ES"/>
        </w:rPr>
        <w:t>A</w:t>
      </w:r>
      <w:r>
        <w:rPr>
          <w:bCs/>
          <w:szCs w:val="22"/>
          <w:lang w:val="es-ES"/>
        </w:rPr>
        <w:t>IJp</w:t>
      </w:r>
      <w:r w:rsidR="0040524D" w:rsidRPr="0040524D">
        <w:rPr>
          <w:bCs/>
          <w:szCs w:val="22"/>
          <w:lang w:val="es-ES"/>
        </w:rPr>
        <w:t xml:space="preserve"> </w:t>
      </w:r>
      <w:r>
        <w:rPr>
          <w:bCs/>
          <w:szCs w:val="22"/>
          <w:lang w:val="es-ES"/>
        </w:rPr>
        <w:t>l</w:t>
      </w:r>
      <w:r w:rsidRPr="0040524D">
        <w:rPr>
          <w:bCs/>
          <w:szCs w:val="22"/>
          <w:lang w:val="es-ES"/>
        </w:rPr>
        <w:t xml:space="preserve">os efectos </w:t>
      </w:r>
      <w:r>
        <w:rPr>
          <w:bCs/>
          <w:szCs w:val="22"/>
          <w:lang w:val="es-ES"/>
        </w:rPr>
        <w:t>adversos son en general,</w:t>
      </w:r>
      <w:r w:rsidR="0040524D" w:rsidRPr="0040524D">
        <w:rPr>
          <w:bCs/>
          <w:szCs w:val="22"/>
          <w:lang w:val="es-ES"/>
        </w:rPr>
        <w:t xml:space="preserve"> similares a los de los adultos. Algunos efectos </w:t>
      </w:r>
      <w:r>
        <w:rPr>
          <w:bCs/>
          <w:szCs w:val="22"/>
          <w:lang w:val="es-ES"/>
        </w:rPr>
        <w:t>advers</w:t>
      </w:r>
      <w:r w:rsidR="0040524D" w:rsidRPr="0040524D">
        <w:rPr>
          <w:bCs/>
          <w:szCs w:val="22"/>
          <w:lang w:val="es-ES"/>
        </w:rPr>
        <w:t xml:space="preserve">os se observan con mayor frecuencia en niños y adolescentes: </w:t>
      </w:r>
      <w:r w:rsidR="003F3FE3">
        <w:rPr>
          <w:bCs/>
          <w:szCs w:val="22"/>
          <w:lang w:val="es-ES"/>
        </w:rPr>
        <w:t xml:space="preserve">inflamación de </w:t>
      </w:r>
      <w:r w:rsidR="0040524D" w:rsidRPr="0040524D">
        <w:rPr>
          <w:bCs/>
          <w:szCs w:val="22"/>
          <w:lang w:val="es-ES"/>
        </w:rPr>
        <w:t>nariz y garganta, dolor de cabeza, náuseas y disminución del recuento de glóbulos blancos.</w:t>
      </w:r>
    </w:p>
    <w:p w14:paraId="5C43F008" w14:textId="77777777" w:rsidR="00463AB9" w:rsidRPr="00F22672" w:rsidRDefault="00463AB9" w:rsidP="003E3A62">
      <w:pPr>
        <w:rPr>
          <w:lang w:val="es-ES"/>
        </w:rPr>
      </w:pPr>
    </w:p>
    <w:p w14:paraId="355C3A20" w14:textId="77777777" w:rsidR="003E3A62" w:rsidRPr="006868F5" w:rsidRDefault="003E3A62" w:rsidP="003E3A62">
      <w:pPr>
        <w:keepNext/>
        <w:keepLines/>
        <w:numPr>
          <w:ilvl w:val="12"/>
          <w:numId w:val="0"/>
        </w:numPr>
        <w:tabs>
          <w:tab w:val="left" w:pos="720"/>
        </w:tabs>
        <w:ind w:left="567" w:right="-2" w:hanging="567"/>
        <w:rPr>
          <w:b/>
          <w:szCs w:val="22"/>
          <w:lang w:val="es-ES"/>
        </w:rPr>
      </w:pPr>
      <w:r w:rsidRPr="006868F5">
        <w:rPr>
          <w:b/>
          <w:szCs w:val="22"/>
          <w:lang w:val="es-ES"/>
        </w:rPr>
        <w:t xml:space="preserve">Comunicación de efectos adversos </w:t>
      </w:r>
    </w:p>
    <w:p w14:paraId="2E2EA196" w14:textId="43441131" w:rsidR="003E3A62" w:rsidRPr="00F22672" w:rsidRDefault="003E3A62" w:rsidP="003E3A62">
      <w:pPr>
        <w:keepNext/>
        <w:keepLines/>
        <w:rPr>
          <w:noProof/>
          <w:szCs w:val="24"/>
          <w:lang w:val="es-ES_tradnl"/>
        </w:rPr>
      </w:pPr>
      <w:r w:rsidRPr="00F22672">
        <w:rPr>
          <w:lang w:val="es-ES_tradnl"/>
        </w:rPr>
        <w:t xml:space="preserve">Si experimenta </w:t>
      </w:r>
      <w:r w:rsidRPr="00F22672">
        <w:rPr>
          <w:noProof/>
          <w:szCs w:val="24"/>
          <w:lang w:val="es-ES_tradnl"/>
        </w:rPr>
        <w:t>cualquier tipo de efecto adverso</w:t>
      </w:r>
      <w:r w:rsidRPr="00F22672">
        <w:rPr>
          <w:lang w:val="es-ES_tradnl"/>
        </w:rPr>
        <w:t xml:space="preserve">, consulte a su médico, farmacéutico o enfermero, incluso si se trata de </w:t>
      </w:r>
      <w:r w:rsidRPr="00F22672">
        <w:rPr>
          <w:noProof/>
          <w:szCs w:val="24"/>
          <w:lang w:val="es-ES_tradnl"/>
        </w:rPr>
        <w:t xml:space="preserve">posibles </w:t>
      </w:r>
      <w:r w:rsidRPr="00F22672">
        <w:rPr>
          <w:lang w:val="es-ES_tradnl"/>
        </w:rPr>
        <w:t>efectos adversos que no aparecen en este prospecto.</w:t>
      </w:r>
      <w:r w:rsidRPr="00F22672">
        <w:rPr>
          <w:szCs w:val="24"/>
          <w:lang w:val="es-ES_tradnl"/>
        </w:rPr>
        <w:t xml:space="preserve"> </w:t>
      </w:r>
      <w:r w:rsidRPr="00F22672">
        <w:rPr>
          <w:noProof/>
          <w:szCs w:val="24"/>
          <w:lang w:val="es-ES_tradnl"/>
        </w:rPr>
        <w:t xml:space="preserve">También puede comunicarlos directamente a través del </w:t>
      </w:r>
      <w:r w:rsidRPr="002F76B8">
        <w:rPr>
          <w:noProof/>
          <w:szCs w:val="24"/>
          <w:highlight w:val="lightGray"/>
          <w:lang w:val="es-ES_tradnl"/>
        </w:rPr>
        <w:t xml:space="preserve">sistema nacional de notificación incluido en el </w:t>
      </w:r>
      <w:r>
        <w:fldChar w:fldCharType="begin"/>
      </w:r>
      <w:r w:rsidRPr="00467FFD">
        <w:rPr>
          <w:lang w:val="es-ES"/>
          <w:rPrChange w:id="2547" w:author="AUTHOR">
            <w:rPr/>
          </w:rPrChange>
        </w:rPr>
        <w:instrText>HYPERLINK "https://www.ema.europa.eu/documents/template-form/qrd-appendix-v-adverse-drug-reaction-reporting-details_en.docx"</w:instrText>
      </w:r>
      <w:r>
        <w:fldChar w:fldCharType="separate"/>
      </w:r>
      <w:r w:rsidRPr="002F76B8">
        <w:rPr>
          <w:rStyle w:val="Hyperlink"/>
          <w:szCs w:val="24"/>
          <w:highlight w:val="lightGray"/>
          <w:lang w:val="es-ES_tradnl"/>
        </w:rPr>
        <w:t>A</w:t>
      </w:r>
      <w:r w:rsidR="00515999">
        <w:rPr>
          <w:rStyle w:val="Hyperlink"/>
          <w:szCs w:val="24"/>
          <w:highlight w:val="lightGray"/>
          <w:lang w:val="es-ES_tradnl"/>
        </w:rPr>
        <w:t>péndice</w:t>
      </w:r>
      <w:r w:rsidRPr="002F76B8">
        <w:rPr>
          <w:rStyle w:val="Hyperlink"/>
          <w:szCs w:val="24"/>
          <w:highlight w:val="lightGray"/>
          <w:lang w:val="es-ES_tradnl"/>
        </w:rPr>
        <w:t xml:space="preserve"> V</w:t>
      </w:r>
      <w:r>
        <w:fldChar w:fldCharType="end"/>
      </w:r>
      <w:r w:rsidRPr="00F22672">
        <w:rPr>
          <w:noProof/>
          <w:szCs w:val="24"/>
          <w:lang w:val="es-ES_tradnl"/>
        </w:rPr>
        <w:t>. Mediante la comunicación de efectos adversos usted puede contribuir a proporcionar más información sobre la seguridad de este medicamento.</w:t>
      </w:r>
    </w:p>
    <w:p w14:paraId="4DF9C7AA" w14:textId="77777777" w:rsidR="003E3A62" w:rsidRPr="00F22672" w:rsidRDefault="003E3A62" w:rsidP="003E3A62">
      <w:pPr>
        <w:numPr>
          <w:ilvl w:val="12"/>
          <w:numId w:val="0"/>
        </w:numPr>
        <w:ind w:right="-2"/>
        <w:rPr>
          <w:lang w:val="es-ES_tradnl"/>
        </w:rPr>
      </w:pPr>
    </w:p>
    <w:p w14:paraId="026DAC3D" w14:textId="77777777" w:rsidR="003E3A62" w:rsidRPr="00F22672" w:rsidRDefault="003E3A62" w:rsidP="003E3A62">
      <w:pPr>
        <w:rPr>
          <w:lang w:val="es-ES"/>
        </w:rPr>
      </w:pPr>
    </w:p>
    <w:p w14:paraId="44754DB7" w14:textId="77777777" w:rsidR="003E3A62" w:rsidRPr="00FF2AFA" w:rsidRDefault="003E3A62" w:rsidP="003569D6">
      <w:pPr>
        <w:keepNext/>
        <w:keepLines/>
        <w:rPr>
          <w:b/>
          <w:szCs w:val="22"/>
          <w:lang w:val="es-ES"/>
        </w:rPr>
      </w:pPr>
      <w:r w:rsidRPr="00FF2AFA">
        <w:rPr>
          <w:b/>
          <w:szCs w:val="22"/>
          <w:lang w:val="es-ES"/>
        </w:rPr>
        <w:lastRenderedPageBreak/>
        <w:t>5.</w:t>
      </w:r>
      <w:r w:rsidRPr="00FF2AFA">
        <w:rPr>
          <w:b/>
          <w:szCs w:val="22"/>
          <w:lang w:val="es-ES"/>
        </w:rPr>
        <w:tab/>
        <w:t>Conservación de RoActemra</w:t>
      </w:r>
    </w:p>
    <w:p w14:paraId="6333501B" w14:textId="77777777" w:rsidR="003E3A62" w:rsidRPr="00F22672" w:rsidRDefault="003E3A62" w:rsidP="003569D6">
      <w:pPr>
        <w:keepNext/>
        <w:keepLines/>
        <w:rPr>
          <w:lang w:val="es-ES"/>
        </w:rPr>
      </w:pPr>
    </w:p>
    <w:p w14:paraId="4294F87F" w14:textId="77777777" w:rsidR="003E3A62" w:rsidRPr="00F22672" w:rsidRDefault="003E3A62" w:rsidP="003569D6">
      <w:pPr>
        <w:keepNext/>
        <w:keepLines/>
        <w:rPr>
          <w:lang w:val="es-ES"/>
        </w:rPr>
      </w:pPr>
      <w:r w:rsidRPr="00F22672">
        <w:rPr>
          <w:lang w:val="es-ES_tradnl"/>
        </w:rPr>
        <w:t xml:space="preserve">Mantener </w:t>
      </w:r>
      <w:r w:rsidR="00C10795" w:rsidRPr="00F22672">
        <w:rPr>
          <w:lang w:val="es-ES_tradnl"/>
        </w:rPr>
        <w:t xml:space="preserve">este medicamento </w:t>
      </w:r>
      <w:r w:rsidRPr="00F22672">
        <w:rPr>
          <w:lang w:val="es-ES_tradnl"/>
        </w:rPr>
        <w:t>fuera de la vista y del alcance de los niños.</w:t>
      </w:r>
    </w:p>
    <w:p w14:paraId="680DEE0F" w14:textId="77777777" w:rsidR="003E3A62" w:rsidRPr="00F22672" w:rsidRDefault="003E3A62" w:rsidP="003569D6">
      <w:pPr>
        <w:keepNext/>
        <w:keepLines/>
        <w:rPr>
          <w:lang w:val="es-ES"/>
        </w:rPr>
      </w:pPr>
    </w:p>
    <w:p w14:paraId="7972B20D" w14:textId="2ECB61C1" w:rsidR="00C10795" w:rsidRPr="00F22672" w:rsidRDefault="00C10795" w:rsidP="003569D6">
      <w:pPr>
        <w:keepNext/>
        <w:keepLines/>
        <w:rPr>
          <w:lang w:val="es-ES_tradnl"/>
        </w:rPr>
      </w:pPr>
      <w:r w:rsidRPr="00F22672">
        <w:rPr>
          <w:lang w:val="es-ES_tradnl"/>
        </w:rPr>
        <w:t xml:space="preserve">No utilice este medicamento después de la fecha de caducidad que aparece en la etiqueta de la jeringa precargada y en la caja </w:t>
      </w:r>
      <w:r w:rsidR="00E94412">
        <w:rPr>
          <w:lang w:val="es-ES_tradnl"/>
        </w:rPr>
        <w:t xml:space="preserve">después de </w:t>
      </w:r>
      <w:r w:rsidR="0069055D">
        <w:rPr>
          <w:lang w:val="es-ES_tradnl"/>
        </w:rPr>
        <w:t>EXP</w:t>
      </w:r>
      <w:r w:rsidRPr="00F22672">
        <w:rPr>
          <w:lang w:val="es-ES_tradnl"/>
        </w:rPr>
        <w:t>. La fecha de caducidad es el último día del mes que se indica.</w:t>
      </w:r>
    </w:p>
    <w:p w14:paraId="40259F8C" w14:textId="77777777" w:rsidR="00C10795" w:rsidRPr="00F22672" w:rsidRDefault="00C10795" w:rsidP="003E3A62">
      <w:pPr>
        <w:rPr>
          <w:lang w:val="es-ES_tradnl"/>
        </w:rPr>
      </w:pPr>
    </w:p>
    <w:p w14:paraId="7E669D64" w14:textId="4B71F6AA" w:rsidR="00004756" w:rsidRPr="00883E95" w:rsidRDefault="003E3A62" w:rsidP="00004756">
      <w:pPr>
        <w:rPr>
          <w:szCs w:val="22"/>
          <w:lang w:val="es-ES"/>
        </w:rPr>
      </w:pPr>
      <w:r w:rsidRPr="00F22672">
        <w:rPr>
          <w:lang w:val="es-ES_tradnl"/>
        </w:rPr>
        <w:t>Conservar en nevera (entre 2</w:t>
      </w:r>
      <w:r w:rsidR="0069055D" w:rsidRPr="00F30AB8">
        <w:rPr>
          <w:szCs w:val="22"/>
          <w:lang w:val="es-ES"/>
        </w:rPr>
        <w:t> </w:t>
      </w:r>
      <w:r w:rsidRPr="00F22672">
        <w:rPr>
          <w:lang w:val="es-ES_tradnl"/>
        </w:rPr>
        <w:t>°C</w:t>
      </w:r>
      <w:r w:rsidR="0069055D" w:rsidRPr="00F30AB8">
        <w:rPr>
          <w:szCs w:val="22"/>
          <w:lang w:val="es-ES"/>
        </w:rPr>
        <w:t> – </w:t>
      </w:r>
      <w:r w:rsidRPr="00F22672">
        <w:rPr>
          <w:lang w:val="es-ES_tradnl"/>
        </w:rPr>
        <w:t>8</w:t>
      </w:r>
      <w:r w:rsidR="0069055D" w:rsidRPr="00F30AB8">
        <w:rPr>
          <w:szCs w:val="22"/>
          <w:lang w:val="es-ES"/>
        </w:rPr>
        <w:t> </w:t>
      </w:r>
      <w:r w:rsidRPr="00F22672">
        <w:rPr>
          <w:lang w:val="es-ES_tradnl"/>
        </w:rPr>
        <w:t>°C).</w:t>
      </w:r>
      <w:r w:rsidRPr="00F22672">
        <w:rPr>
          <w:lang w:val="es-ES"/>
        </w:rPr>
        <w:t xml:space="preserve"> </w:t>
      </w:r>
      <w:r w:rsidRPr="00F22672">
        <w:rPr>
          <w:lang w:val="es-ES_tradnl"/>
        </w:rPr>
        <w:t>No congelar.</w:t>
      </w:r>
      <w:r w:rsidRPr="00F22672">
        <w:rPr>
          <w:lang w:val="es-ES"/>
        </w:rPr>
        <w:t xml:space="preserve"> </w:t>
      </w:r>
      <w:r w:rsidR="00004756" w:rsidRPr="00363FFA">
        <w:rPr>
          <w:lang w:val="es-ES_tradnl"/>
        </w:rPr>
        <w:t xml:space="preserve">Una vez fuera de la nevera, </w:t>
      </w:r>
      <w:r w:rsidR="00004756">
        <w:rPr>
          <w:lang w:val="es-ES_tradnl"/>
        </w:rPr>
        <w:t>la jeringa precargada</w:t>
      </w:r>
      <w:r w:rsidR="00004756" w:rsidRPr="00363FFA">
        <w:rPr>
          <w:lang w:val="es-ES_tradnl"/>
        </w:rPr>
        <w:t xml:space="preserve"> </w:t>
      </w:r>
      <w:r w:rsidR="00004756">
        <w:rPr>
          <w:lang w:val="es-ES_tradnl"/>
        </w:rPr>
        <w:t>se puede conservar hasta 2 semanas a una temperatura igual o inferior</w:t>
      </w:r>
      <w:r w:rsidR="00004756" w:rsidRPr="00363FFA">
        <w:rPr>
          <w:lang w:val="es-ES_tradnl"/>
        </w:rPr>
        <w:t xml:space="preserve"> </w:t>
      </w:r>
      <w:r w:rsidR="00004756">
        <w:rPr>
          <w:lang w:val="es-ES_tradnl"/>
        </w:rPr>
        <w:t xml:space="preserve">a </w:t>
      </w:r>
      <w:r w:rsidR="00004756" w:rsidRPr="00363FFA">
        <w:rPr>
          <w:lang w:val="es-ES_tradnl"/>
        </w:rPr>
        <w:t>30</w:t>
      </w:r>
      <w:r w:rsidR="0069055D" w:rsidRPr="00F30AB8">
        <w:rPr>
          <w:szCs w:val="22"/>
          <w:lang w:val="es-ES"/>
        </w:rPr>
        <w:t> </w:t>
      </w:r>
      <w:r w:rsidR="00004756" w:rsidRPr="00363FFA">
        <w:rPr>
          <w:lang w:val="es-ES_tradnl"/>
        </w:rPr>
        <w:t>ºC.</w:t>
      </w:r>
    </w:p>
    <w:p w14:paraId="41B0F5DF" w14:textId="77777777" w:rsidR="003E3A62" w:rsidRPr="00F22672" w:rsidRDefault="003E3A62" w:rsidP="003E3A62">
      <w:pPr>
        <w:rPr>
          <w:lang w:val="es-ES"/>
        </w:rPr>
      </w:pPr>
    </w:p>
    <w:p w14:paraId="3CD53F42" w14:textId="77777777" w:rsidR="003E3A62" w:rsidRPr="00F22672" w:rsidRDefault="003E3A62" w:rsidP="003E3A62">
      <w:pPr>
        <w:rPr>
          <w:lang w:val="es-ES_tradnl"/>
        </w:rPr>
      </w:pPr>
      <w:r w:rsidRPr="00F22672">
        <w:rPr>
          <w:lang w:val="es-ES_tradnl"/>
        </w:rPr>
        <w:t xml:space="preserve">Mantener las </w:t>
      </w:r>
      <w:r w:rsidR="00463AB9" w:rsidRPr="00F22672">
        <w:rPr>
          <w:lang w:val="es-ES_tradnl"/>
        </w:rPr>
        <w:t>jeringas</w:t>
      </w:r>
      <w:r w:rsidRPr="00F22672">
        <w:rPr>
          <w:lang w:val="es-ES_tradnl"/>
        </w:rPr>
        <w:t xml:space="preserve"> precargadas en el embalaje exterior para proteger de la luz y </w:t>
      </w:r>
      <w:r w:rsidR="00C10795" w:rsidRPr="00F22672">
        <w:rPr>
          <w:lang w:val="es-ES_tradnl"/>
        </w:rPr>
        <w:t>la humedad.</w:t>
      </w:r>
    </w:p>
    <w:p w14:paraId="5BE8993F" w14:textId="77777777" w:rsidR="003E3A62" w:rsidRPr="00F22672" w:rsidRDefault="003E3A62" w:rsidP="003E3A62">
      <w:pPr>
        <w:rPr>
          <w:lang w:val="es-ES_tradnl"/>
        </w:rPr>
      </w:pPr>
    </w:p>
    <w:p w14:paraId="054BF0AA" w14:textId="77777777" w:rsidR="003E3A62" w:rsidRPr="00F22672" w:rsidRDefault="003E3A62" w:rsidP="003E3A62">
      <w:pPr>
        <w:keepNext/>
        <w:rPr>
          <w:lang w:val="es-ES"/>
        </w:rPr>
      </w:pPr>
      <w:r w:rsidRPr="00F22672">
        <w:rPr>
          <w:lang w:val="es-ES"/>
        </w:rPr>
        <w:t xml:space="preserve">No </w:t>
      </w:r>
      <w:r w:rsidR="00E94412">
        <w:rPr>
          <w:lang w:val="es-ES"/>
        </w:rPr>
        <w:t xml:space="preserve">utilice este </w:t>
      </w:r>
      <w:r w:rsidRPr="00F22672">
        <w:rPr>
          <w:lang w:val="es-ES"/>
        </w:rPr>
        <w:t xml:space="preserve">medicamento </w:t>
      </w:r>
      <w:r w:rsidR="00E94412">
        <w:rPr>
          <w:lang w:val="es-ES"/>
        </w:rPr>
        <w:t xml:space="preserve">si observa que </w:t>
      </w:r>
      <w:r w:rsidRPr="00F22672">
        <w:rPr>
          <w:lang w:val="es-ES"/>
        </w:rPr>
        <w:t>est</w:t>
      </w:r>
      <w:r w:rsidR="00D30D23">
        <w:rPr>
          <w:lang w:val="es-ES"/>
        </w:rPr>
        <w:t>á</w:t>
      </w:r>
      <w:r w:rsidRPr="00F22672">
        <w:rPr>
          <w:lang w:val="es-ES"/>
        </w:rPr>
        <w:t xml:space="preserve"> turbio o contiene partículas, es de algún color </w:t>
      </w:r>
      <w:r w:rsidR="00D90008" w:rsidRPr="00F22672">
        <w:rPr>
          <w:lang w:val="es-ES"/>
        </w:rPr>
        <w:t>distinto a</w:t>
      </w:r>
      <w:r w:rsidRPr="00F22672">
        <w:rPr>
          <w:lang w:val="es-ES"/>
        </w:rPr>
        <w:t xml:space="preserve"> incoloro </w:t>
      </w:r>
      <w:r w:rsidR="00D90008" w:rsidRPr="00F22672">
        <w:rPr>
          <w:lang w:val="es-ES"/>
        </w:rPr>
        <w:t xml:space="preserve">y </w:t>
      </w:r>
      <w:r w:rsidRPr="00F22672">
        <w:rPr>
          <w:lang w:val="es-ES"/>
        </w:rPr>
        <w:t xml:space="preserve">ligeramente amarillento, o alguna parte de la </w:t>
      </w:r>
      <w:r w:rsidR="00612D70" w:rsidRPr="00F22672">
        <w:rPr>
          <w:lang w:val="es-ES"/>
        </w:rPr>
        <w:t>jeringa</w:t>
      </w:r>
      <w:r w:rsidRPr="00F22672">
        <w:rPr>
          <w:lang w:val="es-ES"/>
        </w:rPr>
        <w:t xml:space="preserve"> precargada aparece dañada.</w:t>
      </w:r>
    </w:p>
    <w:p w14:paraId="4D5C5704" w14:textId="77777777" w:rsidR="007E3091" w:rsidRPr="00F22672" w:rsidRDefault="007E3091" w:rsidP="003E3A62">
      <w:pPr>
        <w:keepNext/>
        <w:rPr>
          <w:lang w:val="es-ES"/>
        </w:rPr>
      </w:pPr>
    </w:p>
    <w:p w14:paraId="6A830333" w14:textId="77777777" w:rsidR="007E3091" w:rsidRPr="00F22672" w:rsidRDefault="007E3091" w:rsidP="007E3091">
      <w:pPr>
        <w:keepNext/>
        <w:rPr>
          <w:lang w:val="es-ES"/>
        </w:rPr>
      </w:pPr>
      <w:r w:rsidRPr="00F22672">
        <w:rPr>
          <w:lang w:val="es-ES_tradnl"/>
        </w:rPr>
        <w:t xml:space="preserve">No agitar la jeringa. Después de retirar el tapón de la aguja, la inyección </w:t>
      </w:r>
      <w:r w:rsidR="00CD3FAD" w:rsidRPr="00F22672">
        <w:rPr>
          <w:lang w:val="es-ES_tradnl"/>
        </w:rPr>
        <w:t xml:space="preserve">se debe </w:t>
      </w:r>
      <w:r w:rsidR="00D90008" w:rsidRPr="00F22672">
        <w:rPr>
          <w:lang w:val="es-ES_tradnl"/>
        </w:rPr>
        <w:t xml:space="preserve">iniciar </w:t>
      </w:r>
      <w:r w:rsidR="001D6C2E" w:rsidRPr="00F22672">
        <w:rPr>
          <w:lang w:val="es-ES_tradnl"/>
        </w:rPr>
        <w:t>en los 5 minutos sig</w:t>
      </w:r>
      <w:r w:rsidRPr="00F22672">
        <w:rPr>
          <w:lang w:val="es-ES_tradnl"/>
        </w:rPr>
        <w:t xml:space="preserve">uientes para evitar que el medicamento se seque y bloquee la aguja. Si la jeringa precargada no se utiliza dentro de los 5 minutos siguientes a retirar </w:t>
      </w:r>
      <w:r w:rsidR="009246E4" w:rsidRPr="00F22672">
        <w:rPr>
          <w:lang w:val="es-ES_tradnl"/>
        </w:rPr>
        <w:t>el tapón</w:t>
      </w:r>
      <w:r w:rsidRPr="00F22672">
        <w:rPr>
          <w:lang w:val="es-ES_tradnl"/>
        </w:rPr>
        <w:t>, se debe eliminar en un contenedor para objetos punzantes y utilizar una nueva jeringa precargada.</w:t>
      </w:r>
    </w:p>
    <w:p w14:paraId="3F1EB80F" w14:textId="77777777" w:rsidR="007E3091" w:rsidRPr="00F22672" w:rsidRDefault="007E3091" w:rsidP="007E3091">
      <w:pPr>
        <w:rPr>
          <w:lang w:val="es-ES_tradnl"/>
        </w:rPr>
      </w:pPr>
    </w:p>
    <w:p w14:paraId="1887ECF2" w14:textId="77777777" w:rsidR="007E3091" w:rsidRPr="00F22672" w:rsidRDefault="007E3091" w:rsidP="007E3091">
      <w:pPr>
        <w:rPr>
          <w:lang w:val="es-ES_tradnl"/>
        </w:rPr>
      </w:pPr>
      <w:r w:rsidRPr="00F22672">
        <w:rPr>
          <w:lang w:val="es-ES_tradnl"/>
        </w:rPr>
        <w:t>Si después de insertar la aguja no se puede presionar el émbolo de la jeringa, se debe eliminar la jeringa precargada en un contenedor especial para objetos punzantes y se debe utilizar otra nueva.</w:t>
      </w:r>
    </w:p>
    <w:p w14:paraId="3199BD0F" w14:textId="77777777" w:rsidR="003E3A62" w:rsidRPr="00F22672" w:rsidRDefault="003E3A62" w:rsidP="003E3A62">
      <w:pPr>
        <w:rPr>
          <w:lang w:val="es-ES"/>
        </w:rPr>
      </w:pPr>
    </w:p>
    <w:p w14:paraId="71F6A450" w14:textId="77777777" w:rsidR="001D5479" w:rsidRPr="00F22672" w:rsidRDefault="001D5479" w:rsidP="003E3A62">
      <w:pPr>
        <w:rPr>
          <w:lang w:val="es-ES"/>
        </w:rPr>
      </w:pPr>
    </w:p>
    <w:p w14:paraId="1E0A964A" w14:textId="77777777" w:rsidR="003E3A62" w:rsidRPr="00FF2AFA" w:rsidRDefault="003E3A62" w:rsidP="003E3A62">
      <w:pPr>
        <w:keepNext/>
        <w:keepLines/>
        <w:rPr>
          <w:b/>
          <w:szCs w:val="22"/>
          <w:lang w:val="es-ES"/>
        </w:rPr>
      </w:pPr>
      <w:r w:rsidRPr="00FF2AFA">
        <w:rPr>
          <w:b/>
          <w:szCs w:val="22"/>
          <w:lang w:val="es-ES"/>
        </w:rPr>
        <w:t>6.</w:t>
      </w:r>
      <w:r w:rsidRPr="00FF2AFA">
        <w:rPr>
          <w:b/>
          <w:szCs w:val="22"/>
          <w:lang w:val="es-ES"/>
        </w:rPr>
        <w:tab/>
        <w:t>Contenido del envase e información adicional</w:t>
      </w:r>
    </w:p>
    <w:p w14:paraId="173446DD" w14:textId="77777777" w:rsidR="003E3A62" w:rsidRPr="00F22672" w:rsidRDefault="003E3A62" w:rsidP="003E3A62">
      <w:pPr>
        <w:keepNext/>
        <w:keepLines/>
        <w:rPr>
          <w:b/>
          <w:bCs/>
          <w:lang w:val="es-ES"/>
        </w:rPr>
      </w:pPr>
    </w:p>
    <w:p w14:paraId="4B8F45AE" w14:textId="77777777" w:rsidR="003E3A62" w:rsidRPr="00D75946" w:rsidRDefault="003E3A62" w:rsidP="003E3A62">
      <w:pPr>
        <w:keepNext/>
        <w:keepLines/>
        <w:rPr>
          <w:b/>
          <w:bCs/>
          <w:szCs w:val="22"/>
          <w:lang w:val="es-ES_tradnl"/>
        </w:rPr>
      </w:pPr>
      <w:r w:rsidRPr="00D75946">
        <w:rPr>
          <w:b/>
          <w:bCs/>
          <w:szCs w:val="22"/>
          <w:lang w:val="es-ES_tradnl"/>
        </w:rPr>
        <w:t>Composición de RoActemra</w:t>
      </w:r>
    </w:p>
    <w:p w14:paraId="5271034B" w14:textId="77777777" w:rsidR="003E3A62" w:rsidRPr="00F22672" w:rsidRDefault="003E3A62" w:rsidP="003E3A62">
      <w:pPr>
        <w:keepNext/>
        <w:keepLines/>
        <w:ind w:left="567" w:hanging="567"/>
        <w:rPr>
          <w:b/>
          <w:bCs/>
          <w:lang w:val="es-ES"/>
        </w:rPr>
      </w:pPr>
      <w:r w:rsidRPr="00F22672">
        <w:rPr>
          <w:lang w:val="es-ES"/>
        </w:rPr>
        <w:sym w:font="Symbol" w:char="F0B7"/>
      </w:r>
      <w:r w:rsidRPr="00F22672">
        <w:rPr>
          <w:noProof/>
          <w:lang w:val="es-ES"/>
        </w:rPr>
        <w:tab/>
      </w:r>
      <w:r w:rsidRPr="00F22672">
        <w:rPr>
          <w:lang w:val="es-ES_tradnl"/>
        </w:rPr>
        <w:t>El principio activo es tocilizumab.</w:t>
      </w:r>
      <w:r w:rsidRPr="00F22672">
        <w:rPr>
          <w:lang w:val="es-ES"/>
        </w:rPr>
        <w:t xml:space="preserve"> </w:t>
      </w:r>
    </w:p>
    <w:p w14:paraId="54984157" w14:textId="77777777" w:rsidR="00C10795" w:rsidRPr="00F22672" w:rsidRDefault="003E3A62" w:rsidP="003E3A62">
      <w:pPr>
        <w:ind w:left="567" w:hanging="567"/>
        <w:rPr>
          <w:lang w:val="es-ES"/>
        </w:rPr>
      </w:pPr>
      <w:r w:rsidRPr="00F22672">
        <w:rPr>
          <w:noProof/>
          <w:lang w:val="es-ES"/>
        </w:rPr>
        <w:tab/>
      </w:r>
      <w:r w:rsidRPr="00F22672">
        <w:rPr>
          <w:lang w:val="es-ES_tradnl"/>
        </w:rPr>
        <w:t xml:space="preserve">Cada </w:t>
      </w:r>
      <w:r w:rsidR="00612D70" w:rsidRPr="00F22672">
        <w:rPr>
          <w:lang w:val="es-ES_tradnl"/>
        </w:rPr>
        <w:t>jeringa</w:t>
      </w:r>
      <w:r w:rsidRPr="00F22672">
        <w:rPr>
          <w:lang w:val="es-ES_tradnl"/>
        </w:rPr>
        <w:t xml:space="preserve"> precargada contiene 162 mg de tocilizumab </w:t>
      </w:r>
      <w:r w:rsidR="00C10795" w:rsidRPr="00F22672">
        <w:rPr>
          <w:lang w:val="es-ES_tradnl"/>
        </w:rPr>
        <w:t>en 0,9 ml.</w:t>
      </w:r>
    </w:p>
    <w:p w14:paraId="700F926D" w14:textId="77777777" w:rsidR="003E3A62" w:rsidRPr="00F22672" w:rsidRDefault="003E3A62" w:rsidP="003E3A62">
      <w:pPr>
        <w:ind w:left="567" w:hanging="567"/>
        <w:rPr>
          <w:lang w:val="es-ES"/>
        </w:rPr>
      </w:pPr>
    </w:p>
    <w:p w14:paraId="2071480D" w14:textId="54BE63E0" w:rsidR="003E3A62" w:rsidRPr="00F22672" w:rsidRDefault="003E3A62" w:rsidP="003E3A62">
      <w:pPr>
        <w:keepNext/>
        <w:ind w:left="567" w:hanging="567"/>
        <w:outlineLvl w:val="0"/>
        <w:rPr>
          <w:lang w:val="es-ES"/>
        </w:rPr>
      </w:pPr>
      <w:r w:rsidRPr="00F22672">
        <w:rPr>
          <w:lang w:val="es-ES"/>
        </w:rPr>
        <w:sym w:font="Symbol" w:char="F0B7"/>
      </w:r>
      <w:r w:rsidRPr="00F22672">
        <w:rPr>
          <w:noProof/>
          <w:lang w:val="es-ES"/>
        </w:rPr>
        <w:tab/>
      </w:r>
      <w:r w:rsidRPr="00F22672">
        <w:rPr>
          <w:lang w:val="es-ES_tradnl"/>
        </w:rPr>
        <w:t xml:space="preserve">Los demás componentes son </w:t>
      </w:r>
      <w:r w:rsidRPr="00F22672">
        <w:rPr>
          <w:lang w:val="es-ES"/>
        </w:rPr>
        <w:t>L-Histidina, Monohidrocloruro de L-histidina monohidrato</w:t>
      </w:r>
      <w:r w:rsidR="003125D7" w:rsidRPr="00F22672">
        <w:rPr>
          <w:lang w:val="es-ES"/>
        </w:rPr>
        <w:t xml:space="preserve">, </w:t>
      </w:r>
      <w:r w:rsidR="00137C28" w:rsidRPr="00CD1F47">
        <w:rPr>
          <w:lang w:val="es-ES"/>
        </w:rPr>
        <w:t>L-Arginina</w:t>
      </w:r>
      <w:r w:rsidR="00B947D0">
        <w:rPr>
          <w:lang w:val="es-ES"/>
        </w:rPr>
        <w:t>/</w:t>
      </w:r>
      <w:r w:rsidRPr="00F22672">
        <w:rPr>
          <w:lang w:val="es-ES"/>
        </w:rPr>
        <w:t xml:space="preserve">Hidrocloruro de L- Arginina, L-Metionina, </w:t>
      </w:r>
      <w:r w:rsidRPr="00F22672">
        <w:rPr>
          <w:lang w:val="es-ES_tradnl"/>
        </w:rPr>
        <w:t>Polisorbato 80</w:t>
      </w:r>
      <w:r w:rsidRPr="00F22672">
        <w:rPr>
          <w:lang w:val="es-ES"/>
        </w:rPr>
        <w:t xml:space="preserve">, </w:t>
      </w:r>
      <w:r w:rsidRPr="00F22672">
        <w:rPr>
          <w:lang w:val="es-ES_tradnl"/>
        </w:rPr>
        <w:t>Agua para preparaciones inyectables</w:t>
      </w:r>
      <w:r w:rsidR="0069055D">
        <w:rPr>
          <w:lang w:val="es-ES_tradnl"/>
        </w:rPr>
        <w:t xml:space="preserve"> (ver sección 2 “RoActemra contiene polisorbato</w:t>
      </w:r>
      <w:ins w:id="2548" w:author="AUTHOR">
        <w:r w:rsidR="00024761">
          <w:rPr>
            <w:lang w:val="es-ES_tradnl"/>
          </w:rPr>
          <w:t xml:space="preserve"> </w:t>
        </w:r>
        <w:r w:rsidR="00024761" w:rsidRPr="00467FFD">
          <w:rPr>
            <w:lang w:val="es-ES"/>
            <w:rPrChange w:id="2549" w:author="AUTHOR">
              <w:rPr>
                <w:lang w:val="en-GB"/>
              </w:rPr>
            </w:rPrChange>
          </w:rPr>
          <w:t>80 (E 433)</w:t>
        </w:r>
      </w:ins>
      <w:r w:rsidR="0069055D">
        <w:rPr>
          <w:lang w:val="es-ES_tradnl"/>
        </w:rPr>
        <w:t>”)</w:t>
      </w:r>
      <w:r w:rsidRPr="00F22672">
        <w:rPr>
          <w:lang w:val="es-ES_tradnl"/>
        </w:rPr>
        <w:t>.</w:t>
      </w:r>
    </w:p>
    <w:p w14:paraId="34E5D64B" w14:textId="77777777" w:rsidR="003E3A62" w:rsidRPr="00F22672" w:rsidRDefault="003E3A62" w:rsidP="003E3A62">
      <w:pPr>
        <w:rPr>
          <w:bCs/>
          <w:lang w:val="es-ES"/>
        </w:rPr>
      </w:pPr>
    </w:p>
    <w:p w14:paraId="705ABE3B" w14:textId="77777777" w:rsidR="003E3A62" w:rsidRPr="006868F5" w:rsidRDefault="003E3A62" w:rsidP="00C636EA">
      <w:pPr>
        <w:keepNext/>
        <w:keepLines/>
        <w:numPr>
          <w:ilvl w:val="12"/>
          <w:numId w:val="0"/>
        </w:numPr>
        <w:tabs>
          <w:tab w:val="left" w:pos="720"/>
        </w:tabs>
        <w:ind w:left="567" w:right="-2" w:hanging="567"/>
        <w:rPr>
          <w:b/>
          <w:bCs/>
          <w:szCs w:val="22"/>
          <w:lang w:val="es-ES_tradnl"/>
        </w:rPr>
      </w:pPr>
      <w:r w:rsidRPr="006868F5">
        <w:rPr>
          <w:b/>
          <w:bCs/>
          <w:szCs w:val="22"/>
          <w:lang w:val="es-ES_tradnl"/>
        </w:rPr>
        <w:t>Aspecto del producto y contenido del envase</w:t>
      </w:r>
    </w:p>
    <w:p w14:paraId="6440C61B" w14:textId="77777777" w:rsidR="003E3A62" w:rsidRPr="00F22672" w:rsidRDefault="003E3A62" w:rsidP="003E3A62">
      <w:pPr>
        <w:rPr>
          <w:lang w:val="es-ES_tradnl"/>
        </w:rPr>
      </w:pPr>
      <w:r w:rsidRPr="00F22672">
        <w:rPr>
          <w:lang w:val="es-ES_tradnl"/>
        </w:rPr>
        <w:t xml:space="preserve">RoActemra es una solución para inyección. La solución es </w:t>
      </w:r>
      <w:r w:rsidR="00D90008" w:rsidRPr="00F22672">
        <w:rPr>
          <w:lang w:val="es-ES_tradnl"/>
        </w:rPr>
        <w:t>incolora a ligeramente amarillenta</w:t>
      </w:r>
      <w:r w:rsidRPr="00F22672">
        <w:rPr>
          <w:lang w:val="es-ES_tradnl"/>
        </w:rPr>
        <w:t xml:space="preserve">. </w:t>
      </w:r>
    </w:p>
    <w:p w14:paraId="23FCF092" w14:textId="77777777" w:rsidR="003E3A62" w:rsidRPr="00F22672" w:rsidRDefault="003E3A62" w:rsidP="003E3A62">
      <w:pPr>
        <w:rPr>
          <w:lang w:val="es-ES_tradnl"/>
        </w:rPr>
      </w:pPr>
    </w:p>
    <w:p w14:paraId="39A5E70F" w14:textId="77777777" w:rsidR="003E3A62" w:rsidRPr="00F22672" w:rsidRDefault="003E3A62" w:rsidP="003E3A62">
      <w:pPr>
        <w:rPr>
          <w:lang w:val="es-ES_tradnl"/>
        </w:rPr>
      </w:pPr>
      <w:r w:rsidRPr="00F22672">
        <w:rPr>
          <w:lang w:val="es-ES_tradnl"/>
        </w:rPr>
        <w:t xml:space="preserve">RoActemra es suministrado en </w:t>
      </w:r>
      <w:r w:rsidR="00612D70" w:rsidRPr="00F22672">
        <w:rPr>
          <w:lang w:val="es-ES_tradnl"/>
        </w:rPr>
        <w:t>jeringas</w:t>
      </w:r>
      <w:r w:rsidRPr="00F22672">
        <w:rPr>
          <w:lang w:val="es-ES_tradnl"/>
        </w:rPr>
        <w:t xml:space="preserve"> precargadas de 0,9 ml que contienen 162 mg de tocilizumab solución para inyección.</w:t>
      </w:r>
    </w:p>
    <w:p w14:paraId="2C9DF202" w14:textId="77777777" w:rsidR="003E3A62" w:rsidRPr="00F22672" w:rsidRDefault="003E3A62" w:rsidP="003E3A62">
      <w:pPr>
        <w:rPr>
          <w:lang w:val="es-ES_tradnl"/>
        </w:rPr>
      </w:pPr>
    </w:p>
    <w:p w14:paraId="4259FC1C" w14:textId="77777777" w:rsidR="0012163E" w:rsidRPr="00F22672" w:rsidRDefault="00C10795" w:rsidP="0012163E">
      <w:pPr>
        <w:rPr>
          <w:lang w:val="es-ES"/>
        </w:rPr>
      </w:pPr>
      <w:r w:rsidRPr="00F22672">
        <w:rPr>
          <w:lang w:val="es-ES_tradnl"/>
        </w:rPr>
        <w:t>Cada</w:t>
      </w:r>
      <w:r w:rsidR="003E3A62" w:rsidRPr="00F22672">
        <w:rPr>
          <w:lang w:val="es-ES_tradnl"/>
        </w:rPr>
        <w:t xml:space="preserve"> envase </w:t>
      </w:r>
      <w:r w:rsidRPr="00F22672">
        <w:rPr>
          <w:lang w:val="es-ES_tradnl"/>
        </w:rPr>
        <w:t xml:space="preserve">contiene </w:t>
      </w:r>
      <w:r w:rsidR="003E3A62" w:rsidRPr="00F22672">
        <w:rPr>
          <w:lang w:val="es-ES_tradnl"/>
        </w:rPr>
        <w:t xml:space="preserve">4 </w:t>
      </w:r>
      <w:r w:rsidR="00612D70" w:rsidRPr="00F22672">
        <w:rPr>
          <w:lang w:val="es-ES_tradnl"/>
        </w:rPr>
        <w:t>jeringas</w:t>
      </w:r>
      <w:r w:rsidR="003E3A62" w:rsidRPr="00F22672">
        <w:rPr>
          <w:lang w:val="es-ES_tradnl"/>
        </w:rPr>
        <w:t xml:space="preserve"> precargadas</w:t>
      </w:r>
      <w:r w:rsidR="003E3A62" w:rsidRPr="00F22672">
        <w:rPr>
          <w:b/>
          <w:lang w:val="es-ES_tradnl"/>
        </w:rPr>
        <w:t>.</w:t>
      </w:r>
      <w:r w:rsidR="0012163E" w:rsidRPr="00F22672">
        <w:rPr>
          <w:b/>
          <w:lang w:val="es-ES_tradnl"/>
        </w:rPr>
        <w:t xml:space="preserve"> El </w:t>
      </w:r>
      <w:r w:rsidR="002F0687">
        <w:rPr>
          <w:b/>
          <w:lang w:val="es-ES_tradnl"/>
        </w:rPr>
        <w:t>envase múltiple</w:t>
      </w:r>
      <w:r w:rsidR="0012163E" w:rsidRPr="00F22672">
        <w:rPr>
          <w:b/>
          <w:lang w:val="es-ES_tradnl"/>
        </w:rPr>
        <w:t xml:space="preserve"> contiene 12 (3 envases de 4) jeringas precargadas. </w:t>
      </w:r>
      <w:r w:rsidR="0012163E" w:rsidRPr="00F22672">
        <w:rPr>
          <w:b/>
          <w:szCs w:val="24"/>
          <w:lang w:val="es-ES_tradnl"/>
        </w:rPr>
        <w:t>Puede que solamente estén comercializados algunos tamaños de envases</w:t>
      </w:r>
      <w:r w:rsidR="0012163E" w:rsidRPr="00F22672">
        <w:rPr>
          <w:szCs w:val="24"/>
          <w:lang w:val="es-ES_tradnl"/>
        </w:rPr>
        <w:t>.</w:t>
      </w:r>
    </w:p>
    <w:p w14:paraId="11299FA8" w14:textId="77777777" w:rsidR="003E3A62" w:rsidRPr="00D75946" w:rsidRDefault="003E3A62" w:rsidP="00D75946">
      <w:pPr>
        <w:keepNext/>
        <w:keepLines/>
        <w:rPr>
          <w:b/>
          <w:bCs/>
          <w:szCs w:val="22"/>
          <w:lang w:val="es-ES_tradnl"/>
        </w:rPr>
      </w:pPr>
    </w:p>
    <w:p w14:paraId="04DEAF93" w14:textId="77777777" w:rsidR="003E3A62" w:rsidRPr="006868F5" w:rsidRDefault="003E3A62">
      <w:pPr>
        <w:keepNext/>
        <w:keepLines/>
        <w:numPr>
          <w:ilvl w:val="12"/>
          <w:numId w:val="0"/>
        </w:numPr>
        <w:tabs>
          <w:tab w:val="left" w:pos="720"/>
        </w:tabs>
        <w:ind w:left="567" w:right="-2" w:hanging="567"/>
        <w:rPr>
          <w:b/>
          <w:bCs/>
          <w:szCs w:val="22"/>
          <w:lang w:val="es-ES_tradnl"/>
        </w:rPr>
      </w:pPr>
      <w:r w:rsidRPr="006868F5">
        <w:rPr>
          <w:b/>
          <w:bCs/>
          <w:szCs w:val="22"/>
          <w:lang w:val="es-ES_tradnl"/>
        </w:rPr>
        <w:t>Titular de la autorización de comercialización</w:t>
      </w:r>
      <w:r w:rsidR="0077150F">
        <w:rPr>
          <w:b/>
          <w:bCs/>
          <w:szCs w:val="22"/>
          <w:lang w:val="es-ES_tradnl"/>
        </w:rPr>
        <w:t xml:space="preserve"> y responsable de la fabricación</w:t>
      </w:r>
    </w:p>
    <w:p w14:paraId="6E024F13" w14:textId="77777777" w:rsidR="00CC09AC" w:rsidRPr="00EF2448" w:rsidRDefault="00CC09AC" w:rsidP="00F30AB8">
      <w:pPr>
        <w:keepNext/>
        <w:keepLines/>
        <w:rPr>
          <w:noProof/>
          <w:lang w:val="de-DE"/>
        </w:rPr>
      </w:pPr>
      <w:r w:rsidRPr="00EF2448">
        <w:rPr>
          <w:noProof/>
          <w:lang w:val="de-DE"/>
        </w:rPr>
        <w:t xml:space="preserve">Roche Registration GmbH </w:t>
      </w:r>
    </w:p>
    <w:p w14:paraId="69A08057" w14:textId="77777777" w:rsidR="00CC09AC" w:rsidRPr="00EF2448" w:rsidRDefault="00CC09AC" w:rsidP="00F30AB8">
      <w:pPr>
        <w:keepNext/>
        <w:keepLines/>
        <w:rPr>
          <w:noProof/>
          <w:lang w:val="de-DE"/>
        </w:rPr>
      </w:pPr>
      <w:r w:rsidRPr="00EF2448">
        <w:rPr>
          <w:noProof/>
          <w:lang w:val="de-DE"/>
        </w:rPr>
        <w:t>Emil-Barell-Strasse 1</w:t>
      </w:r>
    </w:p>
    <w:p w14:paraId="4D686DEF" w14:textId="77777777" w:rsidR="00CC09AC" w:rsidRPr="00F30AB8" w:rsidRDefault="00CC09AC" w:rsidP="00F30AB8">
      <w:pPr>
        <w:keepNext/>
        <w:keepLines/>
        <w:rPr>
          <w:noProof/>
          <w:lang w:val="pt-PT"/>
        </w:rPr>
      </w:pPr>
      <w:r w:rsidRPr="00F30AB8">
        <w:rPr>
          <w:noProof/>
          <w:lang w:val="pt-PT"/>
        </w:rPr>
        <w:t>79639 Grenzach-Wyhlen</w:t>
      </w:r>
    </w:p>
    <w:p w14:paraId="3A4E4BFB" w14:textId="77777777" w:rsidR="003E3A62" w:rsidRPr="00EF2448" w:rsidRDefault="00CC09AC">
      <w:pPr>
        <w:keepNext/>
        <w:keepLines/>
        <w:rPr>
          <w:noProof/>
          <w:lang w:val="es-ES"/>
        </w:rPr>
      </w:pPr>
      <w:r w:rsidRPr="00EF2448">
        <w:rPr>
          <w:noProof/>
          <w:lang w:val="es-ES"/>
        </w:rPr>
        <w:t>Alemania</w:t>
      </w:r>
    </w:p>
    <w:p w14:paraId="68C5B413" w14:textId="77777777" w:rsidR="00E92D5F" w:rsidRPr="00D75946" w:rsidRDefault="00E92D5F" w:rsidP="00D75946">
      <w:pPr>
        <w:keepNext/>
        <w:keepLines/>
        <w:rPr>
          <w:b/>
          <w:bCs/>
          <w:szCs w:val="22"/>
          <w:lang w:val="es-ES_tradnl"/>
        </w:rPr>
      </w:pPr>
    </w:p>
    <w:p w14:paraId="039A1938" w14:textId="77777777" w:rsidR="003E3A62" w:rsidRPr="00D75946" w:rsidRDefault="0077150F" w:rsidP="006868F5">
      <w:pPr>
        <w:keepNext/>
        <w:keepLines/>
        <w:numPr>
          <w:ilvl w:val="12"/>
          <w:numId w:val="0"/>
        </w:numPr>
        <w:tabs>
          <w:tab w:val="left" w:pos="720"/>
        </w:tabs>
        <w:ind w:left="567" w:right="-2" w:hanging="567"/>
        <w:rPr>
          <w:b/>
          <w:bCs/>
          <w:szCs w:val="22"/>
          <w:lang w:val="es-ES_tradnl"/>
        </w:rPr>
      </w:pPr>
      <w:r>
        <w:rPr>
          <w:b/>
          <w:bCs/>
          <w:szCs w:val="22"/>
          <w:lang w:val="es-ES_tradnl"/>
        </w:rPr>
        <w:t>Responsable de la f</w:t>
      </w:r>
      <w:r w:rsidR="003E3A62" w:rsidRPr="00D75946">
        <w:rPr>
          <w:b/>
          <w:bCs/>
          <w:szCs w:val="22"/>
          <w:lang w:val="es-ES_tradnl"/>
        </w:rPr>
        <w:t>abrica</w:t>
      </w:r>
      <w:r>
        <w:rPr>
          <w:b/>
          <w:bCs/>
          <w:szCs w:val="22"/>
          <w:lang w:val="es-ES_tradnl"/>
        </w:rPr>
        <w:t>ción</w:t>
      </w:r>
    </w:p>
    <w:p w14:paraId="49C6246D" w14:textId="77777777" w:rsidR="003E3A62" w:rsidRPr="005E6BE8" w:rsidRDefault="003E3A62" w:rsidP="003E3A62">
      <w:r w:rsidRPr="005E6BE8">
        <w:t>Roche Pharma AG</w:t>
      </w:r>
    </w:p>
    <w:p w14:paraId="51705472" w14:textId="77777777" w:rsidR="003E3A62" w:rsidRPr="00EF2448" w:rsidRDefault="003E3A62" w:rsidP="003E3A62">
      <w:pPr>
        <w:rPr>
          <w:lang w:val="es-ES"/>
        </w:rPr>
      </w:pPr>
      <w:r w:rsidRPr="00F30AB8">
        <w:rPr>
          <w:lang w:val="de-DE"/>
        </w:rPr>
        <w:t xml:space="preserve">Emil-Barell-Str. </w:t>
      </w:r>
      <w:r w:rsidRPr="00EF2448">
        <w:rPr>
          <w:lang w:val="es-ES"/>
        </w:rPr>
        <w:t>1</w:t>
      </w:r>
    </w:p>
    <w:p w14:paraId="5D647400" w14:textId="6E10B185" w:rsidR="003E3A62" w:rsidRPr="00EF2448" w:rsidRDefault="003E3A62" w:rsidP="003E3A62">
      <w:pPr>
        <w:rPr>
          <w:lang w:val="es-ES"/>
        </w:rPr>
      </w:pPr>
      <w:r w:rsidRPr="00EF2448">
        <w:rPr>
          <w:lang w:val="es-ES"/>
        </w:rPr>
        <w:t>79639 Grenzach-Wyhlen</w:t>
      </w:r>
    </w:p>
    <w:p w14:paraId="71C314FD" w14:textId="77777777" w:rsidR="003E3A62" w:rsidRPr="00F22672" w:rsidRDefault="003E3A62" w:rsidP="003E3A62">
      <w:pPr>
        <w:rPr>
          <w:lang w:val="es-ES"/>
        </w:rPr>
      </w:pPr>
      <w:r w:rsidRPr="00F22672">
        <w:rPr>
          <w:lang w:val="es-ES_tradnl"/>
        </w:rPr>
        <w:t>Alemania</w:t>
      </w:r>
    </w:p>
    <w:p w14:paraId="64092AD0" w14:textId="77777777" w:rsidR="003E3A62" w:rsidRPr="00F22672" w:rsidRDefault="003E3A62" w:rsidP="003E3A62">
      <w:pPr>
        <w:rPr>
          <w:lang w:val="es-ES"/>
        </w:rPr>
      </w:pPr>
    </w:p>
    <w:p w14:paraId="4EBC65F9" w14:textId="77777777" w:rsidR="003E3A62" w:rsidRPr="00F22672" w:rsidRDefault="003E3A62" w:rsidP="00340B01">
      <w:pPr>
        <w:keepNext/>
        <w:keepLines/>
        <w:rPr>
          <w:lang w:val="es-ES"/>
        </w:rPr>
      </w:pPr>
      <w:r w:rsidRPr="00F22672">
        <w:rPr>
          <w:lang w:val="es-ES_tradnl"/>
        </w:rPr>
        <w:lastRenderedPageBreak/>
        <w:t>Pueden solicitar más información respecto a este medicamento dirigiéndose al representante local del titular de la autorización de comercialización:</w:t>
      </w:r>
    </w:p>
    <w:p w14:paraId="2CA0D754" w14:textId="77777777" w:rsidR="003E3A62" w:rsidRPr="00F22672" w:rsidRDefault="003E3A62" w:rsidP="00340B01">
      <w:pPr>
        <w:keepNext/>
        <w:keepLines/>
        <w:rPr>
          <w:lang w:val="es-ES"/>
        </w:rPr>
      </w:pPr>
    </w:p>
    <w:tbl>
      <w:tblPr>
        <w:tblW w:w="9180" w:type="dxa"/>
        <w:tblLayout w:type="fixed"/>
        <w:tblLook w:val="0000" w:firstRow="0" w:lastRow="0" w:firstColumn="0" w:lastColumn="0" w:noHBand="0" w:noVBand="0"/>
        <w:tblPrChange w:id="2550" w:author="AUTHOR">
          <w:tblPr>
            <w:tblW w:w="0" w:type="auto"/>
            <w:tblLayout w:type="fixed"/>
            <w:tblLook w:val="0000" w:firstRow="0" w:lastRow="0" w:firstColumn="0" w:lastColumn="0" w:noHBand="0" w:noVBand="0"/>
          </w:tblPr>
        </w:tblPrChange>
      </w:tblPr>
      <w:tblGrid>
        <w:gridCol w:w="4590"/>
        <w:gridCol w:w="4590"/>
        <w:tblGridChange w:id="2551">
          <w:tblGrid>
            <w:gridCol w:w="5"/>
            <w:gridCol w:w="4585"/>
            <w:gridCol w:w="5"/>
            <w:gridCol w:w="4585"/>
            <w:gridCol w:w="5"/>
          </w:tblGrid>
        </w:tblGridChange>
      </w:tblGrid>
      <w:tr w:rsidR="003E3A62" w:rsidRPr="00541248" w14:paraId="093C99C3" w14:textId="77777777" w:rsidTr="00467FFD">
        <w:trPr>
          <w:cantSplit/>
          <w:trPrChange w:id="2552" w:author="AUTHOR">
            <w:trPr>
              <w:gridAfter w:val="0"/>
              <w:cantSplit/>
            </w:trPr>
          </w:trPrChange>
        </w:trPr>
        <w:tc>
          <w:tcPr>
            <w:tcW w:w="4590" w:type="dxa"/>
            <w:tcPrChange w:id="2553" w:author="AUTHOR">
              <w:tcPr>
                <w:tcW w:w="4590" w:type="dxa"/>
                <w:gridSpan w:val="2"/>
              </w:tcPr>
            </w:tcPrChange>
          </w:tcPr>
          <w:p w14:paraId="31716B23" w14:textId="182ED5A1" w:rsidR="003E3A62" w:rsidRPr="00467FFD" w:rsidDel="00B14A9D" w:rsidRDefault="003E3A62">
            <w:pPr>
              <w:keepNext/>
              <w:keepLines/>
              <w:suppressAutoHyphens/>
              <w:rPr>
                <w:del w:id="2554" w:author="AUTHOR"/>
                <w:noProof/>
                <w:lang w:val="de-DE"/>
                <w:rPrChange w:id="2555" w:author="AUTHOR">
                  <w:rPr>
                    <w:del w:id="2556" w:author="AUTHOR"/>
                    <w:noProof/>
                    <w:lang w:val="fr-FR"/>
                  </w:rPr>
                </w:rPrChange>
              </w:rPr>
              <w:pPrChange w:id="2557" w:author="AUTHOR" w:date="2025-07-21T11:35:00Z">
                <w:pPr>
                  <w:keepNext/>
                  <w:keepLines/>
                </w:pPr>
              </w:pPrChange>
            </w:pPr>
            <w:r w:rsidRPr="00F22672">
              <w:rPr>
                <w:b/>
                <w:bCs/>
                <w:lang w:val="fr-FR"/>
              </w:rPr>
              <w:t>België/Belgique/Belgien</w:t>
            </w:r>
            <w:ins w:id="2558" w:author="AUTHOR">
              <w:r w:rsidR="00B14A9D" w:rsidRPr="00F22672">
                <w:rPr>
                  <w:b/>
                  <w:bCs/>
                  <w:lang w:val="de-DE"/>
                </w:rPr>
                <w:t xml:space="preserve"> Luxembourg/Luxemburg</w:t>
              </w:r>
            </w:ins>
          </w:p>
          <w:p w14:paraId="73C34173" w14:textId="77777777" w:rsidR="00B14A9D" w:rsidRDefault="003E3A62" w:rsidP="00B14A9D">
            <w:pPr>
              <w:keepNext/>
              <w:keepLines/>
              <w:rPr>
                <w:ins w:id="2559" w:author="AUTHOR"/>
                <w:lang w:val="de-DE"/>
              </w:rPr>
            </w:pPr>
            <w:r w:rsidRPr="00F22672">
              <w:rPr>
                <w:lang w:val="fr-FR"/>
              </w:rPr>
              <w:t>N.V. Roche S.A.</w:t>
            </w:r>
            <w:ins w:id="2560" w:author="AUTHOR">
              <w:r w:rsidR="00B14A9D" w:rsidRPr="00F22672">
                <w:rPr>
                  <w:lang w:val="de-DE"/>
                </w:rPr>
                <w:t xml:space="preserve"> </w:t>
              </w:r>
            </w:ins>
          </w:p>
          <w:p w14:paraId="6727EB57" w14:textId="60BC7302" w:rsidR="003E3A62" w:rsidRPr="00B14A9D" w:rsidRDefault="00B14A9D">
            <w:pPr>
              <w:rPr>
                <w:bCs/>
                <w:noProof/>
                <w:szCs w:val="22"/>
                <w:lang w:val="fr-FR"/>
              </w:rPr>
              <w:pPrChange w:id="2561" w:author="AUTHOR">
                <w:pPr>
                  <w:keepNext/>
                  <w:keepLines/>
                </w:pPr>
              </w:pPrChange>
            </w:pPr>
            <w:ins w:id="2562" w:author="AUTHOR">
              <w:r w:rsidRPr="00B14A9D">
                <w:rPr>
                  <w:bCs/>
                  <w:noProof/>
                  <w:szCs w:val="22"/>
                  <w:lang w:val="fr-FR"/>
                </w:rPr>
                <w:t>België/Belgique/Belgien</w:t>
              </w:r>
            </w:ins>
          </w:p>
          <w:p w14:paraId="017C4958" w14:textId="77777777" w:rsidR="003E3A62" w:rsidRPr="00F22672" w:rsidRDefault="003E3A62" w:rsidP="00340B01">
            <w:pPr>
              <w:keepNext/>
              <w:keepLines/>
              <w:rPr>
                <w:b/>
                <w:noProof/>
                <w:lang w:val="fr-FR"/>
              </w:rPr>
            </w:pPr>
            <w:r w:rsidRPr="00F22672">
              <w:rPr>
                <w:lang w:val="fr-FR"/>
              </w:rPr>
              <w:t>Tél/Tel:</w:t>
            </w:r>
            <w:r w:rsidRPr="00F22672">
              <w:rPr>
                <w:noProof/>
                <w:lang w:val="fr-FR"/>
              </w:rPr>
              <w:t xml:space="preserve"> +32 (0) 2 525 82 11</w:t>
            </w:r>
          </w:p>
        </w:tc>
        <w:tc>
          <w:tcPr>
            <w:tcW w:w="4590" w:type="dxa"/>
            <w:tcPrChange w:id="2563" w:author="AUTHOR">
              <w:tcPr>
                <w:tcW w:w="4590" w:type="dxa"/>
                <w:gridSpan w:val="2"/>
              </w:tcPr>
            </w:tcPrChange>
          </w:tcPr>
          <w:p w14:paraId="1AF7A713" w14:textId="77777777" w:rsidR="00B14A9D" w:rsidRPr="00B14A9D" w:rsidRDefault="00B14A9D" w:rsidP="00B14A9D">
            <w:pPr>
              <w:rPr>
                <w:ins w:id="2564" w:author="AUTHOR"/>
                <w:b/>
                <w:noProof/>
                <w:szCs w:val="22"/>
                <w:lang w:val="it-IT"/>
              </w:rPr>
            </w:pPr>
            <w:ins w:id="2565" w:author="AUTHOR">
              <w:r w:rsidRPr="00B14A9D">
                <w:rPr>
                  <w:b/>
                  <w:noProof/>
                  <w:szCs w:val="22"/>
                  <w:lang w:val="it-IT"/>
                </w:rPr>
                <w:t>Latvija</w:t>
              </w:r>
            </w:ins>
          </w:p>
          <w:p w14:paraId="29D152CE" w14:textId="77777777" w:rsidR="00B14A9D" w:rsidRPr="00B14A9D" w:rsidRDefault="00B14A9D" w:rsidP="00B14A9D">
            <w:pPr>
              <w:rPr>
                <w:ins w:id="2566" w:author="AUTHOR"/>
                <w:noProof/>
                <w:szCs w:val="22"/>
                <w:lang w:val="it-IT"/>
              </w:rPr>
            </w:pPr>
            <w:ins w:id="2567" w:author="AUTHOR">
              <w:r w:rsidRPr="00B14A9D">
                <w:rPr>
                  <w:bCs/>
                  <w:noProof/>
                  <w:szCs w:val="22"/>
                  <w:lang w:val="it-IT"/>
                </w:rPr>
                <w:t>Roche Latvija SIA</w:t>
              </w:r>
            </w:ins>
          </w:p>
          <w:p w14:paraId="5E626693" w14:textId="77777777" w:rsidR="00B14A9D" w:rsidRPr="00B14A9D" w:rsidRDefault="00B14A9D" w:rsidP="00B14A9D">
            <w:pPr>
              <w:rPr>
                <w:ins w:id="2568" w:author="AUTHOR"/>
                <w:noProof/>
                <w:szCs w:val="22"/>
                <w:lang w:val="it-IT"/>
              </w:rPr>
            </w:pPr>
            <w:ins w:id="2569" w:author="AUTHOR">
              <w:r w:rsidRPr="00B14A9D">
                <w:rPr>
                  <w:noProof/>
                  <w:szCs w:val="22"/>
                  <w:lang w:val="it-IT"/>
                </w:rPr>
                <w:t>Tel: +371 - 6 7039831</w:t>
              </w:r>
            </w:ins>
          </w:p>
          <w:p w14:paraId="18165531" w14:textId="5444F5EB" w:rsidR="00E94412" w:rsidRPr="00EF2448" w:rsidDel="00B14A9D" w:rsidRDefault="00E94412" w:rsidP="00467FFD">
            <w:pPr>
              <w:autoSpaceDE w:val="0"/>
              <w:autoSpaceDN w:val="0"/>
              <w:adjustRightInd w:val="0"/>
              <w:rPr>
                <w:del w:id="2570" w:author="AUTHOR"/>
                <w:noProof/>
                <w:szCs w:val="22"/>
                <w:lang w:val="de-DE"/>
              </w:rPr>
            </w:pPr>
            <w:del w:id="2571" w:author="AUTHOR">
              <w:r w:rsidRPr="00EF2448" w:rsidDel="00B14A9D">
                <w:rPr>
                  <w:b/>
                  <w:noProof/>
                  <w:lang w:val="de-DE"/>
                </w:rPr>
                <w:delText>Lietuva</w:delText>
              </w:r>
            </w:del>
          </w:p>
          <w:p w14:paraId="2BCEF053" w14:textId="2B6393D8" w:rsidR="00E94412" w:rsidRPr="003B2FE2" w:rsidDel="00B14A9D" w:rsidRDefault="00E94412" w:rsidP="00467FFD">
            <w:pPr>
              <w:suppressAutoHyphens/>
              <w:rPr>
                <w:del w:id="2572" w:author="AUTHOR"/>
                <w:noProof/>
                <w:lang w:val="fi-FI"/>
              </w:rPr>
            </w:pPr>
            <w:del w:id="2573" w:author="AUTHOR">
              <w:r w:rsidRPr="00EF2448" w:rsidDel="00B14A9D">
                <w:rPr>
                  <w:noProof/>
                  <w:lang w:val="de-DE"/>
                </w:rPr>
                <w:delText>UAB “Roche Lietuva”</w:delText>
              </w:r>
            </w:del>
          </w:p>
          <w:p w14:paraId="3CE675FC" w14:textId="339E591B" w:rsidR="00E94412" w:rsidRPr="00EF2448" w:rsidDel="00B14A9D" w:rsidRDefault="00E94412" w:rsidP="00467FFD">
            <w:pPr>
              <w:keepNext/>
              <w:keepLines/>
              <w:suppressAutoHyphens/>
              <w:rPr>
                <w:del w:id="2574" w:author="AUTHOR"/>
                <w:noProof/>
                <w:lang w:val="de-DE"/>
              </w:rPr>
            </w:pPr>
            <w:del w:id="2575" w:author="AUTHOR">
              <w:r w:rsidRPr="00EF2448" w:rsidDel="00B14A9D">
                <w:rPr>
                  <w:lang w:val="de-DE"/>
                </w:rPr>
                <w:delText>Tel: +370</w:delText>
              </w:r>
              <w:r w:rsidRPr="003B2FE2" w:rsidDel="00B14A9D">
                <w:rPr>
                  <w:noProof/>
                  <w:lang w:val="fi-FI"/>
                </w:rPr>
                <w:delText xml:space="preserve"> 5 </w:delText>
              </w:r>
              <w:r w:rsidRPr="00EF2448" w:rsidDel="00B14A9D">
                <w:rPr>
                  <w:noProof/>
                  <w:lang w:val="de-DE"/>
                </w:rPr>
                <w:delText>2546799</w:delText>
              </w:r>
            </w:del>
          </w:p>
          <w:p w14:paraId="70490DDD" w14:textId="106A7032" w:rsidR="00E94412" w:rsidDel="00B14A9D" w:rsidRDefault="00E94412" w:rsidP="00467FFD">
            <w:pPr>
              <w:keepNext/>
              <w:keepLines/>
              <w:suppressAutoHyphens/>
              <w:rPr>
                <w:del w:id="2576" w:author="AUTHOR"/>
                <w:b/>
                <w:bCs/>
                <w:lang w:val="de-DE"/>
              </w:rPr>
            </w:pPr>
          </w:p>
          <w:p w14:paraId="3DA5BA31" w14:textId="7811AD1C" w:rsidR="003E3A62" w:rsidRPr="00F22672" w:rsidDel="00B14A9D" w:rsidRDefault="003E3A62" w:rsidP="00467FFD">
            <w:pPr>
              <w:keepNext/>
              <w:keepLines/>
              <w:suppressAutoHyphens/>
              <w:rPr>
                <w:del w:id="2577" w:author="AUTHOR"/>
                <w:noProof/>
                <w:lang w:val="de-DE"/>
              </w:rPr>
            </w:pPr>
            <w:del w:id="2578" w:author="AUTHOR">
              <w:r w:rsidRPr="00F22672" w:rsidDel="00B14A9D">
                <w:rPr>
                  <w:b/>
                  <w:bCs/>
                  <w:lang w:val="de-DE"/>
                </w:rPr>
                <w:delText>Luxembourg/Luxemburg</w:delText>
              </w:r>
            </w:del>
          </w:p>
          <w:p w14:paraId="19E4BAA7" w14:textId="637172D8" w:rsidR="003E3A62" w:rsidRPr="00F22672" w:rsidDel="00B14A9D" w:rsidRDefault="003E3A62" w:rsidP="00467FFD">
            <w:pPr>
              <w:keepNext/>
              <w:keepLines/>
              <w:rPr>
                <w:del w:id="2579" w:author="AUTHOR"/>
                <w:noProof/>
                <w:lang w:val="de-DE"/>
              </w:rPr>
            </w:pPr>
            <w:del w:id="2580" w:author="AUTHOR">
              <w:r w:rsidRPr="00F22672" w:rsidDel="00B14A9D">
                <w:rPr>
                  <w:lang w:val="de-DE"/>
                </w:rPr>
                <w:delText>(Voir/siehe Belgique/Belgien)</w:delText>
              </w:r>
            </w:del>
          </w:p>
          <w:p w14:paraId="76D94BC4" w14:textId="77777777" w:rsidR="003E3A62" w:rsidRPr="00F22672" w:rsidRDefault="003E3A62">
            <w:pPr>
              <w:keepNext/>
              <w:keepLines/>
              <w:rPr>
                <w:b/>
                <w:noProof/>
                <w:lang w:val="de-CH"/>
              </w:rPr>
              <w:pPrChange w:id="2581" w:author="AUTHOR">
                <w:pPr>
                  <w:keepNext/>
                  <w:keepLines/>
                  <w:suppressAutoHyphens/>
                </w:pPr>
              </w:pPrChange>
            </w:pPr>
          </w:p>
        </w:tc>
      </w:tr>
      <w:tr w:rsidR="003E3A62" w:rsidRPr="00F22672" w14:paraId="4630302B" w14:textId="77777777" w:rsidTr="00467FFD">
        <w:trPr>
          <w:cantSplit/>
          <w:trPrChange w:id="2582" w:author="AUTHOR">
            <w:trPr>
              <w:gridAfter w:val="0"/>
              <w:cantSplit/>
            </w:trPr>
          </w:trPrChange>
        </w:trPr>
        <w:tc>
          <w:tcPr>
            <w:tcW w:w="4590" w:type="dxa"/>
            <w:tcPrChange w:id="2583" w:author="AUTHOR">
              <w:tcPr>
                <w:tcW w:w="4590" w:type="dxa"/>
                <w:gridSpan w:val="2"/>
              </w:tcPr>
            </w:tcPrChange>
          </w:tcPr>
          <w:p w14:paraId="74E3958B" w14:textId="77777777" w:rsidR="003E3A62" w:rsidRPr="00F22672" w:rsidRDefault="003E3A62" w:rsidP="00340B01">
            <w:pPr>
              <w:keepNext/>
              <w:keepLines/>
              <w:autoSpaceDE w:val="0"/>
              <w:autoSpaceDN w:val="0"/>
              <w:adjustRightInd w:val="0"/>
              <w:rPr>
                <w:b/>
                <w:bCs/>
                <w:lang w:val="bg-BG"/>
              </w:rPr>
            </w:pPr>
            <w:r w:rsidRPr="00F22672">
              <w:rPr>
                <w:b/>
                <w:bCs/>
                <w:lang w:val="es-ES_tradnl"/>
              </w:rPr>
              <w:t>България</w:t>
            </w:r>
          </w:p>
          <w:p w14:paraId="59ECEF2E" w14:textId="77777777" w:rsidR="003E3A62" w:rsidRPr="00F22672" w:rsidRDefault="003E3A62" w:rsidP="00340B01">
            <w:pPr>
              <w:keepNext/>
              <w:keepLines/>
              <w:suppressAutoHyphens/>
              <w:rPr>
                <w:noProof/>
                <w:lang w:val="de-CH"/>
              </w:rPr>
            </w:pPr>
            <w:r w:rsidRPr="00F22672">
              <w:rPr>
                <w:lang w:val="es-ES_tradnl"/>
              </w:rPr>
              <w:t>Рош</w:t>
            </w:r>
            <w:r w:rsidRPr="00F22672">
              <w:rPr>
                <w:lang w:val="de-CH"/>
              </w:rPr>
              <w:t xml:space="preserve"> </w:t>
            </w:r>
            <w:r w:rsidRPr="00F22672">
              <w:rPr>
                <w:lang w:val="es-ES_tradnl"/>
              </w:rPr>
              <w:t>България</w:t>
            </w:r>
            <w:r w:rsidRPr="00F22672">
              <w:rPr>
                <w:lang w:val="de-CH"/>
              </w:rPr>
              <w:t xml:space="preserve"> </w:t>
            </w:r>
            <w:r w:rsidRPr="00F22672">
              <w:rPr>
                <w:lang w:val="es-ES_tradnl"/>
              </w:rPr>
              <w:t>ЕООД</w:t>
            </w:r>
          </w:p>
          <w:p w14:paraId="71A090F3" w14:textId="1111CB42" w:rsidR="003E3A62" w:rsidRPr="00F22672" w:rsidRDefault="0069055D" w:rsidP="00340B01">
            <w:pPr>
              <w:keepNext/>
              <w:keepLines/>
              <w:suppressAutoHyphens/>
              <w:rPr>
                <w:noProof/>
                <w:lang w:val="de-CH"/>
              </w:rPr>
            </w:pPr>
            <w:r w:rsidRPr="00B0061A">
              <w:rPr>
                <w:noProof/>
                <w:szCs w:val="22"/>
                <w:lang w:val="en-GB"/>
              </w:rPr>
              <w:t>Тел</w:t>
            </w:r>
            <w:r w:rsidRPr="00467FFD">
              <w:rPr>
                <w:noProof/>
                <w:szCs w:val="22"/>
                <w:lang w:val="es-ES"/>
                <w:rPrChange w:id="2584" w:author="AUTHOR">
                  <w:rPr>
                    <w:noProof/>
                    <w:szCs w:val="22"/>
                  </w:rPr>
                </w:rPrChange>
              </w:rPr>
              <w:t>: +359 2 474 5444</w:t>
            </w:r>
          </w:p>
          <w:p w14:paraId="37E5A0EE" w14:textId="77777777" w:rsidR="003E3A62" w:rsidRPr="00F22672" w:rsidRDefault="003E3A62" w:rsidP="00340B01">
            <w:pPr>
              <w:keepNext/>
              <w:keepLines/>
              <w:suppressAutoHyphens/>
              <w:rPr>
                <w:noProof/>
                <w:lang w:val="bg-BG"/>
              </w:rPr>
            </w:pPr>
          </w:p>
        </w:tc>
        <w:tc>
          <w:tcPr>
            <w:tcW w:w="4590" w:type="dxa"/>
            <w:tcPrChange w:id="2585" w:author="AUTHOR">
              <w:tcPr>
                <w:tcW w:w="4590" w:type="dxa"/>
                <w:gridSpan w:val="2"/>
              </w:tcPr>
            </w:tcPrChange>
          </w:tcPr>
          <w:p w14:paraId="09860A4F" w14:textId="77777777" w:rsidR="00B14A9D" w:rsidRPr="00B14A9D" w:rsidRDefault="00B14A9D" w:rsidP="00B14A9D">
            <w:pPr>
              <w:suppressAutoHyphens/>
              <w:rPr>
                <w:ins w:id="2586" w:author="AUTHOR"/>
                <w:b/>
                <w:noProof/>
                <w:szCs w:val="22"/>
                <w:lang w:val="en-GB"/>
              </w:rPr>
            </w:pPr>
            <w:ins w:id="2587" w:author="AUTHOR">
              <w:r w:rsidRPr="00B14A9D">
                <w:rPr>
                  <w:b/>
                  <w:noProof/>
                  <w:szCs w:val="22"/>
                  <w:lang w:val="en-GB"/>
                </w:rPr>
                <w:t>Lietuva</w:t>
              </w:r>
            </w:ins>
          </w:p>
          <w:p w14:paraId="76463F47" w14:textId="77777777" w:rsidR="00B14A9D" w:rsidRPr="00B14A9D" w:rsidRDefault="00B14A9D" w:rsidP="00B14A9D">
            <w:pPr>
              <w:suppressAutoHyphens/>
              <w:rPr>
                <w:ins w:id="2588" w:author="AUTHOR"/>
                <w:noProof/>
                <w:szCs w:val="22"/>
                <w:lang w:val="en-GB"/>
              </w:rPr>
            </w:pPr>
            <w:ins w:id="2589" w:author="AUTHOR">
              <w:r w:rsidRPr="00B14A9D">
                <w:rPr>
                  <w:noProof/>
                  <w:szCs w:val="22"/>
                  <w:lang w:val="en-GB"/>
                </w:rPr>
                <w:t>UAB “Roche Lietuva”</w:t>
              </w:r>
            </w:ins>
          </w:p>
          <w:p w14:paraId="7FF68B0A" w14:textId="77777777" w:rsidR="00B14A9D" w:rsidRPr="00B14A9D" w:rsidRDefault="00B14A9D" w:rsidP="00B14A9D">
            <w:pPr>
              <w:suppressAutoHyphens/>
              <w:rPr>
                <w:ins w:id="2590" w:author="AUTHOR"/>
                <w:noProof/>
                <w:szCs w:val="22"/>
                <w:lang w:val="en-GB"/>
              </w:rPr>
            </w:pPr>
            <w:ins w:id="2591" w:author="AUTHOR">
              <w:r w:rsidRPr="00B14A9D">
                <w:rPr>
                  <w:noProof/>
                  <w:szCs w:val="22"/>
                  <w:lang w:val="en-GB"/>
                </w:rPr>
                <w:t>Tel: +370 5 2546799</w:t>
              </w:r>
            </w:ins>
          </w:p>
          <w:p w14:paraId="7F5B9E9A" w14:textId="585B80EC" w:rsidR="003E3A62" w:rsidRPr="00F22672" w:rsidDel="00B14A9D" w:rsidRDefault="003E3A62" w:rsidP="00340B01">
            <w:pPr>
              <w:keepNext/>
              <w:keepLines/>
              <w:rPr>
                <w:del w:id="2592" w:author="AUTHOR"/>
                <w:b/>
                <w:bCs/>
                <w:noProof/>
                <w:lang w:val="bg-BG"/>
              </w:rPr>
            </w:pPr>
            <w:del w:id="2593" w:author="AUTHOR">
              <w:r w:rsidRPr="00F22672" w:rsidDel="00B14A9D">
                <w:rPr>
                  <w:b/>
                  <w:bCs/>
                </w:rPr>
                <w:delText>Magyarorsz</w:delText>
              </w:r>
              <w:r w:rsidRPr="00F22672" w:rsidDel="00B14A9D">
                <w:rPr>
                  <w:b/>
                  <w:bCs/>
                  <w:lang w:val="bg-BG"/>
                </w:rPr>
                <w:delText>á</w:delText>
              </w:r>
              <w:r w:rsidRPr="00F22672" w:rsidDel="00B14A9D">
                <w:rPr>
                  <w:b/>
                  <w:bCs/>
                </w:rPr>
                <w:delText>g</w:delText>
              </w:r>
            </w:del>
          </w:p>
          <w:p w14:paraId="78E07978" w14:textId="5F50EAE2" w:rsidR="003E3A62" w:rsidRPr="00F22672" w:rsidDel="00B14A9D" w:rsidRDefault="003E3A62" w:rsidP="00340B01">
            <w:pPr>
              <w:keepNext/>
              <w:keepLines/>
              <w:rPr>
                <w:del w:id="2594" w:author="AUTHOR"/>
                <w:noProof/>
                <w:lang w:val="bg-BG"/>
              </w:rPr>
            </w:pPr>
            <w:del w:id="2595" w:author="AUTHOR">
              <w:r w:rsidRPr="00F22672" w:rsidDel="00B14A9D">
                <w:delText>Roche</w:delText>
              </w:r>
              <w:r w:rsidRPr="00F22672" w:rsidDel="00B14A9D">
                <w:rPr>
                  <w:lang w:val="bg-BG"/>
                </w:rPr>
                <w:delText xml:space="preserve"> (</w:delText>
              </w:r>
              <w:r w:rsidRPr="00F22672" w:rsidDel="00B14A9D">
                <w:delText>Magyarorsz</w:delText>
              </w:r>
              <w:r w:rsidRPr="00F22672" w:rsidDel="00B14A9D">
                <w:rPr>
                  <w:lang w:val="bg-BG"/>
                </w:rPr>
                <w:delText>á</w:delText>
              </w:r>
              <w:r w:rsidRPr="00F22672" w:rsidDel="00B14A9D">
                <w:delText>g</w:delText>
              </w:r>
              <w:r w:rsidRPr="00F22672" w:rsidDel="00B14A9D">
                <w:rPr>
                  <w:lang w:val="bg-BG"/>
                </w:rPr>
                <w:delText xml:space="preserve">) </w:delText>
              </w:r>
              <w:r w:rsidRPr="00F22672" w:rsidDel="00B14A9D">
                <w:delText>Kft</w:delText>
              </w:r>
              <w:r w:rsidRPr="00F22672" w:rsidDel="00B14A9D">
                <w:rPr>
                  <w:lang w:val="bg-BG"/>
                </w:rPr>
                <w:delText>.</w:delText>
              </w:r>
            </w:del>
          </w:p>
          <w:p w14:paraId="56A0F6CA" w14:textId="2155D75F" w:rsidR="003E3A62" w:rsidRPr="00F22672" w:rsidDel="00B14A9D" w:rsidRDefault="003E3A62" w:rsidP="00340B01">
            <w:pPr>
              <w:keepNext/>
              <w:keepLines/>
              <w:rPr>
                <w:del w:id="2596" w:author="AUTHOR"/>
                <w:noProof/>
                <w:lang w:val="bg-BG"/>
              </w:rPr>
            </w:pPr>
            <w:del w:id="2597" w:author="AUTHOR">
              <w:r w:rsidRPr="00F22672" w:rsidDel="00B14A9D">
                <w:delText>Tel</w:delText>
              </w:r>
              <w:r w:rsidRPr="00F22672" w:rsidDel="00B14A9D">
                <w:rPr>
                  <w:lang w:val="bg-BG"/>
                </w:rPr>
                <w:delText>:</w:delText>
              </w:r>
              <w:r w:rsidRPr="00F22672" w:rsidDel="00B14A9D">
                <w:rPr>
                  <w:noProof/>
                  <w:lang w:val="bg-BG"/>
                </w:rPr>
                <w:delText xml:space="preserve"> +36 - </w:delText>
              </w:r>
              <w:r w:rsidR="0085789E" w:rsidRPr="000C4151" w:rsidDel="00B14A9D">
                <w:rPr>
                  <w:noProof/>
                  <w:szCs w:val="22"/>
                  <w:lang w:val="cs-CZ"/>
                </w:rPr>
                <w:delText>1 279 4500</w:delText>
              </w:r>
            </w:del>
          </w:p>
          <w:p w14:paraId="78288982" w14:textId="77777777" w:rsidR="003E3A62" w:rsidRPr="00F22672" w:rsidRDefault="003E3A62" w:rsidP="00B14A9D">
            <w:pPr>
              <w:keepNext/>
              <w:keepLines/>
              <w:rPr>
                <w:noProof/>
                <w:lang w:val="bg-BG"/>
              </w:rPr>
            </w:pPr>
          </w:p>
        </w:tc>
      </w:tr>
      <w:tr w:rsidR="003E3A62" w:rsidRPr="00F22672" w14:paraId="2AA7546D" w14:textId="77777777" w:rsidTr="00467FFD">
        <w:trPr>
          <w:cantSplit/>
          <w:trPrChange w:id="2598" w:author="AUTHOR">
            <w:trPr>
              <w:gridAfter w:val="0"/>
              <w:cantSplit/>
            </w:trPr>
          </w:trPrChange>
        </w:trPr>
        <w:tc>
          <w:tcPr>
            <w:tcW w:w="4590" w:type="dxa"/>
            <w:tcPrChange w:id="2599" w:author="AUTHOR">
              <w:tcPr>
                <w:tcW w:w="4590" w:type="dxa"/>
                <w:gridSpan w:val="2"/>
              </w:tcPr>
            </w:tcPrChange>
          </w:tcPr>
          <w:p w14:paraId="41B4C9D9" w14:textId="77777777" w:rsidR="003E3A62" w:rsidRPr="00F22672" w:rsidRDefault="003E3A62" w:rsidP="00340B01">
            <w:pPr>
              <w:keepNext/>
              <w:keepLines/>
              <w:rPr>
                <w:b/>
                <w:bCs/>
                <w:noProof/>
                <w:lang w:val="de-DE"/>
              </w:rPr>
            </w:pPr>
            <w:r w:rsidRPr="00F22672">
              <w:rPr>
                <w:b/>
                <w:bCs/>
                <w:lang w:val="de-DE"/>
              </w:rPr>
              <w:t>Česká republika</w:t>
            </w:r>
          </w:p>
          <w:p w14:paraId="4FB056B5" w14:textId="77777777" w:rsidR="003E3A62" w:rsidRPr="00F22672" w:rsidRDefault="003E3A62" w:rsidP="00340B01">
            <w:pPr>
              <w:keepNext/>
              <w:keepLines/>
              <w:rPr>
                <w:noProof/>
                <w:lang w:val="de-DE"/>
              </w:rPr>
            </w:pPr>
            <w:r w:rsidRPr="00F22672">
              <w:rPr>
                <w:lang w:val="de-DE"/>
              </w:rPr>
              <w:t>Roche s. r. o.</w:t>
            </w:r>
          </w:p>
          <w:p w14:paraId="3AFB4588" w14:textId="77777777" w:rsidR="003E3A62" w:rsidRDefault="003E3A62" w:rsidP="00340B01">
            <w:pPr>
              <w:keepNext/>
              <w:keepLines/>
              <w:rPr>
                <w:noProof/>
                <w:lang w:val="de-DE"/>
              </w:rPr>
            </w:pPr>
            <w:r w:rsidRPr="00F22672">
              <w:rPr>
                <w:lang w:val="de-DE"/>
              </w:rPr>
              <w:t>Tel:</w:t>
            </w:r>
            <w:r w:rsidRPr="00F22672">
              <w:rPr>
                <w:noProof/>
                <w:lang w:val="de-DE"/>
              </w:rPr>
              <w:t xml:space="preserve"> +420 - 2 20382111</w:t>
            </w:r>
          </w:p>
          <w:p w14:paraId="54A73BD6" w14:textId="77777777" w:rsidR="00435911" w:rsidRPr="00F22672" w:rsidRDefault="00435911" w:rsidP="00340B01">
            <w:pPr>
              <w:keepNext/>
              <w:keepLines/>
              <w:rPr>
                <w:lang w:val="de-DE"/>
              </w:rPr>
            </w:pPr>
          </w:p>
        </w:tc>
        <w:tc>
          <w:tcPr>
            <w:tcW w:w="4590" w:type="dxa"/>
            <w:tcPrChange w:id="2600" w:author="AUTHOR">
              <w:tcPr>
                <w:tcW w:w="4590" w:type="dxa"/>
                <w:gridSpan w:val="2"/>
              </w:tcPr>
            </w:tcPrChange>
          </w:tcPr>
          <w:p w14:paraId="668B2960" w14:textId="77777777" w:rsidR="00B14A9D" w:rsidRPr="00B14A9D" w:rsidRDefault="00B14A9D" w:rsidP="00B14A9D">
            <w:pPr>
              <w:rPr>
                <w:ins w:id="2601" w:author="AUTHOR"/>
                <w:b/>
                <w:szCs w:val="22"/>
              </w:rPr>
            </w:pPr>
            <w:ins w:id="2602" w:author="AUTHOR">
              <w:r w:rsidRPr="00B14A9D">
                <w:rPr>
                  <w:b/>
                  <w:szCs w:val="22"/>
                </w:rPr>
                <w:t>Magyarország</w:t>
              </w:r>
            </w:ins>
          </w:p>
          <w:p w14:paraId="03BF373A" w14:textId="77777777" w:rsidR="00B14A9D" w:rsidRPr="00B14A9D" w:rsidRDefault="00B14A9D" w:rsidP="00B14A9D">
            <w:pPr>
              <w:rPr>
                <w:ins w:id="2603" w:author="AUTHOR"/>
                <w:szCs w:val="22"/>
              </w:rPr>
            </w:pPr>
            <w:ins w:id="2604" w:author="AUTHOR">
              <w:r w:rsidRPr="00B14A9D">
                <w:rPr>
                  <w:szCs w:val="22"/>
                </w:rPr>
                <w:t>Roche (Magyarország) Kft.</w:t>
              </w:r>
            </w:ins>
          </w:p>
          <w:p w14:paraId="59B64D0A" w14:textId="77777777" w:rsidR="00B14A9D" w:rsidRPr="00B14A9D" w:rsidRDefault="00B14A9D" w:rsidP="00B14A9D">
            <w:pPr>
              <w:rPr>
                <w:ins w:id="2605" w:author="AUTHOR"/>
                <w:szCs w:val="22"/>
              </w:rPr>
            </w:pPr>
            <w:ins w:id="2606" w:author="AUTHOR">
              <w:r w:rsidRPr="00B14A9D">
                <w:rPr>
                  <w:szCs w:val="22"/>
                </w:rPr>
                <w:t>Tel: +36 - 1 279 4500</w:t>
              </w:r>
            </w:ins>
          </w:p>
          <w:p w14:paraId="2EAF5AE2" w14:textId="587ECCBC" w:rsidR="003E3A62" w:rsidRPr="00F22672" w:rsidDel="00B14A9D" w:rsidRDefault="003E3A62" w:rsidP="00340B01">
            <w:pPr>
              <w:keepNext/>
              <w:keepLines/>
              <w:rPr>
                <w:del w:id="2607" w:author="AUTHOR"/>
                <w:b/>
                <w:noProof/>
                <w:lang w:val="en-GB"/>
              </w:rPr>
            </w:pPr>
            <w:del w:id="2608" w:author="AUTHOR">
              <w:r w:rsidRPr="00F22672" w:rsidDel="00B14A9D">
                <w:rPr>
                  <w:b/>
                  <w:noProof/>
                  <w:lang w:val="en-GB"/>
                </w:rPr>
                <w:delText>Malta</w:delText>
              </w:r>
            </w:del>
          </w:p>
          <w:p w14:paraId="183E5749" w14:textId="5FDE7E28" w:rsidR="003E3A62" w:rsidRPr="00F22672" w:rsidRDefault="00E155F7" w:rsidP="00D35F73">
            <w:pPr>
              <w:keepNext/>
              <w:keepLines/>
              <w:autoSpaceDE w:val="0"/>
              <w:autoSpaceDN w:val="0"/>
              <w:adjustRightInd w:val="0"/>
            </w:pPr>
            <w:del w:id="2609" w:author="AUTHOR">
              <w:r w:rsidDel="00B14A9D">
                <w:rPr>
                  <w:noProof/>
                </w:rPr>
                <w:delText>(See Ireland)</w:delText>
              </w:r>
            </w:del>
          </w:p>
        </w:tc>
      </w:tr>
      <w:tr w:rsidR="003E3A62" w:rsidRPr="00F22672" w14:paraId="6406929F" w14:textId="77777777" w:rsidTr="00467FFD">
        <w:trPr>
          <w:cantSplit/>
          <w:trPrChange w:id="2610" w:author="AUTHOR">
            <w:trPr>
              <w:gridAfter w:val="0"/>
              <w:cantSplit/>
            </w:trPr>
          </w:trPrChange>
        </w:trPr>
        <w:tc>
          <w:tcPr>
            <w:tcW w:w="4590" w:type="dxa"/>
            <w:tcPrChange w:id="2611" w:author="AUTHOR">
              <w:tcPr>
                <w:tcW w:w="4590" w:type="dxa"/>
                <w:gridSpan w:val="2"/>
              </w:tcPr>
            </w:tcPrChange>
          </w:tcPr>
          <w:p w14:paraId="705EA952" w14:textId="77777777" w:rsidR="003E3A62" w:rsidRPr="00F22672" w:rsidRDefault="003E3A62" w:rsidP="00340B01">
            <w:pPr>
              <w:keepNext/>
              <w:keepLines/>
              <w:rPr>
                <w:noProof/>
              </w:rPr>
            </w:pPr>
            <w:r w:rsidRPr="00F22672">
              <w:rPr>
                <w:b/>
                <w:bCs/>
              </w:rPr>
              <w:t>Danmark</w:t>
            </w:r>
          </w:p>
          <w:p w14:paraId="7A9292D1" w14:textId="77777777" w:rsidR="003E3A62" w:rsidRPr="00F22672" w:rsidRDefault="003E3A62" w:rsidP="00340B01">
            <w:pPr>
              <w:keepNext/>
              <w:keepLines/>
              <w:rPr>
                <w:noProof/>
              </w:rPr>
            </w:pPr>
            <w:r w:rsidRPr="00F22672">
              <w:t xml:space="preserve">Roche </w:t>
            </w:r>
            <w:r w:rsidR="00435911">
              <w:rPr>
                <w:noProof/>
              </w:rPr>
              <w:t>Pharmaceuticals A/S</w:t>
            </w:r>
          </w:p>
          <w:p w14:paraId="641748A5" w14:textId="77777777" w:rsidR="003E3A62" w:rsidRPr="00F22672" w:rsidRDefault="003E3A62" w:rsidP="00340B01">
            <w:pPr>
              <w:keepNext/>
              <w:keepLines/>
              <w:rPr>
                <w:noProof/>
              </w:rPr>
            </w:pPr>
            <w:r w:rsidRPr="00F22672">
              <w:t>Tlf:</w:t>
            </w:r>
            <w:r w:rsidRPr="00F22672">
              <w:rPr>
                <w:noProof/>
              </w:rPr>
              <w:t xml:space="preserve"> +45 - 36 39 99 99</w:t>
            </w:r>
          </w:p>
          <w:p w14:paraId="6C4AD15B" w14:textId="77777777" w:rsidR="003E3A62" w:rsidRPr="00F22672" w:rsidRDefault="003E3A62" w:rsidP="00340B01">
            <w:pPr>
              <w:keepNext/>
              <w:keepLines/>
              <w:rPr>
                <w:b/>
                <w:noProof/>
                <w:lang w:val="en-GB"/>
              </w:rPr>
            </w:pPr>
          </w:p>
        </w:tc>
        <w:tc>
          <w:tcPr>
            <w:tcW w:w="4590" w:type="dxa"/>
            <w:tcPrChange w:id="2612" w:author="AUTHOR">
              <w:tcPr>
                <w:tcW w:w="4590" w:type="dxa"/>
                <w:gridSpan w:val="2"/>
              </w:tcPr>
            </w:tcPrChange>
          </w:tcPr>
          <w:p w14:paraId="0D4E9416" w14:textId="77777777" w:rsidR="003E3A62" w:rsidRPr="00F22672" w:rsidRDefault="003E3A62" w:rsidP="00340B01">
            <w:pPr>
              <w:keepNext/>
              <w:keepLines/>
              <w:rPr>
                <w:noProof/>
                <w:lang w:val="nl-NL"/>
              </w:rPr>
            </w:pPr>
            <w:r w:rsidRPr="00F22672">
              <w:rPr>
                <w:b/>
                <w:bCs/>
                <w:lang w:val="nl-NL"/>
              </w:rPr>
              <w:t>Nederland</w:t>
            </w:r>
          </w:p>
          <w:p w14:paraId="1A93C592" w14:textId="77777777" w:rsidR="003E3A62" w:rsidRPr="00F22672" w:rsidRDefault="003E3A62" w:rsidP="00340B01">
            <w:pPr>
              <w:keepNext/>
              <w:keepLines/>
              <w:rPr>
                <w:noProof/>
                <w:lang w:val="nl-NL"/>
              </w:rPr>
            </w:pPr>
            <w:r w:rsidRPr="00F22672">
              <w:rPr>
                <w:lang w:val="nl-NL"/>
              </w:rPr>
              <w:t>Roche Nederland B.V.</w:t>
            </w:r>
          </w:p>
          <w:p w14:paraId="320F20A5" w14:textId="77777777" w:rsidR="003E3A62" w:rsidRPr="00F22672" w:rsidRDefault="003E3A62" w:rsidP="00340B01">
            <w:pPr>
              <w:keepNext/>
              <w:keepLines/>
              <w:rPr>
                <w:noProof/>
                <w:lang w:val="es-ES"/>
              </w:rPr>
            </w:pPr>
            <w:r w:rsidRPr="00F22672">
              <w:rPr>
                <w:lang w:val="es-ES_tradnl"/>
              </w:rPr>
              <w:t>Tel:</w:t>
            </w:r>
            <w:r w:rsidRPr="00F22672">
              <w:rPr>
                <w:noProof/>
                <w:lang w:val="es-ES"/>
              </w:rPr>
              <w:t xml:space="preserve"> +31 (0) 348 438050</w:t>
            </w:r>
          </w:p>
          <w:p w14:paraId="09643309" w14:textId="77777777" w:rsidR="003E3A62" w:rsidRPr="00F22672" w:rsidRDefault="003E3A62" w:rsidP="00340B01">
            <w:pPr>
              <w:keepNext/>
              <w:keepLines/>
              <w:rPr>
                <w:noProof/>
                <w:lang w:val="en-GB"/>
              </w:rPr>
            </w:pPr>
          </w:p>
        </w:tc>
      </w:tr>
      <w:tr w:rsidR="003E3A62" w:rsidRPr="00F22672" w14:paraId="060D14DB" w14:textId="77777777" w:rsidTr="00467FFD">
        <w:trPr>
          <w:cantSplit/>
          <w:trPrChange w:id="2613" w:author="AUTHOR">
            <w:trPr>
              <w:gridAfter w:val="0"/>
              <w:cantSplit/>
            </w:trPr>
          </w:trPrChange>
        </w:trPr>
        <w:tc>
          <w:tcPr>
            <w:tcW w:w="4590" w:type="dxa"/>
            <w:tcPrChange w:id="2614" w:author="AUTHOR">
              <w:tcPr>
                <w:tcW w:w="4590" w:type="dxa"/>
                <w:gridSpan w:val="2"/>
              </w:tcPr>
            </w:tcPrChange>
          </w:tcPr>
          <w:p w14:paraId="6B33B9FF" w14:textId="77777777" w:rsidR="003E3A62" w:rsidRPr="00F22672" w:rsidRDefault="003E3A62" w:rsidP="00340B01">
            <w:pPr>
              <w:keepNext/>
              <w:keepLines/>
              <w:rPr>
                <w:noProof/>
                <w:lang w:val="de-DE"/>
              </w:rPr>
            </w:pPr>
            <w:r w:rsidRPr="00F22672">
              <w:rPr>
                <w:b/>
                <w:noProof/>
                <w:lang w:val="de-DE"/>
              </w:rPr>
              <w:t>Deutschland</w:t>
            </w:r>
          </w:p>
          <w:p w14:paraId="3A735C7B" w14:textId="77777777" w:rsidR="003E3A62" w:rsidRPr="00F22672" w:rsidRDefault="003E3A62" w:rsidP="00340B01">
            <w:pPr>
              <w:keepNext/>
              <w:keepLines/>
              <w:autoSpaceDE w:val="0"/>
              <w:autoSpaceDN w:val="0"/>
              <w:adjustRightInd w:val="0"/>
              <w:rPr>
                <w:rFonts w:eastAsia="SimSun"/>
                <w:szCs w:val="22"/>
                <w:lang w:val="de-CH" w:eastAsia="zh-CN"/>
              </w:rPr>
            </w:pPr>
            <w:r w:rsidRPr="00F22672">
              <w:rPr>
                <w:rFonts w:eastAsia="SimSun"/>
                <w:szCs w:val="22"/>
                <w:lang w:val="de-CH" w:eastAsia="zh-CN"/>
              </w:rPr>
              <w:t>Roche Pharma AG</w:t>
            </w:r>
          </w:p>
          <w:p w14:paraId="76AFA370" w14:textId="77777777" w:rsidR="003E3A62" w:rsidRPr="00F22672" w:rsidRDefault="003E3A62" w:rsidP="00340B01">
            <w:pPr>
              <w:keepNext/>
              <w:keepLines/>
              <w:autoSpaceDE w:val="0"/>
              <w:autoSpaceDN w:val="0"/>
              <w:adjustRightInd w:val="0"/>
              <w:rPr>
                <w:rFonts w:eastAsia="SimSun"/>
                <w:szCs w:val="22"/>
                <w:lang w:val="de-CH" w:eastAsia="zh-CN"/>
              </w:rPr>
            </w:pPr>
            <w:r w:rsidRPr="00F22672">
              <w:rPr>
                <w:rFonts w:eastAsia="SimSun"/>
                <w:szCs w:val="22"/>
                <w:lang w:val="de-CH" w:eastAsia="zh-CN"/>
              </w:rPr>
              <w:t>Tel: +49 (0) 7624 140</w:t>
            </w:r>
          </w:p>
          <w:p w14:paraId="4B1DE7D6" w14:textId="77777777" w:rsidR="003E3A62" w:rsidRPr="00F22672" w:rsidRDefault="003E3A62" w:rsidP="00340B01">
            <w:pPr>
              <w:keepNext/>
              <w:keepLines/>
              <w:autoSpaceDE w:val="0"/>
              <w:autoSpaceDN w:val="0"/>
              <w:adjustRightInd w:val="0"/>
              <w:rPr>
                <w:rFonts w:eastAsia="SimSun"/>
                <w:szCs w:val="22"/>
                <w:lang w:val="en-GB" w:eastAsia="zh-CN"/>
              </w:rPr>
            </w:pPr>
            <w:r w:rsidRPr="00F22672">
              <w:rPr>
                <w:rFonts w:eastAsia="SimSun"/>
                <w:szCs w:val="22"/>
                <w:lang w:val="en-GB" w:eastAsia="zh-CN"/>
              </w:rPr>
              <w:t>oder</w:t>
            </w:r>
          </w:p>
          <w:p w14:paraId="5553E92A" w14:textId="77777777" w:rsidR="00D55021" w:rsidRPr="00F22672" w:rsidRDefault="00D55021" w:rsidP="006868F5">
            <w:pPr>
              <w:keepNext/>
              <w:keepLines/>
              <w:autoSpaceDE w:val="0"/>
              <w:autoSpaceDN w:val="0"/>
              <w:adjustRightInd w:val="0"/>
              <w:rPr>
                <w:b/>
                <w:noProof/>
                <w:lang w:val="de-DE"/>
              </w:rPr>
            </w:pPr>
          </w:p>
        </w:tc>
        <w:tc>
          <w:tcPr>
            <w:tcW w:w="4590" w:type="dxa"/>
            <w:tcPrChange w:id="2615" w:author="AUTHOR">
              <w:tcPr>
                <w:tcW w:w="4590" w:type="dxa"/>
                <w:gridSpan w:val="2"/>
              </w:tcPr>
            </w:tcPrChange>
          </w:tcPr>
          <w:p w14:paraId="0F24C3BB" w14:textId="77777777" w:rsidR="003E3A62" w:rsidRPr="00F22672" w:rsidRDefault="003E3A62" w:rsidP="00340B01">
            <w:pPr>
              <w:keepNext/>
              <w:keepLines/>
              <w:rPr>
                <w:b/>
                <w:bCs/>
                <w:noProof/>
              </w:rPr>
            </w:pPr>
            <w:r w:rsidRPr="00F22672">
              <w:rPr>
                <w:b/>
                <w:bCs/>
              </w:rPr>
              <w:t>Norge</w:t>
            </w:r>
          </w:p>
          <w:p w14:paraId="10759DC0" w14:textId="77777777" w:rsidR="003E3A62" w:rsidRPr="00F22672" w:rsidRDefault="003E3A62" w:rsidP="00340B01">
            <w:pPr>
              <w:keepNext/>
              <w:keepLines/>
              <w:rPr>
                <w:noProof/>
              </w:rPr>
            </w:pPr>
            <w:r w:rsidRPr="00F22672">
              <w:t>Roche Norge AS</w:t>
            </w:r>
          </w:p>
          <w:p w14:paraId="0B3186CD" w14:textId="77777777" w:rsidR="003E3A62" w:rsidRPr="00F22672" w:rsidRDefault="003E3A62" w:rsidP="00340B01">
            <w:pPr>
              <w:keepNext/>
              <w:keepLines/>
              <w:rPr>
                <w:noProof/>
                <w:lang w:val="en-GB"/>
              </w:rPr>
            </w:pPr>
            <w:r w:rsidRPr="00F22672">
              <w:t>Tlf:</w:t>
            </w:r>
            <w:r w:rsidRPr="00F22672">
              <w:rPr>
                <w:noProof/>
              </w:rPr>
              <w:t xml:space="preserve"> +47 - 22 78 90 00</w:t>
            </w:r>
          </w:p>
        </w:tc>
      </w:tr>
      <w:tr w:rsidR="003E3A62" w:rsidRPr="001335A4" w14:paraId="123AF801" w14:textId="77777777" w:rsidTr="00467FFD">
        <w:trPr>
          <w:cantSplit/>
          <w:trPrChange w:id="2616" w:author="AUTHOR">
            <w:trPr>
              <w:gridAfter w:val="0"/>
              <w:cantSplit/>
            </w:trPr>
          </w:trPrChange>
        </w:trPr>
        <w:tc>
          <w:tcPr>
            <w:tcW w:w="4590" w:type="dxa"/>
            <w:tcPrChange w:id="2617" w:author="AUTHOR">
              <w:tcPr>
                <w:tcW w:w="4590" w:type="dxa"/>
                <w:gridSpan w:val="2"/>
              </w:tcPr>
            </w:tcPrChange>
          </w:tcPr>
          <w:p w14:paraId="3EE5D9BE" w14:textId="77777777" w:rsidR="003E3A62" w:rsidRPr="00F22672" w:rsidRDefault="003E3A62" w:rsidP="003E3A62">
            <w:pPr>
              <w:rPr>
                <w:b/>
                <w:bCs/>
                <w:noProof/>
                <w:lang w:val="it-IT"/>
              </w:rPr>
            </w:pPr>
            <w:r w:rsidRPr="00F22672">
              <w:rPr>
                <w:b/>
                <w:bCs/>
                <w:lang w:val="it-IT"/>
              </w:rPr>
              <w:t>Eesti</w:t>
            </w:r>
          </w:p>
          <w:p w14:paraId="12DF331B" w14:textId="77777777" w:rsidR="003E3A62" w:rsidRPr="00F22672" w:rsidRDefault="003E3A62" w:rsidP="003E3A62">
            <w:pPr>
              <w:rPr>
                <w:noProof/>
                <w:lang w:val="it-IT"/>
              </w:rPr>
            </w:pPr>
            <w:r w:rsidRPr="00F22672">
              <w:rPr>
                <w:lang w:val="it-IT"/>
              </w:rPr>
              <w:t>Roche Eesti OÜ</w:t>
            </w:r>
          </w:p>
          <w:p w14:paraId="17B84790" w14:textId="77777777" w:rsidR="003E3A62" w:rsidRPr="00F22672" w:rsidRDefault="003E3A62" w:rsidP="003E3A62">
            <w:pPr>
              <w:rPr>
                <w:noProof/>
                <w:lang w:val="it-IT"/>
              </w:rPr>
            </w:pPr>
            <w:r w:rsidRPr="00F22672">
              <w:rPr>
                <w:lang w:val="it-IT"/>
              </w:rPr>
              <w:t>Tel:</w:t>
            </w:r>
            <w:r w:rsidRPr="00F22672">
              <w:rPr>
                <w:noProof/>
                <w:lang w:val="it-IT"/>
              </w:rPr>
              <w:t xml:space="preserve"> + 372 - 6 177 380</w:t>
            </w:r>
          </w:p>
          <w:p w14:paraId="139E0DFF" w14:textId="77777777" w:rsidR="003E3A62" w:rsidRPr="00F22672" w:rsidRDefault="003E3A62" w:rsidP="003E3A62">
            <w:pPr>
              <w:rPr>
                <w:noProof/>
                <w:lang w:val="it-IT"/>
              </w:rPr>
            </w:pPr>
          </w:p>
        </w:tc>
        <w:tc>
          <w:tcPr>
            <w:tcW w:w="4590" w:type="dxa"/>
            <w:tcPrChange w:id="2618" w:author="AUTHOR">
              <w:tcPr>
                <w:tcW w:w="4590" w:type="dxa"/>
                <w:gridSpan w:val="2"/>
              </w:tcPr>
            </w:tcPrChange>
          </w:tcPr>
          <w:p w14:paraId="318BA955" w14:textId="77777777" w:rsidR="003E3A62" w:rsidRPr="00F22672" w:rsidRDefault="003E3A62" w:rsidP="003E3A62">
            <w:pPr>
              <w:rPr>
                <w:noProof/>
                <w:lang w:val="de-DE"/>
              </w:rPr>
            </w:pPr>
            <w:r w:rsidRPr="00F22672">
              <w:rPr>
                <w:b/>
                <w:bCs/>
                <w:lang w:val="de-DE"/>
              </w:rPr>
              <w:t>Österreich</w:t>
            </w:r>
          </w:p>
          <w:p w14:paraId="55EBF679" w14:textId="77777777" w:rsidR="003E3A62" w:rsidRPr="00F22672" w:rsidRDefault="003E3A62" w:rsidP="003E3A62">
            <w:pPr>
              <w:rPr>
                <w:noProof/>
                <w:lang w:val="de-DE"/>
              </w:rPr>
            </w:pPr>
            <w:r w:rsidRPr="00F22672">
              <w:rPr>
                <w:lang w:val="de-DE"/>
              </w:rPr>
              <w:t>Roche Austria GmbH</w:t>
            </w:r>
          </w:p>
          <w:p w14:paraId="585B5C91" w14:textId="77777777" w:rsidR="003E3A62" w:rsidRPr="00F22672" w:rsidRDefault="003E3A62" w:rsidP="003E3A62">
            <w:pPr>
              <w:rPr>
                <w:noProof/>
                <w:lang w:val="de-DE"/>
              </w:rPr>
            </w:pPr>
            <w:r w:rsidRPr="00F22672">
              <w:rPr>
                <w:lang w:val="de-DE"/>
              </w:rPr>
              <w:t>Tel:</w:t>
            </w:r>
            <w:r w:rsidRPr="00F22672">
              <w:rPr>
                <w:noProof/>
                <w:lang w:val="de-DE"/>
              </w:rPr>
              <w:t xml:space="preserve"> +43 (0) 1 27739</w:t>
            </w:r>
          </w:p>
          <w:p w14:paraId="43FB13FF" w14:textId="77777777" w:rsidR="003E3A62" w:rsidRPr="00F22672" w:rsidRDefault="003E3A62" w:rsidP="003E3A62">
            <w:pPr>
              <w:rPr>
                <w:noProof/>
                <w:lang w:val="de-DE"/>
              </w:rPr>
            </w:pPr>
          </w:p>
        </w:tc>
      </w:tr>
      <w:tr w:rsidR="003E3A62" w:rsidRPr="00F22672" w14:paraId="7A9A3292" w14:textId="77777777" w:rsidTr="00467FFD">
        <w:trPr>
          <w:cantSplit/>
          <w:trPrChange w:id="2619" w:author="AUTHOR">
            <w:trPr>
              <w:gridAfter w:val="0"/>
              <w:cantSplit/>
            </w:trPr>
          </w:trPrChange>
        </w:trPr>
        <w:tc>
          <w:tcPr>
            <w:tcW w:w="4590" w:type="dxa"/>
            <w:tcPrChange w:id="2620" w:author="AUTHOR">
              <w:tcPr>
                <w:tcW w:w="4590" w:type="dxa"/>
                <w:gridSpan w:val="2"/>
              </w:tcPr>
            </w:tcPrChange>
          </w:tcPr>
          <w:p w14:paraId="7B48F415" w14:textId="30D053B2" w:rsidR="003E3A62" w:rsidRPr="00F22672" w:rsidRDefault="003E3A62" w:rsidP="003E3A62">
            <w:pPr>
              <w:rPr>
                <w:noProof/>
              </w:rPr>
            </w:pPr>
            <w:r w:rsidRPr="00F22672">
              <w:rPr>
                <w:b/>
                <w:bCs/>
                <w:lang w:val="es-ES_tradnl"/>
              </w:rPr>
              <w:t>Ελλάδα</w:t>
            </w:r>
            <w:ins w:id="2621" w:author="AUTHOR">
              <w:r w:rsidR="00B14A9D" w:rsidRPr="00B14A9D">
                <w:rPr>
                  <w:b/>
                  <w:szCs w:val="22"/>
                  <w:lang w:val="de-DE"/>
                </w:rPr>
                <w:t>, K</w:t>
              </w:r>
              <w:r w:rsidR="00B14A9D" w:rsidRPr="00B14A9D">
                <w:rPr>
                  <w:b/>
                  <w:noProof/>
                  <w:szCs w:val="22"/>
                  <w:lang w:val="en-GB"/>
                </w:rPr>
                <w:t>ύπρος</w:t>
              </w:r>
            </w:ins>
          </w:p>
          <w:p w14:paraId="30CEC1C0" w14:textId="77777777" w:rsidR="00B14A9D" w:rsidRDefault="003E3A62" w:rsidP="003E3A62">
            <w:pPr>
              <w:rPr>
                <w:ins w:id="2622" w:author="AUTHOR"/>
                <w:noProof/>
              </w:rPr>
            </w:pPr>
            <w:r w:rsidRPr="00F22672">
              <w:t>Roche (Hellas) A.E.</w:t>
            </w:r>
            <w:r w:rsidRPr="00F22672">
              <w:rPr>
                <w:noProof/>
              </w:rPr>
              <w:t xml:space="preserve"> </w:t>
            </w:r>
          </w:p>
          <w:p w14:paraId="38C8D2E6" w14:textId="695D067C" w:rsidR="003E3A62" w:rsidRPr="00F22672" w:rsidRDefault="00B14A9D" w:rsidP="003E3A62">
            <w:pPr>
              <w:rPr>
                <w:noProof/>
              </w:rPr>
            </w:pPr>
            <w:ins w:id="2623" w:author="AUTHOR">
              <w:r w:rsidRPr="00B14A9D">
                <w:rPr>
                  <w:bCs/>
                  <w:noProof/>
                  <w:szCs w:val="22"/>
                  <w:lang w:val="en-GB"/>
                </w:rPr>
                <w:t>Ελλάδα</w:t>
              </w:r>
            </w:ins>
          </w:p>
          <w:p w14:paraId="0B4F9268" w14:textId="77777777" w:rsidR="003E3A62" w:rsidRPr="00F22672" w:rsidRDefault="003E3A62" w:rsidP="003E3A62">
            <w:pPr>
              <w:rPr>
                <w:noProof/>
                <w:lang w:val="es-ES"/>
              </w:rPr>
            </w:pPr>
            <w:r w:rsidRPr="00F22672">
              <w:rPr>
                <w:lang w:val="es-ES_tradnl"/>
              </w:rPr>
              <w:t>Τηλ:</w:t>
            </w:r>
            <w:r w:rsidRPr="00F22672">
              <w:rPr>
                <w:noProof/>
                <w:lang w:val="es-ES"/>
              </w:rPr>
              <w:t xml:space="preserve"> +30 210 61 66 100</w:t>
            </w:r>
          </w:p>
          <w:p w14:paraId="06B052E3" w14:textId="77777777" w:rsidR="003E3A62" w:rsidRPr="00F22672" w:rsidRDefault="003E3A62" w:rsidP="003E3A62">
            <w:pPr>
              <w:rPr>
                <w:noProof/>
                <w:lang w:val="de-CH"/>
              </w:rPr>
            </w:pPr>
          </w:p>
        </w:tc>
        <w:tc>
          <w:tcPr>
            <w:tcW w:w="4590" w:type="dxa"/>
            <w:tcPrChange w:id="2624" w:author="AUTHOR">
              <w:tcPr>
                <w:tcW w:w="4590" w:type="dxa"/>
                <w:gridSpan w:val="2"/>
              </w:tcPr>
            </w:tcPrChange>
          </w:tcPr>
          <w:p w14:paraId="35687D4C" w14:textId="77777777" w:rsidR="003E3A62" w:rsidRPr="00F22672" w:rsidRDefault="003E3A62" w:rsidP="003E3A62">
            <w:pPr>
              <w:rPr>
                <w:b/>
                <w:bCs/>
                <w:noProof/>
                <w:lang w:val="pl-PL"/>
              </w:rPr>
            </w:pPr>
            <w:r w:rsidRPr="00F22672">
              <w:rPr>
                <w:b/>
                <w:bCs/>
                <w:lang w:val="pl-PL"/>
              </w:rPr>
              <w:t>Polska</w:t>
            </w:r>
          </w:p>
          <w:p w14:paraId="049B943F" w14:textId="77777777" w:rsidR="003E3A62" w:rsidRPr="00F22672" w:rsidRDefault="003E3A62" w:rsidP="003E3A62">
            <w:pPr>
              <w:rPr>
                <w:noProof/>
                <w:lang w:val="pl-PL"/>
              </w:rPr>
            </w:pPr>
            <w:r w:rsidRPr="00F22672">
              <w:rPr>
                <w:lang w:val="pl-PL"/>
              </w:rPr>
              <w:t>Roche Polska Sp.z o.o.</w:t>
            </w:r>
          </w:p>
          <w:p w14:paraId="5F92DAE0" w14:textId="77777777" w:rsidR="003E3A62" w:rsidRPr="00F22672" w:rsidRDefault="003E3A62" w:rsidP="003E3A62">
            <w:pPr>
              <w:rPr>
                <w:noProof/>
                <w:lang w:val="es-ES"/>
              </w:rPr>
            </w:pPr>
            <w:r w:rsidRPr="00F22672">
              <w:rPr>
                <w:lang w:val="es-ES_tradnl"/>
              </w:rPr>
              <w:t>Tel:</w:t>
            </w:r>
            <w:r w:rsidRPr="00F22672">
              <w:rPr>
                <w:noProof/>
                <w:lang w:val="es-ES"/>
              </w:rPr>
              <w:t xml:space="preserve"> +48 - 22 345 18 88</w:t>
            </w:r>
          </w:p>
          <w:p w14:paraId="1FE3A0BD" w14:textId="77777777" w:rsidR="003E3A62" w:rsidRPr="00F22672" w:rsidRDefault="003E3A62" w:rsidP="003E3A62">
            <w:pPr>
              <w:rPr>
                <w:noProof/>
                <w:lang w:val="de-CH"/>
              </w:rPr>
            </w:pPr>
          </w:p>
        </w:tc>
      </w:tr>
      <w:tr w:rsidR="003E3A62" w:rsidRPr="00541248" w14:paraId="5B4F52AF" w14:textId="77777777" w:rsidTr="00467FFD">
        <w:trPr>
          <w:cantSplit/>
          <w:trPrChange w:id="2625" w:author="AUTHOR">
            <w:trPr>
              <w:gridAfter w:val="0"/>
              <w:cantSplit/>
            </w:trPr>
          </w:trPrChange>
        </w:trPr>
        <w:tc>
          <w:tcPr>
            <w:tcW w:w="4590" w:type="dxa"/>
            <w:tcPrChange w:id="2626" w:author="AUTHOR">
              <w:tcPr>
                <w:tcW w:w="4590" w:type="dxa"/>
                <w:gridSpan w:val="2"/>
              </w:tcPr>
            </w:tcPrChange>
          </w:tcPr>
          <w:p w14:paraId="089308EC" w14:textId="77777777" w:rsidR="003E3A62" w:rsidRPr="00F22672" w:rsidRDefault="003E3A62" w:rsidP="003E3A62">
            <w:pPr>
              <w:rPr>
                <w:b/>
                <w:noProof/>
                <w:lang w:val="es-ES"/>
              </w:rPr>
            </w:pPr>
            <w:r w:rsidRPr="00F22672">
              <w:rPr>
                <w:b/>
                <w:noProof/>
                <w:lang w:val="es-ES"/>
              </w:rPr>
              <w:t>España</w:t>
            </w:r>
          </w:p>
          <w:p w14:paraId="0BC9FF35" w14:textId="77777777" w:rsidR="003E3A62" w:rsidRPr="00F22672" w:rsidRDefault="003E3A62" w:rsidP="003E3A62">
            <w:pPr>
              <w:rPr>
                <w:noProof/>
                <w:lang w:val="es-ES"/>
              </w:rPr>
            </w:pPr>
            <w:r w:rsidRPr="00F22672">
              <w:rPr>
                <w:noProof/>
                <w:lang w:val="es-ES"/>
              </w:rPr>
              <w:t>Roche Farma S.A.</w:t>
            </w:r>
          </w:p>
          <w:p w14:paraId="5F5053F1" w14:textId="77777777" w:rsidR="003E3A62" w:rsidRPr="00F22672" w:rsidRDefault="003E3A62" w:rsidP="003E3A62">
            <w:pPr>
              <w:rPr>
                <w:noProof/>
                <w:lang w:val="en-GB"/>
              </w:rPr>
            </w:pPr>
            <w:r w:rsidRPr="00F22672">
              <w:rPr>
                <w:noProof/>
                <w:lang w:val="en-GB"/>
              </w:rPr>
              <w:t>Tel: +34 - 91 324 81 00</w:t>
            </w:r>
          </w:p>
          <w:p w14:paraId="27B12D87" w14:textId="77777777" w:rsidR="003E3A62" w:rsidRPr="00F22672" w:rsidRDefault="003E3A62" w:rsidP="003E3A62">
            <w:pPr>
              <w:rPr>
                <w:noProof/>
                <w:lang w:val="en-GB"/>
              </w:rPr>
            </w:pPr>
          </w:p>
        </w:tc>
        <w:tc>
          <w:tcPr>
            <w:tcW w:w="4590" w:type="dxa"/>
            <w:tcPrChange w:id="2627" w:author="AUTHOR">
              <w:tcPr>
                <w:tcW w:w="4590" w:type="dxa"/>
                <w:gridSpan w:val="2"/>
              </w:tcPr>
            </w:tcPrChange>
          </w:tcPr>
          <w:p w14:paraId="532C59E0" w14:textId="77777777" w:rsidR="003E3A62" w:rsidRPr="00F22672" w:rsidRDefault="003E3A62" w:rsidP="003E3A62">
            <w:pPr>
              <w:rPr>
                <w:noProof/>
                <w:lang w:val="pt-PT"/>
              </w:rPr>
            </w:pPr>
            <w:r w:rsidRPr="00F22672">
              <w:rPr>
                <w:b/>
                <w:noProof/>
                <w:lang w:val="pt-PT"/>
              </w:rPr>
              <w:t>Portugal</w:t>
            </w:r>
          </w:p>
          <w:p w14:paraId="6780CB4D" w14:textId="77777777" w:rsidR="003E3A62" w:rsidRPr="00F22672" w:rsidRDefault="003E3A62" w:rsidP="003E3A62">
            <w:pPr>
              <w:rPr>
                <w:noProof/>
                <w:lang w:val="pt-PT"/>
              </w:rPr>
            </w:pPr>
            <w:r w:rsidRPr="00F22672">
              <w:rPr>
                <w:noProof/>
                <w:lang w:val="pt-PT"/>
              </w:rPr>
              <w:t>Roche Farmacêutica Química, Lda</w:t>
            </w:r>
          </w:p>
          <w:p w14:paraId="53043C83" w14:textId="77777777" w:rsidR="003E3A62" w:rsidRPr="00F22672" w:rsidRDefault="003E3A62" w:rsidP="003E3A62">
            <w:pPr>
              <w:rPr>
                <w:noProof/>
                <w:lang w:val="pt-PT"/>
              </w:rPr>
            </w:pPr>
            <w:r w:rsidRPr="00F22672">
              <w:rPr>
                <w:noProof/>
                <w:lang w:val="pt-PT"/>
              </w:rPr>
              <w:t>Tel: +351 - 21 425 70 00</w:t>
            </w:r>
          </w:p>
          <w:p w14:paraId="64924AE0" w14:textId="77777777" w:rsidR="003E3A62" w:rsidRPr="00F22672" w:rsidRDefault="003E3A62" w:rsidP="003E3A62">
            <w:pPr>
              <w:rPr>
                <w:noProof/>
                <w:lang w:val="pt-PT"/>
              </w:rPr>
            </w:pPr>
          </w:p>
        </w:tc>
      </w:tr>
      <w:tr w:rsidR="003E3A62" w:rsidRPr="00B76460" w14:paraId="7C8FF9EC" w14:textId="77777777" w:rsidTr="00467FFD">
        <w:trPr>
          <w:cantSplit/>
          <w:trPrChange w:id="2628" w:author="AUTHOR">
            <w:trPr>
              <w:gridAfter w:val="0"/>
              <w:cantSplit/>
            </w:trPr>
          </w:trPrChange>
        </w:trPr>
        <w:tc>
          <w:tcPr>
            <w:tcW w:w="4590" w:type="dxa"/>
            <w:tcPrChange w:id="2629" w:author="AUTHOR">
              <w:tcPr>
                <w:tcW w:w="4590" w:type="dxa"/>
                <w:gridSpan w:val="2"/>
              </w:tcPr>
            </w:tcPrChange>
          </w:tcPr>
          <w:p w14:paraId="0D23DF37" w14:textId="77777777" w:rsidR="003E3A62" w:rsidRPr="00F22672" w:rsidRDefault="007537FD" w:rsidP="003E3A62">
            <w:pPr>
              <w:rPr>
                <w:noProof/>
                <w:lang w:val="fr-FR"/>
              </w:rPr>
            </w:pPr>
            <w:r w:rsidRPr="00F22672">
              <w:rPr>
                <w:b/>
                <w:noProof/>
                <w:lang w:val="fr-FR"/>
              </w:rPr>
              <w:t>France</w:t>
            </w:r>
          </w:p>
          <w:p w14:paraId="3436FA14" w14:textId="77777777" w:rsidR="003E3A62" w:rsidRPr="00F22672" w:rsidRDefault="003E3A62" w:rsidP="003E3A62">
            <w:pPr>
              <w:rPr>
                <w:noProof/>
                <w:lang w:val="fr-FR"/>
              </w:rPr>
            </w:pPr>
            <w:r w:rsidRPr="00F22672">
              <w:rPr>
                <w:noProof/>
                <w:lang w:val="fr-FR"/>
              </w:rPr>
              <w:t>Roche</w:t>
            </w:r>
          </w:p>
          <w:p w14:paraId="3C24947A" w14:textId="77777777" w:rsidR="003E3A62" w:rsidRPr="00F22672" w:rsidRDefault="003E3A62" w:rsidP="003E3A62">
            <w:pPr>
              <w:autoSpaceDE w:val="0"/>
              <w:autoSpaceDN w:val="0"/>
              <w:adjustRightInd w:val="0"/>
              <w:rPr>
                <w:rFonts w:ascii="Arial" w:eastAsia="SimSun" w:hAnsi="Arial" w:cs="Arial"/>
                <w:sz w:val="20"/>
                <w:lang w:val="fr-FR" w:eastAsia="zh-CN"/>
              </w:rPr>
            </w:pPr>
            <w:r w:rsidRPr="00F22672">
              <w:rPr>
                <w:noProof/>
                <w:lang w:val="fr-FR"/>
              </w:rPr>
              <w:t>Tél: +33 (0) 1 47 61 40 00</w:t>
            </w:r>
          </w:p>
          <w:p w14:paraId="6260E389" w14:textId="77777777" w:rsidR="003E3A62" w:rsidRPr="00EF2448" w:rsidRDefault="003E3A62" w:rsidP="003E3A62">
            <w:pPr>
              <w:rPr>
                <w:b/>
                <w:noProof/>
                <w:lang w:val="fr-FR"/>
              </w:rPr>
            </w:pPr>
          </w:p>
          <w:p w14:paraId="3A05E918" w14:textId="424FB213" w:rsidR="003E3A62" w:rsidRPr="00EF2448" w:rsidDel="00B14A9D" w:rsidRDefault="003E3A62" w:rsidP="003E3A62">
            <w:pPr>
              <w:rPr>
                <w:del w:id="2630" w:author="AUTHOR"/>
                <w:b/>
                <w:noProof/>
                <w:lang w:val="fr-FR"/>
              </w:rPr>
            </w:pPr>
            <w:del w:id="2631" w:author="AUTHOR">
              <w:r w:rsidRPr="00EF2448" w:rsidDel="00B14A9D">
                <w:rPr>
                  <w:b/>
                  <w:noProof/>
                  <w:lang w:val="fr-FR"/>
                </w:rPr>
                <w:delText>Hrvatska</w:delText>
              </w:r>
            </w:del>
          </w:p>
          <w:p w14:paraId="0FCC0DE5" w14:textId="78122488" w:rsidR="003E3A62" w:rsidRPr="00EF2448" w:rsidDel="00B14A9D" w:rsidRDefault="003E3A62" w:rsidP="003E3A62">
            <w:pPr>
              <w:rPr>
                <w:del w:id="2632" w:author="AUTHOR"/>
                <w:noProof/>
                <w:lang w:val="fr-FR"/>
              </w:rPr>
            </w:pPr>
            <w:del w:id="2633" w:author="AUTHOR">
              <w:r w:rsidRPr="00EF2448" w:rsidDel="00B14A9D">
                <w:rPr>
                  <w:noProof/>
                  <w:lang w:val="fr-FR"/>
                </w:rPr>
                <w:delText>Roche d.o.o</w:delText>
              </w:r>
            </w:del>
          </w:p>
          <w:p w14:paraId="223DCB4E" w14:textId="6E82F5C3" w:rsidR="003E3A62" w:rsidRPr="00F22672" w:rsidDel="00B14A9D" w:rsidRDefault="003E3A62" w:rsidP="003E3A62">
            <w:pPr>
              <w:rPr>
                <w:del w:id="2634" w:author="AUTHOR"/>
                <w:noProof/>
                <w:lang w:val="de-CH"/>
              </w:rPr>
            </w:pPr>
            <w:del w:id="2635" w:author="AUTHOR">
              <w:r w:rsidRPr="00F22672" w:rsidDel="00B14A9D">
                <w:rPr>
                  <w:noProof/>
                  <w:lang w:val="de-CH"/>
                </w:rPr>
                <w:delText>Tel: +385 1 47 22 333</w:delText>
              </w:r>
            </w:del>
          </w:p>
          <w:p w14:paraId="37AD4342" w14:textId="77777777" w:rsidR="003E3A62" w:rsidRPr="00F22672" w:rsidRDefault="003E3A62" w:rsidP="00B14A9D">
            <w:pPr>
              <w:rPr>
                <w:b/>
                <w:noProof/>
                <w:lang w:val="de-CH"/>
              </w:rPr>
            </w:pPr>
          </w:p>
        </w:tc>
        <w:tc>
          <w:tcPr>
            <w:tcW w:w="4590" w:type="dxa"/>
            <w:tcPrChange w:id="2636" w:author="AUTHOR">
              <w:tcPr>
                <w:tcW w:w="4590" w:type="dxa"/>
                <w:gridSpan w:val="2"/>
              </w:tcPr>
            </w:tcPrChange>
          </w:tcPr>
          <w:p w14:paraId="0CF9FF3D" w14:textId="77777777" w:rsidR="003E3A62" w:rsidRPr="00F22672" w:rsidRDefault="003E3A62" w:rsidP="003E3A62">
            <w:pPr>
              <w:tabs>
                <w:tab w:val="left" w:pos="-720"/>
                <w:tab w:val="left" w:pos="567"/>
                <w:tab w:val="left" w:pos="4536"/>
              </w:tabs>
              <w:suppressAutoHyphens/>
              <w:spacing w:line="260" w:lineRule="exact"/>
              <w:rPr>
                <w:b/>
                <w:noProof/>
                <w:szCs w:val="22"/>
                <w:lang w:val="it-IT" w:eastAsia="en-US"/>
              </w:rPr>
            </w:pPr>
            <w:r w:rsidRPr="00F22672">
              <w:rPr>
                <w:b/>
                <w:noProof/>
                <w:szCs w:val="22"/>
                <w:lang w:val="it-IT" w:eastAsia="en-US"/>
              </w:rPr>
              <w:t>România</w:t>
            </w:r>
          </w:p>
          <w:p w14:paraId="6DC18CD7" w14:textId="77777777" w:rsidR="003E3A62" w:rsidRPr="00F22672" w:rsidRDefault="003E3A62" w:rsidP="003E3A62">
            <w:pPr>
              <w:tabs>
                <w:tab w:val="left" w:pos="-720"/>
                <w:tab w:val="left" w:pos="4536"/>
              </w:tabs>
              <w:suppressAutoHyphens/>
              <w:rPr>
                <w:noProof/>
                <w:szCs w:val="22"/>
                <w:lang w:val="ro-RO"/>
              </w:rPr>
            </w:pPr>
            <w:r w:rsidRPr="00F22672">
              <w:rPr>
                <w:noProof/>
                <w:szCs w:val="22"/>
                <w:lang w:val="it-IT"/>
              </w:rPr>
              <w:t>Roche Rom</w:t>
            </w:r>
            <w:r w:rsidRPr="00F22672">
              <w:rPr>
                <w:noProof/>
                <w:szCs w:val="22"/>
                <w:lang w:val="ro-RO"/>
              </w:rPr>
              <w:t>ânia S.R.L.</w:t>
            </w:r>
          </w:p>
          <w:p w14:paraId="35451176" w14:textId="77777777" w:rsidR="003E3A62" w:rsidRPr="00F22672" w:rsidRDefault="003E3A62" w:rsidP="003E3A62">
            <w:pPr>
              <w:tabs>
                <w:tab w:val="left" w:pos="-720"/>
                <w:tab w:val="left" w:pos="4536"/>
              </w:tabs>
              <w:suppressAutoHyphens/>
              <w:rPr>
                <w:noProof/>
                <w:szCs w:val="22"/>
                <w:lang w:val="pl-PL"/>
              </w:rPr>
            </w:pPr>
            <w:r w:rsidRPr="00F22672">
              <w:rPr>
                <w:noProof/>
                <w:szCs w:val="22"/>
                <w:lang w:val="pl-PL"/>
              </w:rPr>
              <w:t>Tel: +40 21 206 47 01</w:t>
            </w:r>
          </w:p>
          <w:p w14:paraId="35BBB15C" w14:textId="77777777" w:rsidR="003E3A62" w:rsidRPr="00F22672" w:rsidRDefault="003E3A62" w:rsidP="003E3A62">
            <w:pPr>
              <w:tabs>
                <w:tab w:val="left" w:pos="-720"/>
                <w:tab w:val="left" w:pos="4536"/>
              </w:tabs>
              <w:suppressAutoHyphens/>
              <w:rPr>
                <w:noProof/>
                <w:lang w:val="it-IT"/>
              </w:rPr>
            </w:pPr>
          </w:p>
        </w:tc>
      </w:tr>
      <w:tr w:rsidR="00B14A9D" w:rsidRPr="00B76460" w14:paraId="7E750EDA" w14:textId="77777777" w:rsidTr="00467FFD">
        <w:tblPrEx>
          <w:tblPrExChange w:id="2637"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ins w:id="2638" w:author="AUTHOR"/>
          <w:trPrChange w:id="2639" w:author="AUTHOR">
            <w:trPr>
              <w:gridBefore w:val="1"/>
              <w:cantSplit/>
            </w:trPr>
          </w:trPrChange>
        </w:trPr>
        <w:tc>
          <w:tcPr>
            <w:tcW w:w="4590" w:type="dxa"/>
            <w:tcPrChange w:id="2640" w:author="AUTHOR">
              <w:tcPr>
                <w:tcW w:w="4590" w:type="dxa"/>
                <w:gridSpan w:val="2"/>
              </w:tcPr>
            </w:tcPrChange>
          </w:tcPr>
          <w:p w14:paraId="5306A12E" w14:textId="77777777" w:rsidR="00B14A9D" w:rsidRPr="00EF2448" w:rsidRDefault="00B14A9D" w:rsidP="00B14A9D">
            <w:pPr>
              <w:rPr>
                <w:ins w:id="2641" w:author="AUTHOR"/>
                <w:b/>
                <w:noProof/>
                <w:lang w:val="fr-FR"/>
              </w:rPr>
            </w:pPr>
            <w:ins w:id="2642" w:author="AUTHOR">
              <w:r w:rsidRPr="00EF2448">
                <w:rPr>
                  <w:b/>
                  <w:noProof/>
                  <w:lang w:val="fr-FR"/>
                </w:rPr>
                <w:lastRenderedPageBreak/>
                <w:t>Hrvatska</w:t>
              </w:r>
            </w:ins>
          </w:p>
          <w:p w14:paraId="40623961" w14:textId="77777777" w:rsidR="00B14A9D" w:rsidRPr="00EF2448" w:rsidRDefault="00B14A9D" w:rsidP="00B14A9D">
            <w:pPr>
              <w:rPr>
                <w:ins w:id="2643" w:author="AUTHOR"/>
                <w:noProof/>
                <w:lang w:val="fr-FR"/>
              </w:rPr>
            </w:pPr>
            <w:ins w:id="2644" w:author="AUTHOR">
              <w:r w:rsidRPr="00EF2448">
                <w:rPr>
                  <w:noProof/>
                  <w:lang w:val="fr-FR"/>
                </w:rPr>
                <w:t>Roche d.o.o</w:t>
              </w:r>
            </w:ins>
          </w:p>
          <w:p w14:paraId="134005A6" w14:textId="77777777" w:rsidR="00B14A9D" w:rsidRPr="00F22672" w:rsidRDefault="00B14A9D" w:rsidP="00B14A9D">
            <w:pPr>
              <w:rPr>
                <w:ins w:id="2645" w:author="AUTHOR"/>
                <w:noProof/>
                <w:lang w:val="de-CH"/>
              </w:rPr>
            </w:pPr>
            <w:ins w:id="2646" w:author="AUTHOR">
              <w:r w:rsidRPr="00F22672">
                <w:rPr>
                  <w:noProof/>
                  <w:lang w:val="de-CH"/>
                </w:rPr>
                <w:t>Tel: +385 1 47 22 333</w:t>
              </w:r>
            </w:ins>
          </w:p>
          <w:p w14:paraId="7D5A4ED8" w14:textId="77777777" w:rsidR="00B14A9D" w:rsidRPr="00467FFD" w:rsidRDefault="00B14A9D" w:rsidP="003E3A62">
            <w:pPr>
              <w:rPr>
                <w:ins w:id="2647" w:author="AUTHOR"/>
                <w:b/>
                <w:noProof/>
                <w:lang w:val="de-CH"/>
                <w:rPrChange w:id="2648" w:author="AUTHOR">
                  <w:rPr>
                    <w:ins w:id="2649" w:author="AUTHOR"/>
                    <w:b/>
                    <w:noProof/>
                    <w:lang w:val="fr-FR"/>
                  </w:rPr>
                </w:rPrChange>
              </w:rPr>
            </w:pPr>
          </w:p>
        </w:tc>
        <w:tc>
          <w:tcPr>
            <w:tcW w:w="4590" w:type="dxa"/>
            <w:tcPrChange w:id="2650" w:author="AUTHOR">
              <w:tcPr>
                <w:tcW w:w="4590" w:type="dxa"/>
                <w:gridSpan w:val="2"/>
              </w:tcPr>
            </w:tcPrChange>
          </w:tcPr>
          <w:p w14:paraId="2B50FCF8" w14:textId="77777777" w:rsidR="00B14A9D" w:rsidRPr="00F30AB8" w:rsidRDefault="00B14A9D" w:rsidP="00B14A9D">
            <w:pPr>
              <w:rPr>
                <w:ins w:id="2651" w:author="AUTHOR"/>
                <w:b/>
                <w:noProof/>
                <w:lang w:val="it-IT"/>
              </w:rPr>
            </w:pPr>
            <w:ins w:id="2652" w:author="AUTHOR">
              <w:r w:rsidRPr="00F30AB8">
                <w:rPr>
                  <w:b/>
                  <w:noProof/>
                  <w:lang w:val="it-IT"/>
                </w:rPr>
                <w:t>Slovenija</w:t>
              </w:r>
            </w:ins>
          </w:p>
          <w:p w14:paraId="5D05927B" w14:textId="77777777" w:rsidR="00B14A9D" w:rsidRPr="00F30AB8" w:rsidRDefault="00B14A9D" w:rsidP="00B14A9D">
            <w:pPr>
              <w:rPr>
                <w:ins w:id="2653" w:author="AUTHOR"/>
                <w:noProof/>
                <w:lang w:val="it-IT"/>
              </w:rPr>
            </w:pPr>
            <w:ins w:id="2654" w:author="AUTHOR">
              <w:r w:rsidRPr="00F30AB8">
                <w:rPr>
                  <w:noProof/>
                  <w:lang w:val="it-IT"/>
                </w:rPr>
                <w:t>Roche farmacevtska družba d.o.o.</w:t>
              </w:r>
            </w:ins>
          </w:p>
          <w:p w14:paraId="39D1511A" w14:textId="77777777" w:rsidR="00B14A9D" w:rsidRPr="00F22672" w:rsidRDefault="00B14A9D" w:rsidP="00B14A9D">
            <w:pPr>
              <w:rPr>
                <w:ins w:id="2655" w:author="AUTHOR"/>
                <w:rFonts w:eastAsia="MS Mincho"/>
                <w:noProof/>
                <w:lang w:val="it-IT"/>
              </w:rPr>
            </w:pPr>
            <w:ins w:id="2656" w:author="AUTHOR">
              <w:r w:rsidRPr="00F22672">
                <w:rPr>
                  <w:rFonts w:eastAsia="MS Mincho"/>
                  <w:noProof/>
                  <w:lang w:val="it-IT"/>
                </w:rPr>
                <w:t>Tel: +386 - 1 360 26 00</w:t>
              </w:r>
            </w:ins>
          </w:p>
          <w:p w14:paraId="0C8FA9E3" w14:textId="77777777" w:rsidR="00B14A9D" w:rsidRPr="00F22672" w:rsidRDefault="00B14A9D" w:rsidP="003E3A62">
            <w:pPr>
              <w:tabs>
                <w:tab w:val="left" w:pos="-720"/>
                <w:tab w:val="left" w:pos="567"/>
                <w:tab w:val="left" w:pos="4536"/>
              </w:tabs>
              <w:suppressAutoHyphens/>
              <w:spacing w:line="260" w:lineRule="exact"/>
              <w:rPr>
                <w:ins w:id="2657" w:author="AUTHOR"/>
                <w:b/>
                <w:noProof/>
                <w:szCs w:val="22"/>
                <w:lang w:val="it-IT" w:eastAsia="en-US"/>
              </w:rPr>
            </w:pPr>
          </w:p>
        </w:tc>
      </w:tr>
      <w:tr w:rsidR="003E3A62" w:rsidRPr="00F22672" w14:paraId="440123B7" w14:textId="77777777" w:rsidTr="00467FFD">
        <w:trPr>
          <w:cantSplit/>
          <w:trPrChange w:id="2658" w:author="AUTHOR">
            <w:trPr>
              <w:gridAfter w:val="0"/>
              <w:cantSplit/>
            </w:trPr>
          </w:trPrChange>
        </w:trPr>
        <w:tc>
          <w:tcPr>
            <w:tcW w:w="4590" w:type="dxa"/>
            <w:tcPrChange w:id="2659" w:author="AUTHOR">
              <w:tcPr>
                <w:tcW w:w="4590" w:type="dxa"/>
                <w:gridSpan w:val="2"/>
              </w:tcPr>
            </w:tcPrChange>
          </w:tcPr>
          <w:p w14:paraId="3A73DB54" w14:textId="1F68C624" w:rsidR="003E3A62" w:rsidRPr="00F22672" w:rsidRDefault="003E3A62" w:rsidP="003E3A62">
            <w:pPr>
              <w:rPr>
                <w:b/>
                <w:noProof/>
                <w:lang w:val="en-GB"/>
              </w:rPr>
            </w:pPr>
            <w:r w:rsidRPr="00F22672">
              <w:rPr>
                <w:b/>
                <w:noProof/>
                <w:lang w:val="en-GB"/>
              </w:rPr>
              <w:t>Ireland</w:t>
            </w:r>
            <w:ins w:id="2660" w:author="AUTHOR">
              <w:r w:rsidR="00B14A9D">
                <w:rPr>
                  <w:b/>
                  <w:noProof/>
                  <w:lang w:val="en-GB"/>
                </w:rPr>
                <w:t>, Malta</w:t>
              </w:r>
            </w:ins>
          </w:p>
          <w:p w14:paraId="0F803694" w14:textId="77777777" w:rsidR="00B14A9D" w:rsidRDefault="003E3A62" w:rsidP="00B14A9D">
            <w:pPr>
              <w:rPr>
                <w:ins w:id="2661" w:author="AUTHOR"/>
                <w:noProof/>
                <w:szCs w:val="22"/>
                <w:lang w:val="en-GB"/>
              </w:rPr>
            </w:pPr>
            <w:r w:rsidRPr="00F22672">
              <w:rPr>
                <w:noProof/>
                <w:lang w:val="en-GB"/>
              </w:rPr>
              <w:t>Roche Products (Ireland) Ltd.</w:t>
            </w:r>
            <w:ins w:id="2662" w:author="AUTHOR">
              <w:r w:rsidR="00B14A9D" w:rsidRPr="00B14A9D">
                <w:rPr>
                  <w:noProof/>
                  <w:szCs w:val="22"/>
                  <w:lang w:val="en-GB"/>
                </w:rPr>
                <w:t xml:space="preserve"> </w:t>
              </w:r>
            </w:ins>
          </w:p>
          <w:p w14:paraId="09B20474" w14:textId="3529ED6D" w:rsidR="003E3A62" w:rsidRPr="00F22672" w:rsidRDefault="00B14A9D" w:rsidP="003E3A62">
            <w:pPr>
              <w:rPr>
                <w:noProof/>
                <w:lang w:val="en-GB"/>
              </w:rPr>
            </w:pPr>
            <w:ins w:id="2663" w:author="AUTHOR">
              <w:r w:rsidRPr="00B14A9D">
                <w:rPr>
                  <w:noProof/>
                  <w:szCs w:val="22"/>
                  <w:lang w:val="en-GB"/>
                </w:rPr>
                <w:t>Ireland/L-Irlanda</w:t>
              </w:r>
            </w:ins>
          </w:p>
          <w:p w14:paraId="0D618EF1" w14:textId="77777777" w:rsidR="003E3A62" w:rsidRPr="00F22672" w:rsidRDefault="003E3A62" w:rsidP="003E3A62">
            <w:pPr>
              <w:rPr>
                <w:noProof/>
                <w:lang w:val="en-GB"/>
              </w:rPr>
            </w:pPr>
            <w:r w:rsidRPr="00F22672">
              <w:rPr>
                <w:noProof/>
                <w:lang w:val="en-GB"/>
              </w:rPr>
              <w:t>Tel: +353 (0) 1 469 0700</w:t>
            </w:r>
          </w:p>
          <w:p w14:paraId="72B55AE3" w14:textId="77777777" w:rsidR="003E3A62" w:rsidRPr="00F22672" w:rsidRDefault="003E3A62" w:rsidP="003E3A62">
            <w:pPr>
              <w:rPr>
                <w:noProof/>
                <w:lang w:val="en-GB"/>
              </w:rPr>
            </w:pPr>
          </w:p>
        </w:tc>
        <w:tc>
          <w:tcPr>
            <w:tcW w:w="4590" w:type="dxa"/>
            <w:tcPrChange w:id="2664" w:author="AUTHOR">
              <w:tcPr>
                <w:tcW w:w="4590" w:type="dxa"/>
                <w:gridSpan w:val="2"/>
              </w:tcPr>
            </w:tcPrChange>
          </w:tcPr>
          <w:p w14:paraId="2D7CDA6B" w14:textId="77777777" w:rsidR="00B14A9D" w:rsidRPr="00F22672" w:rsidRDefault="00B14A9D" w:rsidP="00B14A9D">
            <w:pPr>
              <w:rPr>
                <w:ins w:id="2665" w:author="AUTHOR"/>
                <w:b/>
                <w:noProof/>
                <w:lang w:val="it-IT"/>
              </w:rPr>
            </w:pPr>
            <w:ins w:id="2666" w:author="AUTHOR">
              <w:r w:rsidRPr="00F22672">
                <w:rPr>
                  <w:b/>
                  <w:noProof/>
                  <w:lang w:val="it-IT"/>
                </w:rPr>
                <w:t xml:space="preserve">Slovenská republika </w:t>
              </w:r>
            </w:ins>
          </w:p>
          <w:p w14:paraId="29D4093F" w14:textId="77777777" w:rsidR="00B14A9D" w:rsidRPr="00F22672" w:rsidRDefault="00B14A9D" w:rsidP="00B14A9D">
            <w:pPr>
              <w:rPr>
                <w:ins w:id="2667" w:author="AUTHOR"/>
                <w:noProof/>
                <w:lang w:val="it-IT"/>
              </w:rPr>
            </w:pPr>
            <w:ins w:id="2668" w:author="AUTHOR">
              <w:r w:rsidRPr="00F22672">
                <w:rPr>
                  <w:noProof/>
                  <w:lang w:val="sk-SK"/>
                </w:rPr>
                <w:t>Roche Slovensko, s.r.o.</w:t>
              </w:r>
            </w:ins>
          </w:p>
          <w:p w14:paraId="46738F93" w14:textId="77777777" w:rsidR="00B14A9D" w:rsidRPr="00F22672" w:rsidRDefault="00B14A9D" w:rsidP="00B14A9D">
            <w:pPr>
              <w:rPr>
                <w:ins w:id="2669" w:author="AUTHOR"/>
                <w:noProof/>
                <w:lang w:val="pt-PT"/>
              </w:rPr>
            </w:pPr>
            <w:ins w:id="2670" w:author="AUTHOR">
              <w:r w:rsidRPr="00F22672">
                <w:rPr>
                  <w:noProof/>
                  <w:lang w:val="pt-PT"/>
                </w:rPr>
                <w:t>Tel: +421 - 2 52638201</w:t>
              </w:r>
            </w:ins>
          </w:p>
          <w:p w14:paraId="326C9E2B" w14:textId="4A237D25" w:rsidR="003E3A62" w:rsidRPr="00F30AB8" w:rsidDel="00B14A9D" w:rsidRDefault="003E3A62" w:rsidP="003E3A62">
            <w:pPr>
              <w:rPr>
                <w:del w:id="2671" w:author="AUTHOR"/>
                <w:b/>
                <w:noProof/>
                <w:lang w:val="it-IT"/>
              </w:rPr>
            </w:pPr>
            <w:del w:id="2672" w:author="AUTHOR">
              <w:r w:rsidRPr="00F30AB8" w:rsidDel="00B14A9D">
                <w:rPr>
                  <w:b/>
                  <w:noProof/>
                  <w:lang w:val="it-IT"/>
                </w:rPr>
                <w:delText>Slovenija</w:delText>
              </w:r>
            </w:del>
          </w:p>
          <w:p w14:paraId="0BFC9A16" w14:textId="5918443F" w:rsidR="003E3A62" w:rsidRPr="00F30AB8" w:rsidDel="00B14A9D" w:rsidRDefault="003E3A62" w:rsidP="003E3A62">
            <w:pPr>
              <w:rPr>
                <w:del w:id="2673" w:author="AUTHOR"/>
                <w:noProof/>
                <w:lang w:val="it-IT"/>
              </w:rPr>
            </w:pPr>
            <w:del w:id="2674" w:author="AUTHOR">
              <w:r w:rsidRPr="00F30AB8" w:rsidDel="00B14A9D">
                <w:rPr>
                  <w:noProof/>
                  <w:lang w:val="it-IT"/>
                </w:rPr>
                <w:delText>Roche farmacevtska družba d.o.o.</w:delText>
              </w:r>
            </w:del>
          </w:p>
          <w:p w14:paraId="74AFF5E3" w14:textId="5F92684C" w:rsidR="003E3A62" w:rsidRPr="00F22672" w:rsidDel="00B14A9D" w:rsidRDefault="003E3A62" w:rsidP="003E3A62">
            <w:pPr>
              <w:rPr>
                <w:del w:id="2675" w:author="AUTHOR"/>
                <w:rFonts w:eastAsia="MS Mincho"/>
                <w:noProof/>
                <w:lang w:val="it-IT"/>
              </w:rPr>
            </w:pPr>
            <w:del w:id="2676" w:author="AUTHOR">
              <w:r w:rsidRPr="00F22672" w:rsidDel="00B14A9D">
                <w:rPr>
                  <w:rFonts w:eastAsia="MS Mincho"/>
                  <w:noProof/>
                  <w:lang w:val="it-IT"/>
                </w:rPr>
                <w:delText>Tel: +386 - 1 360 26 00</w:delText>
              </w:r>
            </w:del>
          </w:p>
          <w:p w14:paraId="1D78F2A3" w14:textId="77777777" w:rsidR="003E3A62" w:rsidRPr="00F22672" w:rsidRDefault="003E3A62" w:rsidP="00B14A9D">
            <w:pPr>
              <w:rPr>
                <w:noProof/>
                <w:lang w:val="it-IT"/>
              </w:rPr>
            </w:pPr>
          </w:p>
        </w:tc>
      </w:tr>
      <w:tr w:rsidR="003E3A62" w:rsidRPr="00F22672" w14:paraId="14FD54C8" w14:textId="77777777" w:rsidTr="00467FFD">
        <w:trPr>
          <w:cantSplit/>
          <w:trPrChange w:id="2677" w:author="AUTHOR">
            <w:trPr>
              <w:gridAfter w:val="0"/>
              <w:cantSplit/>
            </w:trPr>
          </w:trPrChange>
        </w:trPr>
        <w:tc>
          <w:tcPr>
            <w:tcW w:w="4590" w:type="dxa"/>
            <w:tcPrChange w:id="2678" w:author="AUTHOR">
              <w:tcPr>
                <w:tcW w:w="4590" w:type="dxa"/>
                <w:gridSpan w:val="2"/>
              </w:tcPr>
            </w:tcPrChange>
          </w:tcPr>
          <w:p w14:paraId="7AC40EC6" w14:textId="77777777" w:rsidR="003E3A62" w:rsidRPr="00F22672" w:rsidRDefault="003E3A62" w:rsidP="003E3A62">
            <w:pPr>
              <w:tabs>
                <w:tab w:val="left" w:pos="720"/>
              </w:tabs>
              <w:rPr>
                <w:b/>
                <w:noProof/>
                <w:snapToGrid w:val="0"/>
                <w:lang w:val="pt-BR"/>
              </w:rPr>
            </w:pPr>
            <w:r w:rsidRPr="00F22672">
              <w:rPr>
                <w:b/>
                <w:noProof/>
                <w:snapToGrid w:val="0"/>
                <w:lang w:val="pt-BR"/>
              </w:rPr>
              <w:t xml:space="preserve">Ísland </w:t>
            </w:r>
          </w:p>
          <w:p w14:paraId="4E77C654" w14:textId="77777777" w:rsidR="003E3A62" w:rsidRPr="00F22672" w:rsidRDefault="003E3A62" w:rsidP="003E3A62">
            <w:pPr>
              <w:tabs>
                <w:tab w:val="left" w:pos="720"/>
              </w:tabs>
              <w:rPr>
                <w:noProof/>
                <w:snapToGrid w:val="0"/>
                <w:lang w:val="pt-BR"/>
              </w:rPr>
            </w:pPr>
            <w:r w:rsidRPr="00F22672">
              <w:rPr>
                <w:noProof/>
                <w:snapToGrid w:val="0"/>
                <w:lang w:val="pt-BR"/>
              </w:rPr>
              <w:t xml:space="preserve">Roche </w:t>
            </w:r>
            <w:r w:rsidR="00435911">
              <w:rPr>
                <w:noProof/>
              </w:rPr>
              <w:t>Pharmaceuticals A/S</w:t>
            </w:r>
          </w:p>
          <w:p w14:paraId="64005CDB" w14:textId="77777777" w:rsidR="003E3A62" w:rsidRPr="00F22672" w:rsidRDefault="003E3A62" w:rsidP="003E3A62">
            <w:pPr>
              <w:tabs>
                <w:tab w:val="left" w:pos="720"/>
              </w:tabs>
              <w:rPr>
                <w:noProof/>
                <w:snapToGrid w:val="0"/>
                <w:lang w:val="pt-PT"/>
              </w:rPr>
            </w:pPr>
            <w:r w:rsidRPr="00F22672">
              <w:rPr>
                <w:noProof/>
                <w:szCs w:val="22"/>
                <w:lang w:val="pt-PT" w:eastAsia="en-US"/>
              </w:rPr>
              <w:t>c/o Icepharma hf</w:t>
            </w:r>
          </w:p>
          <w:p w14:paraId="7CF71D50" w14:textId="77777777" w:rsidR="003E3A62" w:rsidRPr="00F22672" w:rsidRDefault="003E3A62" w:rsidP="003E3A62">
            <w:pPr>
              <w:rPr>
                <w:rFonts w:ascii="Arial" w:hAnsi="Arial"/>
                <w:noProof/>
                <w:snapToGrid w:val="0"/>
                <w:lang w:val="pt-PT"/>
              </w:rPr>
            </w:pPr>
            <w:r w:rsidRPr="00F22672">
              <w:rPr>
                <w:noProof/>
                <w:lang w:val="pt-BR"/>
              </w:rPr>
              <w:t>S</w:t>
            </w:r>
            <w:r w:rsidRPr="00F22672">
              <w:rPr>
                <w:noProof/>
                <w:lang w:val="cs-CZ"/>
              </w:rPr>
              <w:t>í</w:t>
            </w:r>
            <w:r w:rsidRPr="00F22672">
              <w:rPr>
                <w:noProof/>
                <w:lang w:val="pt-BR"/>
              </w:rPr>
              <w:t>mi</w:t>
            </w:r>
            <w:r w:rsidRPr="00F22672">
              <w:rPr>
                <w:noProof/>
                <w:snapToGrid w:val="0"/>
                <w:lang w:val="pt-PT"/>
              </w:rPr>
              <w:t>: +354 540 8000</w:t>
            </w:r>
          </w:p>
          <w:p w14:paraId="2F2C8B83" w14:textId="77777777" w:rsidR="003E3A62" w:rsidRPr="00F22672" w:rsidRDefault="003E3A62" w:rsidP="003E3A62">
            <w:pPr>
              <w:tabs>
                <w:tab w:val="left" w:pos="720"/>
              </w:tabs>
              <w:autoSpaceDE w:val="0"/>
              <w:autoSpaceDN w:val="0"/>
              <w:adjustRightInd w:val="0"/>
              <w:rPr>
                <w:b/>
                <w:noProof/>
                <w:lang w:val="pt-PT"/>
              </w:rPr>
            </w:pPr>
          </w:p>
        </w:tc>
        <w:tc>
          <w:tcPr>
            <w:tcW w:w="4590" w:type="dxa"/>
            <w:tcPrChange w:id="2679" w:author="AUTHOR">
              <w:tcPr>
                <w:tcW w:w="4590" w:type="dxa"/>
                <w:gridSpan w:val="2"/>
              </w:tcPr>
            </w:tcPrChange>
          </w:tcPr>
          <w:p w14:paraId="5E288004" w14:textId="77777777" w:rsidR="00B14A9D" w:rsidRPr="00F22672" w:rsidRDefault="00B14A9D" w:rsidP="00B14A9D">
            <w:pPr>
              <w:rPr>
                <w:ins w:id="2680" w:author="AUTHOR"/>
                <w:b/>
                <w:noProof/>
                <w:lang w:val="de-CH"/>
              </w:rPr>
            </w:pPr>
            <w:ins w:id="2681" w:author="AUTHOR">
              <w:r w:rsidRPr="00F22672">
                <w:rPr>
                  <w:b/>
                  <w:noProof/>
                  <w:lang w:val="de-CH"/>
                </w:rPr>
                <w:t>Suomi/Finland</w:t>
              </w:r>
            </w:ins>
          </w:p>
          <w:p w14:paraId="52C40593" w14:textId="77777777" w:rsidR="00B14A9D" w:rsidRPr="00F22672" w:rsidRDefault="00B14A9D" w:rsidP="00B14A9D">
            <w:pPr>
              <w:rPr>
                <w:ins w:id="2682" w:author="AUTHOR"/>
                <w:noProof/>
                <w:snapToGrid w:val="0"/>
                <w:lang w:val="de-CH"/>
              </w:rPr>
            </w:pPr>
            <w:ins w:id="2683" w:author="AUTHOR">
              <w:r w:rsidRPr="00F22672">
                <w:rPr>
                  <w:noProof/>
                  <w:lang w:val="de-CH"/>
                </w:rPr>
                <w:t>Roche Oy</w:t>
              </w:r>
              <w:r w:rsidRPr="00F22672">
                <w:rPr>
                  <w:noProof/>
                  <w:snapToGrid w:val="0"/>
                  <w:lang w:val="de-CH"/>
                </w:rPr>
                <w:t xml:space="preserve"> </w:t>
              </w:r>
            </w:ins>
          </w:p>
          <w:p w14:paraId="4516B65D" w14:textId="77777777" w:rsidR="00B14A9D" w:rsidRPr="00F22672" w:rsidRDefault="00B14A9D" w:rsidP="00B14A9D">
            <w:pPr>
              <w:rPr>
                <w:ins w:id="2684" w:author="AUTHOR"/>
                <w:noProof/>
                <w:lang w:val="de-CH"/>
              </w:rPr>
            </w:pPr>
            <w:ins w:id="2685" w:author="AUTHOR">
              <w:r w:rsidRPr="00F22672">
                <w:rPr>
                  <w:noProof/>
                  <w:lang w:val="de-CH"/>
                </w:rPr>
                <w:t xml:space="preserve">Puh/Tel: +358 (0) </w:t>
              </w:r>
              <w:r w:rsidRPr="00F22672">
                <w:rPr>
                  <w:noProof/>
                  <w:lang w:val="de-DE"/>
                </w:rPr>
                <w:t>10 554 500</w:t>
              </w:r>
            </w:ins>
          </w:p>
          <w:p w14:paraId="5AF0E765" w14:textId="59376312" w:rsidR="003E3A62" w:rsidRPr="00F22672" w:rsidDel="00B14A9D" w:rsidRDefault="003E3A62" w:rsidP="003E3A62">
            <w:pPr>
              <w:rPr>
                <w:del w:id="2686" w:author="AUTHOR"/>
                <w:b/>
                <w:noProof/>
                <w:lang w:val="it-IT"/>
              </w:rPr>
            </w:pPr>
            <w:del w:id="2687" w:author="AUTHOR">
              <w:r w:rsidRPr="00F22672" w:rsidDel="00B14A9D">
                <w:rPr>
                  <w:b/>
                  <w:noProof/>
                  <w:lang w:val="it-IT"/>
                </w:rPr>
                <w:delText xml:space="preserve">Slovenská republika </w:delText>
              </w:r>
            </w:del>
          </w:p>
          <w:p w14:paraId="66EA007B" w14:textId="0E6A3767" w:rsidR="003E3A62" w:rsidRPr="00F22672" w:rsidDel="00B14A9D" w:rsidRDefault="003E3A62" w:rsidP="003E3A62">
            <w:pPr>
              <w:rPr>
                <w:del w:id="2688" w:author="AUTHOR"/>
                <w:noProof/>
                <w:lang w:val="it-IT"/>
              </w:rPr>
            </w:pPr>
            <w:del w:id="2689" w:author="AUTHOR">
              <w:r w:rsidRPr="00F22672" w:rsidDel="00B14A9D">
                <w:rPr>
                  <w:noProof/>
                  <w:lang w:val="sk-SK"/>
                </w:rPr>
                <w:delText>Roche Slovensko, s.r.o.</w:delText>
              </w:r>
            </w:del>
          </w:p>
          <w:p w14:paraId="3A215303" w14:textId="6642CE0F" w:rsidR="003E3A62" w:rsidRPr="00F22672" w:rsidDel="00B14A9D" w:rsidRDefault="003E3A62" w:rsidP="003E3A62">
            <w:pPr>
              <w:rPr>
                <w:del w:id="2690" w:author="AUTHOR"/>
                <w:noProof/>
                <w:lang w:val="pt-PT"/>
              </w:rPr>
            </w:pPr>
            <w:del w:id="2691" w:author="AUTHOR">
              <w:r w:rsidRPr="00F22672" w:rsidDel="00B14A9D">
                <w:rPr>
                  <w:noProof/>
                  <w:lang w:val="pt-PT"/>
                </w:rPr>
                <w:delText>Tel: +421 - 2 52638201</w:delText>
              </w:r>
            </w:del>
          </w:p>
          <w:p w14:paraId="2B7A7C3F" w14:textId="77777777" w:rsidR="003E3A62" w:rsidRPr="00F22672" w:rsidRDefault="003E3A62" w:rsidP="00B14A9D">
            <w:pPr>
              <w:rPr>
                <w:b/>
                <w:noProof/>
                <w:lang w:val="pt-PT"/>
              </w:rPr>
            </w:pPr>
          </w:p>
        </w:tc>
      </w:tr>
      <w:tr w:rsidR="003E3A62" w:rsidRPr="001335A4" w14:paraId="23079766" w14:textId="77777777" w:rsidTr="00467FFD">
        <w:trPr>
          <w:cantSplit/>
          <w:trPrChange w:id="2692" w:author="AUTHOR">
            <w:trPr>
              <w:gridAfter w:val="0"/>
              <w:cantSplit/>
            </w:trPr>
          </w:trPrChange>
        </w:trPr>
        <w:tc>
          <w:tcPr>
            <w:tcW w:w="4590" w:type="dxa"/>
            <w:tcPrChange w:id="2693" w:author="AUTHOR">
              <w:tcPr>
                <w:tcW w:w="4590" w:type="dxa"/>
                <w:gridSpan w:val="2"/>
              </w:tcPr>
            </w:tcPrChange>
          </w:tcPr>
          <w:p w14:paraId="55AA329B" w14:textId="77777777" w:rsidR="003E3A62" w:rsidRPr="00F22672" w:rsidRDefault="003E3A62" w:rsidP="003E3A62">
            <w:pPr>
              <w:rPr>
                <w:noProof/>
                <w:lang w:val="it-IT"/>
              </w:rPr>
            </w:pPr>
            <w:r w:rsidRPr="00F22672">
              <w:rPr>
                <w:b/>
                <w:noProof/>
                <w:lang w:val="it-IT"/>
              </w:rPr>
              <w:t>Italia</w:t>
            </w:r>
          </w:p>
          <w:p w14:paraId="7D6435C1" w14:textId="77777777" w:rsidR="003E3A62" w:rsidRPr="00F22672" w:rsidRDefault="003E3A62" w:rsidP="003E3A62">
            <w:pPr>
              <w:rPr>
                <w:noProof/>
                <w:lang w:val="it-IT"/>
              </w:rPr>
            </w:pPr>
            <w:r w:rsidRPr="00F22672">
              <w:rPr>
                <w:noProof/>
                <w:lang w:val="it-IT"/>
              </w:rPr>
              <w:t>Roche S.p.A.</w:t>
            </w:r>
          </w:p>
          <w:p w14:paraId="086F17F7" w14:textId="77777777" w:rsidR="003E3A62" w:rsidRPr="00F22672" w:rsidRDefault="003E3A62" w:rsidP="003E3A62">
            <w:pPr>
              <w:rPr>
                <w:b/>
                <w:noProof/>
                <w:lang w:val="de-CH"/>
              </w:rPr>
            </w:pPr>
            <w:r w:rsidRPr="00F22672">
              <w:rPr>
                <w:noProof/>
                <w:lang w:val="de-CH"/>
              </w:rPr>
              <w:t>Tel: +39 - 039 2471</w:t>
            </w:r>
          </w:p>
        </w:tc>
        <w:tc>
          <w:tcPr>
            <w:tcW w:w="4590" w:type="dxa"/>
            <w:tcPrChange w:id="2694" w:author="AUTHOR">
              <w:tcPr>
                <w:tcW w:w="4590" w:type="dxa"/>
                <w:gridSpan w:val="2"/>
              </w:tcPr>
            </w:tcPrChange>
          </w:tcPr>
          <w:p w14:paraId="57BFD1CF" w14:textId="77777777" w:rsidR="00B14A9D" w:rsidRPr="00B14A9D" w:rsidRDefault="00B14A9D" w:rsidP="00B14A9D">
            <w:pPr>
              <w:rPr>
                <w:ins w:id="2695" w:author="AUTHOR"/>
                <w:noProof/>
                <w:szCs w:val="22"/>
                <w:lang w:val="en-GB"/>
              </w:rPr>
            </w:pPr>
            <w:ins w:id="2696" w:author="AUTHOR">
              <w:r w:rsidRPr="00B14A9D">
                <w:rPr>
                  <w:b/>
                  <w:noProof/>
                  <w:szCs w:val="22"/>
                  <w:lang w:val="en-GB"/>
                </w:rPr>
                <w:t>Sverige</w:t>
              </w:r>
            </w:ins>
          </w:p>
          <w:p w14:paraId="74E0DF4B" w14:textId="77777777" w:rsidR="00B14A9D" w:rsidRPr="00B14A9D" w:rsidRDefault="00B14A9D" w:rsidP="00B14A9D">
            <w:pPr>
              <w:rPr>
                <w:ins w:id="2697" w:author="AUTHOR"/>
                <w:noProof/>
                <w:szCs w:val="22"/>
                <w:lang w:val="en-GB"/>
              </w:rPr>
            </w:pPr>
            <w:ins w:id="2698" w:author="AUTHOR">
              <w:r w:rsidRPr="00B14A9D">
                <w:rPr>
                  <w:noProof/>
                  <w:szCs w:val="22"/>
                  <w:lang w:val="en-GB"/>
                </w:rPr>
                <w:t>Roche AB</w:t>
              </w:r>
            </w:ins>
          </w:p>
          <w:p w14:paraId="71E32C11" w14:textId="77777777" w:rsidR="00B14A9D" w:rsidRPr="00B14A9D" w:rsidRDefault="00B14A9D" w:rsidP="00B14A9D">
            <w:pPr>
              <w:suppressAutoHyphens/>
              <w:rPr>
                <w:ins w:id="2699" w:author="AUTHOR"/>
                <w:noProof/>
                <w:szCs w:val="22"/>
                <w:lang w:val="en-GB"/>
              </w:rPr>
            </w:pPr>
            <w:ins w:id="2700" w:author="AUTHOR">
              <w:r w:rsidRPr="00B14A9D">
                <w:rPr>
                  <w:noProof/>
                  <w:szCs w:val="22"/>
                  <w:lang w:val="en-GB"/>
                </w:rPr>
                <w:t>Tel: +46 (0) 8 726 1200</w:t>
              </w:r>
            </w:ins>
          </w:p>
          <w:p w14:paraId="28F7131B" w14:textId="202886AD" w:rsidR="003E3A62" w:rsidRPr="00F22672" w:rsidDel="00B14A9D" w:rsidRDefault="003E3A62" w:rsidP="003E3A62">
            <w:pPr>
              <w:rPr>
                <w:del w:id="2701" w:author="AUTHOR"/>
                <w:b/>
                <w:noProof/>
                <w:lang w:val="de-CH"/>
              </w:rPr>
            </w:pPr>
            <w:del w:id="2702" w:author="AUTHOR">
              <w:r w:rsidRPr="00F22672" w:rsidDel="00B14A9D">
                <w:rPr>
                  <w:b/>
                  <w:noProof/>
                  <w:lang w:val="de-CH"/>
                </w:rPr>
                <w:delText>Suomi/Finland</w:delText>
              </w:r>
            </w:del>
          </w:p>
          <w:p w14:paraId="29A4CB60" w14:textId="4B8169CD" w:rsidR="003E3A62" w:rsidRPr="00F22672" w:rsidDel="00B14A9D" w:rsidRDefault="003E3A62" w:rsidP="003E3A62">
            <w:pPr>
              <w:rPr>
                <w:del w:id="2703" w:author="AUTHOR"/>
                <w:noProof/>
                <w:snapToGrid w:val="0"/>
                <w:lang w:val="de-CH"/>
              </w:rPr>
            </w:pPr>
            <w:del w:id="2704" w:author="AUTHOR">
              <w:r w:rsidRPr="00F22672" w:rsidDel="00B14A9D">
                <w:rPr>
                  <w:noProof/>
                  <w:lang w:val="de-CH"/>
                </w:rPr>
                <w:delText>Roche Oy</w:delText>
              </w:r>
              <w:r w:rsidRPr="00F22672" w:rsidDel="00B14A9D">
                <w:rPr>
                  <w:noProof/>
                  <w:snapToGrid w:val="0"/>
                  <w:lang w:val="de-CH"/>
                </w:rPr>
                <w:delText xml:space="preserve"> </w:delText>
              </w:r>
            </w:del>
          </w:p>
          <w:p w14:paraId="321AF02D" w14:textId="6B16DD44" w:rsidR="003E3A62" w:rsidRPr="00F22672" w:rsidDel="00B14A9D" w:rsidRDefault="003E3A62" w:rsidP="003E3A62">
            <w:pPr>
              <w:rPr>
                <w:del w:id="2705" w:author="AUTHOR"/>
                <w:noProof/>
                <w:lang w:val="de-CH"/>
              </w:rPr>
            </w:pPr>
            <w:del w:id="2706" w:author="AUTHOR">
              <w:r w:rsidRPr="00F22672" w:rsidDel="00B14A9D">
                <w:rPr>
                  <w:noProof/>
                  <w:lang w:val="de-CH"/>
                </w:rPr>
                <w:delText xml:space="preserve">Puh/Tel: +358 (0) </w:delText>
              </w:r>
              <w:r w:rsidRPr="00F22672" w:rsidDel="00B14A9D">
                <w:rPr>
                  <w:noProof/>
                  <w:lang w:val="de-DE"/>
                </w:rPr>
                <w:delText>10 554 500</w:delText>
              </w:r>
            </w:del>
          </w:p>
          <w:p w14:paraId="4E7CC111" w14:textId="77777777" w:rsidR="003E3A62" w:rsidRPr="00F22672" w:rsidRDefault="003E3A62" w:rsidP="00B14A9D">
            <w:pPr>
              <w:rPr>
                <w:noProof/>
                <w:lang w:val="de-CH"/>
              </w:rPr>
            </w:pPr>
          </w:p>
        </w:tc>
      </w:tr>
      <w:tr w:rsidR="003E3A62" w:rsidRPr="00F22672" w:rsidDel="00B14A9D" w14:paraId="74131225" w14:textId="06E6C3F8" w:rsidTr="00467FFD">
        <w:trPr>
          <w:cantSplit/>
          <w:del w:id="2707" w:author="AUTHOR"/>
          <w:trPrChange w:id="2708" w:author="AUTHOR">
            <w:trPr>
              <w:gridAfter w:val="0"/>
              <w:cantSplit/>
            </w:trPr>
          </w:trPrChange>
        </w:trPr>
        <w:tc>
          <w:tcPr>
            <w:tcW w:w="4590" w:type="dxa"/>
            <w:tcPrChange w:id="2709" w:author="AUTHOR">
              <w:tcPr>
                <w:tcW w:w="4590" w:type="dxa"/>
                <w:gridSpan w:val="2"/>
              </w:tcPr>
            </w:tcPrChange>
          </w:tcPr>
          <w:p w14:paraId="7547DEF2" w14:textId="7E597F8C" w:rsidR="003E3A62" w:rsidRPr="00F30AB8" w:rsidDel="00B14A9D" w:rsidRDefault="003E3A62" w:rsidP="003E3A62">
            <w:pPr>
              <w:rPr>
                <w:del w:id="2710" w:author="AUTHOR"/>
                <w:rFonts w:ascii="Arial" w:hAnsi="Arial" w:cs="Arial"/>
                <w:noProof/>
                <w:sz w:val="20"/>
                <w:lang w:eastAsia="en-US"/>
              </w:rPr>
            </w:pPr>
            <w:del w:id="2711" w:author="AUTHOR">
              <w:r w:rsidRPr="00F30AB8" w:rsidDel="00B14A9D">
                <w:rPr>
                  <w:b/>
                  <w:noProof/>
                </w:rPr>
                <w:delText>K</w:delText>
              </w:r>
              <w:r w:rsidRPr="00F22672" w:rsidDel="00B14A9D">
                <w:rPr>
                  <w:b/>
                  <w:noProof/>
                  <w:lang w:val="el-GR"/>
                </w:rPr>
                <w:delText>ύπρος</w:delText>
              </w:r>
              <w:r w:rsidRPr="00F30AB8" w:rsidDel="00B14A9D">
                <w:rPr>
                  <w:rFonts w:ascii="Arial" w:hAnsi="Arial" w:cs="Arial"/>
                  <w:noProof/>
                  <w:sz w:val="20"/>
                  <w:lang w:eastAsia="en-US"/>
                </w:rPr>
                <w:delText xml:space="preserve"> </w:delText>
              </w:r>
            </w:del>
          </w:p>
          <w:p w14:paraId="6140E146" w14:textId="095AE171" w:rsidR="0069055D" w:rsidRPr="00F30AB8" w:rsidDel="00B14A9D" w:rsidRDefault="0069055D" w:rsidP="0069055D">
            <w:pPr>
              <w:rPr>
                <w:del w:id="2712" w:author="AUTHOR"/>
                <w:noProof/>
              </w:rPr>
            </w:pPr>
            <w:del w:id="2713" w:author="AUTHOR">
              <w:r w:rsidRPr="00F30AB8" w:rsidDel="00B14A9D">
                <w:rPr>
                  <w:noProof/>
                </w:rPr>
                <w:delText>Roche (Hellas) A.E.</w:delText>
              </w:r>
            </w:del>
          </w:p>
          <w:p w14:paraId="3B2CB027" w14:textId="2CAA55B9" w:rsidR="003E3A62" w:rsidRPr="00F22672" w:rsidDel="00B14A9D" w:rsidRDefault="0069055D" w:rsidP="0069055D">
            <w:pPr>
              <w:rPr>
                <w:del w:id="2714" w:author="AUTHOR"/>
                <w:noProof/>
              </w:rPr>
            </w:pPr>
            <w:del w:id="2715" w:author="AUTHOR">
              <w:r w:rsidRPr="0069055D" w:rsidDel="00B14A9D">
                <w:rPr>
                  <w:noProof/>
                  <w:lang w:val="el-GR"/>
                </w:rPr>
                <w:delText>Τηλ: +30 210 61 66 100</w:delText>
              </w:r>
            </w:del>
          </w:p>
        </w:tc>
        <w:tc>
          <w:tcPr>
            <w:tcW w:w="4590" w:type="dxa"/>
            <w:tcPrChange w:id="2716" w:author="AUTHOR">
              <w:tcPr>
                <w:tcW w:w="4590" w:type="dxa"/>
                <w:gridSpan w:val="2"/>
              </w:tcPr>
            </w:tcPrChange>
          </w:tcPr>
          <w:p w14:paraId="3C6E8DDA" w14:textId="38A669DD" w:rsidR="003E3A62" w:rsidRPr="00F22672" w:rsidDel="00B14A9D" w:rsidRDefault="003E3A62" w:rsidP="003E3A62">
            <w:pPr>
              <w:rPr>
                <w:del w:id="2717" w:author="AUTHOR"/>
                <w:noProof/>
                <w:lang w:val="en-GB"/>
              </w:rPr>
            </w:pPr>
            <w:del w:id="2718" w:author="AUTHOR">
              <w:r w:rsidRPr="00F22672" w:rsidDel="00B14A9D">
                <w:rPr>
                  <w:b/>
                  <w:noProof/>
                  <w:lang w:val="en-GB"/>
                </w:rPr>
                <w:delText>Sverige</w:delText>
              </w:r>
            </w:del>
          </w:p>
          <w:p w14:paraId="7844BB2F" w14:textId="7B2F6161" w:rsidR="003E3A62" w:rsidRPr="00F22672" w:rsidDel="00B14A9D" w:rsidRDefault="003E3A62" w:rsidP="003E3A62">
            <w:pPr>
              <w:rPr>
                <w:del w:id="2719" w:author="AUTHOR"/>
                <w:noProof/>
                <w:lang w:val="en-GB"/>
              </w:rPr>
            </w:pPr>
            <w:del w:id="2720" w:author="AUTHOR">
              <w:r w:rsidRPr="00F22672" w:rsidDel="00B14A9D">
                <w:rPr>
                  <w:noProof/>
                  <w:lang w:val="en-GB"/>
                </w:rPr>
                <w:delText>Roche AB</w:delText>
              </w:r>
            </w:del>
          </w:p>
          <w:p w14:paraId="7FCDF5DA" w14:textId="1BBAB502" w:rsidR="003E3A62" w:rsidRPr="00F22672" w:rsidDel="00B14A9D" w:rsidRDefault="003E3A62" w:rsidP="003E3A62">
            <w:pPr>
              <w:suppressAutoHyphens/>
              <w:rPr>
                <w:del w:id="2721" w:author="AUTHOR"/>
                <w:noProof/>
                <w:lang w:val="en-GB"/>
              </w:rPr>
            </w:pPr>
            <w:del w:id="2722" w:author="AUTHOR">
              <w:r w:rsidRPr="00F22672" w:rsidDel="00B14A9D">
                <w:rPr>
                  <w:noProof/>
                  <w:lang w:val="en-GB"/>
                </w:rPr>
                <w:delText>Tel: +46 (0) 8 726 1200</w:delText>
              </w:r>
            </w:del>
          </w:p>
          <w:p w14:paraId="1B5DAF19" w14:textId="64BECDB7" w:rsidR="003E3A62" w:rsidRPr="00F22672" w:rsidDel="00B14A9D" w:rsidRDefault="003E3A62" w:rsidP="003E3A62">
            <w:pPr>
              <w:rPr>
                <w:del w:id="2723" w:author="AUTHOR"/>
                <w:noProof/>
              </w:rPr>
            </w:pPr>
          </w:p>
        </w:tc>
      </w:tr>
      <w:tr w:rsidR="003E3A62" w:rsidRPr="000C7D20" w:rsidDel="00B14A9D" w14:paraId="72BDE71A" w14:textId="35A3F531" w:rsidTr="00467FFD">
        <w:trPr>
          <w:cantSplit/>
          <w:del w:id="2724" w:author="AUTHOR"/>
          <w:trPrChange w:id="2725" w:author="AUTHOR">
            <w:trPr>
              <w:gridAfter w:val="0"/>
              <w:cantSplit/>
            </w:trPr>
          </w:trPrChange>
        </w:trPr>
        <w:tc>
          <w:tcPr>
            <w:tcW w:w="4590" w:type="dxa"/>
            <w:tcPrChange w:id="2726" w:author="AUTHOR">
              <w:tcPr>
                <w:tcW w:w="4590" w:type="dxa"/>
                <w:gridSpan w:val="2"/>
              </w:tcPr>
            </w:tcPrChange>
          </w:tcPr>
          <w:p w14:paraId="1AABFAE6" w14:textId="297BF37B" w:rsidR="003E3A62" w:rsidRPr="00F22672" w:rsidDel="00B14A9D" w:rsidRDefault="003E3A62" w:rsidP="003E3A62">
            <w:pPr>
              <w:rPr>
                <w:del w:id="2727" w:author="AUTHOR"/>
                <w:b/>
                <w:noProof/>
                <w:lang w:val="it-IT"/>
              </w:rPr>
            </w:pPr>
            <w:del w:id="2728" w:author="AUTHOR">
              <w:r w:rsidRPr="00F22672" w:rsidDel="00B14A9D">
                <w:rPr>
                  <w:b/>
                  <w:noProof/>
                  <w:lang w:val="it-IT"/>
                </w:rPr>
                <w:delText>Latvija</w:delText>
              </w:r>
            </w:del>
          </w:p>
          <w:p w14:paraId="52C4FAEE" w14:textId="77E4A785" w:rsidR="003E3A62" w:rsidRPr="00F22672" w:rsidDel="00B14A9D" w:rsidRDefault="003E3A62" w:rsidP="003E3A62">
            <w:pPr>
              <w:rPr>
                <w:del w:id="2729" w:author="AUTHOR"/>
                <w:noProof/>
                <w:lang w:val="it-IT"/>
              </w:rPr>
            </w:pPr>
            <w:del w:id="2730" w:author="AUTHOR">
              <w:r w:rsidRPr="00F22672" w:rsidDel="00B14A9D">
                <w:rPr>
                  <w:bCs/>
                  <w:noProof/>
                  <w:lang w:val="lv-LV"/>
                </w:rPr>
                <w:delText>Roche Latvija SIA</w:delText>
              </w:r>
            </w:del>
          </w:p>
          <w:p w14:paraId="69DB7132" w14:textId="606EE0D4" w:rsidR="003E3A62" w:rsidRPr="00F22672" w:rsidDel="00B14A9D" w:rsidRDefault="003E3A62" w:rsidP="003E3A62">
            <w:pPr>
              <w:rPr>
                <w:del w:id="2731" w:author="AUTHOR"/>
                <w:noProof/>
                <w:lang w:val="it-IT"/>
              </w:rPr>
            </w:pPr>
            <w:del w:id="2732" w:author="AUTHOR">
              <w:r w:rsidRPr="00F22672" w:rsidDel="00B14A9D">
                <w:rPr>
                  <w:noProof/>
                  <w:lang w:val="it-IT"/>
                </w:rPr>
                <w:delText>Tel: +371 - 6 7039831</w:delText>
              </w:r>
            </w:del>
          </w:p>
          <w:p w14:paraId="22928B38" w14:textId="18B40E5E" w:rsidR="003E3A62" w:rsidRPr="00F22672" w:rsidDel="00B14A9D" w:rsidRDefault="003E3A62" w:rsidP="003E3A62">
            <w:pPr>
              <w:rPr>
                <w:del w:id="2733" w:author="AUTHOR"/>
                <w:b/>
                <w:noProof/>
                <w:lang w:val="it-IT"/>
              </w:rPr>
            </w:pPr>
          </w:p>
        </w:tc>
        <w:tc>
          <w:tcPr>
            <w:tcW w:w="4590" w:type="dxa"/>
            <w:tcPrChange w:id="2734" w:author="AUTHOR">
              <w:tcPr>
                <w:tcW w:w="4590" w:type="dxa"/>
                <w:gridSpan w:val="2"/>
              </w:tcPr>
            </w:tcPrChange>
          </w:tcPr>
          <w:p w14:paraId="2D8C1993" w14:textId="4E97EE76" w:rsidR="003E3A62" w:rsidRPr="00F30AB8" w:rsidDel="00B14A9D" w:rsidRDefault="003E3A62">
            <w:pPr>
              <w:rPr>
                <w:del w:id="2735" w:author="AUTHOR"/>
                <w:noProof/>
                <w:lang w:val="es-ES"/>
              </w:rPr>
            </w:pPr>
          </w:p>
        </w:tc>
      </w:tr>
      <w:tr w:rsidR="003E3A62" w:rsidRPr="000C7D20" w:rsidDel="00B14A9D" w14:paraId="3F2631ED" w14:textId="49B1D389" w:rsidTr="00467FFD">
        <w:trPr>
          <w:cantSplit/>
          <w:del w:id="2736" w:author="AUTHOR"/>
          <w:trPrChange w:id="2737" w:author="AUTHOR">
            <w:trPr>
              <w:gridAfter w:val="0"/>
              <w:cantSplit/>
            </w:trPr>
          </w:trPrChange>
        </w:trPr>
        <w:tc>
          <w:tcPr>
            <w:tcW w:w="4590" w:type="dxa"/>
            <w:tcPrChange w:id="2738" w:author="AUTHOR">
              <w:tcPr>
                <w:tcW w:w="4590" w:type="dxa"/>
                <w:gridSpan w:val="2"/>
              </w:tcPr>
            </w:tcPrChange>
          </w:tcPr>
          <w:p w14:paraId="7A57D451" w14:textId="6E0227D9" w:rsidR="003E3A62" w:rsidRPr="00F22672" w:rsidDel="00B14A9D" w:rsidRDefault="003E3A62" w:rsidP="006868F5">
            <w:pPr>
              <w:suppressAutoHyphens/>
              <w:rPr>
                <w:del w:id="2739" w:author="AUTHOR"/>
                <w:noProof/>
                <w:lang w:val="fi-FI"/>
              </w:rPr>
            </w:pPr>
          </w:p>
        </w:tc>
        <w:tc>
          <w:tcPr>
            <w:tcW w:w="4590" w:type="dxa"/>
            <w:tcPrChange w:id="2740" w:author="AUTHOR">
              <w:tcPr>
                <w:tcW w:w="4590" w:type="dxa"/>
                <w:gridSpan w:val="2"/>
              </w:tcPr>
            </w:tcPrChange>
          </w:tcPr>
          <w:p w14:paraId="16791BA4" w14:textId="63BFA1DF" w:rsidR="003E3A62" w:rsidRPr="00F22672" w:rsidDel="00B14A9D" w:rsidRDefault="003E3A62" w:rsidP="003E3A62">
            <w:pPr>
              <w:suppressAutoHyphens/>
              <w:rPr>
                <w:del w:id="2741" w:author="AUTHOR"/>
                <w:noProof/>
                <w:lang w:val="fi-FI"/>
              </w:rPr>
            </w:pPr>
          </w:p>
        </w:tc>
      </w:tr>
    </w:tbl>
    <w:p w14:paraId="375638A6" w14:textId="77777777" w:rsidR="003E3A62" w:rsidRPr="00F22672" w:rsidRDefault="003E3A62" w:rsidP="003E3A62">
      <w:pPr>
        <w:ind w:right="-449"/>
        <w:rPr>
          <w:lang w:val="fi-FI"/>
        </w:rPr>
      </w:pPr>
    </w:p>
    <w:p w14:paraId="01C81332" w14:textId="77777777" w:rsidR="003E3A62" w:rsidRPr="00F22672" w:rsidRDefault="003E3A62" w:rsidP="003E3A62">
      <w:pPr>
        <w:keepNext/>
        <w:keepLines/>
        <w:ind w:right="-448"/>
        <w:rPr>
          <w:b/>
          <w:bCs/>
          <w:lang w:val="es-ES"/>
        </w:rPr>
      </w:pPr>
      <w:r w:rsidRPr="00F22672">
        <w:rPr>
          <w:b/>
          <w:bCs/>
          <w:lang w:val="es-ES_tradnl"/>
        </w:rPr>
        <w:t xml:space="preserve">Fecha de la última revisión de este prospecto </w:t>
      </w:r>
    </w:p>
    <w:p w14:paraId="7395254D" w14:textId="77777777" w:rsidR="003E3A62" w:rsidRPr="00F22672" w:rsidRDefault="003E3A62" w:rsidP="003E3A62">
      <w:pPr>
        <w:ind w:right="-449"/>
        <w:rPr>
          <w:b/>
          <w:bCs/>
          <w:lang w:val="es-ES_tradnl"/>
        </w:rPr>
      </w:pPr>
    </w:p>
    <w:p w14:paraId="3BC4E766" w14:textId="77777777" w:rsidR="003E3A62" w:rsidRPr="00F22672" w:rsidRDefault="003E3A62" w:rsidP="003E3A62">
      <w:pPr>
        <w:ind w:right="-449"/>
        <w:rPr>
          <w:b/>
          <w:bCs/>
          <w:lang w:val="es-ES_tradnl"/>
        </w:rPr>
      </w:pPr>
      <w:r w:rsidRPr="00091E13">
        <w:rPr>
          <w:b/>
          <w:bCs/>
          <w:lang w:val="es-ES_tradnl"/>
        </w:rPr>
        <w:t>Otras fuentes de información</w:t>
      </w:r>
    </w:p>
    <w:p w14:paraId="0BEDF82B" w14:textId="07ED4ADD" w:rsidR="0069790B" w:rsidRPr="00F22672" w:rsidRDefault="003E3A62" w:rsidP="0069790B">
      <w:pPr>
        <w:ind w:right="-449"/>
        <w:rPr>
          <w:bCs/>
          <w:lang w:val="es-ES_tradnl"/>
        </w:rPr>
      </w:pPr>
      <w:r w:rsidRPr="00F22672">
        <w:rPr>
          <w:bCs/>
          <w:lang w:val="es-ES_tradnl"/>
        </w:rPr>
        <w:t>La información detallada de este medicamento está disponible en la página web de la Agencia Europea de Medicamentos</w:t>
      </w:r>
      <w:r w:rsidR="0069055D" w:rsidRPr="00F30AB8">
        <w:rPr>
          <w:lang w:val="es-ES"/>
        </w:rPr>
        <w:t xml:space="preserve"> </w:t>
      </w:r>
      <w:r w:rsidR="0069055D">
        <w:fldChar w:fldCharType="begin"/>
      </w:r>
      <w:r w:rsidR="0069055D" w:rsidRPr="00467FFD">
        <w:rPr>
          <w:lang w:val="es-ES"/>
          <w:rPrChange w:id="2742" w:author="AUTHOR">
            <w:rPr/>
          </w:rPrChange>
        </w:rPr>
        <w:instrText>HYPERLINK "https://www.ema.europa.eu"</w:instrText>
      </w:r>
      <w:r w:rsidR="0069055D">
        <w:fldChar w:fldCharType="separate"/>
      </w:r>
      <w:r w:rsidR="0069055D" w:rsidRPr="0064496D">
        <w:rPr>
          <w:rStyle w:val="Hyperlink"/>
          <w:bCs/>
          <w:lang w:val="es-ES_tradnl"/>
        </w:rPr>
        <w:t>https://www.ema.europa.eu</w:t>
      </w:r>
      <w:r w:rsidR="0069055D">
        <w:fldChar w:fldCharType="end"/>
      </w:r>
      <w:r w:rsidRPr="00F22672">
        <w:rPr>
          <w:bCs/>
          <w:lang w:val="es-ES_tradnl"/>
        </w:rPr>
        <w:t>.</w:t>
      </w:r>
      <w:r w:rsidRPr="00F22672">
        <w:rPr>
          <w:lang w:val="es-ES_tradnl"/>
        </w:rPr>
        <w:t xml:space="preserve"> </w:t>
      </w:r>
    </w:p>
    <w:p w14:paraId="4356415E" w14:textId="77777777" w:rsidR="009871EE" w:rsidRPr="00F22672" w:rsidRDefault="009871EE" w:rsidP="003E3A62">
      <w:pPr>
        <w:rPr>
          <w:lang w:val="es-ES_tradnl"/>
        </w:rPr>
      </w:pPr>
    </w:p>
    <w:p w14:paraId="5F169261" w14:textId="77777777" w:rsidR="00D429E9" w:rsidRPr="00F22672" w:rsidRDefault="00D429E9" w:rsidP="00D75946">
      <w:pPr>
        <w:keepNext/>
        <w:keepLines/>
        <w:rPr>
          <w:b/>
          <w:color w:val="231F20"/>
          <w:lang w:val="es-ES"/>
        </w:rPr>
      </w:pPr>
      <w:r w:rsidRPr="00F22672">
        <w:rPr>
          <w:bCs/>
          <w:lang w:val="es-ES_tradnl"/>
        </w:rPr>
        <w:br w:type="page"/>
      </w:r>
      <w:r w:rsidRPr="00467FFD">
        <w:rPr>
          <w:b/>
          <w:szCs w:val="22"/>
          <w:lang w:val="es-ES"/>
          <w:rPrChange w:id="2743" w:author="AUTHOR">
            <w:rPr>
              <w:b/>
              <w:sz w:val="24"/>
              <w:szCs w:val="24"/>
              <w:lang w:val="es-ES"/>
            </w:rPr>
          </w:rPrChange>
        </w:rPr>
        <w:lastRenderedPageBreak/>
        <w:t>¿Qué necesit</w:t>
      </w:r>
      <w:r w:rsidR="003125D7" w:rsidRPr="00467FFD">
        <w:rPr>
          <w:b/>
          <w:szCs w:val="22"/>
          <w:lang w:val="es-ES"/>
          <w:rPrChange w:id="2744" w:author="AUTHOR">
            <w:rPr>
              <w:b/>
              <w:sz w:val="24"/>
              <w:szCs w:val="24"/>
              <w:lang w:val="es-ES"/>
            </w:rPr>
          </w:rPrChange>
        </w:rPr>
        <w:t>o</w:t>
      </w:r>
      <w:r w:rsidRPr="00467FFD">
        <w:rPr>
          <w:b/>
          <w:szCs w:val="22"/>
          <w:lang w:val="es-ES"/>
          <w:rPrChange w:id="2745" w:author="AUTHOR">
            <w:rPr>
              <w:b/>
              <w:sz w:val="24"/>
              <w:szCs w:val="24"/>
              <w:lang w:val="es-ES"/>
            </w:rPr>
          </w:rPrChange>
        </w:rPr>
        <w:t xml:space="preserve"> saber para utilizar de forma segura mi jeringa precargada de </w:t>
      </w:r>
      <w:r w:rsidR="00DF2160" w:rsidRPr="00467FFD">
        <w:rPr>
          <w:b/>
          <w:szCs w:val="22"/>
          <w:lang w:val="es-ES"/>
          <w:rPrChange w:id="2746" w:author="AUTHOR">
            <w:rPr>
              <w:b/>
              <w:sz w:val="24"/>
              <w:szCs w:val="24"/>
              <w:lang w:val="es-ES"/>
            </w:rPr>
          </w:rPrChange>
        </w:rPr>
        <w:t>RoActemra</w:t>
      </w:r>
      <w:r w:rsidRPr="00467FFD">
        <w:rPr>
          <w:b/>
          <w:szCs w:val="22"/>
          <w:lang w:val="es-ES"/>
          <w:rPrChange w:id="2747" w:author="AUTHOR">
            <w:rPr>
              <w:b/>
              <w:sz w:val="24"/>
              <w:szCs w:val="24"/>
              <w:lang w:val="es-ES"/>
            </w:rPr>
          </w:rPrChange>
        </w:rPr>
        <w:t>?</w:t>
      </w:r>
    </w:p>
    <w:p w14:paraId="7FFA8E44" w14:textId="77777777" w:rsidR="00D429E9" w:rsidRPr="00F22672" w:rsidRDefault="00D429E9" w:rsidP="00D429E9">
      <w:pPr>
        <w:rPr>
          <w:lang w:val="es-ES"/>
        </w:rPr>
      </w:pPr>
    </w:p>
    <w:p w14:paraId="4A30D0A5" w14:textId="77777777" w:rsidR="00B028E1" w:rsidRPr="00F22672" w:rsidRDefault="00B028E1" w:rsidP="00B028E1">
      <w:pPr>
        <w:rPr>
          <w:lang w:val="es-ES"/>
        </w:rPr>
      </w:pPr>
      <w:r w:rsidRPr="00F22672">
        <w:rPr>
          <w:lang w:val="es-ES"/>
        </w:rPr>
        <w:t xml:space="preserve">Es importante leer, entender y seguir las instrucciones para que usted o su cuidador utilice la jeringa de </w:t>
      </w:r>
      <w:r w:rsidR="00DF2160" w:rsidRPr="006868F5">
        <w:rPr>
          <w:rFonts w:eastAsia="SimSun"/>
          <w:szCs w:val="22"/>
          <w:lang w:val="es-ES" w:eastAsia="zh-CN" w:bidi="th-TH"/>
        </w:rPr>
        <w:t>RoActemra</w:t>
      </w:r>
      <w:r w:rsidRPr="00F22672">
        <w:rPr>
          <w:lang w:val="es-ES"/>
        </w:rPr>
        <w:t xml:space="preserve"> correctamente. Estas instrucciones no reemplazan la </w:t>
      </w:r>
      <w:del w:id="2748" w:author="AUTHOR">
        <w:r w:rsidRPr="00F22672" w:rsidDel="00806EEE">
          <w:rPr>
            <w:lang w:val="es-ES"/>
          </w:rPr>
          <w:delText>in</w:delText>
        </w:r>
      </w:del>
      <w:r w:rsidRPr="00F22672">
        <w:rPr>
          <w:lang w:val="es-ES"/>
        </w:rPr>
        <w:t>formación que debe darle su profesional sanitario.</w:t>
      </w:r>
      <w:r w:rsidR="0077150F">
        <w:rPr>
          <w:lang w:val="es-ES"/>
        </w:rPr>
        <w:t xml:space="preserve"> </w:t>
      </w:r>
      <w:r w:rsidRPr="00F22672">
        <w:rPr>
          <w:lang w:val="es-ES"/>
        </w:rPr>
        <w:t xml:space="preserve">Su profesional sanitario le mostrará cómo preparar e inyectar adecuadamente, antes de que utilice la jeringa de </w:t>
      </w:r>
      <w:r w:rsidR="006B4435" w:rsidRPr="006868F5">
        <w:rPr>
          <w:rFonts w:eastAsia="SimSun"/>
          <w:szCs w:val="22"/>
          <w:lang w:val="es-ES" w:eastAsia="zh-CN" w:bidi="th-TH"/>
        </w:rPr>
        <w:t>RoActemra</w:t>
      </w:r>
      <w:r w:rsidRPr="00F22672">
        <w:rPr>
          <w:lang w:val="es-ES"/>
        </w:rPr>
        <w:t xml:space="preserve"> por primera vez. </w:t>
      </w:r>
      <w:r w:rsidR="008A1EFB" w:rsidRPr="00F22672">
        <w:rPr>
          <w:lang w:val="es-ES"/>
        </w:rPr>
        <w:t xml:space="preserve">Haga </w:t>
      </w:r>
      <w:r w:rsidRPr="00F22672">
        <w:rPr>
          <w:lang w:val="es-ES"/>
        </w:rPr>
        <w:t>a su profesional sanitario cualquier pregunta que pueda tener. No intente administrar una inyección hasta que est</w:t>
      </w:r>
      <w:r w:rsidR="00FB5B46">
        <w:rPr>
          <w:lang w:val="es-ES"/>
        </w:rPr>
        <w:t>é</w:t>
      </w:r>
      <w:r w:rsidRPr="00F22672">
        <w:rPr>
          <w:lang w:val="es-ES"/>
        </w:rPr>
        <w:t xml:space="preserve"> seguro de que entiende cómo utilizar la jeringa de </w:t>
      </w:r>
      <w:r w:rsidR="006B4435" w:rsidRPr="006868F5">
        <w:rPr>
          <w:rFonts w:eastAsia="SimSun"/>
          <w:szCs w:val="22"/>
          <w:lang w:val="es-ES" w:eastAsia="zh-CN" w:bidi="th-TH"/>
        </w:rPr>
        <w:t>RoActemra</w:t>
      </w:r>
      <w:r w:rsidRPr="00F22672">
        <w:rPr>
          <w:lang w:val="es-ES"/>
        </w:rPr>
        <w:t xml:space="preserve">. </w:t>
      </w:r>
    </w:p>
    <w:p w14:paraId="4DC13337" w14:textId="77777777" w:rsidR="00B028E1" w:rsidRPr="00F22672" w:rsidRDefault="00B028E1" w:rsidP="00B028E1">
      <w:pPr>
        <w:rPr>
          <w:lang w:val="es-ES"/>
        </w:rPr>
      </w:pPr>
    </w:p>
    <w:p w14:paraId="07D6A6B1" w14:textId="77777777" w:rsidR="00B028E1" w:rsidRPr="00F22672" w:rsidRDefault="00B028E1" w:rsidP="00B028E1">
      <w:pPr>
        <w:rPr>
          <w:lang w:val="es-ES"/>
        </w:rPr>
      </w:pPr>
      <w:r w:rsidRPr="00F22672">
        <w:rPr>
          <w:lang w:val="es-ES"/>
        </w:rPr>
        <w:t>Por favor, lea también el prospecto para el paciente que se incluy</w:t>
      </w:r>
      <w:r w:rsidR="003125D7" w:rsidRPr="00F22672">
        <w:rPr>
          <w:lang w:val="es-ES"/>
        </w:rPr>
        <w:t xml:space="preserve">e con </w:t>
      </w:r>
      <w:r w:rsidRPr="00F22672">
        <w:rPr>
          <w:lang w:val="es-ES"/>
        </w:rPr>
        <w:t xml:space="preserve">la jeringa de </w:t>
      </w:r>
      <w:r w:rsidR="006B4435" w:rsidRPr="006868F5">
        <w:rPr>
          <w:rFonts w:eastAsia="SimSun"/>
          <w:szCs w:val="22"/>
          <w:lang w:val="es-ES" w:eastAsia="zh-CN" w:bidi="th-TH"/>
        </w:rPr>
        <w:t>RoActemra</w:t>
      </w:r>
      <w:r w:rsidR="008A1EFB" w:rsidRPr="00F22672">
        <w:rPr>
          <w:lang w:val="es-ES"/>
        </w:rPr>
        <w:t>,</w:t>
      </w:r>
      <w:r w:rsidRPr="00F22672">
        <w:rPr>
          <w:lang w:val="es-ES"/>
        </w:rPr>
        <w:t xml:space="preserve"> para obtener la información más importante que necesita saber sobre este medicamento. Es importante que est</w:t>
      </w:r>
      <w:r w:rsidR="00B920FA">
        <w:rPr>
          <w:lang w:val="es-ES"/>
        </w:rPr>
        <w:t>é</w:t>
      </w:r>
      <w:r w:rsidRPr="00F22672">
        <w:rPr>
          <w:lang w:val="es-ES"/>
        </w:rPr>
        <w:t xml:space="preserve"> al cuidado de su profesional sanitario durante el tiempo que est</w:t>
      </w:r>
      <w:r w:rsidR="005C4DF0">
        <w:rPr>
          <w:lang w:val="es-ES"/>
        </w:rPr>
        <w:t>é</w:t>
      </w:r>
      <w:r w:rsidRPr="00F22672">
        <w:rPr>
          <w:lang w:val="es-ES"/>
        </w:rPr>
        <w:t xml:space="preserve"> tratándose con </w:t>
      </w:r>
      <w:r w:rsidR="006B4435" w:rsidRPr="006868F5">
        <w:rPr>
          <w:rFonts w:eastAsia="SimSun"/>
          <w:szCs w:val="22"/>
          <w:lang w:val="es-ES" w:eastAsia="zh-CN" w:bidi="th-TH"/>
        </w:rPr>
        <w:t>RoActemra</w:t>
      </w:r>
      <w:r w:rsidRPr="00F22672">
        <w:rPr>
          <w:lang w:val="es-ES"/>
        </w:rPr>
        <w:t>.</w:t>
      </w:r>
    </w:p>
    <w:p w14:paraId="50C58262" w14:textId="77777777" w:rsidR="00B028E1" w:rsidRPr="00F22672" w:rsidRDefault="00B028E1" w:rsidP="00D429E9">
      <w:pPr>
        <w:rPr>
          <w:lang w:val="es-ES"/>
        </w:rPr>
      </w:pPr>
    </w:p>
    <w:p w14:paraId="4427B847" w14:textId="77777777" w:rsidR="00D429E9" w:rsidRPr="00467FFD" w:rsidRDefault="00D429E9" w:rsidP="00D75946">
      <w:pPr>
        <w:keepNext/>
        <w:keepLines/>
        <w:rPr>
          <w:b/>
          <w:bCs/>
          <w:sz w:val="20"/>
          <w:lang w:val="es-ES_tradnl"/>
          <w:rPrChange w:id="2749" w:author="AUTHOR">
            <w:rPr>
              <w:b/>
              <w:bCs/>
              <w:szCs w:val="22"/>
              <w:lang w:val="es-ES_tradnl"/>
            </w:rPr>
          </w:rPrChange>
        </w:rPr>
      </w:pPr>
      <w:r w:rsidRPr="00467FFD">
        <w:rPr>
          <w:b/>
          <w:szCs w:val="22"/>
          <w:lang w:val="es-ES"/>
          <w:rPrChange w:id="2750" w:author="AUTHOR">
            <w:rPr>
              <w:b/>
              <w:sz w:val="24"/>
              <w:szCs w:val="24"/>
              <w:lang w:val="es-ES"/>
            </w:rPr>
          </w:rPrChange>
        </w:rPr>
        <w:t>Información importante:</w:t>
      </w:r>
    </w:p>
    <w:p w14:paraId="42D54AFE" w14:textId="77777777" w:rsidR="00D429E9" w:rsidRPr="00F22672" w:rsidRDefault="00D429E9" w:rsidP="00D429E9">
      <w:pPr>
        <w:rPr>
          <w:b/>
          <w:lang w:val="es-ES"/>
        </w:rPr>
      </w:pPr>
    </w:p>
    <w:p w14:paraId="0BAACBE4" w14:textId="77777777" w:rsidR="00D429E9" w:rsidRPr="00F22672" w:rsidRDefault="00EF54CB" w:rsidP="00FF2AFA">
      <w:pPr>
        <w:ind w:left="714" w:hanging="357"/>
        <w:rPr>
          <w:lang w:val="es-ES"/>
        </w:rPr>
      </w:pPr>
      <w:r w:rsidRPr="008A106B">
        <w:rPr>
          <w:lang w:val="es-ES"/>
        </w:rPr>
        <w:sym w:font="Symbol" w:char="F0B7"/>
      </w:r>
      <w:r>
        <w:rPr>
          <w:lang w:val="es-ES"/>
        </w:rPr>
        <w:tab/>
      </w:r>
      <w:r w:rsidR="00D429E9" w:rsidRPr="00F22672">
        <w:rPr>
          <w:lang w:val="es-ES"/>
        </w:rPr>
        <w:t>No lo utilice si la jeringa parece dañada.</w:t>
      </w:r>
    </w:p>
    <w:p w14:paraId="325CA699" w14:textId="77777777" w:rsidR="00D429E9" w:rsidRPr="00F22672" w:rsidRDefault="00EF54CB" w:rsidP="00FF2AFA">
      <w:pPr>
        <w:ind w:left="714" w:hanging="357"/>
        <w:rPr>
          <w:lang w:val="es-ES"/>
        </w:rPr>
      </w:pPr>
      <w:r w:rsidRPr="008A106B">
        <w:rPr>
          <w:lang w:val="es-ES"/>
        </w:rPr>
        <w:sym w:font="Symbol" w:char="F0B7"/>
      </w:r>
      <w:r>
        <w:rPr>
          <w:lang w:val="es-ES"/>
        </w:rPr>
        <w:tab/>
      </w:r>
      <w:r w:rsidR="00D429E9" w:rsidRPr="00F22672">
        <w:rPr>
          <w:lang w:val="es-ES"/>
        </w:rPr>
        <w:t>No lo utilice si el medicamento est</w:t>
      </w:r>
      <w:r w:rsidR="00FB5B46">
        <w:rPr>
          <w:lang w:val="es-ES"/>
        </w:rPr>
        <w:t>á</w:t>
      </w:r>
      <w:r w:rsidR="00D429E9" w:rsidRPr="00F22672">
        <w:rPr>
          <w:lang w:val="es-ES"/>
        </w:rPr>
        <w:t xml:space="preserve"> turbio,</w:t>
      </w:r>
      <w:r w:rsidR="00B028E1" w:rsidRPr="00F22672">
        <w:rPr>
          <w:lang w:val="es-ES"/>
        </w:rPr>
        <w:t xml:space="preserve"> nebuloso</w:t>
      </w:r>
      <w:r w:rsidR="00D429E9" w:rsidRPr="00F22672">
        <w:rPr>
          <w:lang w:val="es-ES"/>
        </w:rPr>
        <w:t>, descolorido o contiene partículas.</w:t>
      </w:r>
    </w:p>
    <w:p w14:paraId="276FFAF9" w14:textId="77777777" w:rsidR="00D429E9" w:rsidRPr="00F22672" w:rsidRDefault="00EF54CB" w:rsidP="00FF2AFA">
      <w:pPr>
        <w:ind w:left="714" w:hanging="357"/>
        <w:rPr>
          <w:lang w:val="es-ES"/>
        </w:rPr>
      </w:pPr>
      <w:r w:rsidRPr="008A106B">
        <w:rPr>
          <w:lang w:val="es-ES"/>
        </w:rPr>
        <w:sym w:font="Symbol" w:char="F0B7"/>
      </w:r>
      <w:r>
        <w:rPr>
          <w:lang w:val="es-ES"/>
        </w:rPr>
        <w:tab/>
      </w:r>
      <w:r w:rsidR="00D429E9" w:rsidRPr="00F22672">
        <w:rPr>
          <w:lang w:val="es-ES"/>
        </w:rPr>
        <w:t>No intente desmontar la jeringa en ningún momento.</w:t>
      </w:r>
    </w:p>
    <w:p w14:paraId="0DFBEF90" w14:textId="77777777" w:rsidR="00D429E9" w:rsidRPr="00F22672" w:rsidRDefault="00EF54CB" w:rsidP="00FF2AFA">
      <w:pPr>
        <w:ind w:left="714" w:hanging="357"/>
        <w:rPr>
          <w:lang w:val="es-ES"/>
        </w:rPr>
      </w:pPr>
      <w:r w:rsidRPr="008A106B">
        <w:rPr>
          <w:lang w:val="es-ES"/>
        </w:rPr>
        <w:sym w:font="Symbol" w:char="F0B7"/>
      </w:r>
      <w:r>
        <w:rPr>
          <w:lang w:val="es-ES"/>
        </w:rPr>
        <w:tab/>
      </w:r>
      <w:r w:rsidR="00B028E1" w:rsidRPr="00F22672">
        <w:rPr>
          <w:lang w:val="es-ES"/>
        </w:rPr>
        <w:t xml:space="preserve">No retire </w:t>
      </w:r>
      <w:r w:rsidR="00D429E9" w:rsidRPr="00F22672">
        <w:rPr>
          <w:lang w:val="es-ES"/>
        </w:rPr>
        <w:t>el tapón de la aguja hasta que esté preparado para la inyección.</w:t>
      </w:r>
    </w:p>
    <w:p w14:paraId="15221745" w14:textId="77777777" w:rsidR="00D429E9" w:rsidRPr="00F22672" w:rsidRDefault="00EF54CB" w:rsidP="00FF2AFA">
      <w:pPr>
        <w:ind w:left="714" w:hanging="357"/>
        <w:rPr>
          <w:lang w:val="es-ES"/>
        </w:rPr>
      </w:pPr>
      <w:r w:rsidRPr="008A106B">
        <w:rPr>
          <w:lang w:val="es-ES"/>
        </w:rPr>
        <w:sym w:font="Symbol" w:char="F0B7"/>
      </w:r>
      <w:r>
        <w:rPr>
          <w:lang w:val="es-ES"/>
        </w:rPr>
        <w:tab/>
      </w:r>
      <w:r w:rsidR="00D429E9" w:rsidRPr="00F22672">
        <w:rPr>
          <w:lang w:val="es-ES"/>
        </w:rPr>
        <w:t>No lo inyecte a través de ropa que cubra su piel</w:t>
      </w:r>
      <w:r w:rsidR="008A1EFB" w:rsidRPr="00F22672">
        <w:rPr>
          <w:lang w:val="es-ES"/>
        </w:rPr>
        <w:t>.</w:t>
      </w:r>
    </w:p>
    <w:p w14:paraId="57E36F22" w14:textId="77777777" w:rsidR="00D429E9" w:rsidRPr="00F22672" w:rsidRDefault="00EF54CB" w:rsidP="00FF2AFA">
      <w:pPr>
        <w:ind w:left="714" w:hanging="357"/>
        <w:rPr>
          <w:lang w:val="es-ES"/>
        </w:rPr>
      </w:pPr>
      <w:r w:rsidRPr="008A106B">
        <w:rPr>
          <w:lang w:val="es-ES"/>
        </w:rPr>
        <w:sym w:font="Symbol" w:char="F0B7"/>
      </w:r>
      <w:r>
        <w:rPr>
          <w:lang w:val="es-ES"/>
        </w:rPr>
        <w:tab/>
      </w:r>
      <w:r w:rsidR="00D429E9" w:rsidRPr="00F22672">
        <w:rPr>
          <w:lang w:val="es-ES"/>
        </w:rPr>
        <w:t>Nunca reutilice la misma jeringa</w:t>
      </w:r>
      <w:r w:rsidR="008A1EFB" w:rsidRPr="00F22672">
        <w:rPr>
          <w:lang w:val="es-ES"/>
        </w:rPr>
        <w:t>.</w:t>
      </w:r>
    </w:p>
    <w:p w14:paraId="4B2B469D" w14:textId="77777777" w:rsidR="00D429E9" w:rsidRPr="00F22672" w:rsidRDefault="00EF54CB" w:rsidP="00FF2AFA">
      <w:pPr>
        <w:ind w:left="714" w:hanging="357"/>
        <w:rPr>
          <w:lang w:val="es-ES"/>
        </w:rPr>
      </w:pPr>
      <w:r w:rsidRPr="008A106B">
        <w:rPr>
          <w:lang w:val="es-ES"/>
        </w:rPr>
        <w:sym w:font="Symbol" w:char="F0B7"/>
      </w:r>
      <w:r>
        <w:rPr>
          <w:lang w:val="es-ES"/>
        </w:rPr>
        <w:tab/>
      </w:r>
      <w:r w:rsidR="00D429E9" w:rsidRPr="00F22672">
        <w:rPr>
          <w:lang w:val="es-ES"/>
        </w:rPr>
        <w:t xml:space="preserve">No toque los clips de activación del protector de la </w:t>
      </w:r>
      <w:r w:rsidR="00715724" w:rsidRPr="00F22672">
        <w:rPr>
          <w:lang w:val="es-ES"/>
        </w:rPr>
        <w:t>jeringa</w:t>
      </w:r>
      <w:r w:rsidR="00D429E9" w:rsidRPr="00F22672">
        <w:rPr>
          <w:lang w:val="es-ES"/>
        </w:rPr>
        <w:t xml:space="preserve"> ya que esto puede dañar la jeringa.</w:t>
      </w:r>
    </w:p>
    <w:p w14:paraId="5640D804" w14:textId="77777777" w:rsidR="00D429E9" w:rsidRPr="00F22672" w:rsidRDefault="00D429E9" w:rsidP="00D429E9">
      <w:pPr>
        <w:rPr>
          <w:lang w:val="es-ES"/>
        </w:rPr>
      </w:pPr>
    </w:p>
    <w:p w14:paraId="10ABE946" w14:textId="77777777" w:rsidR="00D429E9" w:rsidRPr="00F22672" w:rsidRDefault="00D429E9" w:rsidP="00D429E9">
      <w:pPr>
        <w:rPr>
          <w:b/>
          <w:lang w:val="es-ES"/>
        </w:rPr>
      </w:pPr>
      <w:r w:rsidRPr="00F22672">
        <w:rPr>
          <w:b/>
          <w:lang w:val="es-ES"/>
        </w:rPr>
        <w:t>Almacenamiento</w:t>
      </w:r>
    </w:p>
    <w:p w14:paraId="2E20D169" w14:textId="77777777" w:rsidR="00D429E9" w:rsidRPr="00F22672" w:rsidRDefault="00D429E9" w:rsidP="00D429E9">
      <w:pPr>
        <w:rPr>
          <w:b/>
          <w:lang w:val="es-ES"/>
        </w:rPr>
      </w:pPr>
    </w:p>
    <w:p w14:paraId="3C0E7EB7" w14:textId="672D8CDB" w:rsidR="00D429E9" w:rsidRPr="00F22672" w:rsidRDefault="00D429E9" w:rsidP="001F7A68">
      <w:pPr>
        <w:rPr>
          <w:lang w:val="es-ES"/>
        </w:rPr>
      </w:pPr>
      <w:r w:rsidRPr="00F22672">
        <w:rPr>
          <w:lang w:val="es-ES"/>
        </w:rPr>
        <w:t xml:space="preserve">Mantenga la jeringa de </w:t>
      </w:r>
      <w:r w:rsidR="006B4435" w:rsidRPr="006868F5">
        <w:rPr>
          <w:rFonts w:eastAsia="SimSun"/>
          <w:szCs w:val="22"/>
          <w:lang w:val="es-ES" w:eastAsia="zh-CN" w:bidi="th-TH"/>
        </w:rPr>
        <w:t>RoActemra</w:t>
      </w:r>
      <w:r w:rsidRPr="00F22672">
        <w:rPr>
          <w:lang w:val="es-ES"/>
        </w:rPr>
        <w:t xml:space="preserve"> y todos los medicamentos fuera de la vista y del alcance de los niños. Guarde siempre la jeringa en la nevera a una temperatura de 2-8 ºC. </w:t>
      </w:r>
      <w:r w:rsidR="00363FFA" w:rsidRPr="00F22672">
        <w:rPr>
          <w:lang w:val="es-ES_tradnl"/>
        </w:rPr>
        <w:t xml:space="preserve">Una vez fuera de la nevera, </w:t>
      </w:r>
      <w:r w:rsidR="00363FFA">
        <w:rPr>
          <w:lang w:val="es-ES_tradnl"/>
        </w:rPr>
        <w:t>la jeringa precargada</w:t>
      </w:r>
      <w:r w:rsidR="00363FFA" w:rsidRPr="00F22672">
        <w:rPr>
          <w:lang w:val="es-ES_tradnl"/>
        </w:rPr>
        <w:t xml:space="preserve"> se </w:t>
      </w:r>
      <w:r w:rsidR="00363FFA">
        <w:rPr>
          <w:lang w:val="es-ES_tradnl"/>
        </w:rPr>
        <w:t>puede</w:t>
      </w:r>
      <w:r w:rsidR="00363FFA" w:rsidRPr="00F22672">
        <w:rPr>
          <w:lang w:val="es-ES_tradnl"/>
        </w:rPr>
        <w:t xml:space="preserve"> a</w:t>
      </w:r>
      <w:r w:rsidR="00363FFA">
        <w:rPr>
          <w:lang w:val="es-ES_tradnl"/>
        </w:rPr>
        <w:t>lmacenar hasta</w:t>
      </w:r>
      <w:r w:rsidR="000A0BD6">
        <w:rPr>
          <w:lang w:val="es-ES_tradnl"/>
        </w:rPr>
        <w:t xml:space="preserve"> un tiempo total de</w:t>
      </w:r>
      <w:r w:rsidR="00363FFA">
        <w:rPr>
          <w:lang w:val="es-ES_tradnl"/>
        </w:rPr>
        <w:t xml:space="preserve"> 2 semanas a temperatura igual o inferior a </w:t>
      </w:r>
      <w:r w:rsidR="00363FFA" w:rsidRPr="00F22672">
        <w:rPr>
          <w:lang w:val="es-ES_tradnl"/>
        </w:rPr>
        <w:t>30ºC</w:t>
      </w:r>
      <w:r w:rsidR="000A0BD6">
        <w:rPr>
          <w:lang w:val="es-ES_tradnl"/>
        </w:rPr>
        <w:t xml:space="preserve">, </w:t>
      </w:r>
      <w:r w:rsidR="000A0BD6" w:rsidRPr="000A0BD6">
        <w:rPr>
          <w:lang w:val="es-ES_tradnl"/>
        </w:rPr>
        <w:t xml:space="preserve">pero sin sobrepasar la </w:t>
      </w:r>
      <w:r w:rsidR="000A0BD6">
        <w:rPr>
          <w:lang w:val="es-ES_tradnl"/>
        </w:rPr>
        <w:t>fecha de caducidad original (EXP</w:t>
      </w:r>
      <w:r w:rsidR="000A0BD6" w:rsidRPr="000A0BD6">
        <w:rPr>
          <w:lang w:val="es-ES_tradnl"/>
        </w:rPr>
        <w:t>). Marque la fecha correspondiente en la caja.</w:t>
      </w:r>
      <w:r w:rsidR="000A0BD6">
        <w:rPr>
          <w:lang w:val="es-ES_tradnl"/>
        </w:rPr>
        <w:t xml:space="preserve"> </w:t>
      </w:r>
      <w:r w:rsidR="00363FFA">
        <w:rPr>
          <w:lang w:val="es-ES_tradnl"/>
        </w:rPr>
        <w:t xml:space="preserve">La jeringa precargada se debe almacenar siempre en el embalaje original. </w:t>
      </w:r>
      <w:r w:rsidRPr="00F22672">
        <w:rPr>
          <w:lang w:val="es-ES"/>
        </w:rPr>
        <w:t>Proteja la jeringa de la congelación y de la luz. Mantenga las jeringas secas.</w:t>
      </w:r>
    </w:p>
    <w:p w14:paraId="131FF698" w14:textId="77777777" w:rsidR="00823CE6" w:rsidRDefault="00823CE6" w:rsidP="00D429E9">
      <w:pPr>
        <w:rPr>
          <w:lang w:val="es-ES"/>
        </w:rPr>
      </w:pPr>
    </w:p>
    <w:p w14:paraId="4C43DCF7" w14:textId="77777777" w:rsidR="00D429E9" w:rsidRPr="00F22672" w:rsidRDefault="00D429E9" w:rsidP="006616E4">
      <w:pPr>
        <w:rPr>
          <w:b/>
          <w:noProof/>
          <w:lang w:val="es-ES_tradnl"/>
        </w:rPr>
      </w:pPr>
      <w:r w:rsidRPr="00F22672">
        <w:rPr>
          <w:b/>
          <w:noProof/>
          <w:lang w:val="es-ES_tradnl"/>
        </w:rPr>
        <w:t>Partes de la jeringa precargada</w:t>
      </w:r>
    </w:p>
    <w:p w14:paraId="6280CEF6" w14:textId="77777777" w:rsidR="00AD6863" w:rsidRPr="00F22672" w:rsidRDefault="00AD6863" w:rsidP="006616E4">
      <w:pPr>
        <w:rPr>
          <w:b/>
          <w:noProof/>
          <w:lang w:val="es-ES_tradnl"/>
        </w:rPr>
      </w:pPr>
    </w:p>
    <w:p w14:paraId="0290AE67" w14:textId="66F95617" w:rsidR="00AD6863" w:rsidRDefault="008D4CEB" w:rsidP="006616E4">
      <w:pPr>
        <w:rPr>
          <w:noProof/>
          <w:lang w:val="es-ES"/>
        </w:rPr>
      </w:pPr>
      <w:r w:rsidRPr="00F22672">
        <w:rPr>
          <w:noProof/>
          <w:lang w:eastAsia="en-US"/>
        </w:rPr>
        <w:drawing>
          <wp:inline distT="0" distB="0" distL="0" distR="0" wp14:anchorId="50A5369D" wp14:editId="60ACF9D5">
            <wp:extent cx="3314700" cy="27336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14700" cy="2733675"/>
                    </a:xfrm>
                    <a:prstGeom prst="rect">
                      <a:avLst/>
                    </a:prstGeom>
                    <a:noFill/>
                    <a:ln>
                      <a:noFill/>
                    </a:ln>
                  </pic:spPr>
                </pic:pic>
              </a:graphicData>
            </a:graphic>
          </wp:inline>
        </w:drawing>
      </w:r>
    </w:p>
    <w:p w14:paraId="037F62A3" w14:textId="77777777" w:rsidR="00D429E9" w:rsidRPr="00F22672" w:rsidRDefault="00D429E9" w:rsidP="006616E4">
      <w:pPr>
        <w:rPr>
          <w:b/>
          <w:noProof/>
          <w:lang w:val="es-ES_tradnl"/>
        </w:rPr>
      </w:pPr>
    </w:p>
    <w:p w14:paraId="48F7CA0E" w14:textId="77777777" w:rsidR="00B028E1" w:rsidRPr="00F22672" w:rsidRDefault="00B028E1" w:rsidP="00823CE6">
      <w:pPr>
        <w:keepNext/>
        <w:keepLines/>
        <w:rPr>
          <w:b/>
          <w:noProof/>
          <w:lang w:val="es-ES"/>
        </w:rPr>
      </w:pPr>
      <w:r w:rsidRPr="00F22672">
        <w:rPr>
          <w:b/>
          <w:noProof/>
          <w:lang w:val="es-ES"/>
        </w:rPr>
        <w:lastRenderedPageBreak/>
        <w:t>Para administrar su inyección usted necesitará:</w:t>
      </w:r>
    </w:p>
    <w:p w14:paraId="650F4674" w14:textId="77777777" w:rsidR="00B028E1" w:rsidRPr="00F22672" w:rsidRDefault="00B028E1" w:rsidP="00823CE6">
      <w:pPr>
        <w:keepNext/>
        <w:keepLines/>
        <w:rPr>
          <w:noProof/>
          <w:lang w:val="es-ES"/>
        </w:rPr>
      </w:pPr>
    </w:p>
    <w:p w14:paraId="160EB6B8" w14:textId="77777777" w:rsidR="00B028E1" w:rsidRPr="00F22672" w:rsidRDefault="00B028E1" w:rsidP="00823CE6">
      <w:pPr>
        <w:keepNext/>
        <w:keepLines/>
        <w:rPr>
          <w:noProof/>
          <w:lang w:val="es-ES"/>
        </w:rPr>
      </w:pPr>
      <w:r w:rsidRPr="00F22672">
        <w:rPr>
          <w:noProof/>
          <w:lang w:val="es-ES"/>
        </w:rPr>
        <w:t>Incluido en el envase:</w:t>
      </w:r>
    </w:p>
    <w:p w14:paraId="4D847DDF" w14:textId="77777777" w:rsidR="00B028E1" w:rsidRPr="00F22672" w:rsidRDefault="008E6BF1" w:rsidP="00823CE6">
      <w:pPr>
        <w:keepNext/>
        <w:keepLines/>
        <w:ind w:left="918" w:hanging="561"/>
        <w:rPr>
          <w:color w:val="231F20"/>
          <w:lang w:val="es-ES"/>
        </w:rPr>
      </w:pPr>
      <w:r w:rsidRPr="00F22672">
        <w:rPr>
          <w:lang w:val="es-ES"/>
        </w:rPr>
        <w:sym w:font="Symbol" w:char="F0B7"/>
      </w:r>
      <w:r w:rsidRPr="00F22672">
        <w:rPr>
          <w:noProof/>
          <w:lang w:val="es-ES"/>
        </w:rPr>
        <w:tab/>
      </w:r>
      <w:r w:rsidR="00B028E1" w:rsidRPr="00F22672">
        <w:rPr>
          <w:color w:val="231F20"/>
          <w:lang w:val="es-ES"/>
        </w:rPr>
        <w:t>Jeringa precargada</w:t>
      </w:r>
      <w:r w:rsidR="00FB330E">
        <w:rPr>
          <w:color w:val="231F20"/>
          <w:lang w:val="es-ES"/>
        </w:rPr>
        <w:t>.</w:t>
      </w:r>
    </w:p>
    <w:p w14:paraId="6EDDA35C" w14:textId="77777777" w:rsidR="00B028E1" w:rsidRPr="00F22672" w:rsidRDefault="00B028E1" w:rsidP="00823CE6">
      <w:pPr>
        <w:keepNext/>
        <w:keepLines/>
        <w:rPr>
          <w:color w:val="231F20"/>
          <w:lang w:val="es-ES"/>
        </w:rPr>
      </w:pPr>
    </w:p>
    <w:p w14:paraId="47D0E7F9" w14:textId="77777777" w:rsidR="00B028E1" w:rsidRPr="00F22672" w:rsidRDefault="00B028E1" w:rsidP="00823CE6">
      <w:pPr>
        <w:keepNext/>
        <w:keepLines/>
        <w:rPr>
          <w:color w:val="231F20"/>
          <w:lang w:val="es-ES"/>
        </w:rPr>
      </w:pPr>
      <w:r w:rsidRPr="00F22672">
        <w:rPr>
          <w:color w:val="231F20"/>
          <w:lang w:val="es-ES"/>
        </w:rPr>
        <w:t>No incluido en el envase:</w:t>
      </w:r>
    </w:p>
    <w:p w14:paraId="3460167F" w14:textId="77777777" w:rsidR="00B028E1" w:rsidRPr="00F22672" w:rsidRDefault="008E6BF1" w:rsidP="00823CE6">
      <w:pPr>
        <w:keepNext/>
        <w:keepLines/>
        <w:ind w:left="918" w:hanging="561"/>
        <w:rPr>
          <w:color w:val="231F20"/>
          <w:lang w:val="es-ES"/>
        </w:rPr>
      </w:pPr>
      <w:r w:rsidRPr="00F22672">
        <w:rPr>
          <w:lang w:val="es-ES"/>
        </w:rPr>
        <w:sym w:font="Symbol" w:char="F0B7"/>
      </w:r>
      <w:r w:rsidRPr="00F22672">
        <w:rPr>
          <w:noProof/>
          <w:lang w:val="es-ES"/>
        </w:rPr>
        <w:tab/>
      </w:r>
      <w:r w:rsidR="003125D7" w:rsidRPr="00F22672">
        <w:rPr>
          <w:color w:val="231F20"/>
          <w:lang w:val="es-ES"/>
        </w:rPr>
        <w:t xml:space="preserve">Toallita impregnada en </w:t>
      </w:r>
      <w:r w:rsidR="00B028E1" w:rsidRPr="00F22672">
        <w:rPr>
          <w:color w:val="231F20"/>
          <w:lang w:val="es-ES"/>
        </w:rPr>
        <w:t>alcohol</w:t>
      </w:r>
      <w:r w:rsidR="00FB330E">
        <w:rPr>
          <w:color w:val="231F20"/>
          <w:lang w:val="es-ES"/>
        </w:rPr>
        <w:t>.</w:t>
      </w:r>
    </w:p>
    <w:p w14:paraId="654BD436" w14:textId="77777777" w:rsidR="00B028E1" w:rsidRPr="00F22672" w:rsidRDefault="008E6BF1" w:rsidP="00823CE6">
      <w:pPr>
        <w:keepNext/>
        <w:keepLines/>
        <w:ind w:left="918" w:hanging="561"/>
        <w:rPr>
          <w:color w:val="231F20"/>
          <w:lang w:val="es-ES"/>
        </w:rPr>
      </w:pPr>
      <w:r w:rsidRPr="00F22672">
        <w:rPr>
          <w:lang w:val="es-ES"/>
        </w:rPr>
        <w:sym w:font="Symbol" w:char="F0B7"/>
      </w:r>
      <w:r w:rsidRPr="00F22672">
        <w:rPr>
          <w:noProof/>
          <w:lang w:val="es-ES"/>
        </w:rPr>
        <w:tab/>
      </w:r>
      <w:r w:rsidR="00B028E1" w:rsidRPr="00F22672">
        <w:rPr>
          <w:color w:val="231F20"/>
          <w:lang w:val="es-ES"/>
        </w:rPr>
        <w:t>Algodón o gasa estéril</w:t>
      </w:r>
      <w:r w:rsidR="00FB330E">
        <w:rPr>
          <w:color w:val="231F20"/>
          <w:lang w:val="es-ES"/>
        </w:rPr>
        <w:t>.</w:t>
      </w:r>
    </w:p>
    <w:p w14:paraId="2918FFCC" w14:textId="77777777" w:rsidR="00B028E1" w:rsidRPr="00F22672" w:rsidRDefault="008E6BF1" w:rsidP="00823CE6">
      <w:pPr>
        <w:keepNext/>
        <w:keepLines/>
        <w:ind w:left="918" w:hanging="561"/>
        <w:rPr>
          <w:color w:val="231F20"/>
          <w:lang w:val="es-ES"/>
        </w:rPr>
      </w:pPr>
      <w:r w:rsidRPr="00F22672">
        <w:rPr>
          <w:lang w:val="es-ES"/>
        </w:rPr>
        <w:sym w:font="Symbol" w:char="F0B7"/>
      </w:r>
      <w:r w:rsidRPr="00F22672">
        <w:rPr>
          <w:noProof/>
          <w:lang w:val="es-ES"/>
        </w:rPr>
        <w:tab/>
      </w:r>
      <w:r w:rsidR="00B028E1" w:rsidRPr="00F22672">
        <w:rPr>
          <w:color w:val="231F20"/>
          <w:lang w:val="es-ES"/>
        </w:rPr>
        <w:t>Contenedor de objetos punzantes para la eliminación segura del tapón de la aguja y la jeringa utilizada.</w:t>
      </w:r>
    </w:p>
    <w:p w14:paraId="3F1A0954" w14:textId="77777777" w:rsidR="00B028E1" w:rsidRPr="00F22672" w:rsidRDefault="00B028E1" w:rsidP="00823CE6">
      <w:pPr>
        <w:keepNext/>
        <w:keepLines/>
        <w:rPr>
          <w:color w:val="231F20"/>
          <w:lang w:val="es-ES"/>
        </w:rPr>
      </w:pPr>
    </w:p>
    <w:p w14:paraId="64E4BBA6" w14:textId="77777777" w:rsidR="00B028E1" w:rsidRPr="00F22672" w:rsidRDefault="00B028E1" w:rsidP="00823CE6">
      <w:pPr>
        <w:keepNext/>
        <w:keepLines/>
        <w:rPr>
          <w:color w:val="231F20"/>
          <w:lang w:val="es-ES"/>
        </w:rPr>
      </w:pPr>
      <w:r w:rsidRPr="00F22672">
        <w:rPr>
          <w:color w:val="231F20"/>
          <w:lang w:val="es-ES"/>
        </w:rPr>
        <w:t>Un lugar para preparar sus utensilios:</w:t>
      </w:r>
    </w:p>
    <w:p w14:paraId="35FFAADE" w14:textId="77777777" w:rsidR="00B028E1" w:rsidRPr="00F22672" w:rsidRDefault="008E6BF1" w:rsidP="00823CE6">
      <w:pPr>
        <w:keepNext/>
        <w:keepLines/>
        <w:ind w:left="918" w:hanging="561"/>
        <w:rPr>
          <w:b/>
          <w:color w:val="231F20"/>
          <w:lang w:val="es-ES"/>
        </w:rPr>
      </w:pPr>
      <w:r w:rsidRPr="00F22672">
        <w:rPr>
          <w:lang w:val="es-ES"/>
        </w:rPr>
        <w:sym w:font="Symbol" w:char="F0B7"/>
      </w:r>
      <w:r w:rsidRPr="00F22672">
        <w:rPr>
          <w:noProof/>
          <w:lang w:val="es-ES"/>
        </w:rPr>
        <w:tab/>
      </w:r>
      <w:r w:rsidR="00B028E1" w:rsidRPr="00F22672">
        <w:rPr>
          <w:b/>
          <w:color w:val="231F20"/>
          <w:lang w:val="es-ES"/>
        </w:rPr>
        <w:t>Busque una superficie bien iluminada, limpia y plana como una mesa.</w:t>
      </w:r>
    </w:p>
    <w:p w14:paraId="2C4ADF24" w14:textId="77777777" w:rsidR="00D429E9" w:rsidRPr="00F22672" w:rsidRDefault="00D429E9" w:rsidP="00823CE6">
      <w:pPr>
        <w:keepNext/>
        <w:keepLines/>
        <w:rPr>
          <w:color w:val="231F20"/>
          <w:lang w:val="es-ES"/>
        </w:rPr>
      </w:pPr>
    </w:p>
    <w:p w14:paraId="4F5F2F69" w14:textId="77777777" w:rsidR="00D429E9" w:rsidRPr="00F22672" w:rsidRDefault="00D429E9" w:rsidP="00823CE6">
      <w:pPr>
        <w:keepNext/>
        <w:keepLines/>
        <w:rPr>
          <w:b/>
          <w:lang w:val="es-ES"/>
        </w:rPr>
      </w:pPr>
      <w:r w:rsidRPr="00F22672">
        <w:rPr>
          <w:b/>
          <w:lang w:val="es-ES"/>
        </w:rPr>
        <w:t>Paso 1. Comprobar visualmente la jeringa</w:t>
      </w:r>
    </w:p>
    <w:p w14:paraId="11AAA5FD" w14:textId="77777777" w:rsidR="00D429E9" w:rsidRPr="00F22672" w:rsidRDefault="00D429E9" w:rsidP="00823CE6">
      <w:pPr>
        <w:keepNext/>
        <w:keepLines/>
        <w:rPr>
          <w:b/>
          <w:lang w:val="es-ES"/>
        </w:rPr>
      </w:pPr>
    </w:p>
    <w:p w14:paraId="5AAEA264" w14:textId="77777777" w:rsidR="00D429E9" w:rsidRPr="00F22672" w:rsidRDefault="008E6BF1" w:rsidP="00823CE6">
      <w:pPr>
        <w:keepNext/>
        <w:keepLines/>
        <w:ind w:left="918" w:hanging="561"/>
        <w:rPr>
          <w:lang w:val="es-ES"/>
        </w:rPr>
      </w:pPr>
      <w:r w:rsidRPr="00F22672">
        <w:rPr>
          <w:lang w:val="es-ES"/>
        </w:rPr>
        <w:sym w:font="Symbol" w:char="F0B7"/>
      </w:r>
      <w:r w:rsidRPr="00F22672">
        <w:rPr>
          <w:noProof/>
          <w:lang w:val="es-ES"/>
        </w:rPr>
        <w:tab/>
      </w:r>
      <w:r w:rsidR="0064284A" w:rsidRPr="00F22672">
        <w:rPr>
          <w:color w:val="231F20"/>
          <w:lang w:val="es-ES"/>
        </w:rPr>
        <w:t>Coja</w:t>
      </w:r>
      <w:r w:rsidR="00D429E9" w:rsidRPr="00F22672">
        <w:rPr>
          <w:color w:val="231F20"/>
          <w:lang w:val="es-ES"/>
        </w:rPr>
        <w:t xml:space="preserve"> la caja que contiene la jeringa de la nevera y abra la caja.</w:t>
      </w:r>
      <w:r w:rsidR="00B028E1" w:rsidRPr="00F22672">
        <w:rPr>
          <w:color w:val="231F20"/>
          <w:lang w:val="es-ES"/>
        </w:rPr>
        <w:t xml:space="preserve"> </w:t>
      </w:r>
      <w:r w:rsidR="00D429E9" w:rsidRPr="00F22672">
        <w:rPr>
          <w:lang w:val="es-ES"/>
        </w:rPr>
        <w:t>No toque los clips de activación</w:t>
      </w:r>
      <w:r w:rsidRPr="00F22672">
        <w:rPr>
          <w:lang w:val="es-ES"/>
        </w:rPr>
        <w:t xml:space="preserve"> </w:t>
      </w:r>
      <w:r w:rsidR="00D429E9" w:rsidRPr="00F22672">
        <w:rPr>
          <w:lang w:val="es-ES"/>
        </w:rPr>
        <w:t>del protector</w:t>
      </w:r>
      <w:r w:rsidR="0064284A" w:rsidRPr="00F22672">
        <w:rPr>
          <w:lang w:val="es-ES"/>
        </w:rPr>
        <w:t xml:space="preserve"> </w:t>
      </w:r>
      <w:r w:rsidR="00715724" w:rsidRPr="00F22672">
        <w:rPr>
          <w:lang w:val="es-ES"/>
        </w:rPr>
        <w:t>de</w:t>
      </w:r>
      <w:r w:rsidR="0064284A" w:rsidRPr="00F22672">
        <w:rPr>
          <w:lang w:val="es-ES"/>
        </w:rPr>
        <w:t xml:space="preserve"> la jeringa</w:t>
      </w:r>
      <w:r w:rsidR="00D429E9" w:rsidRPr="00F22672">
        <w:rPr>
          <w:lang w:val="es-ES"/>
        </w:rPr>
        <w:t xml:space="preserve"> ya que esto puede dañar la jeringa</w:t>
      </w:r>
      <w:r w:rsidR="00D429E9" w:rsidRPr="00F22672">
        <w:rPr>
          <w:color w:val="231F20"/>
          <w:lang w:val="es-ES"/>
        </w:rPr>
        <w:t>.</w:t>
      </w:r>
    </w:p>
    <w:p w14:paraId="7898BB1B" w14:textId="77777777" w:rsidR="00D429E9" w:rsidRPr="00F22672" w:rsidRDefault="00D429E9" w:rsidP="00097C58">
      <w:pPr>
        <w:ind w:left="918" w:hanging="561"/>
        <w:rPr>
          <w:color w:val="231F20"/>
          <w:lang w:val="es-ES"/>
        </w:rPr>
      </w:pPr>
    </w:p>
    <w:p w14:paraId="164EE06A" w14:textId="77777777" w:rsidR="00D429E9" w:rsidRPr="00F22672" w:rsidRDefault="008E6BF1" w:rsidP="00097C58">
      <w:pPr>
        <w:ind w:left="918" w:hanging="561"/>
        <w:rPr>
          <w:color w:val="231F20"/>
          <w:lang w:val="es-ES"/>
        </w:rPr>
      </w:pPr>
      <w:r w:rsidRPr="00F22672">
        <w:rPr>
          <w:lang w:val="es-ES"/>
        </w:rPr>
        <w:sym w:font="Symbol" w:char="F0B7"/>
      </w:r>
      <w:r w:rsidRPr="00F22672">
        <w:rPr>
          <w:noProof/>
          <w:lang w:val="es-ES"/>
        </w:rPr>
        <w:tab/>
      </w:r>
      <w:r w:rsidR="00D429E9" w:rsidRPr="00F22672">
        <w:rPr>
          <w:color w:val="231F20"/>
          <w:lang w:val="es-ES"/>
        </w:rPr>
        <w:t xml:space="preserve">Retire la jeringa de la caja y examine visualmente la jeringa, así como el medicamento </w:t>
      </w:r>
      <w:r w:rsidR="0064284A" w:rsidRPr="00F22672">
        <w:rPr>
          <w:color w:val="231F20"/>
          <w:lang w:val="es-ES"/>
        </w:rPr>
        <w:t>de</w:t>
      </w:r>
      <w:r w:rsidR="00D429E9" w:rsidRPr="00F22672">
        <w:rPr>
          <w:color w:val="231F20"/>
          <w:lang w:val="es-ES"/>
        </w:rPr>
        <w:t xml:space="preserve"> la jeringa. Esto es importante para asegurar que la jeringa y el medicamento </w:t>
      </w:r>
      <w:r w:rsidR="0064284A" w:rsidRPr="00F22672">
        <w:rPr>
          <w:color w:val="231F20"/>
          <w:lang w:val="es-ES"/>
        </w:rPr>
        <w:t>se pueden utilizar de forma segura</w:t>
      </w:r>
      <w:r w:rsidR="00D429E9" w:rsidRPr="00F22672">
        <w:rPr>
          <w:color w:val="231F20"/>
          <w:lang w:val="es-ES"/>
        </w:rPr>
        <w:t>.</w:t>
      </w:r>
    </w:p>
    <w:p w14:paraId="6B0401AC" w14:textId="77777777" w:rsidR="00D429E9" w:rsidRPr="00F22672" w:rsidRDefault="00D429E9" w:rsidP="00097C58">
      <w:pPr>
        <w:ind w:left="918" w:hanging="561"/>
        <w:rPr>
          <w:color w:val="231F20"/>
          <w:lang w:val="es-ES"/>
        </w:rPr>
      </w:pPr>
    </w:p>
    <w:p w14:paraId="13C1020C" w14:textId="77777777" w:rsidR="00387F87" w:rsidRPr="00F22672" w:rsidRDefault="008E6BF1" w:rsidP="00097C58">
      <w:pPr>
        <w:ind w:left="918" w:hanging="561"/>
        <w:rPr>
          <w:color w:val="231F20"/>
          <w:lang w:val="es-ES"/>
        </w:rPr>
      </w:pPr>
      <w:r w:rsidRPr="00F22672">
        <w:rPr>
          <w:lang w:val="es-ES"/>
        </w:rPr>
        <w:sym w:font="Symbol" w:char="F0B7"/>
      </w:r>
      <w:r w:rsidRPr="00F22672">
        <w:rPr>
          <w:noProof/>
          <w:lang w:val="es-ES"/>
        </w:rPr>
        <w:tab/>
      </w:r>
      <w:r w:rsidR="00D429E9" w:rsidRPr="00F22672">
        <w:rPr>
          <w:color w:val="231F20"/>
          <w:lang w:val="es-ES"/>
        </w:rPr>
        <w:t xml:space="preserve">Compruebe la fecha de caducidad </w:t>
      </w:r>
      <w:r w:rsidR="0064284A" w:rsidRPr="00F22672">
        <w:rPr>
          <w:color w:val="231F20"/>
          <w:lang w:val="es-ES"/>
        </w:rPr>
        <w:t>que aparece en la caja</w:t>
      </w:r>
      <w:r w:rsidR="00D429E9" w:rsidRPr="00F22672">
        <w:rPr>
          <w:color w:val="231F20"/>
          <w:lang w:val="es-ES"/>
        </w:rPr>
        <w:t xml:space="preserve"> y en la jeringa (</w:t>
      </w:r>
      <w:r w:rsidR="00FB5B46">
        <w:rPr>
          <w:color w:val="231F20"/>
          <w:lang w:val="es-ES"/>
        </w:rPr>
        <w:t>V</w:t>
      </w:r>
      <w:r w:rsidR="00D429E9" w:rsidRPr="00F22672">
        <w:rPr>
          <w:color w:val="231F20"/>
          <w:lang w:val="es-ES"/>
        </w:rPr>
        <w:t xml:space="preserve">er </w:t>
      </w:r>
      <w:r w:rsidR="00FB5B46">
        <w:rPr>
          <w:color w:val="231F20"/>
          <w:lang w:val="es-ES"/>
        </w:rPr>
        <w:t>F</w:t>
      </w:r>
      <w:r w:rsidR="00D429E9" w:rsidRPr="00F22672">
        <w:rPr>
          <w:color w:val="231F20"/>
          <w:lang w:val="es-ES"/>
        </w:rPr>
        <w:t>ig</w:t>
      </w:r>
      <w:r w:rsidR="00FB5B46">
        <w:rPr>
          <w:color w:val="231F20"/>
          <w:lang w:val="es-ES"/>
        </w:rPr>
        <w:t>.</w:t>
      </w:r>
      <w:r w:rsidR="00D429E9" w:rsidRPr="00F22672">
        <w:rPr>
          <w:color w:val="231F20"/>
          <w:lang w:val="es-ES"/>
        </w:rPr>
        <w:t xml:space="preserve"> A) para asegurarse que no ha pasado (caducado). No utilice la jeringa si la fecha de caducidad ha pasado. Esto es importante para asegurarse que la jeringa y el medicamento </w:t>
      </w:r>
      <w:r w:rsidR="0064284A" w:rsidRPr="00F22672">
        <w:rPr>
          <w:color w:val="231F20"/>
          <w:lang w:val="es-ES"/>
        </w:rPr>
        <w:t>se pueden utilizar de forma segura</w:t>
      </w:r>
      <w:r w:rsidR="00D429E9" w:rsidRPr="00F22672">
        <w:rPr>
          <w:color w:val="231F20"/>
          <w:lang w:val="es-ES"/>
        </w:rPr>
        <w:t>.</w:t>
      </w:r>
    </w:p>
    <w:p w14:paraId="6E7842D3" w14:textId="77777777" w:rsidR="00387F87" w:rsidRPr="00F22672" w:rsidRDefault="00387F87" w:rsidP="00D429E9">
      <w:pPr>
        <w:rPr>
          <w:color w:val="231F20"/>
          <w:lang w:val="es-ES"/>
        </w:rPr>
      </w:pPr>
    </w:p>
    <w:p w14:paraId="16A888E6" w14:textId="161E9F56" w:rsidR="00387F87" w:rsidRPr="00F22672" w:rsidRDefault="008D4CEB" w:rsidP="00D429E9">
      <w:pPr>
        <w:rPr>
          <w:color w:val="231F20"/>
          <w:lang w:val="es-ES"/>
        </w:rPr>
      </w:pPr>
      <w:r w:rsidRPr="00F22672">
        <w:rPr>
          <w:noProof/>
          <w:lang w:eastAsia="en-US"/>
        </w:rPr>
        <w:drawing>
          <wp:inline distT="0" distB="0" distL="0" distR="0" wp14:anchorId="6D2D15CD" wp14:editId="47E77920">
            <wp:extent cx="2876550" cy="1057275"/>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6550" cy="1057275"/>
                    </a:xfrm>
                    <a:prstGeom prst="rect">
                      <a:avLst/>
                    </a:prstGeom>
                    <a:noFill/>
                    <a:ln>
                      <a:noFill/>
                    </a:ln>
                  </pic:spPr>
                </pic:pic>
              </a:graphicData>
            </a:graphic>
          </wp:inline>
        </w:drawing>
      </w:r>
    </w:p>
    <w:p w14:paraId="5A9896ED" w14:textId="77777777" w:rsidR="00D429E9" w:rsidRPr="00F22672" w:rsidRDefault="00D429E9" w:rsidP="00D429E9">
      <w:pPr>
        <w:rPr>
          <w:color w:val="231F20"/>
          <w:lang w:val="es-ES"/>
        </w:rPr>
      </w:pPr>
    </w:p>
    <w:p w14:paraId="2AE2E4DB" w14:textId="77777777" w:rsidR="00D429E9" w:rsidRPr="00F22672" w:rsidRDefault="00D429E9" w:rsidP="00097C58">
      <w:pPr>
        <w:keepNext/>
        <w:keepLines/>
        <w:rPr>
          <w:b/>
          <w:noProof/>
          <w:lang w:val="es-ES"/>
        </w:rPr>
      </w:pPr>
      <w:r w:rsidRPr="00F22672">
        <w:rPr>
          <w:b/>
          <w:noProof/>
          <w:lang w:val="es-ES"/>
        </w:rPr>
        <w:t>Elimin</w:t>
      </w:r>
      <w:r w:rsidR="00E645BA" w:rsidRPr="00F22672">
        <w:rPr>
          <w:b/>
          <w:noProof/>
          <w:lang w:val="es-ES"/>
        </w:rPr>
        <w:t xml:space="preserve">e </w:t>
      </w:r>
      <w:r w:rsidRPr="00F22672">
        <w:rPr>
          <w:b/>
          <w:noProof/>
          <w:lang w:val="es-ES"/>
        </w:rPr>
        <w:t>la jeringa y no la utilice si:</w:t>
      </w:r>
    </w:p>
    <w:p w14:paraId="5D726878" w14:textId="77777777" w:rsidR="00D429E9" w:rsidRPr="00F22672" w:rsidRDefault="00D429E9" w:rsidP="00D429E9">
      <w:pPr>
        <w:rPr>
          <w:noProof/>
          <w:lang w:val="es-ES"/>
        </w:rPr>
      </w:pPr>
    </w:p>
    <w:p w14:paraId="091EA54E" w14:textId="77777777" w:rsidR="00D429E9" w:rsidRPr="00F22672" w:rsidRDefault="000F12C4" w:rsidP="000F12C4">
      <w:pPr>
        <w:ind w:left="922" w:hanging="562"/>
        <w:rPr>
          <w:noProof/>
          <w:lang w:val="es-ES"/>
        </w:rPr>
      </w:pPr>
      <w:r w:rsidRPr="00F22672">
        <w:rPr>
          <w:lang w:val="es-ES"/>
        </w:rPr>
        <w:sym w:font="Symbol" w:char="F0B7"/>
      </w:r>
      <w:r w:rsidRPr="00F22672">
        <w:rPr>
          <w:noProof/>
          <w:lang w:val="es-ES"/>
        </w:rPr>
        <w:tab/>
      </w:r>
      <w:r w:rsidR="00D429E9" w:rsidRPr="00F22672">
        <w:rPr>
          <w:noProof/>
          <w:lang w:val="es-ES"/>
        </w:rPr>
        <w:t>El medicamento est</w:t>
      </w:r>
      <w:r w:rsidR="00FB5B46">
        <w:rPr>
          <w:noProof/>
          <w:lang w:val="es-ES"/>
        </w:rPr>
        <w:t>á</w:t>
      </w:r>
      <w:r w:rsidR="00D429E9" w:rsidRPr="00F22672">
        <w:rPr>
          <w:noProof/>
          <w:lang w:val="es-ES"/>
        </w:rPr>
        <w:t xml:space="preserve"> turbio</w:t>
      </w:r>
      <w:r w:rsidR="00FB330E">
        <w:rPr>
          <w:noProof/>
          <w:lang w:val="es-ES"/>
        </w:rPr>
        <w:t>.</w:t>
      </w:r>
    </w:p>
    <w:p w14:paraId="77B84F6A" w14:textId="77777777" w:rsidR="00D429E9" w:rsidRPr="00F22672" w:rsidRDefault="000F12C4" w:rsidP="000F12C4">
      <w:pPr>
        <w:ind w:left="922" w:hanging="562"/>
        <w:rPr>
          <w:noProof/>
          <w:lang w:val="es-ES"/>
        </w:rPr>
      </w:pPr>
      <w:r w:rsidRPr="00F22672">
        <w:rPr>
          <w:lang w:val="es-ES"/>
        </w:rPr>
        <w:sym w:font="Symbol" w:char="F0B7"/>
      </w:r>
      <w:r w:rsidRPr="00F22672">
        <w:rPr>
          <w:noProof/>
          <w:lang w:val="es-ES"/>
        </w:rPr>
        <w:tab/>
      </w:r>
      <w:r w:rsidR="00D429E9" w:rsidRPr="00F22672">
        <w:rPr>
          <w:noProof/>
          <w:lang w:val="es-ES"/>
        </w:rPr>
        <w:t>El medicamento contiene part</w:t>
      </w:r>
      <w:r w:rsidR="00B920FA">
        <w:rPr>
          <w:noProof/>
          <w:lang w:val="es-ES"/>
        </w:rPr>
        <w:t>í</w:t>
      </w:r>
      <w:r w:rsidR="00D429E9" w:rsidRPr="00F22672">
        <w:rPr>
          <w:noProof/>
          <w:lang w:val="es-ES"/>
        </w:rPr>
        <w:t>culas</w:t>
      </w:r>
      <w:r w:rsidR="00FB330E">
        <w:rPr>
          <w:noProof/>
          <w:lang w:val="es-ES"/>
        </w:rPr>
        <w:t>.</w:t>
      </w:r>
    </w:p>
    <w:p w14:paraId="74CB8A8B" w14:textId="77777777" w:rsidR="00D429E9" w:rsidRPr="00F22672" w:rsidRDefault="000F12C4" w:rsidP="000F12C4">
      <w:pPr>
        <w:ind w:left="922" w:hanging="562"/>
        <w:rPr>
          <w:noProof/>
          <w:lang w:val="es-ES"/>
        </w:rPr>
      </w:pPr>
      <w:r w:rsidRPr="00F22672">
        <w:rPr>
          <w:lang w:val="es-ES"/>
        </w:rPr>
        <w:sym w:font="Symbol" w:char="F0B7"/>
      </w:r>
      <w:r w:rsidRPr="00F22672">
        <w:rPr>
          <w:noProof/>
          <w:lang w:val="es-ES"/>
        </w:rPr>
        <w:tab/>
      </w:r>
      <w:r w:rsidR="00D429E9" w:rsidRPr="00F22672">
        <w:rPr>
          <w:noProof/>
          <w:lang w:val="es-ES"/>
        </w:rPr>
        <w:t>El medicamento tiene otro color aparte de incoloro a amarillo pálido</w:t>
      </w:r>
      <w:r w:rsidR="00FB330E">
        <w:rPr>
          <w:noProof/>
          <w:lang w:val="es-ES"/>
        </w:rPr>
        <w:t>.</w:t>
      </w:r>
    </w:p>
    <w:p w14:paraId="3F8EEC35" w14:textId="77777777" w:rsidR="00D429E9" w:rsidRPr="00F22672" w:rsidRDefault="000F12C4" w:rsidP="000F12C4">
      <w:pPr>
        <w:ind w:left="922" w:hanging="562"/>
        <w:rPr>
          <w:noProof/>
          <w:lang w:val="es-ES"/>
        </w:rPr>
      </w:pPr>
      <w:r w:rsidRPr="00F22672">
        <w:rPr>
          <w:lang w:val="es-ES"/>
        </w:rPr>
        <w:sym w:font="Symbol" w:char="F0B7"/>
      </w:r>
      <w:r w:rsidRPr="00F22672">
        <w:rPr>
          <w:noProof/>
          <w:lang w:val="es-ES"/>
        </w:rPr>
        <w:tab/>
      </w:r>
      <w:r w:rsidR="00D429E9" w:rsidRPr="00F22672">
        <w:rPr>
          <w:noProof/>
          <w:lang w:val="es-ES"/>
        </w:rPr>
        <w:t>Cualquier parte de la jeringa aparece dañada</w:t>
      </w:r>
      <w:r w:rsidR="00FB330E">
        <w:rPr>
          <w:noProof/>
          <w:lang w:val="es-ES"/>
        </w:rPr>
        <w:t>.</w:t>
      </w:r>
    </w:p>
    <w:p w14:paraId="690894E1" w14:textId="77777777" w:rsidR="00D429E9" w:rsidRPr="00F22672" w:rsidRDefault="00D429E9" w:rsidP="00D429E9">
      <w:pPr>
        <w:rPr>
          <w:b/>
          <w:noProof/>
          <w:lang w:val="es-ES"/>
        </w:rPr>
      </w:pPr>
    </w:p>
    <w:p w14:paraId="09445D99" w14:textId="3E900738" w:rsidR="00D429E9" w:rsidRPr="00F22672" w:rsidRDefault="00D429E9" w:rsidP="00D429E9">
      <w:pPr>
        <w:rPr>
          <w:b/>
          <w:noProof/>
          <w:lang w:val="es-ES"/>
        </w:rPr>
      </w:pPr>
      <w:r w:rsidRPr="00F22672">
        <w:rPr>
          <w:b/>
          <w:noProof/>
          <w:lang w:val="es-ES"/>
        </w:rPr>
        <w:t>Paso 2. Dej</w:t>
      </w:r>
      <w:r w:rsidR="00E645BA" w:rsidRPr="00F22672">
        <w:rPr>
          <w:b/>
          <w:noProof/>
          <w:lang w:val="es-ES"/>
        </w:rPr>
        <w:t>e</w:t>
      </w:r>
      <w:r w:rsidRPr="00F22672">
        <w:rPr>
          <w:b/>
          <w:noProof/>
          <w:lang w:val="es-ES"/>
        </w:rPr>
        <w:t xml:space="preserve"> que la jeringa </w:t>
      </w:r>
      <w:del w:id="2751" w:author="AUTHOR">
        <w:r w:rsidRPr="00F22672" w:rsidDel="00806EEE">
          <w:rPr>
            <w:b/>
            <w:noProof/>
            <w:lang w:val="es-ES"/>
          </w:rPr>
          <w:delText xml:space="preserve">precargada </w:delText>
        </w:r>
      </w:del>
      <w:r w:rsidR="00E645BA" w:rsidRPr="00F22672">
        <w:rPr>
          <w:b/>
          <w:noProof/>
          <w:lang w:val="es-ES"/>
        </w:rPr>
        <w:t xml:space="preserve">alcance </w:t>
      </w:r>
      <w:r w:rsidRPr="00F22672">
        <w:rPr>
          <w:b/>
          <w:noProof/>
          <w:lang w:val="es-ES"/>
        </w:rPr>
        <w:t>la temperatura ambient</w:t>
      </w:r>
      <w:r w:rsidR="00072646" w:rsidRPr="00F22672">
        <w:rPr>
          <w:b/>
          <w:noProof/>
          <w:lang w:val="es-ES"/>
        </w:rPr>
        <w:t>e</w:t>
      </w:r>
    </w:p>
    <w:p w14:paraId="1EC7729A" w14:textId="77777777" w:rsidR="00D429E9" w:rsidRPr="00F22672" w:rsidRDefault="00D429E9" w:rsidP="00D429E9">
      <w:pPr>
        <w:rPr>
          <w:b/>
          <w:noProof/>
          <w:lang w:val="es-ES"/>
        </w:rPr>
      </w:pPr>
    </w:p>
    <w:p w14:paraId="64844460" w14:textId="77777777" w:rsidR="00E51D05" w:rsidRPr="00F22672" w:rsidRDefault="000F12C4" w:rsidP="00E51D05">
      <w:pPr>
        <w:ind w:left="922" w:hanging="562"/>
        <w:rPr>
          <w:noProof/>
          <w:lang w:val="es-ES"/>
        </w:rPr>
      </w:pPr>
      <w:r w:rsidRPr="00F22672">
        <w:rPr>
          <w:lang w:val="es-ES"/>
        </w:rPr>
        <w:sym w:font="Symbol" w:char="F0B7"/>
      </w:r>
      <w:r w:rsidRPr="00F22672">
        <w:rPr>
          <w:noProof/>
          <w:lang w:val="es-ES"/>
        </w:rPr>
        <w:tab/>
      </w:r>
      <w:r w:rsidR="00D429E9" w:rsidRPr="00F22672">
        <w:rPr>
          <w:noProof/>
          <w:lang w:val="es-ES"/>
        </w:rPr>
        <w:t xml:space="preserve">No </w:t>
      </w:r>
      <w:r w:rsidR="00B62C7A" w:rsidRPr="00F22672">
        <w:rPr>
          <w:noProof/>
          <w:lang w:val="es-ES"/>
        </w:rPr>
        <w:t xml:space="preserve">retire </w:t>
      </w:r>
      <w:r w:rsidR="00072646" w:rsidRPr="00F22672">
        <w:rPr>
          <w:noProof/>
          <w:lang w:val="es-ES"/>
        </w:rPr>
        <w:t>el tapó</w:t>
      </w:r>
      <w:r w:rsidR="00D429E9" w:rsidRPr="00F22672">
        <w:rPr>
          <w:noProof/>
          <w:lang w:val="es-ES"/>
        </w:rPr>
        <w:t>n de la aguja de su jeringa</w:t>
      </w:r>
      <w:r w:rsidR="00072646" w:rsidRPr="00F22672">
        <w:rPr>
          <w:noProof/>
          <w:lang w:val="es-ES"/>
        </w:rPr>
        <w:t xml:space="preserve"> antes</w:t>
      </w:r>
      <w:r w:rsidR="00D429E9" w:rsidRPr="00F22672">
        <w:rPr>
          <w:noProof/>
          <w:lang w:val="es-ES"/>
        </w:rPr>
        <w:t xml:space="preserve"> </w:t>
      </w:r>
      <w:r w:rsidR="00072646" w:rsidRPr="00F22672">
        <w:rPr>
          <w:noProof/>
          <w:lang w:val="es-ES"/>
        </w:rPr>
        <w:t>d</w:t>
      </w:r>
      <w:r w:rsidR="00D429E9" w:rsidRPr="00F22672">
        <w:rPr>
          <w:noProof/>
          <w:lang w:val="es-ES"/>
        </w:rPr>
        <w:t>el paso 5.</w:t>
      </w:r>
      <w:r w:rsidR="00E51D05" w:rsidRPr="00F22672">
        <w:rPr>
          <w:noProof/>
          <w:lang w:val="es-ES"/>
        </w:rPr>
        <w:t xml:space="preserve"> Hacerlo puede provocar que la medicación se seque y bloquee la aguja.</w:t>
      </w:r>
    </w:p>
    <w:p w14:paraId="41400D30" w14:textId="77777777" w:rsidR="00D429E9" w:rsidRPr="00F22672" w:rsidRDefault="00D429E9" w:rsidP="000F12C4">
      <w:pPr>
        <w:ind w:left="922" w:hanging="562"/>
        <w:rPr>
          <w:noProof/>
          <w:lang w:val="es-ES"/>
        </w:rPr>
      </w:pPr>
    </w:p>
    <w:p w14:paraId="5146BD02" w14:textId="77777777" w:rsidR="00D429E9" w:rsidRDefault="000F12C4" w:rsidP="000F12C4">
      <w:pPr>
        <w:ind w:left="922" w:hanging="562"/>
        <w:rPr>
          <w:color w:val="231F20"/>
          <w:lang w:val="es-ES"/>
        </w:rPr>
      </w:pPr>
      <w:r w:rsidRPr="00F22672">
        <w:rPr>
          <w:lang w:val="es-ES"/>
        </w:rPr>
        <w:sym w:font="Symbol" w:char="F0B7"/>
      </w:r>
      <w:r w:rsidRPr="00F22672">
        <w:rPr>
          <w:noProof/>
          <w:lang w:val="es-ES"/>
        </w:rPr>
        <w:tab/>
      </w:r>
      <w:r w:rsidR="00D429E9" w:rsidRPr="00F22672">
        <w:rPr>
          <w:color w:val="231F20"/>
          <w:lang w:val="es-ES"/>
        </w:rPr>
        <w:t>Coloque la jeringa en una superficie limpia plana</w:t>
      </w:r>
      <w:r w:rsidR="00E645BA" w:rsidRPr="00F22672">
        <w:rPr>
          <w:color w:val="231F20"/>
          <w:lang w:val="es-ES"/>
        </w:rPr>
        <w:t xml:space="preserve"> y d</w:t>
      </w:r>
      <w:r w:rsidR="00D429E9" w:rsidRPr="00F22672">
        <w:rPr>
          <w:color w:val="231F20"/>
          <w:lang w:val="es-ES"/>
        </w:rPr>
        <w:t xml:space="preserve">eje que la </w:t>
      </w:r>
      <w:r w:rsidR="00E645BA" w:rsidRPr="00F22672">
        <w:rPr>
          <w:color w:val="231F20"/>
          <w:lang w:val="es-ES"/>
        </w:rPr>
        <w:t>jeringa</w:t>
      </w:r>
      <w:r w:rsidR="00D429E9" w:rsidRPr="00F22672">
        <w:rPr>
          <w:color w:val="231F20"/>
          <w:lang w:val="es-ES"/>
        </w:rPr>
        <w:t xml:space="preserve"> </w:t>
      </w:r>
      <w:r w:rsidR="00D90008" w:rsidRPr="00F22672">
        <w:rPr>
          <w:color w:val="231F20"/>
          <w:lang w:val="es-ES"/>
        </w:rPr>
        <w:t xml:space="preserve">alcance </w:t>
      </w:r>
      <w:r w:rsidR="00D429E9" w:rsidRPr="00F22672">
        <w:rPr>
          <w:color w:val="231F20"/>
          <w:lang w:val="es-ES"/>
        </w:rPr>
        <w:t>la temperatura ambient</w:t>
      </w:r>
      <w:r w:rsidR="00072646" w:rsidRPr="00F22672">
        <w:rPr>
          <w:color w:val="231F20"/>
          <w:lang w:val="es-ES"/>
        </w:rPr>
        <w:t>e</w:t>
      </w:r>
      <w:r w:rsidR="00D429E9" w:rsidRPr="00F22672">
        <w:rPr>
          <w:color w:val="231F20"/>
          <w:lang w:val="es-ES"/>
        </w:rPr>
        <w:t xml:space="preserve"> </w:t>
      </w:r>
      <w:r w:rsidR="00086201">
        <w:rPr>
          <w:color w:val="231F20"/>
          <w:lang w:val="es-ES"/>
        </w:rPr>
        <w:t xml:space="preserve">(18 ºC – 28 ºC) </w:t>
      </w:r>
      <w:r w:rsidR="00D429E9" w:rsidRPr="00F22672">
        <w:rPr>
          <w:color w:val="231F20"/>
          <w:lang w:val="es-ES"/>
        </w:rPr>
        <w:t xml:space="preserve">durante 25-30 minutos para </w:t>
      </w:r>
      <w:r w:rsidR="00072646" w:rsidRPr="00F22672">
        <w:rPr>
          <w:color w:val="231F20"/>
          <w:lang w:val="es-ES"/>
        </w:rPr>
        <w:t>que se temple</w:t>
      </w:r>
      <w:r w:rsidR="00D429E9" w:rsidRPr="00F22672">
        <w:rPr>
          <w:color w:val="231F20"/>
          <w:lang w:val="es-ES"/>
        </w:rPr>
        <w:t xml:space="preserve">. </w:t>
      </w:r>
      <w:r w:rsidR="00611092" w:rsidRPr="00F22672">
        <w:rPr>
          <w:color w:val="231F20"/>
          <w:lang w:val="es-ES"/>
        </w:rPr>
        <w:t>Si n</w:t>
      </w:r>
      <w:r w:rsidR="00D429E9" w:rsidRPr="00F22672">
        <w:rPr>
          <w:color w:val="231F20"/>
          <w:lang w:val="es-ES"/>
        </w:rPr>
        <w:t xml:space="preserve">o deja que la jeringa </w:t>
      </w:r>
      <w:r w:rsidR="00D90008" w:rsidRPr="00F22672">
        <w:rPr>
          <w:color w:val="231F20"/>
          <w:lang w:val="es-ES"/>
        </w:rPr>
        <w:t>alcance</w:t>
      </w:r>
      <w:r w:rsidR="00D429E9" w:rsidRPr="00F22672">
        <w:rPr>
          <w:color w:val="231F20"/>
          <w:lang w:val="es-ES"/>
        </w:rPr>
        <w:t xml:space="preserve"> la temperatura ambiente po</w:t>
      </w:r>
      <w:r w:rsidR="0016666C" w:rsidRPr="00F22672">
        <w:rPr>
          <w:color w:val="231F20"/>
          <w:lang w:val="es-ES"/>
        </w:rPr>
        <w:t>dría resultar una inyección incó</w:t>
      </w:r>
      <w:r w:rsidR="00D429E9" w:rsidRPr="00F22672">
        <w:rPr>
          <w:color w:val="231F20"/>
          <w:lang w:val="es-ES"/>
        </w:rPr>
        <w:t xml:space="preserve">moda y podría hacer que sea difícil presionar el émbolo. </w:t>
      </w:r>
    </w:p>
    <w:p w14:paraId="21CDD603" w14:textId="77777777" w:rsidR="00FB5B46" w:rsidRPr="00F22672" w:rsidRDefault="00FB5B46" w:rsidP="000F12C4">
      <w:pPr>
        <w:ind w:left="922" w:hanging="562"/>
        <w:rPr>
          <w:color w:val="231F20"/>
          <w:lang w:val="es-ES"/>
        </w:rPr>
      </w:pPr>
    </w:p>
    <w:p w14:paraId="7097F439" w14:textId="77777777" w:rsidR="00D429E9" w:rsidRPr="00F22672" w:rsidRDefault="000F12C4" w:rsidP="000F12C4">
      <w:pPr>
        <w:ind w:left="922" w:hanging="562"/>
        <w:rPr>
          <w:color w:val="231F20"/>
          <w:lang w:val="es-ES"/>
        </w:rPr>
      </w:pPr>
      <w:r w:rsidRPr="00F22672">
        <w:rPr>
          <w:lang w:val="es-ES"/>
        </w:rPr>
        <w:sym w:font="Symbol" w:char="F0B7"/>
      </w:r>
      <w:r w:rsidRPr="00F22672">
        <w:rPr>
          <w:noProof/>
          <w:lang w:val="es-ES"/>
        </w:rPr>
        <w:tab/>
      </w:r>
      <w:r w:rsidR="00D429E9" w:rsidRPr="00F22672">
        <w:rPr>
          <w:color w:val="231F20"/>
          <w:lang w:val="es-ES"/>
        </w:rPr>
        <w:t xml:space="preserve">No </w:t>
      </w:r>
      <w:r w:rsidR="00072646" w:rsidRPr="00F22672">
        <w:rPr>
          <w:color w:val="231F20"/>
          <w:lang w:val="es-ES"/>
        </w:rPr>
        <w:t>caliente</w:t>
      </w:r>
      <w:r w:rsidR="00D429E9" w:rsidRPr="00F22672">
        <w:rPr>
          <w:color w:val="231F20"/>
          <w:lang w:val="es-ES"/>
        </w:rPr>
        <w:t xml:space="preserve"> la jeringa de ninguna otra forma.</w:t>
      </w:r>
    </w:p>
    <w:p w14:paraId="10812552" w14:textId="77777777" w:rsidR="00D429E9" w:rsidRPr="00F22672" w:rsidRDefault="00D429E9" w:rsidP="00D429E9">
      <w:pPr>
        <w:rPr>
          <w:color w:val="231F20"/>
          <w:lang w:val="es-ES"/>
        </w:rPr>
      </w:pPr>
    </w:p>
    <w:p w14:paraId="458182F2" w14:textId="77777777" w:rsidR="00D429E9" w:rsidRPr="00F22672" w:rsidRDefault="00D429E9" w:rsidP="00FF2AFA">
      <w:pPr>
        <w:keepNext/>
        <w:keepLines/>
        <w:rPr>
          <w:b/>
          <w:color w:val="231F20"/>
          <w:lang w:val="es-ES"/>
        </w:rPr>
      </w:pPr>
      <w:r w:rsidRPr="00F22672">
        <w:rPr>
          <w:b/>
          <w:color w:val="231F20"/>
          <w:lang w:val="es-ES"/>
        </w:rPr>
        <w:lastRenderedPageBreak/>
        <w:t>Paso 3. Lave sus manos</w:t>
      </w:r>
    </w:p>
    <w:p w14:paraId="148954AF" w14:textId="77777777" w:rsidR="00D429E9" w:rsidRPr="00F22672" w:rsidRDefault="00D429E9" w:rsidP="00FF2AFA">
      <w:pPr>
        <w:keepNext/>
        <w:keepLines/>
        <w:rPr>
          <w:color w:val="231F20"/>
          <w:lang w:val="es-ES"/>
        </w:rPr>
      </w:pPr>
    </w:p>
    <w:p w14:paraId="73827E16" w14:textId="77777777" w:rsidR="00D429E9" w:rsidRPr="00F22672" w:rsidRDefault="00D429E9" w:rsidP="00FF2AFA">
      <w:pPr>
        <w:keepNext/>
        <w:keepLines/>
        <w:rPr>
          <w:color w:val="231F20"/>
          <w:lang w:val="es-ES"/>
        </w:rPr>
      </w:pPr>
      <w:r w:rsidRPr="00F22672">
        <w:rPr>
          <w:color w:val="231F20"/>
          <w:lang w:val="es-ES"/>
        </w:rPr>
        <w:t>•</w:t>
      </w:r>
      <w:r w:rsidR="00FB5B46">
        <w:rPr>
          <w:color w:val="231F20"/>
          <w:lang w:val="es-ES"/>
        </w:rPr>
        <w:t xml:space="preserve"> </w:t>
      </w:r>
      <w:r w:rsidRPr="00F22672">
        <w:rPr>
          <w:color w:val="231F20"/>
          <w:lang w:val="es-ES"/>
        </w:rPr>
        <w:t>Lave sus manos con agua y jabón.</w:t>
      </w:r>
    </w:p>
    <w:p w14:paraId="702BFAE4" w14:textId="77777777" w:rsidR="00D429E9" w:rsidRPr="00F22672" w:rsidRDefault="00D429E9" w:rsidP="00D429E9">
      <w:pPr>
        <w:rPr>
          <w:color w:val="231F20"/>
          <w:lang w:val="es-ES"/>
        </w:rPr>
      </w:pPr>
    </w:p>
    <w:p w14:paraId="6244E20E" w14:textId="77777777" w:rsidR="00D429E9" w:rsidRPr="00F22672" w:rsidRDefault="00D429E9" w:rsidP="00097C58">
      <w:pPr>
        <w:keepNext/>
        <w:keepLines/>
        <w:rPr>
          <w:b/>
          <w:color w:val="231F20"/>
          <w:lang w:val="es-ES"/>
        </w:rPr>
      </w:pPr>
      <w:r w:rsidRPr="00F22672">
        <w:rPr>
          <w:b/>
          <w:color w:val="231F20"/>
          <w:lang w:val="es-ES"/>
        </w:rPr>
        <w:t xml:space="preserve">Paso 4. Elija y prepare el lugar de la inyección </w:t>
      </w:r>
    </w:p>
    <w:p w14:paraId="07A11C37" w14:textId="77777777" w:rsidR="00D429E9" w:rsidRPr="00F22672" w:rsidRDefault="00D429E9" w:rsidP="00097C58">
      <w:pPr>
        <w:keepNext/>
        <w:keepLines/>
        <w:rPr>
          <w:b/>
          <w:color w:val="231F20"/>
          <w:lang w:val="es-ES"/>
        </w:rPr>
      </w:pPr>
    </w:p>
    <w:p w14:paraId="4AC41763" w14:textId="77777777" w:rsidR="00D429E9" w:rsidRPr="00F22672" w:rsidRDefault="00D429E9" w:rsidP="00D429E9">
      <w:pPr>
        <w:rPr>
          <w:color w:val="231F20"/>
          <w:lang w:val="es-ES"/>
        </w:rPr>
      </w:pPr>
      <w:r w:rsidRPr="00F22672">
        <w:rPr>
          <w:color w:val="231F20"/>
          <w:lang w:val="es-ES"/>
        </w:rPr>
        <w:t>•</w:t>
      </w:r>
      <w:r w:rsidR="00FB5B46">
        <w:rPr>
          <w:color w:val="231F20"/>
          <w:lang w:val="es-ES"/>
        </w:rPr>
        <w:t xml:space="preserve"> </w:t>
      </w:r>
      <w:r w:rsidRPr="00F22672">
        <w:rPr>
          <w:color w:val="231F20"/>
          <w:lang w:val="es-ES"/>
        </w:rPr>
        <w:t xml:space="preserve">Las zonas recomendadas para la inyección son la parte delantera e intermedia de los muslos y la parte baja del abdomen por debajo del ombligo, excepto en la zona de cinco centímetros inmediatamente </w:t>
      </w:r>
      <w:r w:rsidR="00D90008" w:rsidRPr="00F22672">
        <w:rPr>
          <w:color w:val="231F20"/>
          <w:lang w:val="es-ES"/>
        </w:rPr>
        <w:t xml:space="preserve">circundante </w:t>
      </w:r>
      <w:r w:rsidRPr="00F22672">
        <w:rPr>
          <w:color w:val="231F20"/>
          <w:lang w:val="es-ES"/>
        </w:rPr>
        <w:t>del ombligo</w:t>
      </w:r>
      <w:r w:rsidR="007863E0" w:rsidRPr="00F22672">
        <w:rPr>
          <w:color w:val="231F20"/>
          <w:lang w:val="es-ES"/>
        </w:rPr>
        <w:t xml:space="preserve"> (Ver </w:t>
      </w:r>
      <w:r w:rsidR="00FB5B46">
        <w:rPr>
          <w:color w:val="231F20"/>
          <w:lang w:val="es-ES"/>
        </w:rPr>
        <w:t>F</w:t>
      </w:r>
      <w:r w:rsidR="007863E0" w:rsidRPr="00F22672">
        <w:rPr>
          <w:color w:val="231F20"/>
          <w:lang w:val="es-ES"/>
        </w:rPr>
        <w:t>ig. B)</w:t>
      </w:r>
      <w:r w:rsidRPr="00F22672">
        <w:rPr>
          <w:color w:val="231F20"/>
          <w:lang w:val="es-ES"/>
        </w:rPr>
        <w:t>.</w:t>
      </w:r>
    </w:p>
    <w:p w14:paraId="5FC20DA6" w14:textId="77777777" w:rsidR="00D429E9" w:rsidRPr="00F22672" w:rsidRDefault="00D429E9" w:rsidP="00D429E9">
      <w:pPr>
        <w:rPr>
          <w:color w:val="231F20"/>
          <w:lang w:val="es-ES"/>
        </w:rPr>
      </w:pPr>
    </w:p>
    <w:p w14:paraId="32928D98" w14:textId="77777777" w:rsidR="00D429E9" w:rsidRPr="00F22672" w:rsidRDefault="00D429E9" w:rsidP="00D429E9">
      <w:pPr>
        <w:rPr>
          <w:color w:val="231F20"/>
          <w:lang w:val="es-ES"/>
        </w:rPr>
      </w:pPr>
      <w:r w:rsidRPr="00F22672">
        <w:rPr>
          <w:color w:val="231F20"/>
          <w:lang w:val="es-ES"/>
        </w:rPr>
        <w:t xml:space="preserve">• Si un cuidador le administra la inyección, también se puede utilizar la cara externa </w:t>
      </w:r>
      <w:r w:rsidR="000228A1" w:rsidRPr="00F22672">
        <w:rPr>
          <w:color w:val="231F20"/>
          <w:lang w:val="es-ES"/>
        </w:rPr>
        <w:t xml:space="preserve">de la parte superior </w:t>
      </w:r>
      <w:r w:rsidRPr="00F22672">
        <w:rPr>
          <w:color w:val="231F20"/>
          <w:lang w:val="es-ES"/>
        </w:rPr>
        <w:t xml:space="preserve">de los brazos (Ver </w:t>
      </w:r>
      <w:r w:rsidR="00FB5B46">
        <w:rPr>
          <w:color w:val="231F20"/>
          <w:lang w:val="es-ES"/>
        </w:rPr>
        <w:t>F</w:t>
      </w:r>
      <w:r w:rsidRPr="00F22672">
        <w:rPr>
          <w:color w:val="231F20"/>
          <w:lang w:val="es-ES"/>
        </w:rPr>
        <w:t>ig. B)</w:t>
      </w:r>
      <w:r w:rsidR="00B920FA">
        <w:rPr>
          <w:color w:val="231F20"/>
          <w:lang w:val="es-ES"/>
        </w:rPr>
        <w:t>.</w:t>
      </w:r>
    </w:p>
    <w:p w14:paraId="3B4ED676" w14:textId="77777777" w:rsidR="00D429E9" w:rsidRPr="00F22672" w:rsidRDefault="00D429E9" w:rsidP="00D429E9">
      <w:pPr>
        <w:rPr>
          <w:color w:val="231F20"/>
          <w:lang w:val="es-ES"/>
        </w:rPr>
      </w:pPr>
    </w:p>
    <w:p w14:paraId="5A864954" w14:textId="055D3A83" w:rsidR="00AD6863" w:rsidRPr="00F22672" w:rsidRDefault="008D4CEB" w:rsidP="00D429E9">
      <w:pPr>
        <w:rPr>
          <w:color w:val="231F20"/>
          <w:lang w:val="es-ES"/>
        </w:rPr>
      </w:pPr>
      <w:r w:rsidRPr="00F22672">
        <w:rPr>
          <w:noProof/>
          <w:lang w:eastAsia="en-US"/>
        </w:rPr>
        <w:drawing>
          <wp:inline distT="0" distB="0" distL="0" distR="0" wp14:anchorId="75AA4178" wp14:editId="51715F2E">
            <wp:extent cx="2552700" cy="2162175"/>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2700" cy="2162175"/>
                    </a:xfrm>
                    <a:prstGeom prst="rect">
                      <a:avLst/>
                    </a:prstGeom>
                    <a:noFill/>
                    <a:ln>
                      <a:noFill/>
                    </a:ln>
                  </pic:spPr>
                </pic:pic>
              </a:graphicData>
            </a:graphic>
          </wp:inline>
        </w:drawing>
      </w:r>
    </w:p>
    <w:p w14:paraId="6CB7FAE6" w14:textId="77777777" w:rsidR="00D429E9" w:rsidRPr="00F22672" w:rsidRDefault="00D429E9" w:rsidP="00D429E9">
      <w:pPr>
        <w:rPr>
          <w:color w:val="231F20"/>
          <w:lang w:val="es-ES"/>
        </w:rPr>
      </w:pPr>
    </w:p>
    <w:p w14:paraId="69212C28" w14:textId="77777777" w:rsidR="00D429E9" w:rsidRPr="00F22672" w:rsidRDefault="000F12C4" w:rsidP="000F12C4">
      <w:pPr>
        <w:ind w:left="922" w:hanging="562"/>
        <w:rPr>
          <w:color w:val="231F20"/>
          <w:lang w:val="es-ES"/>
        </w:rPr>
      </w:pPr>
      <w:r w:rsidRPr="00F22672">
        <w:rPr>
          <w:lang w:val="es-ES"/>
        </w:rPr>
        <w:sym w:font="Symbol" w:char="F0B7"/>
      </w:r>
      <w:r w:rsidRPr="00F22672">
        <w:rPr>
          <w:noProof/>
          <w:lang w:val="es-ES"/>
        </w:rPr>
        <w:tab/>
      </w:r>
      <w:r w:rsidR="00D429E9" w:rsidRPr="00F22672">
        <w:rPr>
          <w:color w:val="231F20"/>
          <w:lang w:val="es-ES"/>
        </w:rPr>
        <w:t xml:space="preserve">Deberá utilizar un lugar diferente cada vez que se autoadministre una inyección al menos </w:t>
      </w:r>
      <w:r w:rsidR="00467745" w:rsidRPr="00F22672">
        <w:rPr>
          <w:color w:val="231F20"/>
          <w:lang w:val="es-ES"/>
        </w:rPr>
        <w:t xml:space="preserve">a </w:t>
      </w:r>
      <w:r w:rsidR="00D429E9" w:rsidRPr="00F22672">
        <w:rPr>
          <w:color w:val="231F20"/>
          <w:lang w:val="es-ES"/>
        </w:rPr>
        <w:t>tres centímetros de la zona que utilizó en su inyección anterior.</w:t>
      </w:r>
    </w:p>
    <w:p w14:paraId="38A7FC3C" w14:textId="77777777" w:rsidR="00D429E9" w:rsidRPr="00F22672" w:rsidRDefault="00D429E9" w:rsidP="00D429E9">
      <w:pPr>
        <w:ind w:left="360"/>
        <w:rPr>
          <w:b/>
          <w:noProof/>
          <w:lang w:val="es-ES"/>
        </w:rPr>
      </w:pPr>
    </w:p>
    <w:p w14:paraId="1F844D62" w14:textId="77777777" w:rsidR="00D429E9" w:rsidRPr="00F22672" w:rsidRDefault="000F12C4" w:rsidP="000F12C4">
      <w:pPr>
        <w:ind w:left="922" w:hanging="562"/>
        <w:rPr>
          <w:lang w:val="es-ES"/>
        </w:rPr>
      </w:pPr>
      <w:r w:rsidRPr="00F22672">
        <w:rPr>
          <w:lang w:val="es-ES"/>
        </w:rPr>
        <w:sym w:font="Symbol" w:char="F0B7"/>
      </w:r>
      <w:r w:rsidRPr="00F22672">
        <w:rPr>
          <w:lang w:val="es-ES"/>
        </w:rPr>
        <w:tab/>
      </w:r>
      <w:r w:rsidR="00D429E9" w:rsidRPr="00F22672">
        <w:rPr>
          <w:lang w:val="es-ES"/>
        </w:rPr>
        <w:t xml:space="preserve">No lo inyecte en zonas </w:t>
      </w:r>
      <w:r w:rsidR="00072646" w:rsidRPr="00F22672">
        <w:rPr>
          <w:lang w:val="es-ES"/>
        </w:rPr>
        <w:t xml:space="preserve">en las </w:t>
      </w:r>
      <w:r w:rsidR="00D429E9" w:rsidRPr="00F22672">
        <w:rPr>
          <w:lang w:val="es-ES"/>
        </w:rPr>
        <w:t xml:space="preserve">que pueda </w:t>
      </w:r>
      <w:r w:rsidR="00072646" w:rsidRPr="00F22672">
        <w:rPr>
          <w:lang w:val="es-ES"/>
        </w:rPr>
        <w:t>estorbarle</w:t>
      </w:r>
      <w:r w:rsidR="00D429E9" w:rsidRPr="00F22672">
        <w:rPr>
          <w:lang w:val="es-ES"/>
        </w:rPr>
        <w:t xml:space="preserve"> </w:t>
      </w:r>
      <w:r w:rsidR="00072646" w:rsidRPr="00F22672">
        <w:rPr>
          <w:lang w:val="es-ES"/>
        </w:rPr>
        <w:t>el</w:t>
      </w:r>
      <w:r w:rsidR="00D429E9" w:rsidRPr="00F22672">
        <w:rPr>
          <w:lang w:val="es-ES"/>
        </w:rPr>
        <w:t xml:space="preserve"> cinturón</w:t>
      </w:r>
      <w:r w:rsidR="00D90008" w:rsidRPr="00F22672">
        <w:rPr>
          <w:lang w:val="es-ES"/>
        </w:rPr>
        <w:t xml:space="preserve"> o cinturilla</w:t>
      </w:r>
      <w:r w:rsidR="00D429E9" w:rsidRPr="00F22672">
        <w:rPr>
          <w:lang w:val="es-ES"/>
        </w:rPr>
        <w:t xml:space="preserve">. No lo inyecte en lunares, cicatrices, </w:t>
      </w:r>
      <w:r w:rsidR="00072646" w:rsidRPr="00F22672">
        <w:rPr>
          <w:lang w:val="es-ES"/>
        </w:rPr>
        <w:t>mora</w:t>
      </w:r>
      <w:r w:rsidR="00D429E9" w:rsidRPr="00F22672">
        <w:rPr>
          <w:lang w:val="es-ES"/>
        </w:rPr>
        <w:t>tones, o en zonas donde la piel esté sensible, roja, dura o no intacta.</w:t>
      </w:r>
    </w:p>
    <w:p w14:paraId="31997C4C" w14:textId="77777777" w:rsidR="00D429E9" w:rsidRPr="00F22672" w:rsidRDefault="00D429E9" w:rsidP="00D429E9">
      <w:pPr>
        <w:ind w:left="360"/>
        <w:rPr>
          <w:color w:val="231F20"/>
          <w:lang w:val="es-ES"/>
        </w:rPr>
      </w:pPr>
    </w:p>
    <w:p w14:paraId="68424553" w14:textId="12C40C20" w:rsidR="00D429E9" w:rsidRPr="00F22672" w:rsidRDefault="000F12C4" w:rsidP="000F12C4">
      <w:pPr>
        <w:ind w:left="922" w:hanging="562"/>
        <w:rPr>
          <w:lang w:val="es-ES"/>
        </w:rPr>
      </w:pPr>
      <w:r w:rsidRPr="00F22672">
        <w:rPr>
          <w:lang w:val="es-ES"/>
        </w:rPr>
        <w:sym w:font="Symbol" w:char="F0B7"/>
      </w:r>
      <w:r w:rsidRPr="00F22672">
        <w:rPr>
          <w:lang w:val="es-ES"/>
        </w:rPr>
        <w:tab/>
      </w:r>
      <w:r w:rsidR="00D429E9" w:rsidRPr="00F22672">
        <w:rPr>
          <w:lang w:val="es-ES"/>
        </w:rPr>
        <w:t>Limpie la zona</w:t>
      </w:r>
      <w:ins w:id="2752" w:author="AUTHOR">
        <w:r w:rsidR="00806EEE">
          <w:rPr>
            <w:lang w:val="es-ES"/>
          </w:rPr>
          <w:t xml:space="preserve"> de inyección escogida</w:t>
        </w:r>
      </w:ins>
      <w:r w:rsidR="00D429E9" w:rsidRPr="00F22672">
        <w:rPr>
          <w:lang w:val="es-ES"/>
        </w:rPr>
        <w:t xml:space="preserve"> utilizando </w:t>
      </w:r>
      <w:r w:rsidR="003125D7" w:rsidRPr="00F22672">
        <w:rPr>
          <w:lang w:val="es-ES"/>
        </w:rPr>
        <w:t xml:space="preserve">una toallita impregnada en </w:t>
      </w:r>
      <w:r w:rsidR="00072646" w:rsidRPr="00F22672">
        <w:rPr>
          <w:lang w:val="es-ES"/>
        </w:rPr>
        <w:t xml:space="preserve">alcohol </w:t>
      </w:r>
      <w:r w:rsidR="00D429E9" w:rsidRPr="00F22672">
        <w:rPr>
          <w:lang w:val="es-ES"/>
        </w:rPr>
        <w:t>(</w:t>
      </w:r>
      <w:r w:rsidR="00FB5B46">
        <w:rPr>
          <w:lang w:val="es-ES"/>
        </w:rPr>
        <w:t>V</w:t>
      </w:r>
      <w:r w:rsidR="00D429E9" w:rsidRPr="00F22672">
        <w:rPr>
          <w:lang w:val="es-ES"/>
        </w:rPr>
        <w:t xml:space="preserve">er </w:t>
      </w:r>
      <w:r w:rsidR="00FB5B46">
        <w:rPr>
          <w:lang w:val="es-ES"/>
        </w:rPr>
        <w:t>F</w:t>
      </w:r>
      <w:r w:rsidR="00D429E9" w:rsidRPr="00F22672">
        <w:rPr>
          <w:lang w:val="es-ES"/>
        </w:rPr>
        <w:t>ig</w:t>
      </w:r>
      <w:r w:rsidR="00FB5B46">
        <w:rPr>
          <w:lang w:val="es-ES"/>
        </w:rPr>
        <w:t>.</w:t>
      </w:r>
      <w:r w:rsidR="00D429E9" w:rsidRPr="00F22672">
        <w:rPr>
          <w:lang w:val="es-ES"/>
        </w:rPr>
        <w:t xml:space="preserve"> C), para reducir el riesgo de infección.</w:t>
      </w:r>
    </w:p>
    <w:p w14:paraId="516A7990" w14:textId="77777777" w:rsidR="00D429E9" w:rsidRPr="00F22672" w:rsidRDefault="00D429E9" w:rsidP="00D429E9">
      <w:pPr>
        <w:rPr>
          <w:color w:val="231F20"/>
          <w:lang w:val="es-ES"/>
        </w:rPr>
      </w:pPr>
    </w:p>
    <w:p w14:paraId="7CC65F2D" w14:textId="56E62979" w:rsidR="00D429E9" w:rsidRPr="00F22672" w:rsidRDefault="008D4CEB" w:rsidP="00D429E9">
      <w:pPr>
        <w:rPr>
          <w:noProof/>
        </w:rPr>
      </w:pPr>
      <w:r w:rsidRPr="00F22672">
        <w:rPr>
          <w:noProof/>
          <w:lang w:eastAsia="en-US"/>
        </w:rPr>
        <w:drawing>
          <wp:inline distT="0" distB="0" distL="0" distR="0" wp14:anchorId="1F9E9D4B" wp14:editId="7377D2FD">
            <wp:extent cx="2343150" cy="18288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613E47B1" w14:textId="77777777" w:rsidR="00D429E9" w:rsidRPr="00F22672" w:rsidRDefault="00D429E9" w:rsidP="00D429E9">
      <w:pPr>
        <w:rPr>
          <w:noProof/>
        </w:rPr>
      </w:pPr>
    </w:p>
    <w:p w14:paraId="2D51455E" w14:textId="77777777" w:rsidR="00D429E9" w:rsidRPr="00F22672" w:rsidRDefault="000F12C4" w:rsidP="00372209">
      <w:pPr>
        <w:ind w:left="1282" w:hanging="562"/>
        <w:rPr>
          <w:noProof/>
          <w:lang w:val="es-ES"/>
        </w:rPr>
      </w:pPr>
      <w:r w:rsidRPr="00F22672">
        <w:rPr>
          <w:lang w:val="es-ES"/>
        </w:rPr>
        <w:sym w:font="Symbol" w:char="F0B7"/>
      </w:r>
      <w:r w:rsidRPr="00F22672">
        <w:rPr>
          <w:noProof/>
          <w:lang w:val="es-ES"/>
        </w:rPr>
        <w:tab/>
      </w:r>
      <w:r w:rsidR="00D429E9" w:rsidRPr="00F22672">
        <w:rPr>
          <w:noProof/>
          <w:lang w:val="es-ES"/>
        </w:rPr>
        <w:t xml:space="preserve">Deje secar la piel </w:t>
      </w:r>
      <w:r w:rsidR="00D330E6" w:rsidRPr="00F22672">
        <w:rPr>
          <w:noProof/>
          <w:lang w:val="es-ES"/>
        </w:rPr>
        <w:t>durante</w:t>
      </w:r>
      <w:r w:rsidR="00D429E9" w:rsidRPr="00F22672">
        <w:rPr>
          <w:noProof/>
          <w:lang w:val="es-ES"/>
        </w:rPr>
        <w:t xml:space="preserve"> aproximadamente 10 segundos.</w:t>
      </w:r>
    </w:p>
    <w:p w14:paraId="21DEE87D" w14:textId="77777777" w:rsidR="00D429E9" w:rsidRPr="00F22672" w:rsidRDefault="000F12C4" w:rsidP="00372209">
      <w:pPr>
        <w:ind w:left="1282" w:hanging="562"/>
        <w:rPr>
          <w:noProof/>
          <w:lang w:val="es-ES"/>
        </w:rPr>
      </w:pPr>
      <w:r w:rsidRPr="00F22672">
        <w:rPr>
          <w:lang w:val="es-ES"/>
        </w:rPr>
        <w:sym w:font="Symbol" w:char="F0B7"/>
      </w:r>
      <w:r w:rsidRPr="00F22672">
        <w:rPr>
          <w:noProof/>
          <w:lang w:val="es-ES"/>
        </w:rPr>
        <w:tab/>
      </w:r>
      <w:r w:rsidR="00D429E9" w:rsidRPr="00F22672">
        <w:rPr>
          <w:noProof/>
          <w:lang w:val="es-ES"/>
        </w:rPr>
        <w:t>Aseg</w:t>
      </w:r>
      <w:r w:rsidR="00B920FA">
        <w:rPr>
          <w:noProof/>
          <w:lang w:val="es-ES"/>
        </w:rPr>
        <w:t>ú</w:t>
      </w:r>
      <w:r w:rsidR="00D429E9" w:rsidRPr="00F22672">
        <w:rPr>
          <w:noProof/>
          <w:lang w:val="es-ES"/>
        </w:rPr>
        <w:t xml:space="preserve">rese de no tocar el </w:t>
      </w:r>
      <w:r w:rsidR="00B920FA">
        <w:rPr>
          <w:noProof/>
          <w:lang w:val="es-ES"/>
        </w:rPr>
        <w:t>á</w:t>
      </w:r>
      <w:r w:rsidR="00D429E9" w:rsidRPr="00F22672">
        <w:rPr>
          <w:noProof/>
          <w:lang w:val="es-ES"/>
        </w:rPr>
        <w:t>rea limpia antes de la inyecci</w:t>
      </w:r>
      <w:r w:rsidR="00B920FA">
        <w:rPr>
          <w:noProof/>
          <w:lang w:val="es-ES"/>
        </w:rPr>
        <w:t>ó</w:t>
      </w:r>
      <w:r w:rsidR="00D429E9" w:rsidRPr="00F22672">
        <w:rPr>
          <w:noProof/>
          <w:lang w:val="es-ES"/>
        </w:rPr>
        <w:t>n. No abanique ni sople en la zona limpia.</w:t>
      </w:r>
    </w:p>
    <w:p w14:paraId="7F89C5DE" w14:textId="77777777" w:rsidR="00D429E9" w:rsidRPr="00F22672" w:rsidRDefault="00D429E9" w:rsidP="00D429E9">
      <w:pPr>
        <w:rPr>
          <w:noProof/>
          <w:lang w:val="es-ES"/>
        </w:rPr>
      </w:pPr>
    </w:p>
    <w:p w14:paraId="6378DA45" w14:textId="77777777" w:rsidR="00D429E9" w:rsidRPr="00F22672" w:rsidRDefault="00D429E9" w:rsidP="00D429E9">
      <w:pPr>
        <w:rPr>
          <w:noProof/>
          <w:lang w:val="es-ES"/>
        </w:rPr>
      </w:pPr>
      <w:r w:rsidRPr="00F22672">
        <w:rPr>
          <w:b/>
          <w:noProof/>
          <w:lang w:val="es-ES"/>
        </w:rPr>
        <w:t>Paso 5</w:t>
      </w:r>
      <w:r w:rsidRPr="00F22672">
        <w:rPr>
          <w:noProof/>
          <w:lang w:val="es-ES"/>
        </w:rPr>
        <w:t xml:space="preserve">. </w:t>
      </w:r>
      <w:r w:rsidR="00127353" w:rsidRPr="00F22672">
        <w:rPr>
          <w:b/>
          <w:noProof/>
          <w:lang w:val="es-ES"/>
        </w:rPr>
        <w:t xml:space="preserve">Retire </w:t>
      </w:r>
      <w:r w:rsidRPr="00F22672">
        <w:rPr>
          <w:b/>
          <w:noProof/>
          <w:lang w:val="es-ES"/>
        </w:rPr>
        <w:t>el tap</w:t>
      </w:r>
      <w:r w:rsidR="00127353" w:rsidRPr="00F22672">
        <w:rPr>
          <w:b/>
          <w:noProof/>
          <w:lang w:val="es-ES"/>
        </w:rPr>
        <w:t>ó</w:t>
      </w:r>
      <w:r w:rsidRPr="00F22672">
        <w:rPr>
          <w:b/>
          <w:noProof/>
          <w:lang w:val="es-ES"/>
        </w:rPr>
        <w:t>n de la aguja</w:t>
      </w:r>
      <w:r w:rsidRPr="00F22672">
        <w:rPr>
          <w:noProof/>
          <w:lang w:val="es-ES"/>
        </w:rPr>
        <w:t xml:space="preserve"> </w:t>
      </w:r>
    </w:p>
    <w:p w14:paraId="2E5A7663" w14:textId="77777777" w:rsidR="00D429E9" w:rsidRPr="00F22672" w:rsidRDefault="00D429E9" w:rsidP="00D429E9">
      <w:pPr>
        <w:rPr>
          <w:noProof/>
          <w:lang w:val="es-ES"/>
        </w:rPr>
      </w:pPr>
    </w:p>
    <w:p w14:paraId="5F7C8E54" w14:textId="77777777" w:rsidR="00D429E9" w:rsidRPr="00F22672" w:rsidRDefault="00372209" w:rsidP="00372209">
      <w:pPr>
        <w:ind w:left="922" w:hanging="562"/>
        <w:rPr>
          <w:noProof/>
          <w:lang w:val="es-ES"/>
        </w:rPr>
      </w:pPr>
      <w:r w:rsidRPr="00F22672">
        <w:rPr>
          <w:lang w:val="es-ES"/>
        </w:rPr>
        <w:sym w:font="Symbol" w:char="F0B7"/>
      </w:r>
      <w:r w:rsidRPr="00F22672">
        <w:rPr>
          <w:noProof/>
          <w:lang w:val="es-ES"/>
        </w:rPr>
        <w:tab/>
      </w:r>
      <w:r w:rsidR="00D429E9" w:rsidRPr="00F22672">
        <w:rPr>
          <w:noProof/>
          <w:lang w:val="es-ES"/>
        </w:rPr>
        <w:t xml:space="preserve">No sujete la jeringa por el </w:t>
      </w:r>
      <w:r w:rsidR="00EE7A5D" w:rsidRPr="00F22672">
        <w:rPr>
          <w:noProof/>
          <w:lang w:val="es-ES"/>
        </w:rPr>
        <w:t>émbolo</w:t>
      </w:r>
      <w:r w:rsidR="00D429E9" w:rsidRPr="00F22672">
        <w:rPr>
          <w:noProof/>
          <w:lang w:val="es-ES"/>
        </w:rPr>
        <w:t xml:space="preserve"> mientras </w:t>
      </w:r>
      <w:r w:rsidR="009246E4" w:rsidRPr="00F22672">
        <w:rPr>
          <w:noProof/>
          <w:lang w:val="es-ES"/>
        </w:rPr>
        <w:t xml:space="preserve">retira </w:t>
      </w:r>
      <w:r w:rsidR="00D429E9" w:rsidRPr="00F22672">
        <w:rPr>
          <w:noProof/>
          <w:lang w:val="es-ES"/>
        </w:rPr>
        <w:t>el tapón de la aguja.</w:t>
      </w:r>
    </w:p>
    <w:p w14:paraId="486D089A" w14:textId="77777777" w:rsidR="00D429E9" w:rsidRPr="00F22672" w:rsidRDefault="00372209" w:rsidP="00372209">
      <w:pPr>
        <w:ind w:left="922" w:hanging="562"/>
        <w:rPr>
          <w:lang w:val="es-ES"/>
        </w:rPr>
      </w:pPr>
      <w:r w:rsidRPr="00F22672">
        <w:rPr>
          <w:lang w:val="es-ES"/>
        </w:rPr>
        <w:lastRenderedPageBreak/>
        <w:sym w:font="Symbol" w:char="F0B7"/>
      </w:r>
      <w:r w:rsidRPr="00F22672">
        <w:rPr>
          <w:noProof/>
          <w:lang w:val="es-ES"/>
        </w:rPr>
        <w:tab/>
      </w:r>
      <w:r w:rsidR="00D429E9" w:rsidRPr="00F22672">
        <w:rPr>
          <w:color w:val="231F20"/>
          <w:lang w:val="es-ES"/>
        </w:rPr>
        <w:t xml:space="preserve">Sujete firmemente </w:t>
      </w:r>
      <w:r w:rsidR="00811780" w:rsidRPr="00F22672">
        <w:rPr>
          <w:color w:val="231F20"/>
          <w:lang w:val="es-ES"/>
        </w:rPr>
        <w:t xml:space="preserve">el protector de la </w:t>
      </w:r>
      <w:r w:rsidR="00D429E9" w:rsidRPr="00F22672">
        <w:rPr>
          <w:color w:val="231F20"/>
          <w:lang w:val="es-ES"/>
        </w:rPr>
        <w:t>jeringa</w:t>
      </w:r>
      <w:r w:rsidR="00F115A4" w:rsidRPr="00F22672">
        <w:rPr>
          <w:color w:val="231F20"/>
          <w:lang w:val="es-ES"/>
        </w:rPr>
        <w:t xml:space="preserve"> </w:t>
      </w:r>
      <w:r w:rsidR="00D429E9" w:rsidRPr="00F22672">
        <w:rPr>
          <w:color w:val="231F20"/>
          <w:lang w:val="es-ES"/>
        </w:rPr>
        <w:t xml:space="preserve">con una mano, y retire el tapón de la aguja con la otra mano. (Ver </w:t>
      </w:r>
      <w:r w:rsidR="00FB5B46">
        <w:rPr>
          <w:color w:val="231F20"/>
          <w:lang w:val="es-ES"/>
        </w:rPr>
        <w:t>F</w:t>
      </w:r>
      <w:r w:rsidR="00D429E9" w:rsidRPr="00F22672">
        <w:rPr>
          <w:color w:val="231F20"/>
          <w:lang w:val="es-ES"/>
        </w:rPr>
        <w:t xml:space="preserve">ig. D). Si no puede </w:t>
      </w:r>
      <w:r w:rsidR="009246E4" w:rsidRPr="00F22672">
        <w:rPr>
          <w:color w:val="231F20"/>
          <w:lang w:val="es-ES"/>
        </w:rPr>
        <w:t xml:space="preserve">retirar </w:t>
      </w:r>
      <w:r w:rsidR="00D429E9" w:rsidRPr="00F22672">
        <w:rPr>
          <w:color w:val="231F20"/>
          <w:lang w:val="es-ES"/>
        </w:rPr>
        <w:t xml:space="preserve">el tapón de la aguja usted deberá solicitar ayuda a su cuidador o contactar con su </w:t>
      </w:r>
      <w:r w:rsidR="00D90008" w:rsidRPr="00F22672">
        <w:rPr>
          <w:color w:val="231F20"/>
          <w:lang w:val="es-ES"/>
        </w:rPr>
        <w:t>profesional sanitario</w:t>
      </w:r>
      <w:r w:rsidR="00D429E9" w:rsidRPr="00F22672">
        <w:rPr>
          <w:color w:val="231F20"/>
          <w:lang w:val="es-ES"/>
        </w:rPr>
        <w:t>.</w:t>
      </w:r>
    </w:p>
    <w:p w14:paraId="19EFDEDA" w14:textId="77777777" w:rsidR="00D429E9" w:rsidRPr="00F22672" w:rsidRDefault="00D429E9" w:rsidP="00D429E9">
      <w:pPr>
        <w:rPr>
          <w:lang w:val="es-ES"/>
        </w:rPr>
      </w:pPr>
    </w:p>
    <w:p w14:paraId="2245220C" w14:textId="7C915646" w:rsidR="00D429E9" w:rsidRPr="00F22672" w:rsidRDefault="008D4CEB" w:rsidP="00D429E9">
      <w:pPr>
        <w:rPr>
          <w:noProof/>
        </w:rPr>
      </w:pPr>
      <w:r w:rsidRPr="00F22672">
        <w:rPr>
          <w:noProof/>
          <w:lang w:eastAsia="en-US"/>
        </w:rPr>
        <w:drawing>
          <wp:inline distT="0" distB="0" distL="0" distR="0" wp14:anchorId="23051419" wp14:editId="0A3DB690">
            <wp:extent cx="2343150" cy="18192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inline>
        </w:drawing>
      </w:r>
    </w:p>
    <w:p w14:paraId="5137D976" w14:textId="77777777" w:rsidR="00D429E9" w:rsidRPr="00F22672" w:rsidRDefault="00D429E9" w:rsidP="00D429E9">
      <w:pPr>
        <w:rPr>
          <w:noProof/>
        </w:rPr>
      </w:pPr>
    </w:p>
    <w:p w14:paraId="669E590F" w14:textId="77777777" w:rsidR="000E017E" w:rsidRDefault="00372209" w:rsidP="00F30AB8">
      <w:pPr>
        <w:ind w:left="851" w:hanging="491"/>
        <w:rPr>
          <w:noProof/>
          <w:lang w:val="es-ES"/>
        </w:rPr>
      </w:pPr>
      <w:r w:rsidRPr="00F22672">
        <w:rPr>
          <w:lang w:val="es-ES"/>
        </w:rPr>
        <w:sym w:font="Symbol" w:char="F0B7"/>
      </w:r>
      <w:r w:rsidRPr="00F22672">
        <w:rPr>
          <w:noProof/>
          <w:lang w:val="es-ES"/>
        </w:rPr>
        <w:tab/>
      </w:r>
      <w:r w:rsidR="00D429E9" w:rsidRPr="00F22672">
        <w:rPr>
          <w:noProof/>
          <w:lang w:val="es-ES"/>
        </w:rPr>
        <w:t xml:space="preserve">No toque la aguja ni deje que toque </w:t>
      </w:r>
      <w:r w:rsidR="00F115A4" w:rsidRPr="00F22672">
        <w:rPr>
          <w:noProof/>
          <w:lang w:val="es-ES"/>
        </w:rPr>
        <w:t>ninguna</w:t>
      </w:r>
      <w:r w:rsidR="00D429E9" w:rsidRPr="00F22672">
        <w:rPr>
          <w:noProof/>
          <w:lang w:val="es-ES"/>
        </w:rPr>
        <w:t xml:space="preserve"> superficie.</w:t>
      </w:r>
      <w:r w:rsidR="000E017E" w:rsidRPr="000E017E">
        <w:rPr>
          <w:noProof/>
          <w:lang w:val="es-ES"/>
        </w:rPr>
        <w:t xml:space="preserve"> </w:t>
      </w:r>
    </w:p>
    <w:p w14:paraId="63CB8271" w14:textId="77777777" w:rsidR="000E017E" w:rsidRPr="00F22672" w:rsidRDefault="000E017E" w:rsidP="00F30AB8">
      <w:pPr>
        <w:numPr>
          <w:ilvl w:val="0"/>
          <w:numId w:val="135"/>
        </w:numPr>
        <w:ind w:left="851" w:hanging="491"/>
        <w:rPr>
          <w:noProof/>
          <w:lang w:val="es-ES"/>
        </w:rPr>
      </w:pPr>
      <w:r w:rsidRPr="000E017E">
        <w:rPr>
          <w:noProof/>
          <w:lang w:val="es-ES"/>
        </w:rPr>
        <w:t>Es posible que haya una pequeña burbuja de aire en la jeringa precargada de RoActemra.No hace falta que la saque.</w:t>
      </w:r>
    </w:p>
    <w:p w14:paraId="11581BC5" w14:textId="77777777" w:rsidR="00D429E9" w:rsidRPr="00F22672" w:rsidRDefault="00372209" w:rsidP="00F30AB8">
      <w:pPr>
        <w:ind w:left="851" w:hanging="491"/>
        <w:rPr>
          <w:noProof/>
          <w:lang w:val="es-ES"/>
        </w:rPr>
      </w:pPr>
      <w:r w:rsidRPr="00F22672">
        <w:rPr>
          <w:lang w:val="es-ES"/>
        </w:rPr>
        <w:sym w:font="Symbol" w:char="F0B7"/>
      </w:r>
      <w:r w:rsidRPr="00F22672">
        <w:rPr>
          <w:noProof/>
          <w:lang w:val="es-ES"/>
        </w:rPr>
        <w:tab/>
      </w:r>
      <w:r w:rsidR="00F115A4" w:rsidRPr="00F22672">
        <w:rPr>
          <w:noProof/>
          <w:lang w:val="es-ES"/>
        </w:rPr>
        <w:t>Usted puede ver una gota de lí</w:t>
      </w:r>
      <w:r w:rsidR="00D429E9" w:rsidRPr="00F22672">
        <w:rPr>
          <w:noProof/>
          <w:lang w:val="es-ES"/>
        </w:rPr>
        <w:t>quido al final de la aguja. Esto es normal.</w:t>
      </w:r>
    </w:p>
    <w:p w14:paraId="7C2E0B8F" w14:textId="77777777" w:rsidR="00D429E9" w:rsidRPr="00F22672" w:rsidRDefault="00372209" w:rsidP="00F30AB8">
      <w:pPr>
        <w:ind w:left="851" w:hanging="491"/>
        <w:rPr>
          <w:noProof/>
          <w:lang w:val="es-ES"/>
        </w:rPr>
      </w:pPr>
      <w:r w:rsidRPr="00F22672">
        <w:rPr>
          <w:lang w:val="es-ES"/>
        </w:rPr>
        <w:sym w:font="Symbol" w:char="F0B7"/>
      </w:r>
      <w:r w:rsidRPr="00F22672">
        <w:rPr>
          <w:noProof/>
          <w:lang w:val="es-ES"/>
        </w:rPr>
        <w:tab/>
      </w:r>
      <w:r w:rsidR="00D429E9" w:rsidRPr="00F22672">
        <w:rPr>
          <w:noProof/>
          <w:lang w:val="es-ES"/>
        </w:rPr>
        <w:t>Tire el tapón de la aguja en e</w:t>
      </w:r>
      <w:r w:rsidR="00F115A4" w:rsidRPr="00F22672">
        <w:rPr>
          <w:noProof/>
          <w:lang w:val="es-ES"/>
        </w:rPr>
        <w:t>l</w:t>
      </w:r>
      <w:r w:rsidR="00F115A4" w:rsidRPr="00F22672">
        <w:rPr>
          <w:lang w:val="es-ES_tradnl"/>
        </w:rPr>
        <w:t xml:space="preserve"> contenedor para objetos punzantes</w:t>
      </w:r>
      <w:r w:rsidR="00D429E9" w:rsidRPr="00F22672">
        <w:rPr>
          <w:noProof/>
          <w:lang w:val="es-ES"/>
        </w:rPr>
        <w:t>.</w:t>
      </w:r>
    </w:p>
    <w:p w14:paraId="0D7E7998" w14:textId="77777777" w:rsidR="00D429E9" w:rsidRPr="00F22672" w:rsidRDefault="00D429E9" w:rsidP="00D429E9">
      <w:pPr>
        <w:rPr>
          <w:noProof/>
          <w:lang w:val="es-ES"/>
        </w:rPr>
      </w:pPr>
    </w:p>
    <w:p w14:paraId="480B6D72" w14:textId="77777777" w:rsidR="00D429E9" w:rsidRPr="00F22672" w:rsidRDefault="00D429E9" w:rsidP="00D429E9">
      <w:pPr>
        <w:rPr>
          <w:noProof/>
          <w:lang w:val="es-ES"/>
        </w:rPr>
      </w:pPr>
      <w:r w:rsidRPr="00F22672">
        <w:rPr>
          <w:noProof/>
          <w:lang w:val="es-ES"/>
        </w:rPr>
        <w:t xml:space="preserve">NOTA: una vez </w:t>
      </w:r>
      <w:r w:rsidR="00127353" w:rsidRPr="00F22672">
        <w:rPr>
          <w:noProof/>
          <w:lang w:val="es-ES"/>
        </w:rPr>
        <w:t xml:space="preserve">retirado </w:t>
      </w:r>
      <w:r w:rsidRPr="00F22672">
        <w:rPr>
          <w:noProof/>
          <w:lang w:val="es-ES"/>
        </w:rPr>
        <w:t>el tapón de la aguja, la jeringa debe utilizarse inmediatamente.</w:t>
      </w:r>
    </w:p>
    <w:p w14:paraId="79729536" w14:textId="77777777" w:rsidR="00D429E9" w:rsidRPr="00F22672" w:rsidRDefault="00D429E9" w:rsidP="00D429E9">
      <w:pPr>
        <w:rPr>
          <w:noProof/>
          <w:lang w:val="es-ES"/>
        </w:rPr>
      </w:pPr>
    </w:p>
    <w:p w14:paraId="3BD340EA" w14:textId="77777777" w:rsidR="00227498" w:rsidRPr="00F22672" w:rsidRDefault="00372209" w:rsidP="00227498">
      <w:pPr>
        <w:ind w:left="922" w:hanging="562"/>
        <w:rPr>
          <w:noProof/>
          <w:lang w:val="es-ES"/>
        </w:rPr>
      </w:pPr>
      <w:r w:rsidRPr="00F22672">
        <w:rPr>
          <w:lang w:val="es-ES"/>
        </w:rPr>
        <w:sym w:font="Symbol" w:char="F0B7"/>
      </w:r>
      <w:r w:rsidRPr="00F22672">
        <w:rPr>
          <w:noProof/>
          <w:lang w:val="es-ES"/>
        </w:rPr>
        <w:tab/>
      </w:r>
      <w:r w:rsidR="00D429E9" w:rsidRPr="00F22672">
        <w:rPr>
          <w:noProof/>
          <w:lang w:val="es-ES"/>
        </w:rPr>
        <w:t xml:space="preserve">Si </w:t>
      </w:r>
      <w:r w:rsidR="00227498" w:rsidRPr="00F22672">
        <w:rPr>
          <w:noProof/>
          <w:lang w:val="es-ES"/>
        </w:rPr>
        <w:t xml:space="preserve">una vez retirado el tapón de la aguja </w:t>
      </w:r>
      <w:r w:rsidR="00D429E9" w:rsidRPr="00F22672">
        <w:rPr>
          <w:noProof/>
          <w:lang w:val="es-ES"/>
        </w:rPr>
        <w:t>no se ut</w:t>
      </w:r>
      <w:r w:rsidR="00221278" w:rsidRPr="00F22672">
        <w:rPr>
          <w:noProof/>
          <w:lang w:val="es-ES"/>
        </w:rPr>
        <w:t>i</w:t>
      </w:r>
      <w:r w:rsidR="00D429E9" w:rsidRPr="00F22672">
        <w:rPr>
          <w:noProof/>
          <w:lang w:val="es-ES"/>
        </w:rPr>
        <w:t xml:space="preserve">liza en </w:t>
      </w:r>
      <w:r w:rsidR="00227498" w:rsidRPr="00F22672">
        <w:rPr>
          <w:noProof/>
          <w:lang w:val="es-ES"/>
        </w:rPr>
        <w:t xml:space="preserve">los </w:t>
      </w:r>
      <w:r w:rsidR="00D429E9" w:rsidRPr="00F22672">
        <w:rPr>
          <w:noProof/>
          <w:lang w:val="es-ES"/>
        </w:rPr>
        <w:t>5 minutos</w:t>
      </w:r>
      <w:r w:rsidR="00B62C7A" w:rsidRPr="00F22672">
        <w:rPr>
          <w:noProof/>
          <w:lang w:val="es-ES"/>
        </w:rPr>
        <w:t xml:space="preserve"> </w:t>
      </w:r>
      <w:r w:rsidR="00227498" w:rsidRPr="00F22672">
        <w:rPr>
          <w:noProof/>
          <w:lang w:val="es-ES"/>
        </w:rPr>
        <w:t>siguientes</w:t>
      </w:r>
      <w:r w:rsidR="00D429E9" w:rsidRPr="00F22672">
        <w:rPr>
          <w:noProof/>
          <w:lang w:val="es-ES"/>
        </w:rPr>
        <w:t>, la jerin</w:t>
      </w:r>
      <w:r w:rsidR="00F115A4" w:rsidRPr="00F22672">
        <w:rPr>
          <w:noProof/>
          <w:lang w:val="es-ES"/>
        </w:rPr>
        <w:t>g</w:t>
      </w:r>
      <w:r w:rsidR="00D429E9" w:rsidRPr="00F22672">
        <w:rPr>
          <w:noProof/>
          <w:lang w:val="es-ES"/>
        </w:rPr>
        <w:t>a debe ser eliminada en el</w:t>
      </w:r>
      <w:r w:rsidR="00F115A4" w:rsidRPr="00F22672">
        <w:rPr>
          <w:lang w:val="es-ES_tradnl"/>
        </w:rPr>
        <w:t xml:space="preserve"> contenedor para objetos punzantes</w:t>
      </w:r>
      <w:r w:rsidR="00D429E9" w:rsidRPr="00F22672">
        <w:rPr>
          <w:noProof/>
          <w:lang w:val="es-ES"/>
        </w:rPr>
        <w:t xml:space="preserve"> y se debe utilizar una nueva jeringa</w:t>
      </w:r>
      <w:r w:rsidR="001B772D" w:rsidRPr="00F22672">
        <w:rPr>
          <w:noProof/>
          <w:lang w:val="es-ES"/>
        </w:rPr>
        <w:t>.</w:t>
      </w:r>
      <w:r w:rsidR="00227498" w:rsidRPr="00F22672">
        <w:rPr>
          <w:noProof/>
          <w:lang w:val="es-ES"/>
        </w:rPr>
        <w:t xml:space="preserve"> Si una vez retirado el tapón de la aguja </w:t>
      </w:r>
      <w:r w:rsidR="00B920FA">
        <w:rPr>
          <w:noProof/>
          <w:lang w:val="es-ES"/>
        </w:rPr>
        <w:t>é</w:t>
      </w:r>
      <w:r w:rsidR="00227498" w:rsidRPr="00F22672">
        <w:rPr>
          <w:noProof/>
          <w:lang w:val="es-ES"/>
        </w:rPr>
        <w:t>sta no se usa en los 5 minutos siguientes, puede ser más difícil realizar la inyección ya que el medicamento puede secarse y bloquear la aguja.</w:t>
      </w:r>
    </w:p>
    <w:p w14:paraId="326E1412" w14:textId="77777777" w:rsidR="00D429E9" w:rsidRPr="00F22672" w:rsidRDefault="00D429E9" w:rsidP="00372209">
      <w:pPr>
        <w:ind w:left="922" w:hanging="562"/>
        <w:rPr>
          <w:noProof/>
          <w:lang w:val="es-ES"/>
        </w:rPr>
      </w:pPr>
    </w:p>
    <w:p w14:paraId="4404BFD2" w14:textId="77777777" w:rsidR="00D429E9" w:rsidRPr="00F22672" w:rsidRDefault="00372209" w:rsidP="00372209">
      <w:pPr>
        <w:ind w:left="922" w:hanging="562"/>
        <w:rPr>
          <w:noProof/>
          <w:lang w:val="es-ES"/>
        </w:rPr>
      </w:pPr>
      <w:r w:rsidRPr="00F22672">
        <w:rPr>
          <w:lang w:val="es-ES"/>
        </w:rPr>
        <w:sym w:font="Symbol" w:char="F0B7"/>
      </w:r>
      <w:r w:rsidRPr="00F22672">
        <w:rPr>
          <w:noProof/>
          <w:lang w:val="es-ES"/>
        </w:rPr>
        <w:tab/>
      </w:r>
      <w:r w:rsidR="00D429E9" w:rsidRPr="00F22672">
        <w:rPr>
          <w:noProof/>
          <w:lang w:val="es-ES"/>
        </w:rPr>
        <w:t>Nunca vuelva a colo</w:t>
      </w:r>
      <w:r w:rsidR="00F115A4" w:rsidRPr="00F22672">
        <w:rPr>
          <w:noProof/>
          <w:lang w:val="es-ES"/>
        </w:rPr>
        <w:t>car el tapón de la aguja despué</w:t>
      </w:r>
      <w:r w:rsidR="00D429E9" w:rsidRPr="00F22672">
        <w:rPr>
          <w:noProof/>
          <w:lang w:val="es-ES"/>
        </w:rPr>
        <w:t xml:space="preserve">s de </w:t>
      </w:r>
      <w:r w:rsidR="00127353" w:rsidRPr="00F22672">
        <w:rPr>
          <w:noProof/>
          <w:lang w:val="es-ES"/>
        </w:rPr>
        <w:t>retirarlo</w:t>
      </w:r>
      <w:r w:rsidR="00D429E9" w:rsidRPr="00F22672">
        <w:rPr>
          <w:noProof/>
          <w:lang w:val="es-ES"/>
        </w:rPr>
        <w:t>.</w:t>
      </w:r>
    </w:p>
    <w:p w14:paraId="053FA77F" w14:textId="77777777" w:rsidR="00D429E9" w:rsidRPr="00F22672" w:rsidRDefault="00D429E9" w:rsidP="00D429E9">
      <w:pPr>
        <w:rPr>
          <w:noProof/>
          <w:lang w:val="es-ES"/>
        </w:rPr>
      </w:pPr>
    </w:p>
    <w:p w14:paraId="76095C32" w14:textId="77777777" w:rsidR="00D429E9" w:rsidRPr="00F22672" w:rsidRDefault="00D429E9" w:rsidP="00467EAA">
      <w:pPr>
        <w:keepNext/>
        <w:keepLines/>
        <w:rPr>
          <w:b/>
          <w:lang w:val="es-ES"/>
        </w:rPr>
      </w:pPr>
      <w:r w:rsidRPr="00F22672">
        <w:rPr>
          <w:b/>
          <w:lang w:val="es-ES"/>
        </w:rPr>
        <w:t>Paso 6. Administre la inyección</w:t>
      </w:r>
    </w:p>
    <w:p w14:paraId="6022D8AF" w14:textId="77777777" w:rsidR="00D429E9" w:rsidRPr="00F22672" w:rsidRDefault="00D429E9" w:rsidP="00467EAA">
      <w:pPr>
        <w:keepNext/>
        <w:keepLines/>
        <w:rPr>
          <w:lang w:val="es-ES"/>
        </w:rPr>
      </w:pPr>
    </w:p>
    <w:p w14:paraId="33DF886B" w14:textId="77777777" w:rsidR="00D429E9" w:rsidRPr="00F22672" w:rsidRDefault="00372209" w:rsidP="00467EAA">
      <w:pPr>
        <w:keepNext/>
        <w:keepLines/>
        <w:ind w:left="922" w:hanging="562"/>
        <w:rPr>
          <w:lang w:val="es-ES"/>
        </w:rPr>
      </w:pPr>
      <w:r w:rsidRPr="00F22672">
        <w:rPr>
          <w:lang w:val="es-ES"/>
        </w:rPr>
        <w:sym w:font="Symbol" w:char="F0B7"/>
      </w:r>
      <w:r w:rsidRPr="00F22672">
        <w:rPr>
          <w:noProof/>
          <w:lang w:val="es-ES"/>
        </w:rPr>
        <w:tab/>
      </w:r>
      <w:r w:rsidR="00D429E9" w:rsidRPr="00F22672">
        <w:rPr>
          <w:lang w:val="es-ES"/>
        </w:rPr>
        <w:t>Sujete la jeringa cómodamente en sus manos.</w:t>
      </w:r>
    </w:p>
    <w:p w14:paraId="2181385B" w14:textId="77777777" w:rsidR="00D429E9" w:rsidRPr="00F22672" w:rsidRDefault="00372209" w:rsidP="00097C58">
      <w:pPr>
        <w:keepNext/>
        <w:keepLines/>
        <w:ind w:left="918" w:hanging="561"/>
        <w:rPr>
          <w:lang w:val="es-ES"/>
        </w:rPr>
      </w:pPr>
      <w:r w:rsidRPr="00F22672">
        <w:rPr>
          <w:lang w:val="es-ES"/>
        </w:rPr>
        <w:sym w:font="Symbol" w:char="F0B7"/>
      </w:r>
      <w:r w:rsidRPr="00F22672">
        <w:rPr>
          <w:noProof/>
          <w:lang w:val="es-ES"/>
        </w:rPr>
        <w:tab/>
      </w:r>
      <w:r w:rsidR="00D429E9" w:rsidRPr="00F22672">
        <w:rPr>
          <w:lang w:val="es-ES"/>
        </w:rPr>
        <w:t xml:space="preserve">Para estar seguros que la aguja puede insertarse correctamente en su piel, </w:t>
      </w:r>
      <w:r w:rsidR="00D90008" w:rsidRPr="00F22672">
        <w:rPr>
          <w:lang w:val="es-ES"/>
        </w:rPr>
        <w:t>pellizque</w:t>
      </w:r>
      <w:r w:rsidR="00D429E9" w:rsidRPr="00F22672">
        <w:rPr>
          <w:lang w:val="es-ES"/>
        </w:rPr>
        <w:t xml:space="preserve"> un pliegue de piel suelta en el lugar limpio de la inyección con su mano libre. </w:t>
      </w:r>
      <w:r w:rsidR="00D90008" w:rsidRPr="00F22672">
        <w:rPr>
          <w:lang w:val="es-ES"/>
        </w:rPr>
        <w:t xml:space="preserve">Pellizcar </w:t>
      </w:r>
      <w:r w:rsidR="00D429E9" w:rsidRPr="00F22672">
        <w:rPr>
          <w:lang w:val="es-ES"/>
        </w:rPr>
        <w:t>la piel es importante para asegurar que usted inyecta bajo su piel (en el tejido graso) pero no más profund</w:t>
      </w:r>
      <w:r w:rsidR="00F115A4" w:rsidRPr="00F22672">
        <w:rPr>
          <w:lang w:val="es-ES"/>
        </w:rPr>
        <w:t>amente</w:t>
      </w:r>
      <w:r w:rsidR="00D429E9" w:rsidRPr="00F22672">
        <w:rPr>
          <w:lang w:val="es-ES"/>
        </w:rPr>
        <w:t xml:space="preserve"> (en el</w:t>
      </w:r>
      <w:r w:rsidR="00F115A4" w:rsidRPr="00F22672">
        <w:rPr>
          <w:lang w:val="es-ES"/>
        </w:rPr>
        <w:t xml:space="preserve"> músculo). La inyección en el mú</w:t>
      </w:r>
      <w:r w:rsidR="00D429E9" w:rsidRPr="00F22672">
        <w:rPr>
          <w:lang w:val="es-ES"/>
        </w:rPr>
        <w:t>sculo podría resultar una inyección inc</w:t>
      </w:r>
      <w:r w:rsidR="00221278" w:rsidRPr="00F22672">
        <w:rPr>
          <w:lang w:val="es-ES"/>
        </w:rPr>
        <w:t>ó</w:t>
      </w:r>
      <w:r w:rsidR="00D429E9" w:rsidRPr="00F22672">
        <w:rPr>
          <w:lang w:val="es-ES"/>
        </w:rPr>
        <w:t>moda.</w:t>
      </w:r>
    </w:p>
    <w:p w14:paraId="755BB979" w14:textId="77777777" w:rsidR="00D429E9" w:rsidRPr="00F22672" w:rsidRDefault="00372209" w:rsidP="00372209">
      <w:pPr>
        <w:ind w:left="922" w:hanging="562"/>
        <w:rPr>
          <w:lang w:val="es-ES"/>
        </w:rPr>
      </w:pPr>
      <w:r w:rsidRPr="00F22672">
        <w:rPr>
          <w:lang w:val="es-ES"/>
        </w:rPr>
        <w:sym w:font="Symbol" w:char="F0B7"/>
      </w:r>
      <w:r w:rsidRPr="00F22672">
        <w:rPr>
          <w:noProof/>
          <w:lang w:val="es-ES"/>
        </w:rPr>
        <w:tab/>
      </w:r>
      <w:r w:rsidR="00D429E9" w:rsidRPr="00F22672">
        <w:rPr>
          <w:lang w:val="es-ES"/>
        </w:rPr>
        <w:t xml:space="preserve">No sostenga ni empuje el </w:t>
      </w:r>
      <w:r w:rsidR="00F115A4" w:rsidRPr="00F22672">
        <w:rPr>
          <w:lang w:val="es-ES"/>
        </w:rPr>
        <w:t>émbolo</w:t>
      </w:r>
      <w:r w:rsidR="00D429E9" w:rsidRPr="00F22672">
        <w:rPr>
          <w:lang w:val="es-ES"/>
        </w:rPr>
        <w:t xml:space="preserve"> mientras inserta la aguja en la piel.</w:t>
      </w:r>
    </w:p>
    <w:p w14:paraId="5AE73C8F" w14:textId="77777777" w:rsidR="00D429E9" w:rsidRPr="00F22672" w:rsidRDefault="00372209" w:rsidP="00372209">
      <w:pPr>
        <w:ind w:left="922" w:hanging="562"/>
        <w:rPr>
          <w:lang w:val="es-ES"/>
        </w:rPr>
      </w:pPr>
      <w:r w:rsidRPr="00F22672">
        <w:rPr>
          <w:lang w:val="es-ES"/>
        </w:rPr>
        <w:sym w:font="Symbol" w:char="F0B7"/>
      </w:r>
      <w:r w:rsidRPr="00F22672">
        <w:rPr>
          <w:noProof/>
          <w:lang w:val="es-ES"/>
        </w:rPr>
        <w:tab/>
      </w:r>
      <w:r w:rsidR="00D429E9" w:rsidRPr="00F22672">
        <w:rPr>
          <w:lang w:val="es-ES"/>
        </w:rPr>
        <w:t>Inserte la aguja completamente en el pliegue de piel en un ángulo de entre 45º a 90 º con un movimiento rápido y firme</w:t>
      </w:r>
      <w:r w:rsidR="007863E0" w:rsidRPr="00F22672">
        <w:rPr>
          <w:lang w:val="es-ES"/>
        </w:rPr>
        <w:t xml:space="preserve"> </w:t>
      </w:r>
      <w:r w:rsidR="007863E0" w:rsidRPr="00F22672">
        <w:rPr>
          <w:color w:val="231F20"/>
          <w:lang w:val="es-ES"/>
        </w:rPr>
        <w:t xml:space="preserve">(Ver </w:t>
      </w:r>
      <w:r w:rsidR="006E0A1A">
        <w:rPr>
          <w:color w:val="231F20"/>
          <w:lang w:val="es-ES"/>
        </w:rPr>
        <w:t>F</w:t>
      </w:r>
      <w:r w:rsidR="007863E0" w:rsidRPr="00F22672">
        <w:rPr>
          <w:color w:val="231F20"/>
          <w:lang w:val="es-ES"/>
        </w:rPr>
        <w:t>ig. E)</w:t>
      </w:r>
      <w:r w:rsidR="00D429E9" w:rsidRPr="00F22672">
        <w:rPr>
          <w:lang w:val="es-ES"/>
        </w:rPr>
        <w:t>.</w:t>
      </w:r>
    </w:p>
    <w:p w14:paraId="740B1F79" w14:textId="77777777" w:rsidR="00D429E9" w:rsidRPr="00F22672" w:rsidRDefault="00D429E9" w:rsidP="00D429E9">
      <w:pPr>
        <w:ind w:left="720"/>
        <w:rPr>
          <w:b/>
          <w:lang w:val="es-ES"/>
        </w:rPr>
      </w:pPr>
    </w:p>
    <w:p w14:paraId="69C369E1" w14:textId="6012589E" w:rsidR="00D429E9" w:rsidRPr="00F22672" w:rsidRDefault="008D4CEB" w:rsidP="00D429E9">
      <w:pPr>
        <w:rPr>
          <w:noProof/>
        </w:rPr>
      </w:pPr>
      <w:r w:rsidRPr="00F22672">
        <w:rPr>
          <w:noProof/>
          <w:lang w:eastAsia="en-US"/>
        </w:rPr>
        <w:drawing>
          <wp:inline distT="0" distB="0" distL="0" distR="0" wp14:anchorId="14E0D25C" wp14:editId="27A42B00">
            <wp:extent cx="2343150" cy="18192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43150" cy="1819275"/>
                    </a:xfrm>
                    <a:prstGeom prst="rect">
                      <a:avLst/>
                    </a:prstGeom>
                    <a:noFill/>
                    <a:ln>
                      <a:noFill/>
                    </a:ln>
                  </pic:spPr>
                </pic:pic>
              </a:graphicData>
            </a:graphic>
          </wp:inline>
        </w:drawing>
      </w:r>
    </w:p>
    <w:p w14:paraId="08C1BF93" w14:textId="77777777" w:rsidR="00D429E9" w:rsidRPr="00F22672" w:rsidRDefault="00D429E9" w:rsidP="00D429E9">
      <w:pPr>
        <w:rPr>
          <w:noProof/>
        </w:rPr>
      </w:pPr>
    </w:p>
    <w:p w14:paraId="0BDF0DEC" w14:textId="77777777" w:rsidR="00D429E9" w:rsidRPr="00F22672" w:rsidRDefault="00D429E9" w:rsidP="0078290D">
      <w:pPr>
        <w:keepNext/>
        <w:rPr>
          <w:noProof/>
          <w:lang w:val="es-ES"/>
        </w:rPr>
      </w:pPr>
      <w:r w:rsidRPr="00F22672">
        <w:rPr>
          <w:noProof/>
          <w:lang w:val="es-ES"/>
        </w:rPr>
        <w:lastRenderedPageBreak/>
        <w:t>Es importante elegir el ángulo correcto para asegurarse que el medicamento se libera debajo de la piel (en el tejido graso), de</w:t>
      </w:r>
      <w:r w:rsidR="00F115A4" w:rsidRPr="00F22672">
        <w:rPr>
          <w:noProof/>
          <w:lang w:val="es-ES"/>
        </w:rPr>
        <w:t xml:space="preserve"> lo contrario la inyección podrí</w:t>
      </w:r>
      <w:r w:rsidRPr="00F22672">
        <w:rPr>
          <w:noProof/>
          <w:lang w:val="es-ES"/>
        </w:rPr>
        <w:t>a se</w:t>
      </w:r>
      <w:r w:rsidR="00221278" w:rsidRPr="00F22672">
        <w:rPr>
          <w:noProof/>
          <w:lang w:val="es-ES"/>
        </w:rPr>
        <w:t>r</w:t>
      </w:r>
      <w:r w:rsidRPr="00F22672">
        <w:rPr>
          <w:noProof/>
          <w:lang w:val="es-ES"/>
        </w:rPr>
        <w:t xml:space="preserve"> dolorosa y el medicamento puede no </w:t>
      </w:r>
      <w:r w:rsidR="00D90008" w:rsidRPr="00F22672">
        <w:rPr>
          <w:noProof/>
          <w:lang w:val="es-ES"/>
        </w:rPr>
        <w:t>actuar</w:t>
      </w:r>
      <w:r w:rsidRPr="00F22672">
        <w:rPr>
          <w:noProof/>
          <w:lang w:val="es-ES"/>
        </w:rPr>
        <w:t>.</w:t>
      </w:r>
    </w:p>
    <w:p w14:paraId="0725CDF6" w14:textId="77777777" w:rsidR="00D429E9" w:rsidRPr="00F22672" w:rsidRDefault="00D429E9" w:rsidP="0078290D">
      <w:pPr>
        <w:keepNext/>
        <w:rPr>
          <w:noProof/>
          <w:lang w:val="es-ES"/>
        </w:rPr>
      </w:pPr>
    </w:p>
    <w:p w14:paraId="505B04D2" w14:textId="77777777" w:rsidR="00D429E9" w:rsidRPr="00F22672" w:rsidRDefault="00372209" w:rsidP="006616E4">
      <w:pPr>
        <w:keepNext/>
        <w:keepLines/>
        <w:ind w:left="918" w:hanging="561"/>
        <w:rPr>
          <w:noProof/>
          <w:lang w:val="es-ES"/>
        </w:rPr>
      </w:pPr>
      <w:r w:rsidRPr="00F22672">
        <w:rPr>
          <w:lang w:val="es-ES"/>
        </w:rPr>
        <w:sym w:font="Symbol" w:char="F0B7"/>
      </w:r>
      <w:r w:rsidRPr="00F22672">
        <w:rPr>
          <w:noProof/>
          <w:lang w:val="es-ES"/>
        </w:rPr>
        <w:tab/>
      </w:r>
      <w:r w:rsidR="00D429E9" w:rsidRPr="00F22672">
        <w:rPr>
          <w:noProof/>
          <w:lang w:val="es-ES"/>
        </w:rPr>
        <w:t>Después mantenga la jeringa en posición y suelte el pliegue de piel.</w:t>
      </w:r>
    </w:p>
    <w:p w14:paraId="4ED4DDCE" w14:textId="77777777" w:rsidR="00D429E9" w:rsidRPr="00F22672" w:rsidRDefault="00372209" w:rsidP="006616E4">
      <w:pPr>
        <w:keepNext/>
        <w:keepLines/>
        <w:ind w:left="918" w:hanging="561"/>
        <w:rPr>
          <w:noProof/>
          <w:lang w:val="es-ES"/>
        </w:rPr>
      </w:pPr>
      <w:r w:rsidRPr="00F22672">
        <w:rPr>
          <w:lang w:val="es-ES"/>
        </w:rPr>
        <w:sym w:font="Symbol" w:char="F0B7"/>
      </w:r>
      <w:r w:rsidRPr="00F22672">
        <w:rPr>
          <w:noProof/>
          <w:lang w:val="es-ES"/>
        </w:rPr>
        <w:tab/>
      </w:r>
      <w:r w:rsidR="00D429E9" w:rsidRPr="00F22672">
        <w:rPr>
          <w:noProof/>
          <w:lang w:val="es-ES"/>
        </w:rPr>
        <w:t xml:space="preserve">Inyecte </w:t>
      </w:r>
      <w:r w:rsidR="00822BC0" w:rsidRPr="00F22672">
        <w:rPr>
          <w:noProof/>
          <w:lang w:val="es-ES"/>
        </w:rPr>
        <w:t xml:space="preserve">lentamente todo el medicamento </w:t>
      </w:r>
      <w:r w:rsidR="00D429E9" w:rsidRPr="00F22672">
        <w:rPr>
          <w:noProof/>
          <w:lang w:val="es-ES"/>
        </w:rPr>
        <w:t>empuj</w:t>
      </w:r>
      <w:r w:rsidR="001E221A" w:rsidRPr="00F22672">
        <w:rPr>
          <w:noProof/>
          <w:lang w:val="es-ES"/>
        </w:rPr>
        <w:t>ando lentamente el é</w:t>
      </w:r>
      <w:r w:rsidR="00D429E9" w:rsidRPr="00F22672">
        <w:rPr>
          <w:noProof/>
          <w:lang w:val="es-ES"/>
        </w:rPr>
        <w:t xml:space="preserve">mbolo hasta el fondo (Ver </w:t>
      </w:r>
      <w:r w:rsidR="006E0A1A">
        <w:rPr>
          <w:noProof/>
          <w:lang w:val="es-ES"/>
        </w:rPr>
        <w:t>F</w:t>
      </w:r>
      <w:r w:rsidR="00D429E9" w:rsidRPr="00F22672">
        <w:rPr>
          <w:noProof/>
          <w:lang w:val="es-ES"/>
        </w:rPr>
        <w:t>ig</w:t>
      </w:r>
      <w:r w:rsidR="006E0A1A">
        <w:rPr>
          <w:noProof/>
          <w:lang w:val="es-ES"/>
        </w:rPr>
        <w:t>.</w:t>
      </w:r>
      <w:r w:rsidR="00D429E9" w:rsidRPr="00F22672">
        <w:rPr>
          <w:noProof/>
          <w:lang w:val="es-ES"/>
        </w:rPr>
        <w:t xml:space="preserve"> F). Debe presionar el émbolo hasta el fondo para asegurarse que se administra toda la dosis de medicamento y para asegurarse que </w:t>
      </w:r>
      <w:r w:rsidR="00D429E9" w:rsidRPr="00F22672">
        <w:rPr>
          <w:lang w:val="es-ES"/>
        </w:rPr>
        <w:t xml:space="preserve">los clips de activación del protector </w:t>
      </w:r>
      <w:r w:rsidR="00715724" w:rsidRPr="00F22672">
        <w:rPr>
          <w:lang w:val="es-ES"/>
        </w:rPr>
        <w:t>de la jeringa</w:t>
      </w:r>
      <w:r w:rsidR="00221278" w:rsidRPr="00F22672">
        <w:rPr>
          <w:noProof/>
          <w:lang w:val="es-ES"/>
        </w:rPr>
        <w:t xml:space="preserve"> está</w:t>
      </w:r>
      <w:r w:rsidR="00D429E9" w:rsidRPr="00F22672">
        <w:rPr>
          <w:noProof/>
          <w:lang w:val="es-ES"/>
        </w:rPr>
        <w:t>n completamente empujados hacia</w:t>
      </w:r>
      <w:r w:rsidR="001E221A" w:rsidRPr="00F22672">
        <w:rPr>
          <w:noProof/>
          <w:lang w:val="es-ES"/>
        </w:rPr>
        <w:t xml:space="preserve"> el </w:t>
      </w:r>
      <w:r w:rsidR="00D90008" w:rsidRPr="00F22672">
        <w:rPr>
          <w:noProof/>
          <w:lang w:val="es-ES"/>
        </w:rPr>
        <w:t>lateral</w:t>
      </w:r>
      <w:r w:rsidR="001E221A" w:rsidRPr="00F22672">
        <w:rPr>
          <w:noProof/>
          <w:lang w:val="es-ES"/>
        </w:rPr>
        <w:t>. Si el é</w:t>
      </w:r>
      <w:r w:rsidR="00D429E9" w:rsidRPr="00F22672">
        <w:rPr>
          <w:noProof/>
          <w:lang w:val="es-ES"/>
        </w:rPr>
        <w:t>mbolo no est</w:t>
      </w:r>
      <w:r w:rsidR="00B920FA">
        <w:rPr>
          <w:noProof/>
          <w:lang w:val="es-ES"/>
        </w:rPr>
        <w:t>á</w:t>
      </w:r>
      <w:r w:rsidR="00D429E9" w:rsidRPr="00F22672">
        <w:rPr>
          <w:noProof/>
          <w:lang w:val="es-ES"/>
        </w:rPr>
        <w:t xml:space="preserve"> </w:t>
      </w:r>
      <w:r w:rsidR="001E221A" w:rsidRPr="00F22672">
        <w:rPr>
          <w:noProof/>
          <w:lang w:val="es-ES"/>
        </w:rPr>
        <w:t>presionado</w:t>
      </w:r>
      <w:r w:rsidR="00D429E9" w:rsidRPr="00F22672">
        <w:rPr>
          <w:noProof/>
          <w:lang w:val="es-ES"/>
        </w:rPr>
        <w:t xml:space="preserve"> completamente</w:t>
      </w:r>
      <w:r w:rsidR="001E221A" w:rsidRPr="00F22672">
        <w:rPr>
          <w:noProof/>
          <w:lang w:val="es-ES"/>
        </w:rPr>
        <w:t>,</w:t>
      </w:r>
      <w:r w:rsidR="00D429E9" w:rsidRPr="00F22672">
        <w:rPr>
          <w:noProof/>
          <w:lang w:val="es-ES"/>
        </w:rPr>
        <w:t xml:space="preserve"> </w:t>
      </w:r>
      <w:r w:rsidR="001E221A" w:rsidRPr="00F22672">
        <w:rPr>
          <w:noProof/>
          <w:lang w:val="es-ES"/>
        </w:rPr>
        <w:t>el protector</w:t>
      </w:r>
      <w:r w:rsidR="00D429E9" w:rsidRPr="00F22672">
        <w:rPr>
          <w:noProof/>
          <w:lang w:val="es-ES"/>
        </w:rPr>
        <w:t xml:space="preserve"> de la aguja no se extenderá para cubrir la aguja cuando se </w:t>
      </w:r>
      <w:r w:rsidR="00127353" w:rsidRPr="00F22672">
        <w:rPr>
          <w:noProof/>
          <w:lang w:val="es-ES"/>
        </w:rPr>
        <w:t>retire</w:t>
      </w:r>
      <w:r w:rsidR="00D429E9" w:rsidRPr="00F22672">
        <w:rPr>
          <w:noProof/>
          <w:lang w:val="es-ES"/>
        </w:rPr>
        <w:t>. Si la aguja no est</w:t>
      </w:r>
      <w:r w:rsidR="00B920FA">
        <w:rPr>
          <w:noProof/>
          <w:lang w:val="es-ES"/>
        </w:rPr>
        <w:t>á</w:t>
      </w:r>
      <w:r w:rsidR="00D429E9" w:rsidRPr="00F22672">
        <w:rPr>
          <w:noProof/>
          <w:lang w:val="es-ES"/>
        </w:rPr>
        <w:t xml:space="preserve"> cubierta, proceda </w:t>
      </w:r>
      <w:r w:rsidR="001E221A" w:rsidRPr="00F22672">
        <w:rPr>
          <w:noProof/>
          <w:lang w:val="es-ES"/>
        </w:rPr>
        <w:t xml:space="preserve">con cuidado, y coloque la jeringa en el </w:t>
      </w:r>
      <w:r w:rsidR="001E221A" w:rsidRPr="00F22672">
        <w:rPr>
          <w:lang w:val="es-ES_tradnl"/>
        </w:rPr>
        <w:t>contenedor para objetos punzantes</w:t>
      </w:r>
      <w:r w:rsidR="00D429E9" w:rsidRPr="00F22672">
        <w:rPr>
          <w:noProof/>
          <w:lang w:val="es-ES"/>
        </w:rPr>
        <w:t xml:space="preserve"> para evitar el daño con la aguja.</w:t>
      </w:r>
    </w:p>
    <w:p w14:paraId="574E08CB" w14:textId="77777777" w:rsidR="00D429E9" w:rsidRPr="00F22672" w:rsidRDefault="00D429E9" w:rsidP="00D429E9">
      <w:pPr>
        <w:rPr>
          <w:noProof/>
          <w:lang w:val="es-ES"/>
        </w:rPr>
      </w:pPr>
    </w:p>
    <w:p w14:paraId="67B42F3B" w14:textId="05215677" w:rsidR="00D429E9" w:rsidRPr="00F22672" w:rsidRDefault="008D4CEB" w:rsidP="00D429E9">
      <w:pPr>
        <w:rPr>
          <w:noProof/>
        </w:rPr>
      </w:pPr>
      <w:r w:rsidRPr="00F22672">
        <w:rPr>
          <w:noProof/>
          <w:lang w:eastAsia="en-US"/>
        </w:rPr>
        <w:drawing>
          <wp:inline distT="0" distB="0" distL="0" distR="0" wp14:anchorId="0FF2CDA5" wp14:editId="15980C6C">
            <wp:extent cx="2343150" cy="1828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0684E253" w14:textId="77777777" w:rsidR="00D429E9" w:rsidRPr="00F22672" w:rsidRDefault="00D429E9" w:rsidP="00D429E9">
      <w:pPr>
        <w:rPr>
          <w:noProof/>
        </w:rPr>
      </w:pPr>
    </w:p>
    <w:p w14:paraId="32EB2F3E" w14:textId="77777777" w:rsidR="00D429E9" w:rsidRPr="00F22672" w:rsidRDefault="00372209" w:rsidP="00372209">
      <w:pPr>
        <w:ind w:left="1325" w:hanging="562"/>
        <w:rPr>
          <w:noProof/>
          <w:lang w:val="es-ES"/>
        </w:rPr>
      </w:pPr>
      <w:r w:rsidRPr="00F22672">
        <w:rPr>
          <w:lang w:val="es-ES"/>
        </w:rPr>
        <w:sym w:font="Symbol" w:char="F0B7"/>
      </w:r>
      <w:r w:rsidRPr="00F22672">
        <w:rPr>
          <w:noProof/>
          <w:lang w:val="es-ES"/>
        </w:rPr>
        <w:tab/>
      </w:r>
      <w:r w:rsidR="001E221A" w:rsidRPr="00F22672">
        <w:rPr>
          <w:noProof/>
          <w:lang w:val="es-ES"/>
        </w:rPr>
        <w:t>Una vez que el é</w:t>
      </w:r>
      <w:r w:rsidR="00D429E9" w:rsidRPr="00F22672">
        <w:rPr>
          <w:noProof/>
          <w:lang w:val="es-ES"/>
        </w:rPr>
        <w:t>mbolo est</w:t>
      </w:r>
      <w:r w:rsidR="006E0A1A">
        <w:rPr>
          <w:noProof/>
          <w:lang w:val="es-ES"/>
        </w:rPr>
        <w:t>é</w:t>
      </w:r>
      <w:r w:rsidR="00D429E9" w:rsidRPr="00F22672">
        <w:rPr>
          <w:noProof/>
          <w:lang w:val="es-ES"/>
        </w:rPr>
        <w:t xml:space="preserve"> presionado hasta el fon</w:t>
      </w:r>
      <w:r w:rsidR="00221278" w:rsidRPr="00F22672">
        <w:rPr>
          <w:noProof/>
          <w:lang w:val="es-ES"/>
        </w:rPr>
        <w:t>do, manté</w:t>
      </w:r>
      <w:r w:rsidR="00D429E9" w:rsidRPr="00F22672">
        <w:rPr>
          <w:noProof/>
          <w:lang w:val="es-ES"/>
        </w:rPr>
        <w:t>ng</w:t>
      </w:r>
      <w:r w:rsidR="001E221A" w:rsidRPr="00F22672">
        <w:rPr>
          <w:noProof/>
          <w:lang w:val="es-ES"/>
        </w:rPr>
        <w:t>a</w:t>
      </w:r>
      <w:r w:rsidR="00756332" w:rsidRPr="00F22672">
        <w:rPr>
          <w:noProof/>
          <w:lang w:val="es-ES"/>
        </w:rPr>
        <w:t xml:space="preserve">lo </w:t>
      </w:r>
      <w:r w:rsidR="001E221A" w:rsidRPr="00F22672">
        <w:rPr>
          <w:noProof/>
          <w:lang w:val="es-ES"/>
        </w:rPr>
        <w:t>presionado</w:t>
      </w:r>
      <w:r w:rsidR="00D429E9" w:rsidRPr="00F22672">
        <w:rPr>
          <w:noProof/>
          <w:lang w:val="es-ES"/>
        </w:rPr>
        <w:t xml:space="preserve"> para asegurar</w:t>
      </w:r>
      <w:r w:rsidR="001E221A" w:rsidRPr="00F22672">
        <w:rPr>
          <w:noProof/>
          <w:lang w:val="es-ES"/>
        </w:rPr>
        <w:t>se</w:t>
      </w:r>
      <w:r w:rsidR="00D429E9" w:rsidRPr="00F22672">
        <w:rPr>
          <w:noProof/>
          <w:lang w:val="es-ES"/>
        </w:rPr>
        <w:t xml:space="preserve"> que todo el medicamento se inyecta antes de retirar la aguja de la piel.</w:t>
      </w:r>
    </w:p>
    <w:p w14:paraId="038033FF" w14:textId="77777777" w:rsidR="00D429E9" w:rsidRPr="00F22672" w:rsidRDefault="00372209" w:rsidP="00372209">
      <w:pPr>
        <w:ind w:left="1325" w:hanging="562"/>
        <w:rPr>
          <w:noProof/>
          <w:lang w:val="es-ES"/>
        </w:rPr>
      </w:pPr>
      <w:r w:rsidRPr="00F22672">
        <w:rPr>
          <w:lang w:val="es-ES"/>
        </w:rPr>
        <w:sym w:font="Symbol" w:char="F0B7"/>
      </w:r>
      <w:r w:rsidRPr="00F22672">
        <w:rPr>
          <w:noProof/>
          <w:lang w:val="es-ES"/>
        </w:rPr>
        <w:tab/>
      </w:r>
      <w:r w:rsidR="00355B4C" w:rsidRPr="00F22672">
        <w:rPr>
          <w:noProof/>
          <w:lang w:val="es-ES"/>
        </w:rPr>
        <w:t>Mantenga pulsado el é</w:t>
      </w:r>
      <w:r w:rsidR="00D429E9" w:rsidRPr="00F22672">
        <w:rPr>
          <w:noProof/>
          <w:lang w:val="es-ES"/>
        </w:rPr>
        <w:t>mbolo mientras saca l</w:t>
      </w:r>
      <w:r w:rsidR="00355B4C" w:rsidRPr="00F22672">
        <w:rPr>
          <w:noProof/>
          <w:lang w:val="es-ES"/>
        </w:rPr>
        <w:t>a aguja de la piel en el mismo á</w:t>
      </w:r>
      <w:r w:rsidR="00D429E9" w:rsidRPr="00F22672">
        <w:rPr>
          <w:noProof/>
          <w:lang w:val="es-ES"/>
        </w:rPr>
        <w:t xml:space="preserve">ngulo que lo insertó. (Ver </w:t>
      </w:r>
      <w:r w:rsidR="006E0A1A">
        <w:rPr>
          <w:noProof/>
          <w:lang w:val="es-ES"/>
        </w:rPr>
        <w:t>F</w:t>
      </w:r>
      <w:r w:rsidR="00D429E9" w:rsidRPr="00F22672">
        <w:rPr>
          <w:noProof/>
          <w:lang w:val="es-ES"/>
        </w:rPr>
        <w:t>ig</w:t>
      </w:r>
      <w:r w:rsidR="006E0A1A">
        <w:rPr>
          <w:noProof/>
          <w:lang w:val="es-ES"/>
        </w:rPr>
        <w:t>.</w:t>
      </w:r>
      <w:r w:rsidR="00D429E9" w:rsidRPr="00F22672">
        <w:rPr>
          <w:noProof/>
          <w:lang w:val="es-ES"/>
        </w:rPr>
        <w:t xml:space="preserve"> G)</w:t>
      </w:r>
      <w:r w:rsidR="003125D7" w:rsidRPr="00F22672">
        <w:rPr>
          <w:noProof/>
          <w:lang w:val="es-ES"/>
        </w:rPr>
        <w:t>.</w:t>
      </w:r>
    </w:p>
    <w:p w14:paraId="68576246" w14:textId="77777777" w:rsidR="00227498" w:rsidRPr="00F22672" w:rsidRDefault="008E6BF1" w:rsidP="00355332">
      <w:pPr>
        <w:keepNext/>
        <w:keepLines/>
        <w:ind w:left="1325" w:hanging="562"/>
        <w:rPr>
          <w:noProof/>
          <w:lang w:val="es-ES"/>
        </w:rPr>
      </w:pPr>
      <w:r w:rsidRPr="00F22672">
        <w:rPr>
          <w:lang w:val="es-ES"/>
        </w:rPr>
        <w:sym w:font="Symbol" w:char="F0B7"/>
      </w:r>
      <w:r w:rsidRPr="00F22672">
        <w:rPr>
          <w:noProof/>
          <w:lang w:val="es-ES"/>
        </w:rPr>
        <w:tab/>
      </w:r>
      <w:r w:rsidR="00227498" w:rsidRPr="00F22672">
        <w:rPr>
          <w:noProof/>
          <w:lang w:val="es-ES"/>
        </w:rPr>
        <w:t xml:space="preserve">Si después de insertar la aguja no puede presionar el émbolo, debe eliminar la jeringa precargada en un contenedor para objetos punzantes y utilizar una nueva jeringa </w:t>
      </w:r>
      <w:r w:rsidR="00D90008" w:rsidRPr="00F22672">
        <w:rPr>
          <w:noProof/>
          <w:lang w:val="es-ES"/>
        </w:rPr>
        <w:t xml:space="preserve">precargada </w:t>
      </w:r>
      <w:r w:rsidR="00227498" w:rsidRPr="00F22672">
        <w:rPr>
          <w:noProof/>
          <w:lang w:val="es-ES"/>
        </w:rPr>
        <w:t xml:space="preserve">(empezando de nuevo desde el paso 2). Si todavía tiene dificultad, deberá consultar a su </w:t>
      </w:r>
      <w:r w:rsidR="00D90008" w:rsidRPr="00F22672">
        <w:rPr>
          <w:noProof/>
          <w:lang w:val="es-ES"/>
        </w:rPr>
        <w:t>profesional sanitario</w:t>
      </w:r>
      <w:r w:rsidR="00227498" w:rsidRPr="00F22672">
        <w:rPr>
          <w:noProof/>
          <w:lang w:val="es-ES"/>
        </w:rPr>
        <w:t>.</w:t>
      </w:r>
    </w:p>
    <w:p w14:paraId="7B6210CF" w14:textId="77777777" w:rsidR="00D429E9" w:rsidRPr="00F22672" w:rsidRDefault="00D429E9" w:rsidP="00D429E9">
      <w:pPr>
        <w:ind w:left="770"/>
        <w:rPr>
          <w:noProof/>
          <w:lang w:val="es-ES"/>
        </w:rPr>
      </w:pPr>
    </w:p>
    <w:p w14:paraId="7C2BDF4A" w14:textId="1624C8D4" w:rsidR="00D429E9" w:rsidRPr="00F22672" w:rsidRDefault="008D4CEB" w:rsidP="00D429E9">
      <w:pPr>
        <w:rPr>
          <w:noProof/>
          <w:lang w:val="es-ES"/>
        </w:rPr>
      </w:pPr>
      <w:r w:rsidRPr="00F22672">
        <w:rPr>
          <w:noProof/>
          <w:lang w:eastAsia="en-US"/>
        </w:rPr>
        <w:drawing>
          <wp:inline distT="0" distB="0" distL="0" distR="0" wp14:anchorId="70C7EB96" wp14:editId="3C4DF7B6">
            <wp:extent cx="2343150" cy="1828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3A221118" w14:textId="77777777" w:rsidR="00D429E9" w:rsidRPr="00F22672" w:rsidRDefault="00D429E9" w:rsidP="00D429E9">
      <w:pPr>
        <w:rPr>
          <w:lang w:val="es-ES"/>
        </w:rPr>
      </w:pPr>
    </w:p>
    <w:p w14:paraId="47F69F42" w14:textId="77777777" w:rsidR="00D429E9" w:rsidRPr="00F22672" w:rsidRDefault="00372209" w:rsidP="00372209">
      <w:pPr>
        <w:ind w:left="1282" w:hanging="562"/>
        <w:rPr>
          <w:lang w:val="es-ES"/>
        </w:rPr>
      </w:pPr>
      <w:r w:rsidRPr="00F22672">
        <w:rPr>
          <w:lang w:val="es-ES"/>
        </w:rPr>
        <w:sym w:font="Symbol" w:char="F0B7"/>
      </w:r>
      <w:r w:rsidRPr="00F22672">
        <w:rPr>
          <w:noProof/>
          <w:lang w:val="es-ES"/>
        </w:rPr>
        <w:tab/>
      </w:r>
      <w:r w:rsidR="00D429E9" w:rsidRPr="00F22672">
        <w:rPr>
          <w:lang w:val="es-ES"/>
        </w:rPr>
        <w:t xml:space="preserve">Una vez que se retire completamente la aguja de la piel, usted puede soltar el </w:t>
      </w:r>
      <w:r w:rsidR="00355B4C" w:rsidRPr="00F22672">
        <w:rPr>
          <w:lang w:val="es-ES"/>
        </w:rPr>
        <w:t>é</w:t>
      </w:r>
      <w:r w:rsidR="00D429E9" w:rsidRPr="00F22672">
        <w:rPr>
          <w:lang w:val="es-ES"/>
        </w:rPr>
        <w:t>mbolo, permitiendo que el protector de la aguja proteja la aguja</w:t>
      </w:r>
      <w:r w:rsidR="001E221A" w:rsidRPr="00F22672">
        <w:rPr>
          <w:lang w:val="es-ES"/>
        </w:rPr>
        <w:t xml:space="preserve">. </w:t>
      </w:r>
      <w:r w:rsidR="00D429E9" w:rsidRPr="00F22672">
        <w:rPr>
          <w:lang w:val="es-ES"/>
        </w:rPr>
        <w:t xml:space="preserve">(Ver </w:t>
      </w:r>
      <w:r w:rsidR="006E0A1A">
        <w:rPr>
          <w:lang w:val="es-ES"/>
        </w:rPr>
        <w:t>F</w:t>
      </w:r>
      <w:r w:rsidR="00D429E9" w:rsidRPr="00F22672">
        <w:rPr>
          <w:lang w:val="es-ES"/>
        </w:rPr>
        <w:t>ig</w:t>
      </w:r>
      <w:r w:rsidR="006E0A1A">
        <w:rPr>
          <w:lang w:val="es-ES"/>
        </w:rPr>
        <w:t>.</w:t>
      </w:r>
      <w:r w:rsidR="00D429E9" w:rsidRPr="00F22672">
        <w:rPr>
          <w:lang w:val="es-ES"/>
        </w:rPr>
        <w:t xml:space="preserve"> H)</w:t>
      </w:r>
      <w:r w:rsidR="003125D7" w:rsidRPr="00F22672">
        <w:rPr>
          <w:lang w:val="es-ES"/>
        </w:rPr>
        <w:t>.</w:t>
      </w:r>
    </w:p>
    <w:p w14:paraId="5B488323" w14:textId="77777777" w:rsidR="00D429E9" w:rsidRPr="00F22672" w:rsidRDefault="00D429E9" w:rsidP="00D429E9">
      <w:pPr>
        <w:rPr>
          <w:lang w:val="es-ES"/>
        </w:rPr>
      </w:pPr>
    </w:p>
    <w:p w14:paraId="07DBBF98" w14:textId="164BE093" w:rsidR="00D429E9" w:rsidRPr="00FF2AFA" w:rsidRDefault="008D4CEB" w:rsidP="00D429E9">
      <w:pPr>
        <w:rPr>
          <w:noProof/>
          <w:lang w:val="es-ES"/>
        </w:rPr>
      </w:pPr>
      <w:r w:rsidRPr="00F22672">
        <w:rPr>
          <w:noProof/>
          <w:lang w:eastAsia="en-US"/>
        </w:rPr>
        <w:lastRenderedPageBreak/>
        <w:drawing>
          <wp:inline distT="0" distB="0" distL="0" distR="0" wp14:anchorId="40A5BF9F" wp14:editId="454F8270">
            <wp:extent cx="2343150" cy="18288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1451D096" w14:textId="77777777" w:rsidR="00466BEA" w:rsidRPr="00FF2AFA" w:rsidRDefault="00466BEA" w:rsidP="00D429E9">
      <w:pPr>
        <w:rPr>
          <w:noProof/>
          <w:lang w:val="es-ES"/>
        </w:rPr>
      </w:pPr>
    </w:p>
    <w:p w14:paraId="21BBBDF8" w14:textId="77777777" w:rsidR="00D429E9" w:rsidRPr="00F22672" w:rsidRDefault="00372209" w:rsidP="00372209">
      <w:pPr>
        <w:ind w:left="1282" w:hanging="562"/>
        <w:rPr>
          <w:lang w:val="es-ES"/>
        </w:rPr>
      </w:pPr>
      <w:r w:rsidRPr="00F22672">
        <w:rPr>
          <w:lang w:val="es-ES"/>
        </w:rPr>
        <w:sym w:font="Symbol" w:char="F0B7"/>
      </w:r>
      <w:r w:rsidRPr="00F22672">
        <w:rPr>
          <w:noProof/>
          <w:lang w:val="es-ES"/>
        </w:rPr>
        <w:tab/>
      </w:r>
      <w:r w:rsidR="00D429E9" w:rsidRPr="00F22672">
        <w:rPr>
          <w:noProof/>
          <w:lang w:val="es-ES"/>
        </w:rPr>
        <w:t>Si observa gotas de s</w:t>
      </w:r>
      <w:r w:rsidR="00355B4C" w:rsidRPr="00F22672">
        <w:rPr>
          <w:noProof/>
          <w:lang w:val="es-ES"/>
        </w:rPr>
        <w:t>angre en el lugar de la inyecció</w:t>
      </w:r>
      <w:r w:rsidR="00D429E9" w:rsidRPr="00F22672">
        <w:rPr>
          <w:noProof/>
          <w:lang w:val="es-ES"/>
        </w:rPr>
        <w:t>n, puede presionar</w:t>
      </w:r>
      <w:r w:rsidR="001E221A" w:rsidRPr="00F22672">
        <w:rPr>
          <w:noProof/>
          <w:lang w:val="es-ES"/>
        </w:rPr>
        <w:t xml:space="preserve"> el lugar de la inyección con </w:t>
      </w:r>
      <w:r w:rsidR="00D429E9" w:rsidRPr="00F22672">
        <w:rPr>
          <w:noProof/>
          <w:lang w:val="es-ES"/>
        </w:rPr>
        <w:t>un algod</w:t>
      </w:r>
      <w:r w:rsidR="001E221A" w:rsidRPr="00F22672">
        <w:rPr>
          <w:noProof/>
          <w:lang w:val="es-ES"/>
        </w:rPr>
        <w:t>ón esté</w:t>
      </w:r>
      <w:r w:rsidR="00D429E9" w:rsidRPr="00F22672">
        <w:rPr>
          <w:noProof/>
          <w:lang w:val="es-ES"/>
        </w:rPr>
        <w:t xml:space="preserve">ril o </w:t>
      </w:r>
      <w:r w:rsidR="001E221A" w:rsidRPr="00F22672">
        <w:rPr>
          <w:noProof/>
          <w:lang w:val="es-ES"/>
        </w:rPr>
        <w:t xml:space="preserve">una </w:t>
      </w:r>
      <w:r w:rsidR="00D429E9" w:rsidRPr="00F22672">
        <w:rPr>
          <w:noProof/>
          <w:lang w:val="es-ES"/>
        </w:rPr>
        <w:t>gasa durante aproximadamente 10 segundos</w:t>
      </w:r>
      <w:r w:rsidR="001E221A" w:rsidRPr="00F22672">
        <w:rPr>
          <w:noProof/>
          <w:lang w:val="es-ES"/>
        </w:rPr>
        <w:t>.</w:t>
      </w:r>
    </w:p>
    <w:p w14:paraId="3A73A4C4" w14:textId="77777777" w:rsidR="00D429E9" w:rsidRPr="00F22672" w:rsidRDefault="00372209" w:rsidP="00372209">
      <w:pPr>
        <w:ind w:left="1282" w:hanging="562"/>
        <w:rPr>
          <w:lang w:val="es-ES"/>
        </w:rPr>
      </w:pPr>
      <w:r w:rsidRPr="00F22672">
        <w:rPr>
          <w:lang w:val="es-ES"/>
        </w:rPr>
        <w:sym w:font="Symbol" w:char="F0B7"/>
      </w:r>
      <w:r w:rsidRPr="00F22672">
        <w:rPr>
          <w:noProof/>
          <w:lang w:val="es-ES"/>
        </w:rPr>
        <w:tab/>
      </w:r>
      <w:r w:rsidR="00D429E9" w:rsidRPr="00F22672">
        <w:rPr>
          <w:noProof/>
          <w:lang w:val="es-ES"/>
        </w:rPr>
        <w:t xml:space="preserve">No </w:t>
      </w:r>
      <w:r w:rsidR="00355B4C" w:rsidRPr="00F22672">
        <w:rPr>
          <w:noProof/>
          <w:lang w:val="es-ES"/>
        </w:rPr>
        <w:t>frote en el lugar de la inyecció</w:t>
      </w:r>
      <w:r w:rsidR="00D429E9" w:rsidRPr="00F22672">
        <w:rPr>
          <w:noProof/>
          <w:lang w:val="es-ES"/>
        </w:rPr>
        <w:t>n.</w:t>
      </w:r>
    </w:p>
    <w:p w14:paraId="0184CC99" w14:textId="77777777" w:rsidR="00D429E9" w:rsidRPr="00F22672" w:rsidRDefault="00D429E9" w:rsidP="00D429E9">
      <w:pPr>
        <w:rPr>
          <w:noProof/>
          <w:lang w:val="es-ES"/>
        </w:rPr>
      </w:pPr>
    </w:p>
    <w:p w14:paraId="5EA9B171" w14:textId="77777777" w:rsidR="00D429E9" w:rsidRPr="00F22672" w:rsidRDefault="00D429E9" w:rsidP="00D429E9">
      <w:pPr>
        <w:rPr>
          <w:b/>
          <w:lang w:val="es-ES"/>
        </w:rPr>
      </w:pPr>
      <w:r w:rsidRPr="00F22672">
        <w:rPr>
          <w:b/>
          <w:lang w:val="es-ES"/>
        </w:rPr>
        <w:t>Paso 7. Eliminación de la jeringa</w:t>
      </w:r>
    </w:p>
    <w:p w14:paraId="2F092E2B" w14:textId="77777777" w:rsidR="00D429E9" w:rsidRPr="00F22672" w:rsidRDefault="00D429E9" w:rsidP="00D429E9">
      <w:pPr>
        <w:ind w:left="720"/>
        <w:rPr>
          <w:lang w:val="es-ES"/>
        </w:rPr>
      </w:pPr>
    </w:p>
    <w:p w14:paraId="0E3CFF11" w14:textId="77777777" w:rsidR="00D429E9" w:rsidRPr="00F22672" w:rsidRDefault="00372209" w:rsidP="00372209">
      <w:pPr>
        <w:ind w:left="720"/>
        <w:rPr>
          <w:lang w:val="es-ES"/>
        </w:rPr>
      </w:pPr>
      <w:r w:rsidRPr="00F22672">
        <w:rPr>
          <w:lang w:val="es-ES"/>
        </w:rPr>
        <w:sym w:font="Symbol" w:char="F0B7"/>
      </w:r>
      <w:r w:rsidRPr="00F22672">
        <w:rPr>
          <w:noProof/>
          <w:lang w:val="es-ES"/>
        </w:rPr>
        <w:tab/>
      </w:r>
      <w:r w:rsidR="00D429E9" w:rsidRPr="00F22672">
        <w:rPr>
          <w:lang w:val="es-ES"/>
        </w:rPr>
        <w:t>No intente volver a tapar su jerin</w:t>
      </w:r>
      <w:r w:rsidR="00A350CC" w:rsidRPr="00F22672">
        <w:rPr>
          <w:lang w:val="es-ES"/>
        </w:rPr>
        <w:t>g</w:t>
      </w:r>
      <w:r w:rsidR="00D429E9" w:rsidRPr="00F22672">
        <w:rPr>
          <w:lang w:val="es-ES"/>
        </w:rPr>
        <w:t>a.</w:t>
      </w:r>
    </w:p>
    <w:p w14:paraId="5511E1AD" w14:textId="77777777" w:rsidR="00D429E9" w:rsidRPr="00F22672" w:rsidRDefault="00D429E9" w:rsidP="00D429E9">
      <w:pPr>
        <w:ind w:left="720"/>
        <w:rPr>
          <w:lang w:val="es-ES"/>
        </w:rPr>
      </w:pPr>
    </w:p>
    <w:p w14:paraId="2A0B9406" w14:textId="77777777" w:rsidR="00D429E9" w:rsidRPr="00F22672" w:rsidRDefault="00372209" w:rsidP="00372209">
      <w:pPr>
        <w:ind w:left="1282" w:hanging="562"/>
        <w:rPr>
          <w:lang w:val="es-ES"/>
        </w:rPr>
      </w:pPr>
      <w:r w:rsidRPr="00F22672">
        <w:rPr>
          <w:lang w:val="es-ES"/>
        </w:rPr>
        <w:sym w:font="Symbol" w:char="F0B7"/>
      </w:r>
      <w:r w:rsidRPr="00F22672">
        <w:rPr>
          <w:noProof/>
          <w:lang w:val="es-ES"/>
        </w:rPr>
        <w:tab/>
      </w:r>
      <w:r w:rsidR="00D429E9" w:rsidRPr="00F22672">
        <w:rPr>
          <w:lang w:val="es-ES"/>
        </w:rPr>
        <w:t>Tire las jeringas utilizadas en un</w:t>
      </w:r>
      <w:r w:rsidR="00A350CC" w:rsidRPr="00F22672">
        <w:rPr>
          <w:lang w:val="es-ES"/>
        </w:rPr>
        <w:t xml:space="preserve"> </w:t>
      </w:r>
      <w:r w:rsidR="00A350CC" w:rsidRPr="00F22672">
        <w:rPr>
          <w:lang w:val="es-ES_tradnl"/>
        </w:rPr>
        <w:t>contenedor para objetos punzantes</w:t>
      </w:r>
      <w:r w:rsidR="00A350CC" w:rsidRPr="00F22672">
        <w:rPr>
          <w:noProof/>
          <w:lang w:val="es-ES"/>
        </w:rPr>
        <w:t>.</w:t>
      </w:r>
      <w:r w:rsidR="00D429E9" w:rsidRPr="00F22672">
        <w:rPr>
          <w:lang w:val="es-ES"/>
        </w:rPr>
        <w:t xml:space="preserve"> Pregunte a su médico o farmacéutico para obtener información sobre d</w:t>
      </w:r>
      <w:r w:rsidR="006E0A1A">
        <w:rPr>
          <w:lang w:val="es-ES"/>
        </w:rPr>
        <w:t>ó</w:t>
      </w:r>
      <w:r w:rsidR="00D429E9" w:rsidRPr="00F22672">
        <w:rPr>
          <w:lang w:val="es-ES"/>
        </w:rPr>
        <w:t>nde puede conseguir un conten</w:t>
      </w:r>
      <w:r w:rsidR="006E0A1A">
        <w:rPr>
          <w:lang w:val="es-ES"/>
        </w:rPr>
        <w:t>e</w:t>
      </w:r>
      <w:r w:rsidR="00D429E9" w:rsidRPr="00F22672">
        <w:rPr>
          <w:lang w:val="es-ES"/>
        </w:rPr>
        <w:t>dor para “</w:t>
      </w:r>
      <w:r w:rsidR="00A350CC" w:rsidRPr="00F22672">
        <w:rPr>
          <w:lang w:val="es-ES_tradnl"/>
        </w:rPr>
        <w:t>objetos punzantes</w:t>
      </w:r>
      <w:r w:rsidR="00D429E9" w:rsidRPr="00F22672">
        <w:rPr>
          <w:lang w:val="es-ES"/>
        </w:rPr>
        <w:t>” o qu</w:t>
      </w:r>
      <w:r w:rsidR="006E0A1A">
        <w:rPr>
          <w:lang w:val="es-ES"/>
        </w:rPr>
        <w:t>é</w:t>
      </w:r>
      <w:r w:rsidR="00D429E9" w:rsidRPr="00F22672">
        <w:rPr>
          <w:lang w:val="es-ES"/>
        </w:rPr>
        <w:t xml:space="preserve"> otro </w:t>
      </w:r>
      <w:r w:rsidR="00E84ED5" w:rsidRPr="00F22672">
        <w:rPr>
          <w:lang w:val="es-ES"/>
        </w:rPr>
        <w:t>tipo de recipiente resistente a pinchazos</w:t>
      </w:r>
      <w:r w:rsidR="00D429E9" w:rsidRPr="00F22672">
        <w:rPr>
          <w:lang w:val="es-ES"/>
        </w:rPr>
        <w:t xml:space="preserve"> </w:t>
      </w:r>
      <w:r w:rsidR="00A350CC" w:rsidRPr="00F22672">
        <w:rPr>
          <w:lang w:val="es-ES"/>
        </w:rPr>
        <w:t xml:space="preserve">puede utilizar </w:t>
      </w:r>
      <w:r w:rsidR="00D429E9" w:rsidRPr="00F22672">
        <w:rPr>
          <w:lang w:val="es-ES"/>
        </w:rPr>
        <w:t xml:space="preserve">para una eliminación segura de sus jeringas utilizadas, si no tiene ninguno. (Ver </w:t>
      </w:r>
      <w:r w:rsidR="006E0A1A">
        <w:rPr>
          <w:lang w:val="es-ES"/>
        </w:rPr>
        <w:t>F</w:t>
      </w:r>
      <w:r w:rsidR="00D429E9" w:rsidRPr="00F22672">
        <w:rPr>
          <w:lang w:val="es-ES"/>
        </w:rPr>
        <w:t>ig</w:t>
      </w:r>
      <w:r w:rsidR="006E0A1A">
        <w:rPr>
          <w:lang w:val="es-ES"/>
        </w:rPr>
        <w:t>.</w:t>
      </w:r>
      <w:r w:rsidR="00D429E9" w:rsidRPr="00F22672">
        <w:rPr>
          <w:lang w:val="es-ES"/>
        </w:rPr>
        <w:t xml:space="preserve"> I)</w:t>
      </w:r>
      <w:r w:rsidR="003125D7" w:rsidRPr="00F22672">
        <w:rPr>
          <w:lang w:val="es-ES"/>
        </w:rPr>
        <w:t>.</w:t>
      </w:r>
    </w:p>
    <w:p w14:paraId="193A6C6B" w14:textId="77777777" w:rsidR="00D429E9" w:rsidRPr="00F22672" w:rsidRDefault="00D429E9" w:rsidP="00D429E9">
      <w:pPr>
        <w:ind w:left="720"/>
        <w:rPr>
          <w:lang w:val="es-ES"/>
        </w:rPr>
      </w:pPr>
    </w:p>
    <w:p w14:paraId="715E0E39" w14:textId="33A3C093" w:rsidR="00D429E9" w:rsidRPr="00FF2AFA" w:rsidRDefault="008D4CEB" w:rsidP="00D429E9">
      <w:pPr>
        <w:rPr>
          <w:noProof/>
          <w:lang w:val="es-ES"/>
        </w:rPr>
      </w:pPr>
      <w:r w:rsidRPr="00F22672">
        <w:rPr>
          <w:noProof/>
          <w:lang w:eastAsia="en-US"/>
        </w:rPr>
        <w:drawing>
          <wp:inline distT="0" distB="0" distL="0" distR="0" wp14:anchorId="31B5006B" wp14:editId="4921E039">
            <wp:extent cx="2343150" cy="1828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828800"/>
                    </a:xfrm>
                    <a:prstGeom prst="rect">
                      <a:avLst/>
                    </a:prstGeom>
                    <a:noFill/>
                    <a:ln>
                      <a:noFill/>
                    </a:ln>
                  </pic:spPr>
                </pic:pic>
              </a:graphicData>
            </a:graphic>
          </wp:inline>
        </w:drawing>
      </w:r>
    </w:p>
    <w:p w14:paraId="40549A3E" w14:textId="77777777" w:rsidR="00D429E9" w:rsidRPr="00F22672" w:rsidRDefault="00D429E9" w:rsidP="00D429E9">
      <w:pPr>
        <w:rPr>
          <w:lang w:val="es-ES_tradnl"/>
        </w:rPr>
      </w:pPr>
    </w:p>
    <w:p w14:paraId="08AE07FB" w14:textId="77777777" w:rsidR="009A074A" w:rsidRPr="00F22672" w:rsidRDefault="009A074A" w:rsidP="00D429E9">
      <w:pPr>
        <w:rPr>
          <w:noProof/>
          <w:lang w:val="es-ES"/>
        </w:rPr>
      </w:pPr>
      <w:r w:rsidRPr="00F22672">
        <w:rPr>
          <w:noProof/>
          <w:lang w:val="es-ES"/>
        </w:rPr>
        <w:t xml:space="preserve">Hable con su </w:t>
      </w:r>
      <w:r w:rsidR="00D90008" w:rsidRPr="00F22672">
        <w:rPr>
          <w:noProof/>
          <w:lang w:val="es-ES"/>
        </w:rPr>
        <w:t xml:space="preserve">profesional sanitario </w:t>
      </w:r>
      <w:r w:rsidRPr="00F22672">
        <w:rPr>
          <w:noProof/>
          <w:lang w:val="es-ES"/>
        </w:rPr>
        <w:t>para</w:t>
      </w:r>
      <w:r w:rsidR="003125D7" w:rsidRPr="00F22672">
        <w:rPr>
          <w:noProof/>
          <w:lang w:val="es-ES"/>
        </w:rPr>
        <w:t xml:space="preserve"> </w:t>
      </w:r>
      <w:r w:rsidRPr="00F22672">
        <w:rPr>
          <w:noProof/>
          <w:lang w:val="es-ES"/>
        </w:rPr>
        <w:t>obtener instrucciones sobre la mejor forma de deshacerse de las jeringas utilizadas. Pu</w:t>
      </w:r>
      <w:r w:rsidR="003125D7" w:rsidRPr="00F22672">
        <w:rPr>
          <w:noProof/>
          <w:lang w:val="es-ES"/>
        </w:rPr>
        <w:t xml:space="preserve">ede existir normativa nacional </w:t>
      </w:r>
      <w:r w:rsidRPr="00F22672">
        <w:rPr>
          <w:noProof/>
          <w:lang w:val="es-ES"/>
        </w:rPr>
        <w:t>sobre c</w:t>
      </w:r>
      <w:r w:rsidR="006E0A1A">
        <w:rPr>
          <w:noProof/>
          <w:lang w:val="es-ES"/>
        </w:rPr>
        <w:t>ó</w:t>
      </w:r>
      <w:r w:rsidRPr="00F22672">
        <w:rPr>
          <w:noProof/>
          <w:lang w:val="es-ES"/>
        </w:rPr>
        <w:t>mo deshacerse de jeringas usadas.</w:t>
      </w:r>
    </w:p>
    <w:p w14:paraId="1774D84A" w14:textId="77777777" w:rsidR="00D429E9" w:rsidRPr="00F22672" w:rsidRDefault="00D429E9" w:rsidP="00D429E9">
      <w:pPr>
        <w:ind w:left="720"/>
        <w:rPr>
          <w:noProof/>
          <w:lang w:val="es-ES"/>
        </w:rPr>
      </w:pPr>
    </w:p>
    <w:p w14:paraId="789A59E2" w14:textId="77777777" w:rsidR="00D429E9" w:rsidRPr="00F22672" w:rsidRDefault="00D429E9" w:rsidP="00D429E9">
      <w:pPr>
        <w:rPr>
          <w:noProof/>
          <w:lang w:val="es-ES"/>
        </w:rPr>
      </w:pPr>
      <w:r w:rsidRPr="00F22672">
        <w:rPr>
          <w:noProof/>
          <w:lang w:val="es-ES"/>
        </w:rPr>
        <w:t>No tire jeringas ut</w:t>
      </w:r>
      <w:r w:rsidR="00B920FA">
        <w:rPr>
          <w:noProof/>
          <w:lang w:val="es-ES"/>
        </w:rPr>
        <w:t>i</w:t>
      </w:r>
      <w:r w:rsidRPr="00F22672">
        <w:rPr>
          <w:noProof/>
          <w:lang w:val="es-ES"/>
        </w:rPr>
        <w:t xml:space="preserve">lizadas o </w:t>
      </w:r>
      <w:r w:rsidR="005C02CA" w:rsidRPr="00F22672">
        <w:rPr>
          <w:noProof/>
          <w:lang w:val="es-ES"/>
        </w:rPr>
        <w:t>el contenedor para objetos punzantes</w:t>
      </w:r>
      <w:r w:rsidRPr="00F22672">
        <w:rPr>
          <w:noProof/>
          <w:lang w:val="es-ES"/>
        </w:rPr>
        <w:t xml:space="preserve"> en </w:t>
      </w:r>
      <w:r w:rsidR="005C02CA" w:rsidRPr="00F22672">
        <w:rPr>
          <w:noProof/>
          <w:lang w:val="es-ES"/>
        </w:rPr>
        <w:t>la</w:t>
      </w:r>
      <w:r w:rsidRPr="00F22672">
        <w:rPr>
          <w:noProof/>
          <w:lang w:val="es-ES"/>
        </w:rPr>
        <w:t xml:space="preserve"> basura de su casa y no las recicle. </w:t>
      </w:r>
    </w:p>
    <w:p w14:paraId="54772C7C" w14:textId="77777777" w:rsidR="00D429E9" w:rsidRPr="00F22672" w:rsidRDefault="00D429E9" w:rsidP="00D429E9">
      <w:pPr>
        <w:rPr>
          <w:noProof/>
          <w:lang w:val="es-ES"/>
        </w:rPr>
      </w:pPr>
    </w:p>
    <w:p w14:paraId="7AF274C6" w14:textId="77777777" w:rsidR="00D429E9" w:rsidRPr="00F22672" w:rsidRDefault="00372209" w:rsidP="00372209">
      <w:pPr>
        <w:ind w:left="720"/>
        <w:rPr>
          <w:noProof/>
          <w:lang w:val="es-ES"/>
        </w:rPr>
      </w:pPr>
      <w:r w:rsidRPr="00F22672">
        <w:rPr>
          <w:lang w:val="es-ES"/>
        </w:rPr>
        <w:sym w:font="Symbol" w:char="F0B7"/>
      </w:r>
      <w:r w:rsidRPr="00F22672">
        <w:rPr>
          <w:noProof/>
          <w:lang w:val="es-ES"/>
        </w:rPr>
        <w:tab/>
      </w:r>
      <w:r w:rsidR="00D429E9" w:rsidRPr="00F22672">
        <w:rPr>
          <w:noProof/>
          <w:lang w:val="es-ES"/>
        </w:rPr>
        <w:t>Elimine el</w:t>
      </w:r>
      <w:r w:rsidR="005C02CA" w:rsidRPr="00F22672">
        <w:rPr>
          <w:noProof/>
          <w:lang w:val="es-ES"/>
        </w:rPr>
        <w:t xml:space="preserve"> recipiente lleno según le indi</w:t>
      </w:r>
      <w:r w:rsidR="00D429E9" w:rsidRPr="00F22672">
        <w:rPr>
          <w:noProof/>
          <w:lang w:val="es-ES"/>
        </w:rPr>
        <w:t>que su m</w:t>
      </w:r>
      <w:r w:rsidR="00B920FA">
        <w:rPr>
          <w:noProof/>
          <w:lang w:val="es-ES"/>
        </w:rPr>
        <w:t>é</w:t>
      </w:r>
      <w:r w:rsidR="00D429E9" w:rsidRPr="00F22672">
        <w:rPr>
          <w:noProof/>
          <w:lang w:val="es-ES"/>
        </w:rPr>
        <w:t>dico o fa</w:t>
      </w:r>
      <w:r w:rsidR="00B920FA">
        <w:rPr>
          <w:noProof/>
          <w:lang w:val="es-ES"/>
        </w:rPr>
        <w:t>r</w:t>
      </w:r>
      <w:r w:rsidR="00D429E9" w:rsidRPr="00F22672">
        <w:rPr>
          <w:noProof/>
          <w:lang w:val="es-ES"/>
        </w:rPr>
        <w:t xml:space="preserve">macéutico. </w:t>
      </w:r>
    </w:p>
    <w:p w14:paraId="4276C711" w14:textId="77777777" w:rsidR="00D429E9" w:rsidRPr="00F22672" w:rsidRDefault="00D429E9" w:rsidP="00D429E9">
      <w:pPr>
        <w:ind w:left="720"/>
        <w:rPr>
          <w:noProof/>
          <w:lang w:val="es-ES"/>
        </w:rPr>
      </w:pPr>
    </w:p>
    <w:p w14:paraId="61BFA9D2" w14:textId="77777777" w:rsidR="00D429E9" w:rsidRPr="00F22672" w:rsidRDefault="00372209" w:rsidP="00565490">
      <w:pPr>
        <w:ind w:left="1134" w:hanging="414"/>
        <w:rPr>
          <w:noProof/>
          <w:lang w:val="es-ES"/>
        </w:rPr>
      </w:pPr>
      <w:r w:rsidRPr="00F22672">
        <w:rPr>
          <w:lang w:val="es-ES"/>
        </w:rPr>
        <w:sym w:font="Symbol" w:char="F0B7"/>
      </w:r>
      <w:r w:rsidRPr="00F22672">
        <w:rPr>
          <w:noProof/>
          <w:lang w:val="es-ES"/>
        </w:rPr>
        <w:tab/>
      </w:r>
      <w:r w:rsidR="00D429E9" w:rsidRPr="00F22672">
        <w:rPr>
          <w:noProof/>
          <w:lang w:val="es-ES"/>
        </w:rPr>
        <w:t xml:space="preserve">Mantenga siempre </w:t>
      </w:r>
      <w:r w:rsidR="005C02CA" w:rsidRPr="00F22672">
        <w:rPr>
          <w:noProof/>
          <w:lang w:val="es-ES"/>
        </w:rPr>
        <w:t>el contenedor para objetos punzantes</w:t>
      </w:r>
      <w:r w:rsidR="00D429E9" w:rsidRPr="00F22672">
        <w:rPr>
          <w:noProof/>
          <w:lang w:val="es-ES"/>
        </w:rPr>
        <w:t xml:space="preserve"> fuera de la vista y del alcance de los niños.</w:t>
      </w:r>
    </w:p>
    <w:p w14:paraId="10E2C48B" w14:textId="77777777" w:rsidR="00D429E9" w:rsidRPr="00F22672" w:rsidRDefault="00D429E9" w:rsidP="00D429E9">
      <w:pPr>
        <w:rPr>
          <w:lang w:val="es-ES_tradnl"/>
        </w:rPr>
      </w:pPr>
    </w:p>
    <w:p w14:paraId="669AC782" w14:textId="77777777" w:rsidR="00D12F54" w:rsidRPr="00F22672" w:rsidRDefault="00D12F54" w:rsidP="00D12F54">
      <w:pPr>
        <w:rPr>
          <w:b/>
          <w:lang w:val="es-ES_tradnl"/>
        </w:rPr>
      </w:pPr>
      <w:r w:rsidRPr="00F22672">
        <w:rPr>
          <w:b/>
          <w:lang w:val="es-ES_tradnl"/>
        </w:rPr>
        <w:t>Consejo para el paciente relacionado con las reacciones de hipersensibilidad (también conocidas como anafilaxia, si son graves)</w:t>
      </w:r>
    </w:p>
    <w:p w14:paraId="5AE4BD36" w14:textId="77777777" w:rsidR="00D12F54" w:rsidRPr="00F22672" w:rsidRDefault="00D12F54" w:rsidP="00D12F54">
      <w:pPr>
        <w:rPr>
          <w:lang w:val="es-ES_tradnl"/>
        </w:rPr>
      </w:pPr>
    </w:p>
    <w:p w14:paraId="143BAB8B" w14:textId="77777777" w:rsidR="00D12F54" w:rsidRPr="00F22672" w:rsidRDefault="00D12F54" w:rsidP="00D12F54">
      <w:pPr>
        <w:rPr>
          <w:lang w:val="es-ES_tradnl"/>
        </w:rPr>
      </w:pPr>
      <w:r w:rsidRPr="00F22672">
        <w:rPr>
          <w:lang w:val="es-ES_tradnl"/>
        </w:rPr>
        <w:t>Si usted desarrolla síntomas, tales como, pero no limitados a</w:t>
      </w:r>
      <w:r w:rsidR="006E0A1A">
        <w:rPr>
          <w:lang w:val="es-ES_tradnl"/>
        </w:rPr>
        <w:t>,</w:t>
      </w:r>
      <w:r w:rsidRPr="00F22672">
        <w:rPr>
          <w:lang w:val="es-ES_tradnl"/>
        </w:rPr>
        <w:t xml:space="preserve"> erupción cutánea, picazón, escalofríos, inflamación de la cara, labios, lengua o garganta, dolor en el pecho, sibilancias, dificultad para respirar o tragar o sensación de mareo o desmayo en cualquier momento </w:t>
      </w:r>
      <w:r w:rsidR="00305D87" w:rsidRPr="00F22672">
        <w:rPr>
          <w:lang w:val="es-ES_tradnl"/>
        </w:rPr>
        <w:t>fuera de la clínica</w:t>
      </w:r>
      <w:r w:rsidR="003B120A" w:rsidRPr="00F22672">
        <w:rPr>
          <w:lang w:val="es-ES_tradnl"/>
        </w:rPr>
        <w:t>,</w:t>
      </w:r>
      <w:r w:rsidR="00305D87" w:rsidRPr="00F22672">
        <w:rPr>
          <w:lang w:val="es-ES_tradnl"/>
        </w:rPr>
        <w:t xml:space="preserve"> durante o </w:t>
      </w:r>
      <w:r w:rsidRPr="00F22672">
        <w:rPr>
          <w:lang w:val="es-ES_tradnl"/>
        </w:rPr>
        <w:t>después de la inyección</w:t>
      </w:r>
      <w:r w:rsidR="00305D87" w:rsidRPr="00F22672">
        <w:rPr>
          <w:lang w:val="es-ES_tradnl"/>
        </w:rPr>
        <w:t xml:space="preserve"> de RoActemra</w:t>
      </w:r>
      <w:r w:rsidRPr="00F22672">
        <w:rPr>
          <w:lang w:val="es-ES_tradnl"/>
        </w:rPr>
        <w:t xml:space="preserve">, usted debe buscar atención médica de </w:t>
      </w:r>
      <w:r w:rsidR="00305D87" w:rsidRPr="00F22672">
        <w:rPr>
          <w:lang w:val="es-ES_tradnl"/>
        </w:rPr>
        <w:t xml:space="preserve">urgencia </w:t>
      </w:r>
      <w:r w:rsidRPr="00F22672">
        <w:rPr>
          <w:lang w:val="es-ES_tradnl"/>
        </w:rPr>
        <w:t>inmediatamente.</w:t>
      </w:r>
    </w:p>
    <w:p w14:paraId="5030AEB0" w14:textId="77777777" w:rsidR="00D12F54" w:rsidRPr="00F22672" w:rsidRDefault="00D12F54" w:rsidP="00D12F54">
      <w:pPr>
        <w:rPr>
          <w:lang w:val="es-ES_tradnl"/>
        </w:rPr>
      </w:pPr>
    </w:p>
    <w:p w14:paraId="76AA82CE" w14:textId="77777777" w:rsidR="00D12F54" w:rsidRPr="00F22672" w:rsidRDefault="00D12F54" w:rsidP="00D12F54">
      <w:pPr>
        <w:rPr>
          <w:b/>
          <w:lang w:val="es-ES_tradnl"/>
        </w:rPr>
      </w:pPr>
      <w:r w:rsidRPr="00F22672">
        <w:rPr>
          <w:b/>
          <w:lang w:val="es-ES_tradnl"/>
        </w:rPr>
        <w:t>Consejo para el paciente relacionado con un reconocimiento y tratamiento temprano para limitar el riesgo de infecciones graves</w:t>
      </w:r>
    </w:p>
    <w:p w14:paraId="0669161F" w14:textId="77777777" w:rsidR="00D12F54" w:rsidRPr="00F22672" w:rsidRDefault="00D12F54" w:rsidP="00D12F54">
      <w:pPr>
        <w:rPr>
          <w:lang w:val="es-ES_tradnl"/>
        </w:rPr>
      </w:pPr>
    </w:p>
    <w:p w14:paraId="08824B5A" w14:textId="77777777" w:rsidR="00D12F54" w:rsidRPr="00F22672" w:rsidRDefault="00D12F54" w:rsidP="00D12F54">
      <w:pPr>
        <w:rPr>
          <w:lang w:val="es-ES_tradnl"/>
        </w:rPr>
      </w:pPr>
      <w:r w:rsidRPr="00F22672">
        <w:rPr>
          <w:lang w:val="es-ES_tradnl"/>
        </w:rPr>
        <w:t>Esté alerta de los primeros signos de infección tales como:</w:t>
      </w:r>
    </w:p>
    <w:p w14:paraId="099175FE" w14:textId="77777777" w:rsidR="00D12F54" w:rsidRPr="00F22672" w:rsidRDefault="00D12F54" w:rsidP="00D12F54">
      <w:pPr>
        <w:rPr>
          <w:lang w:val="es-ES_tradnl"/>
        </w:rPr>
      </w:pPr>
    </w:p>
    <w:p w14:paraId="2C6850E4" w14:textId="77777777" w:rsidR="00D12F54" w:rsidRPr="00F30AB8" w:rsidRDefault="00A240D8" w:rsidP="00F30AB8">
      <w:pPr>
        <w:pStyle w:val="Standard1"/>
        <w:autoSpaceDE/>
        <w:autoSpaceDN/>
        <w:adjustRightInd/>
        <w:ind w:left="562" w:hanging="562"/>
        <w:rPr>
          <w:szCs w:val="22"/>
          <w:lang w:val="es-ES"/>
        </w:rPr>
      </w:pPr>
      <w:r w:rsidRPr="00F30AB8">
        <w:rPr>
          <w:rFonts w:ascii="Times New Roman" w:eastAsia="Times New Roman" w:hAnsi="Times New Roman"/>
          <w:sz w:val="22"/>
          <w:szCs w:val="22"/>
          <w:lang w:val="en-GB" w:eastAsia="ja-JP"/>
        </w:rPr>
        <w:sym w:font="Symbol" w:char="F0B7"/>
      </w:r>
      <w:r w:rsidR="00D12F54" w:rsidRPr="00F30AB8">
        <w:rPr>
          <w:rFonts w:ascii="Times New Roman" w:eastAsia="Times New Roman" w:hAnsi="Times New Roman"/>
          <w:sz w:val="22"/>
          <w:szCs w:val="22"/>
          <w:lang w:val="es-ES" w:eastAsia="ja-JP"/>
        </w:rPr>
        <w:t>Dolores corporales, fiebre, escalofríos.</w:t>
      </w:r>
    </w:p>
    <w:p w14:paraId="38F3F679" w14:textId="77777777" w:rsidR="00D12F54" w:rsidRPr="00F30AB8" w:rsidRDefault="00D12F54" w:rsidP="00F30AB8">
      <w:pPr>
        <w:pStyle w:val="Standard1"/>
        <w:autoSpaceDE/>
        <w:autoSpaceDN/>
        <w:adjustRightInd/>
        <w:ind w:left="562" w:hanging="562"/>
        <w:rPr>
          <w:szCs w:val="22"/>
          <w:lang w:val="es-ES"/>
        </w:rPr>
      </w:pPr>
    </w:p>
    <w:p w14:paraId="024349EA" w14:textId="77777777" w:rsidR="00D12F54" w:rsidRPr="00F30AB8" w:rsidRDefault="00A240D8" w:rsidP="00F30AB8">
      <w:pPr>
        <w:pStyle w:val="Standard1"/>
        <w:autoSpaceDE/>
        <w:autoSpaceDN/>
        <w:adjustRightInd/>
        <w:ind w:left="562" w:hanging="562"/>
        <w:rPr>
          <w:szCs w:val="22"/>
          <w:lang w:val="es-ES"/>
        </w:rPr>
      </w:pPr>
      <w:r w:rsidRPr="00F30AB8">
        <w:rPr>
          <w:rFonts w:ascii="Times New Roman" w:eastAsia="Times New Roman" w:hAnsi="Times New Roman"/>
          <w:sz w:val="22"/>
          <w:szCs w:val="22"/>
          <w:lang w:val="en-GB" w:eastAsia="ja-JP"/>
        </w:rPr>
        <w:sym w:font="Symbol" w:char="F0B7"/>
      </w:r>
      <w:r w:rsidR="003125D7" w:rsidRPr="00F30AB8">
        <w:rPr>
          <w:rFonts w:ascii="Times New Roman" w:eastAsia="Times New Roman" w:hAnsi="Times New Roman"/>
          <w:sz w:val="22"/>
          <w:szCs w:val="22"/>
          <w:lang w:val="es-ES" w:eastAsia="ja-JP"/>
        </w:rPr>
        <w:t>Tos, malestar /</w:t>
      </w:r>
      <w:r w:rsidR="00D12F54" w:rsidRPr="00F30AB8">
        <w:rPr>
          <w:rFonts w:ascii="Times New Roman" w:eastAsia="Times New Roman" w:hAnsi="Times New Roman"/>
          <w:sz w:val="22"/>
          <w:szCs w:val="22"/>
          <w:lang w:val="es-ES" w:eastAsia="ja-JP"/>
        </w:rPr>
        <w:t>opresión en el pecho, falta de aliento.</w:t>
      </w:r>
    </w:p>
    <w:p w14:paraId="6A775432" w14:textId="77777777" w:rsidR="00D12F54" w:rsidRPr="00F30AB8" w:rsidRDefault="00D12F54" w:rsidP="00F30AB8">
      <w:pPr>
        <w:pStyle w:val="Standard1"/>
        <w:autoSpaceDE/>
        <w:autoSpaceDN/>
        <w:adjustRightInd/>
        <w:ind w:left="562" w:hanging="562"/>
        <w:rPr>
          <w:szCs w:val="22"/>
          <w:lang w:val="es-ES"/>
        </w:rPr>
      </w:pPr>
    </w:p>
    <w:p w14:paraId="7EE5F939" w14:textId="77777777" w:rsidR="00D12F54" w:rsidRPr="00F30AB8" w:rsidRDefault="00A240D8" w:rsidP="00F30AB8">
      <w:pPr>
        <w:pStyle w:val="Standard1"/>
        <w:autoSpaceDE/>
        <w:autoSpaceDN/>
        <w:adjustRightInd/>
        <w:ind w:left="562" w:hanging="562"/>
        <w:rPr>
          <w:szCs w:val="22"/>
          <w:lang w:val="es-ES"/>
        </w:rPr>
      </w:pPr>
      <w:r w:rsidRPr="00F30AB8">
        <w:rPr>
          <w:rFonts w:ascii="Times New Roman" w:eastAsia="Times New Roman" w:hAnsi="Times New Roman"/>
          <w:sz w:val="22"/>
          <w:szCs w:val="22"/>
          <w:lang w:val="en-GB" w:eastAsia="ja-JP"/>
        </w:rPr>
        <w:sym w:font="Symbol" w:char="F0B7"/>
      </w:r>
      <w:r w:rsidR="004B3EF3" w:rsidRPr="00F30AB8">
        <w:rPr>
          <w:rFonts w:ascii="Times New Roman" w:eastAsia="Times New Roman" w:hAnsi="Times New Roman"/>
          <w:sz w:val="22"/>
          <w:szCs w:val="22"/>
          <w:lang w:val="es-ES" w:eastAsia="ja-JP"/>
        </w:rPr>
        <w:t>E</w:t>
      </w:r>
      <w:r w:rsidR="00D12F54" w:rsidRPr="00F30AB8">
        <w:rPr>
          <w:rFonts w:ascii="Times New Roman" w:eastAsia="Times New Roman" w:hAnsi="Times New Roman"/>
          <w:sz w:val="22"/>
          <w:szCs w:val="22"/>
          <w:lang w:val="es-ES" w:eastAsia="ja-JP"/>
        </w:rPr>
        <w:t xml:space="preserve">nrojecimiento, calor, inflamación inusual de la piel </w:t>
      </w:r>
      <w:r w:rsidR="00305D87" w:rsidRPr="00F30AB8">
        <w:rPr>
          <w:rFonts w:ascii="Times New Roman" w:eastAsia="Times New Roman" w:hAnsi="Times New Roman"/>
          <w:sz w:val="22"/>
          <w:szCs w:val="22"/>
          <w:lang w:val="es-ES" w:eastAsia="ja-JP"/>
        </w:rPr>
        <w:t xml:space="preserve">o </w:t>
      </w:r>
      <w:r w:rsidR="00D12F54" w:rsidRPr="00F30AB8">
        <w:rPr>
          <w:rFonts w:ascii="Times New Roman" w:eastAsia="Times New Roman" w:hAnsi="Times New Roman"/>
          <w:sz w:val="22"/>
          <w:szCs w:val="22"/>
          <w:lang w:val="es-ES" w:eastAsia="ja-JP"/>
        </w:rPr>
        <w:t>las articulaciones.</w:t>
      </w:r>
    </w:p>
    <w:p w14:paraId="5797089A" w14:textId="77777777" w:rsidR="00D12F54" w:rsidRPr="00F30AB8" w:rsidRDefault="00D12F54" w:rsidP="00F30AB8">
      <w:pPr>
        <w:pStyle w:val="Standard1"/>
        <w:autoSpaceDE/>
        <w:autoSpaceDN/>
        <w:adjustRightInd/>
        <w:ind w:left="562" w:hanging="562"/>
        <w:rPr>
          <w:szCs w:val="22"/>
          <w:lang w:val="es-ES"/>
        </w:rPr>
      </w:pPr>
    </w:p>
    <w:p w14:paraId="5831D063" w14:textId="77777777" w:rsidR="00D12F54" w:rsidRPr="00F30AB8" w:rsidRDefault="00A240D8" w:rsidP="00F30AB8">
      <w:pPr>
        <w:pStyle w:val="Standard1"/>
        <w:autoSpaceDE/>
        <w:autoSpaceDN/>
        <w:adjustRightInd/>
        <w:ind w:left="562" w:hanging="562"/>
        <w:rPr>
          <w:szCs w:val="22"/>
          <w:lang w:val="es-ES"/>
        </w:rPr>
      </w:pPr>
      <w:r w:rsidRPr="00F30AB8">
        <w:rPr>
          <w:rFonts w:ascii="Times New Roman" w:eastAsia="Times New Roman" w:hAnsi="Times New Roman"/>
          <w:sz w:val="22"/>
          <w:szCs w:val="22"/>
          <w:lang w:val="en-GB" w:eastAsia="ja-JP"/>
        </w:rPr>
        <w:sym w:font="Symbol" w:char="F0B7"/>
      </w:r>
      <w:r w:rsidR="004B3EF3" w:rsidRPr="00F30AB8">
        <w:rPr>
          <w:rFonts w:ascii="Times New Roman" w:eastAsia="Times New Roman" w:hAnsi="Times New Roman"/>
          <w:sz w:val="22"/>
          <w:szCs w:val="22"/>
          <w:lang w:val="es-ES" w:eastAsia="ja-JP"/>
        </w:rPr>
        <w:t>D</w:t>
      </w:r>
      <w:r w:rsidR="00D12F54" w:rsidRPr="00F30AB8">
        <w:rPr>
          <w:rFonts w:ascii="Times New Roman" w:eastAsia="Times New Roman" w:hAnsi="Times New Roman"/>
          <w:sz w:val="22"/>
          <w:szCs w:val="22"/>
          <w:lang w:val="es-ES" w:eastAsia="ja-JP"/>
        </w:rPr>
        <w:t>olor abdominal/sensibilidad y/o cambios en la función intestinal.</w:t>
      </w:r>
    </w:p>
    <w:p w14:paraId="0A145B02" w14:textId="77777777" w:rsidR="00D12F54" w:rsidRPr="00F22672" w:rsidRDefault="00D12F54" w:rsidP="00D12F54">
      <w:pPr>
        <w:rPr>
          <w:lang w:val="es-ES_tradnl"/>
        </w:rPr>
      </w:pPr>
    </w:p>
    <w:p w14:paraId="49F40490" w14:textId="77777777" w:rsidR="00D12F54" w:rsidRPr="00F22672" w:rsidRDefault="00D12F54" w:rsidP="00D12F54">
      <w:pPr>
        <w:rPr>
          <w:lang w:val="es-ES_tradnl"/>
        </w:rPr>
      </w:pPr>
      <w:r w:rsidRPr="00F22672">
        <w:rPr>
          <w:lang w:val="es-ES_tradnl"/>
        </w:rPr>
        <w:t>Llame a su médico y busque atención médica sin dilación si piensa que puede estar desarrollando una infección.</w:t>
      </w:r>
    </w:p>
    <w:p w14:paraId="315FE1EE" w14:textId="77777777" w:rsidR="00D12F54" w:rsidRPr="00F22672" w:rsidRDefault="00D12F54" w:rsidP="00D12F54">
      <w:pPr>
        <w:rPr>
          <w:lang w:val="es-ES_tradnl"/>
        </w:rPr>
      </w:pPr>
    </w:p>
    <w:p w14:paraId="466B243A" w14:textId="77777777" w:rsidR="009560D8" w:rsidRPr="00A47DE9" w:rsidRDefault="00D12F54" w:rsidP="00A47DE9">
      <w:pPr>
        <w:keepNext/>
        <w:keepLines/>
        <w:rPr>
          <w:b/>
          <w:bCs/>
          <w:szCs w:val="22"/>
          <w:lang w:val="es-ES_tradnl"/>
        </w:rPr>
      </w:pPr>
      <w:r w:rsidRPr="00F22672">
        <w:rPr>
          <w:b/>
          <w:lang w:val="es-ES_tradnl"/>
        </w:rPr>
        <w:t xml:space="preserve">Si tiene alguna preocupación o pregunta sobre su </w:t>
      </w:r>
      <w:r w:rsidR="003125D7" w:rsidRPr="00F22672">
        <w:rPr>
          <w:b/>
          <w:lang w:val="es-ES_tradnl"/>
        </w:rPr>
        <w:t>jeringa</w:t>
      </w:r>
      <w:r w:rsidRPr="00F22672">
        <w:rPr>
          <w:b/>
          <w:lang w:val="es-ES_tradnl"/>
        </w:rPr>
        <w:t>, contacte con su médico o farmacéutico para recibir ayuda.</w:t>
      </w:r>
    </w:p>
    <w:p w14:paraId="1759AAD3" w14:textId="77777777" w:rsidR="00585EFC" w:rsidRDefault="00585EFC" w:rsidP="00FF1EDA">
      <w:pPr>
        <w:rPr>
          <w:lang w:val="es-ES_tradnl"/>
        </w:rPr>
      </w:pPr>
    </w:p>
    <w:p w14:paraId="65FB2DC0" w14:textId="77777777" w:rsidR="00585EFC" w:rsidRDefault="00585EFC" w:rsidP="00585EFC">
      <w:pPr>
        <w:rPr>
          <w:lang w:val="es-ES_tradnl"/>
        </w:rPr>
      </w:pPr>
      <w:r>
        <w:rPr>
          <w:lang w:val="es-ES_tradnl"/>
        </w:rPr>
        <w:br w:type="page"/>
      </w:r>
    </w:p>
    <w:p w14:paraId="70171B6E" w14:textId="77777777" w:rsidR="00585EFC" w:rsidRPr="00575208" w:rsidRDefault="00585EFC" w:rsidP="00585EFC">
      <w:pPr>
        <w:jc w:val="center"/>
        <w:outlineLvl w:val="0"/>
        <w:rPr>
          <w:b/>
          <w:lang w:val="es-ES"/>
        </w:rPr>
      </w:pPr>
      <w:r w:rsidRPr="00575208">
        <w:rPr>
          <w:b/>
          <w:lang w:val="es-ES"/>
        </w:rPr>
        <w:lastRenderedPageBreak/>
        <w:t>Prospecto: Información para el usuario</w:t>
      </w:r>
    </w:p>
    <w:p w14:paraId="41842E64" w14:textId="77777777" w:rsidR="00585EFC" w:rsidRPr="00575208" w:rsidRDefault="00585EFC" w:rsidP="00585EFC">
      <w:pPr>
        <w:jc w:val="center"/>
        <w:outlineLvl w:val="0"/>
        <w:rPr>
          <w:b/>
          <w:lang w:val="es-ES"/>
        </w:rPr>
      </w:pPr>
    </w:p>
    <w:p w14:paraId="06F48DAB" w14:textId="59818C0B" w:rsidR="00585EFC" w:rsidRPr="00E576A0" w:rsidRDefault="00585EFC" w:rsidP="00585EFC">
      <w:pPr>
        <w:jc w:val="center"/>
        <w:outlineLvl w:val="0"/>
        <w:rPr>
          <w:lang w:val="es-ES"/>
        </w:rPr>
      </w:pPr>
      <w:r w:rsidRPr="00C555F2">
        <w:rPr>
          <w:b/>
          <w:lang w:val="es-ES"/>
        </w:rPr>
        <w:t>RoActemra 162 mg, solución inyectable</w:t>
      </w:r>
      <w:r w:rsidRPr="00575208">
        <w:rPr>
          <w:b/>
          <w:lang w:val="es-ES"/>
        </w:rPr>
        <w:t xml:space="preserve"> en </w:t>
      </w:r>
      <w:r>
        <w:rPr>
          <w:b/>
          <w:lang w:val="es-ES"/>
        </w:rPr>
        <w:t>plum</w:t>
      </w:r>
      <w:r w:rsidRPr="00C555F2">
        <w:rPr>
          <w:b/>
          <w:lang w:val="es-ES"/>
        </w:rPr>
        <w:t xml:space="preserve">a precargada </w:t>
      </w:r>
    </w:p>
    <w:p w14:paraId="6EEB9CB4" w14:textId="77777777" w:rsidR="00585EFC" w:rsidRPr="00C555F2" w:rsidRDefault="0085789E" w:rsidP="00585EFC">
      <w:pPr>
        <w:jc w:val="center"/>
        <w:outlineLvl w:val="0"/>
        <w:rPr>
          <w:lang w:val="es-ES"/>
        </w:rPr>
      </w:pPr>
      <w:r>
        <w:rPr>
          <w:lang w:val="es-ES"/>
        </w:rPr>
        <w:t>t</w:t>
      </w:r>
      <w:r w:rsidRPr="00C555F2">
        <w:rPr>
          <w:lang w:val="es-ES"/>
        </w:rPr>
        <w:t>ocilizumab</w:t>
      </w:r>
    </w:p>
    <w:p w14:paraId="5FE79F72" w14:textId="77777777" w:rsidR="00585EFC" w:rsidRPr="00575208" w:rsidRDefault="00585EFC" w:rsidP="00585EFC">
      <w:pPr>
        <w:rPr>
          <w:lang w:val="es-ES"/>
        </w:rPr>
      </w:pPr>
    </w:p>
    <w:p w14:paraId="53DCD492" w14:textId="77777777" w:rsidR="00585EFC" w:rsidRPr="00575208" w:rsidRDefault="00585EFC" w:rsidP="00585EFC">
      <w:pPr>
        <w:rPr>
          <w:b/>
          <w:bCs/>
          <w:lang w:val="es-ES"/>
        </w:rPr>
      </w:pPr>
      <w:r w:rsidRPr="00575208">
        <w:rPr>
          <w:b/>
          <w:bCs/>
          <w:lang w:val="es-ES_tradnl"/>
        </w:rPr>
        <w:t xml:space="preserve">Lea todo el prospecto detenidamente antes de empezar a tomar este medicamento, </w:t>
      </w:r>
      <w:r w:rsidRPr="00575208">
        <w:rPr>
          <w:b/>
          <w:lang w:val="es-ES_tradnl"/>
        </w:rPr>
        <w:t>porque contiene información importante para usted.</w:t>
      </w:r>
    </w:p>
    <w:p w14:paraId="59D3BE0D" w14:textId="77777777" w:rsidR="00585EFC" w:rsidRPr="00575208" w:rsidRDefault="00585EFC" w:rsidP="00585EFC">
      <w:pPr>
        <w:rPr>
          <w:b/>
          <w:bCs/>
          <w:lang w:val="es-ES"/>
        </w:rPr>
      </w:pPr>
    </w:p>
    <w:p w14:paraId="2B2EF0D6" w14:textId="77777777" w:rsidR="00585EFC" w:rsidRPr="00575208" w:rsidRDefault="00585EFC" w:rsidP="00585EFC">
      <w:pPr>
        <w:rPr>
          <w:lang w:val="es-ES"/>
        </w:rPr>
      </w:pPr>
      <w:r w:rsidRPr="00575208">
        <w:rPr>
          <w:lang w:val="es-ES"/>
        </w:rPr>
        <w:sym w:font="Symbol" w:char="F0B7"/>
      </w:r>
      <w:r w:rsidRPr="00575208">
        <w:rPr>
          <w:lang w:val="es-ES"/>
        </w:rPr>
        <w:tab/>
      </w:r>
      <w:r w:rsidRPr="00575208">
        <w:rPr>
          <w:lang w:val="es-ES_tradnl"/>
        </w:rPr>
        <w:t>Conserve este prospecto,</w:t>
      </w:r>
      <w:r w:rsidRPr="00575208">
        <w:rPr>
          <w:lang w:val="es-ES"/>
        </w:rPr>
        <w:t xml:space="preserve"> </w:t>
      </w:r>
      <w:r w:rsidRPr="00575208">
        <w:rPr>
          <w:lang w:val="es-ES_tradnl"/>
        </w:rPr>
        <w:t>ya que puede tener que volver a leerlo.</w:t>
      </w:r>
    </w:p>
    <w:p w14:paraId="42D9FBBD" w14:textId="77777777" w:rsidR="00585EFC" w:rsidRPr="00575208" w:rsidRDefault="00585EFC" w:rsidP="00585EFC">
      <w:pPr>
        <w:rPr>
          <w:lang w:val="es-ES"/>
        </w:rPr>
      </w:pPr>
      <w:r w:rsidRPr="00575208">
        <w:rPr>
          <w:lang w:val="es-ES"/>
        </w:rPr>
        <w:sym w:font="Symbol" w:char="F0B7"/>
      </w:r>
      <w:r w:rsidRPr="00575208">
        <w:rPr>
          <w:lang w:val="es-ES"/>
        </w:rPr>
        <w:tab/>
      </w:r>
      <w:r w:rsidRPr="00575208">
        <w:rPr>
          <w:lang w:val="es-ES_tradnl"/>
        </w:rPr>
        <w:t>Si tiene alguna duda, consulte a su médico, farmacéutico o enfermero.</w:t>
      </w:r>
    </w:p>
    <w:p w14:paraId="3F9B4BC4" w14:textId="77777777" w:rsidR="00585EFC" w:rsidRPr="00575208" w:rsidRDefault="00B02483" w:rsidP="00FF2AFA">
      <w:pPr>
        <w:ind w:left="567" w:hanging="567"/>
        <w:rPr>
          <w:lang w:val="es-ES"/>
        </w:rPr>
      </w:pPr>
      <w:r w:rsidRPr="008A106B">
        <w:rPr>
          <w:lang w:val="es-ES"/>
        </w:rPr>
        <w:sym w:font="Symbol" w:char="F0B7"/>
      </w:r>
      <w:r>
        <w:rPr>
          <w:lang w:val="es-ES"/>
        </w:rPr>
        <w:tab/>
      </w:r>
      <w:r w:rsidR="00585EFC" w:rsidRPr="00575208">
        <w:rPr>
          <w:lang w:val="es-ES_tradnl"/>
        </w:rPr>
        <w:t xml:space="preserve">Este medicamento se le ha recetado solamente a usted, </w:t>
      </w:r>
      <w:r w:rsidR="00585EFC" w:rsidRPr="00575208">
        <w:rPr>
          <w:lang w:val="es-ES"/>
        </w:rPr>
        <w:t>y no</w:t>
      </w:r>
      <w:r w:rsidR="00585EFC">
        <w:rPr>
          <w:lang w:val="es-ES"/>
        </w:rPr>
        <w:t xml:space="preserve"> debe dárselo a otras personas,</w:t>
      </w:r>
      <w:r w:rsidR="00585EFC" w:rsidRPr="00575208">
        <w:rPr>
          <w:lang w:val="es-ES"/>
        </w:rPr>
        <w:t xml:space="preserve"> aunque tengan los mismos síntomas que usted, ya que puede perjudicarles.</w:t>
      </w:r>
      <w:r w:rsidR="00585EFC" w:rsidRPr="00575208">
        <w:rPr>
          <w:lang w:val="es-ES_tradnl"/>
        </w:rPr>
        <w:t xml:space="preserve"> </w:t>
      </w:r>
    </w:p>
    <w:p w14:paraId="43B66A55" w14:textId="77777777" w:rsidR="00585EFC" w:rsidRDefault="00585EFC" w:rsidP="00585EFC">
      <w:pPr>
        <w:ind w:left="561" w:hanging="561"/>
        <w:rPr>
          <w:ins w:id="2753" w:author="AUTHOR"/>
          <w:lang w:val="es-ES_tradnl"/>
        </w:rPr>
      </w:pPr>
      <w:r w:rsidRPr="00575208">
        <w:rPr>
          <w:lang w:val="es-ES"/>
        </w:rPr>
        <w:sym w:font="Symbol" w:char="F0B7"/>
      </w:r>
      <w:r w:rsidRPr="00575208">
        <w:rPr>
          <w:lang w:val="es-ES"/>
        </w:rPr>
        <w:tab/>
      </w:r>
      <w:r w:rsidRPr="00575208">
        <w:rPr>
          <w:lang w:val="es-ES_tradnl"/>
        </w:rPr>
        <w:t>Si experimenta efectos adversos, consulte a su médico, farmacéutico o enfermero, incluso si se trata de efectos adversos que no aparecen en este prospecto. Ver sección 4.</w:t>
      </w:r>
    </w:p>
    <w:p w14:paraId="2F64E5FA" w14:textId="77777777" w:rsidR="00024761" w:rsidRPr="00575208" w:rsidRDefault="00024761" w:rsidP="00585EFC">
      <w:pPr>
        <w:ind w:left="561" w:hanging="561"/>
        <w:rPr>
          <w:lang w:val="es-ES"/>
        </w:rPr>
      </w:pPr>
    </w:p>
    <w:p w14:paraId="29983A85" w14:textId="2A9DCF44" w:rsidR="00585EFC" w:rsidRPr="00575208" w:rsidRDefault="00585EFC" w:rsidP="00585EFC">
      <w:pPr>
        <w:rPr>
          <w:lang w:val="es-ES"/>
        </w:rPr>
      </w:pPr>
      <w:r w:rsidRPr="00575208">
        <w:rPr>
          <w:lang w:val="es-ES_tradnl"/>
        </w:rPr>
        <w:t xml:space="preserve">Además de este prospecto, se le dará una </w:t>
      </w:r>
      <w:r w:rsidRPr="00575208">
        <w:rPr>
          <w:b/>
          <w:lang w:val="es-ES_tradnl"/>
        </w:rPr>
        <w:t xml:space="preserve">tarjeta de </w:t>
      </w:r>
      <w:r w:rsidR="00A17862">
        <w:rPr>
          <w:b/>
          <w:lang w:val="es-ES_tradnl"/>
        </w:rPr>
        <w:t xml:space="preserve">información para </w:t>
      </w:r>
      <w:r w:rsidRPr="00575208">
        <w:rPr>
          <w:b/>
          <w:lang w:val="es-ES_tradnl"/>
        </w:rPr>
        <w:t>el paciente</w:t>
      </w:r>
      <w:r w:rsidRPr="00575208">
        <w:rPr>
          <w:lang w:val="es-ES_tradnl"/>
        </w:rPr>
        <w:t>, que contiene información importante de seguridad que debe conocer antes de recibir RoActemra y durante el tratamiento con RoActemra.</w:t>
      </w:r>
    </w:p>
    <w:p w14:paraId="5009D6B5" w14:textId="77777777" w:rsidR="00585EFC" w:rsidRPr="00575208" w:rsidRDefault="00585EFC" w:rsidP="00585EFC">
      <w:pPr>
        <w:rPr>
          <w:lang w:val="es-ES"/>
        </w:rPr>
      </w:pPr>
    </w:p>
    <w:p w14:paraId="247EC827" w14:textId="77777777" w:rsidR="00585EFC" w:rsidRPr="00575208" w:rsidRDefault="00585EFC" w:rsidP="00585EFC">
      <w:pPr>
        <w:rPr>
          <w:lang w:val="es-ES"/>
        </w:rPr>
      </w:pPr>
      <w:r w:rsidRPr="00575208">
        <w:rPr>
          <w:b/>
          <w:bCs/>
          <w:lang w:val="es-ES_tradnl"/>
        </w:rPr>
        <w:t>Contenido del prospecto:</w:t>
      </w:r>
      <w:r w:rsidRPr="00575208">
        <w:rPr>
          <w:lang w:val="es-ES"/>
        </w:rPr>
        <w:t xml:space="preserve"> </w:t>
      </w:r>
    </w:p>
    <w:p w14:paraId="2ED15750" w14:textId="77777777" w:rsidR="00585EFC" w:rsidRPr="00556927" w:rsidRDefault="00585EFC" w:rsidP="00585EFC">
      <w:pPr>
        <w:rPr>
          <w:lang w:val="es-ES"/>
        </w:rPr>
      </w:pPr>
      <w:r w:rsidRPr="00556927">
        <w:rPr>
          <w:lang w:val="es-ES"/>
        </w:rPr>
        <w:t>1.</w:t>
      </w:r>
      <w:r w:rsidRPr="00556927">
        <w:rPr>
          <w:lang w:val="es-ES"/>
        </w:rPr>
        <w:tab/>
      </w:r>
      <w:r w:rsidRPr="00556927">
        <w:rPr>
          <w:lang w:val="es-ES_tradnl"/>
        </w:rPr>
        <w:t>Qué es RoActemra y para qué se utiliza</w:t>
      </w:r>
    </w:p>
    <w:p w14:paraId="300F550E" w14:textId="77777777" w:rsidR="00585EFC" w:rsidRPr="00556927" w:rsidRDefault="00585EFC" w:rsidP="00585EFC">
      <w:pPr>
        <w:rPr>
          <w:lang w:val="es-ES"/>
        </w:rPr>
      </w:pPr>
      <w:r w:rsidRPr="00556927">
        <w:rPr>
          <w:lang w:val="es-ES"/>
        </w:rPr>
        <w:t>2.</w:t>
      </w:r>
      <w:r w:rsidRPr="00556927">
        <w:rPr>
          <w:lang w:val="es-ES"/>
        </w:rPr>
        <w:tab/>
        <w:t xml:space="preserve">Qué necesita saber </w:t>
      </w:r>
      <w:r w:rsidRPr="00556927">
        <w:rPr>
          <w:lang w:val="es-ES_tradnl"/>
        </w:rPr>
        <w:t>antes de empezar a usar RoActemra</w:t>
      </w:r>
    </w:p>
    <w:p w14:paraId="573ECE61" w14:textId="77777777" w:rsidR="00585EFC" w:rsidRPr="00556927" w:rsidRDefault="00585EFC" w:rsidP="00585EFC">
      <w:pPr>
        <w:rPr>
          <w:lang w:val="es-ES"/>
        </w:rPr>
      </w:pPr>
      <w:r w:rsidRPr="00556927">
        <w:rPr>
          <w:lang w:val="es-ES"/>
        </w:rPr>
        <w:t>3.</w:t>
      </w:r>
      <w:r w:rsidRPr="00556927">
        <w:rPr>
          <w:lang w:val="es-ES"/>
        </w:rPr>
        <w:tab/>
      </w:r>
      <w:r w:rsidRPr="00556927">
        <w:rPr>
          <w:lang w:val="es-ES_tradnl"/>
        </w:rPr>
        <w:t>Cómo usar RoActemra</w:t>
      </w:r>
    </w:p>
    <w:p w14:paraId="1F804658" w14:textId="77777777" w:rsidR="00585EFC" w:rsidRPr="00556927" w:rsidRDefault="00585EFC" w:rsidP="00585EFC">
      <w:pPr>
        <w:rPr>
          <w:lang w:val="es-ES"/>
        </w:rPr>
      </w:pPr>
      <w:r w:rsidRPr="00556927">
        <w:rPr>
          <w:lang w:val="es-ES"/>
        </w:rPr>
        <w:t>4.</w:t>
      </w:r>
      <w:r w:rsidRPr="00556927">
        <w:rPr>
          <w:lang w:val="es-ES"/>
        </w:rPr>
        <w:tab/>
      </w:r>
      <w:r w:rsidRPr="00556927">
        <w:rPr>
          <w:lang w:val="es-ES_tradnl"/>
        </w:rPr>
        <w:t>Posibles efectos adversos</w:t>
      </w:r>
    </w:p>
    <w:p w14:paraId="17174F0D" w14:textId="77777777" w:rsidR="00585EFC" w:rsidRPr="00556927" w:rsidRDefault="00585EFC" w:rsidP="00585EFC">
      <w:pPr>
        <w:rPr>
          <w:lang w:val="es-ES"/>
        </w:rPr>
      </w:pPr>
      <w:r w:rsidRPr="00556927">
        <w:rPr>
          <w:lang w:val="es-ES"/>
        </w:rPr>
        <w:t>5.</w:t>
      </w:r>
      <w:r w:rsidRPr="00556927">
        <w:rPr>
          <w:lang w:val="es-ES"/>
        </w:rPr>
        <w:tab/>
      </w:r>
      <w:r w:rsidRPr="00556927">
        <w:rPr>
          <w:lang w:val="es-ES_tradnl"/>
        </w:rPr>
        <w:t>Conservación de RoActemra</w:t>
      </w:r>
    </w:p>
    <w:p w14:paraId="74405839" w14:textId="77777777" w:rsidR="00585EFC" w:rsidRPr="00556927" w:rsidRDefault="00585EFC" w:rsidP="00585EFC">
      <w:pPr>
        <w:rPr>
          <w:lang w:val="es-ES"/>
        </w:rPr>
      </w:pPr>
      <w:r w:rsidRPr="00556927">
        <w:rPr>
          <w:lang w:val="es-ES"/>
        </w:rPr>
        <w:t>6.</w:t>
      </w:r>
      <w:r w:rsidRPr="00556927">
        <w:rPr>
          <w:lang w:val="es-ES"/>
        </w:rPr>
        <w:tab/>
        <w:t xml:space="preserve">Contenido del envase e </w:t>
      </w:r>
      <w:r w:rsidRPr="00556927">
        <w:rPr>
          <w:lang w:val="es-ES_tradnl"/>
        </w:rPr>
        <w:t>información adicional</w:t>
      </w:r>
    </w:p>
    <w:p w14:paraId="63856CE1" w14:textId="77777777" w:rsidR="00585EFC" w:rsidRPr="00575208" w:rsidRDefault="00585EFC" w:rsidP="00585EFC">
      <w:pPr>
        <w:rPr>
          <w:lang w:val="es-ES"/>
        </w:rPr>
      </w:pPr>
    </w:p>
    <w:p w14:paraId="10AEDC6B" w14:textId="77777777" w:rsidR="00585EFC" w:rsidRPr="00575208" w:rsidRDefault="00585EFC" w:rsidP="00585EFC">
      <w:pPr>
        <w:rPr>
          <w:lang w:val="es-ES"/>
        </w:rPr>
      </w:pPr>
    </w:p>
    <w:p w14:paraId="1F4A9ED5" w14:textId="77777777" w:rsidR="00585EFC" w:rsidRPr="00575208" w:rsidRDefault="00585EFC" w:rsidP="00585EFC">
      <w:pPr>
        <w:rPr>
          <w:b/>
          <w:lang w:val="es-ES"/>
        </w:rPr>
      </w:pPr>
      <w:r w:rsidRPr="00575208">
        <w:rPr>
          <w:b/>
          <w:lang w:val="es-ES"/>
        </w:rPr>
        <w:t>1.</w:t>
      </w:r>
      <w:r w:rsidRPr="00575208">
        <w:rPr>
          <w:b/>
          <w:lang w:val="es-ES"/>
        </w:rPr>
        <w:tab/>
        <w:t>Qué es RoActemra y para qué se utiliza</w:t>
      </w:r>
      <w:r w:rsidRPr="00575208" w:rsidDel="00B36F08">
        <w:rPr>
          <w:b/>
          <w:lang w:val="es-ES"/>
        </w:rPr>
        <w:t xml:space="preserve"> </w:t>
      </w:r>
    </w:p>
    <w:p w14:paraId="0CBC206F" w14:textId="77777777" w:rsidR="00585EFC" w:rsidRPr="00575208" w:rsidRDefault="00585EFC" w:rsidP="00585EFC">
      <w:pPr>
        <w:rPr>
          <w:lang w:val="es-ES"/>
        </w:rPr>
      </w:pPr>
    </w:p>
    <w:p w14:paraId="2834E7A4" w14:textId="77777777" w:rsidR="00585EFC" w:rsidRPr="00575208" w:rsidRDefault="00585EFC" w:rsidP="00585EFC">
      <w:pPr>
        <w:rPr>
          <w:lang w:val="es-ES"/>
        </w:rPr>
      </w:pPr>
      <w:r w:rsidRPr="00575208">
        <w:rPr>
          <w:lang w:val="es-ES"/>
        </w:rPr>
        <w:t>RoActemra contiene una sustancia activa llamada tocilizumab, que es una proteína obtenida a partir de células inmunitarias específicas (anticuerpo monoclonal), que bloquea la acción de un tipo de proteína específica (citoquina) llamada inter</w:t>
      </w:r>
      <w:del w:id="2754" w:author="AUTHOR">
        <w:r w:rsidRPr="00575208" w:rsidDel="00806EEE">
          <w:rPr>
            <w:lang w:val="es-ES"/>
          </w:rPr>
          <w:delText>-</w:delText>
        </w:r>
      </w:del>
      <w:r w:rsidRPr="00575208">
        <w:rPr>
          <w:lang w:val="es-ES"/>
        </w:rPr>
        <w:t>leucina 6. Esta proteína está implicada en procesos inflamatorios del cuerpo, y bloqueándola se puede reducir la inflamación. RoActemra está indicado para tratar:</w:t>
      </w:r>
    </w:p>
    <w:p w14:paraId="10A74397" w14:textId="77777777" w:rsidR="00585EFC" w:rsidRPr="00575208" w:rsidRDefault="00585EFC" w:rsidP="00585EFC">
      <w:pPr>
        <w:rPr>
          <w:lang w:val="es-ES"/>
        </w:rPr>
      </w:pPr>
    </w:p>
    <w:p w14:paraId="7BD8B67E" w14:textId="77777777" w:rsidR="00585EFC" w:rsidRPr="00575208" w:rsidRDefault="00585EFC" w:rsidP="00585EFC">
      <w:pPr>
        <w:ind w:left="567" w:hanging="567"/>
        <w:rPr>
          <w:lang w:val="es-ES"/>
        </w:rPr>
      </w:pPr>
      <w:r w:rsidRPr="00575208">
        <w:rPr>
          <w:lang w:val="es-ES"/>
        </w:rPr>
        <w:sym w:font="Symbol" w:char="F0B7"/>
      </w:r>
      <w:r w:rsidRPr="00575208">
        <w:rPr>
          <w:lang w:val="es-ES"/>
        </w:rPr>
        <w:tab/>
      </w:r>
      <w:r w:rsidRPr="00575208">
        <w:rPr>
          <w:b/>
          <w:lang w:val="es-ES_tradnl"/>
        </w:rPr>
        <w:t>adultos</w:t>
      </w:r>
      <w:r w:rsidRPr="00575208">
        <w:rPr>
          <w:lang w:val="es-ES_tradnl"/>
        </w:rPr>
        <w:t xml:space="preserve"> </w:t>
      </w:r>
      <w:r w:rsidRPr="00C555F2">
        <w:rPr>
          <w:b/>
          <w:lang w:val="es-ES_tradnl"/>
        </w:rPr>
        <w:t>con artritis reumatoide activa (AR) de moderada a grave</w:t>
      </w:r>
      <w:r w:rsidRPr="00575208">
        <w:rPr>
          <w:lang w:val="es-ES_tradnl"/>
        </w:rPr>
        <w:t>, que es una enfermedad autoinmune, si los tratamientos previos no han funcionado bien.</w:t>
      </w:r>
      <w:r w:rsidRPr="00575208">
        <w:rPr>
          <w:lang w:val="es-ES"/>
        </w:rPr>
        <w:t xml:space="preserve"> </w:t>
      </w:r>
    </w:p>
    <w:p w14:paraId="43DDFA48" w14:textId="77777777" w:rsidR="00585EFC" w:rsidRPr="00575208" w:rsidRDefault="00585EFC" w:rsidP="00585EFC">
      <w:pPr>
        <w:rPr>
          <w:lang w:val="es-ES"/>
        </w:rPr>
      </w:pPr>
    </w:p>
    <w:p w14:paraId="35D77566" w14:textId="77777777" w:rsidR="00585EFC" w:rsidRPr="00575208" w:rsidRDefault="00585EFC" w:rsidP="00585EFC">
      <w:pPr>
        <w:ind w:left="567" w:hanging="567"/>
        <w:rPr>
          <w:lang w:val="es-ES"/>
        </w:rPr>
      </w:pPr>
      <w:r w:rsidRPr="00575208">
        <w:rPr>
          <w:lang w:val="es-ES"/>
        </w:rPr>
        <w:sym w:font="Symbol" w:char="F0B7"/>
      </w:r>
      <w:r w:rsidRPr="00575208">
        <w:rPr>
          <w:lang w:val="es-ES"/>
        </w:rPr>
        <w:tab/>
      </w:r>
      <w:r w:rsidRPr="00575208">
        <w:rPr>
          <w:b/>
          <w:lang w:val="es-ES"/>
        </w:rPr>
        <w:t>adultos</w:t>
      </w:r>
      <w:r w:rsidRPr="00575208">
        <w:rPr>
          <w:lang w:val="es-ES"/>
        </w:rPr>
        <w:t xml:space="preserve"> </w:t>
      </w:r>
      <w:r w:rsidRPr="00C555F2">
        <w:rPr>
          <w:b/>
          <w:lang w:val="es-ES"/>
        </w:rPr>
        <w:t xml:space="preserve">con artritis reumatoide </w:t>
      </w:r>
      <w:r w:rsidRPr="00575208">
        <w:rPr>
          <w:b/>
          <w:lang w:val="es-ES"/>
        </w:rPr>
        <w:t>(AR)</w:t>
      </w:r>
      <w:r w:rsidRPr="00C555F2">
        <w:rPr>
          <w:b/>
          <w:lang w:val="es-ES"/>
        </w:rPr>
        <w:t xml:space="preserve"> grave, activa y progresiva</w:t>
      </w:r>
      <w:r w:rsidRPr="00575208">
        <w:rPr>
          <w:lang w:val="es-ES"/>
        </w:rPr>
        <w:t>, que no han sido previamente tratados con metotrexato.</w:t>
      </w:r>
    </w:p>
    <w:p w14:paraId="25BF8A58" w14:textId="77777777" w:rsidR="00585EFC" w:rsidRPr="00575208" w:rsidRDefault="00585EFC" w:rsidP="00585EFC">
      <w:pPr>
        <w:rPr>
          <w:lang w:val="es-ES"/>
        </w:rPr>
      </w:pPr>
    </w:p>
    <w:p w14:paraId="402B25F7" w14:textId="77777777" w:rsidR="00585EFC" w:rsidRPr="00575208" w:rsidRDefault="00585EFC" w:rsidP="00585EFC">
      <w:pPr>
        <w:rPr>
          <w:lang w:val="es-ES"/>
        </w:rPr>
      </w:pPr>
      <w:r w:rsidRPr="00575208">
        <w:rPr>
          <w:lang w:val="es-ES_tradnl"/>
        </w:rPr>
        <w:t>RoActemra ayuda a reducir los síntomas de la AR tales como el dolor y la hinchazón en sus articulaciones y puede también mejorar así su rendimiento en las tareas diarias. RoActemra ha demostrado disminuir la progresión del daño en el cartílago y los huesos de sus articulaciones causados por la enfermedad y mejorar su capacidad para realizar sus actividades diarias.</w:t>
      </w:r>
    </w:p>
    <w:p w14:paraId="525C3FF5" w14:textId="77777777" w:rsidR="00585EFC" w:rsidRPr="00575208" w:rsidRDefault="00585EFC" w:rsidP="00585EFC">
      <w:pPr>
        <w:rPr>
          <w:lang w:val="es-ES"/>
        </w:rPr>
      </w:pPr>
    </w:p>
    <w:p w14:paraId="380E81EE" w14:textId="77777777" w:rsidR="00585EFC" w:rsidRPr="00575208" w:rsidRDefault="00585EFC" w:rsidP="00585EFC">
      <w:pPr>
        <w:rPr>
          <w:lang w:val="es-ES_tradnl"/>
        </w:rPr>
      </w:pPr>
      <w:r w:rsidRPr="00575208">
        <w:rPr>
          <w:lang w:val="es-ES_tradnl"/>
        </w:rPr>
        <w:t>RoActemra normalmente se utiliza en combinación con otro medicamento para la AR llamado metotrexato. Sin embargo, RoActemra se le puede administrar solo, si su médico determina que el metotrexato no es adecuado.</w:t>
      </w:r>
    </w:p>
    <w:p w14:paraId="1F9B5ED4" w14:textId="77777777" w:rsidR="00585EFC" w:rsidRPr="00575208" w:rsidRDefault="00585EFC" w:rsidP="00585EFC">
      <w:pPr>
        <w:rPr>
          <w:lang w:val="es-ES_tradnl"/>
        </w:rPr>
      </w:pPr>
    </w:p>
    <w:p w14:paraId="2691BCEA" w14:textId="77777777" w:rsidR="00585EFC" w:rsidRPr="00575208" w:rsidRDefault="00585EFC" w:rsidP="00585EFC">
      <w:pPr>
        <w:ind w:left="567" w:hanging="567"/>
        <w:rPr>
          <w:lang w:val="es-ES"/>
        </w:rPr>
      </w:pPr>
      <w:r w:rsidRPr="00575208">
        <w:rPr>
          <w:lang w:val="es-ES_tradnl"/>
        </w:rPr>
        <w:sym w:font="Symbol" w:char="F0B7"/>
      </w:r>
      <w:r w:rsidRPr="00575208">
        <w:rPr>
          <w:lang w:val="es-ES_tradnl"/>
        </w:rPr>
        <w:tab/>
      </w:r>
      <w:r w:rsidRPr="00575208">
        <w:rPr>
          <w:b/>
          <w:lang w:val="es-ES_tradnl"/>
        </w:rPr>
        <w:t>a</w:t>
      </w:r>
      <w:r w:rsidRPr="00575208">
        <w:rPr>
          <w:b/>
          <w:lang w:val="es-ES"/>
        </w:rPr>
        <w:t>dultos con una enfermedad de las arterias llamada arteritis de células gigantes (ACG)</w:t>
      </w:r>
      <w:r w:rsidRPr="00575208">
        <w:rPr>
          <w:lang w:val="es-ES"/>
        </w:rPr>
        <w:t>, causada por la inflamación de las arterias más grandes del cuerpo, especialmente aquellas que suministran sangre a la cabeza y al cuello. Los síntomas pueden incluir dolor de cabeza, fatiga y dolor en la mandíbula. Los efectos pueden incluir derrames cerebrales y ceguera.</w:t>
      </w:r>
    </w:p>
    <w:p w14:paraId="400924F0" w14:textId="77777777" w:rsidR="00585EFC" w:rsidRPr="00575208" w:rsidRDefault="00585EFC" w:rsidP="00585EFC">
      <w:pPr>
        <w:rPr>
          <w:lang w:val="es-ES"/>
        </w:rPr>
      </w:pPr>
    </w:p>
    <w:p w14:paraId="39DAF36A" w14:textId="77777777" w:rsidR="00585EFC" w:rsidRPr="00575208" w:rsidRDefault="00585EFC" w:rsidP="00585EFC">
      <w:pPr>
        <w:rPr>
          <w:lang w:val="es-ES"/>
        </w:rPr>
      </w:pPr>
      <w:r w:rsidRPr="00575208">
        <w:rPr>
          <w:lang w:val="es-ES"/>
        </w:rPr>
        <w:t>RoActemra puede reducir el dolor e hinchazón de las arterias y venas de cabeza, cuello y brazos.</w:t>
      </w:r>
    </w:p>
    <w:p w14:paraId="1FB8F663" w14:textId="77777777" w:rsidR="00585EFC" w:rsidRPr="00575208" w:rsidRDefault="00585EFC" w:rsidP="00585EFC">
      <w:pPr>
        <w:rPr>
          <w:lang w:val="es-ES"/>
        </w:rPr>
      </w:pPr>
    </w:p>
    <w:p w14:paraId="15D0F561" w14:textId="77777777" w:rsidR="00585EFC" w:rsidRDefault="00585EFC" w:rsidP="00585EFC">
      <w:pPr>
        <w:rPr>
          <w:lang w:val="es-ES"/>
        </w:rPr>
      </w:pPr>
      <w:r w:rsidRPr="00575208">
        <w:rPr>
          <w:lang w:val="es-ES"/>
        </w:rPr>
        <w:lastRenderedPageBreak/>
        <w:t>La ACG se trata a menudo con medicamentos llamados esteroides. Por lo general son eficaces, pero pueden tener efectos secundarios si se usan a dosis altas durante mucho tiempo. La reducción de la dosis de esteroides también puede conducir a un brote de ACG. La adición de RoActemra al tratamiento hace que el tiempo de uso de los esteroides pueda ser más corto, mientras que siguen controlando la ACG.</w:t>
      </w:r>
    </w:p>
    <w:p w14:paraId="0C6253AC" w14:textId="77777777" w:rsidR="00716776" w:rsidRDefault="00716776" w:rsidP="00585EFC">
      <w:pPr>
        <w:rPr>
          <w:lang w:val="es-ES"/>
        </w:rPr>
      </w:pPr>
    </w:p>
    <w:p w14:paraId="3330A143" w14:textId="77777777" w:rsidR="00716776" w:rsidRDefault="00C37D5B" w:rsidP="00FF2AFA">
      <w:pPr>
        <w:ind w:left="357" w:hanging="357"/>
        <w:rPr>
          <w:lang w:val="es-ES"/>
        </w:rPr>
      </w:pPr>
      <w:r w:rsidRPr="00F22672">
        <w:rPr>
          <w:lang w:val="es-ES"/>
        </w:rPr>
        <w:sym w:font="Symbol" w:char="F0B7"/>
      </w:r>
      <w:r>
        <w:rPr>
          <w:lang w:val="es-ES"/>
        </w:rPr>
        <w:tab/>
      </w:r>
      <w:r w:rsidR="00716776" w:rsidRPr="00115310">
        <w:rPr>
          <w:b/>
          <w:lang w:val="es-ES"/>
        </w:rPr>
        <w:t>niños y adolescentes, de 1</w:t>
      </w:r>
      <w:r w:rsidR="00745C66">
        <w:rPr>
          <w:b/>
          <w:lang w:val="es-ES"/>
        </w:rPr>
        <w:t>2</w:t>
      </w:r>
      <w:r w:rsidR="00716776" w:rsidRPr="00115310">
        <w:rPr>
          <w:b/>
          <w:lang w:val="es-ES"/>
        </w:rPr>
        <w:t xml:space="preserve"> año</w:t>
      </w:r>
      <w:r w:rsidR="00745C66">
        <w:rPr>
          <w:b/>
          <w:lang w:val="es-ES"/>
        </w:rPr>
        <w:t>s</w:t>
      </w:r>
      <w:r w:rsidR="00716776" w:rsidRPr="00115310">
        <w:rPr>
          <w:b/>
          <w:lang w:val="es-ES"/>
        </w:rPr>
        <w:t xml:space="preserve"> de edad y mayores</w:t>
      </w:r>
      <w:r w:rsidR="00716776">
        <w:rPr>
          <w:b/>
          <w:lang w:val="es-ES"/>
        </w:rPr>
        <w:t>,</w:t>
      </w:r>
      <w:r w:rsidR="00716776" w:rsidRPr="00115310">
        <w:rPr>
          <w:b/>
          <w:lang w:val="es-ES"/>
        </w:rPr>
        <w:t xml:space="preserve"> con </w:t>
      </w:r>
      <w:r w:rsidR="00716776" w:rsidRPr="00FF2AFA">
        <w:rPr>
          <w:b/>
          <w:i/>
          <w:lang w:val="es-ES"/>
        </w:rPr>
        <w:t>artritis idiopática juvenil sistémica (AIJs)</w:t>
      </w:r>
      <w:r w:rsidR="00716776" w:rsidRPr="00115310">
        <w:rPr>
          <w:b/>
          <w:lang w:val="es-ES"/>
        </w:rPr>
        <w:t xml:space="preserve"> activa,</w:t>
      </w:r>
      <w:r w:rsidR="00716776">
        <w:rPr>
          <w:lang w:val="es-ES"/>
        </w:rPr>
        <w:t xml:space="preserve"> </w:t>
      </w:r>
      <w:r w:rsidR="00716776" w:rsidRPr="00115310">
        <w:rPr>
          <w:lang w:val="es-ES"/>
        </w:rPr>
        <w:t>una enfermedad inflamatoria que causa dolor e hinchazón en una o más articulaciones, así como fiebre y erupción</w:t>
      </w:r>
      <w:r w:rsidR="00716776">
        <w:rPr>
          <w:lang w:val="es-ES"/>
        </w:rPr>
        <w:t xml:space="preserve"> cutánea.</w:t>
      </w:r>
    </w:p>
    <w:p w14:paraId="6BA74E85" w14:textId="77777777" w:rsidR="00716776" w:rsidRDefault="00716776" w:rsidP="00716776">
      <w:pPr>
        <w:ind w:left="425" w:hanging="425"/>
        <w:rPr>
          <w:lang w:val="es-ES"/>
        </w:rPr>
      </w:pPr>
    </w:p>
    <w:p w14:paraId="0C7C3397" w14:textId="77777777" w:rsidR="00716776" w:rsidRDefault="00716776" w:rsidP="00716776">
      <w:pPr>
        <w:ind w:left="426"/>
        <w:rPr>
          <w:lang w:val="es-ES"/>
        </w:rPr>
      </w:pPr>
      <w:r>
        <w:rPr>
          <w:lang w:val="es-ES"/>
        </w:rPr>
        <w:tab/>
        <w:t xml:space="preserve">RoActemra </w:t>
      </w:r>
      <w:r w:rsidRPr="00115310">
        <w:rPr>
          <w:lang w:val="es-ES"/>
        </w:rPr>
        <w:t>se utiliza para mejorar los síntomas de la A</w:t>
      </w:r>
      <w:r>
        <w:rPr>
          <w:lang w:val="es-ES"/>
        </w:rPr>
        <w:t>IJs</w:t>
      </w:r>
      <w:r w:rsidRPr="00115310">
        <w:rPr>
          <w:lang w:val="es-ES"/>
        </w:rPr>
        <w:t>. Se puede administrar en combinación con metotrexato o solo</w:t>
      </w:r>
      <w:r>
        <w:rPr>
          <w:lang w:val="es-ES"/>
        </w:rPr>
        <w:t>.</w:t>
      </w:r>
    </w:p>
    <w:p w14:paraId="13D3D14B" w14:textId="77777777" w:rsidR="00716776" w:rsidRDefault="00716776" w:rsidP="00716776">
      <w:pPr>
        <w:ind w:left="426"/>
        <w:rPr>
          <w:lang w:val="es-ES"/>
        </w:rPr>
      </w:pPr>
    </w:p>
    <w:p w14:paraId="4010EEE1" w14:textId="77777777" w:rsidR="00716776" w:rsidRPr="00A5312D" w:rsidRDefault="00C37D5B" w:rsidP="00FF2AFA">
      <w:pPr>
        <w:tabs>
          <w:tab w:val="left" w:pos="284"/>
          <w:tab w:val="left" w:pos="426"/>
        </w:tabs>
        <w:ind w:left="357" w:hanging="357"/>
        <w:rPr>
          <w:lang w:val="es-ES"/>
        </w:rPr>
      </w:pPr>
      <w:r w:rsidRPr="00F22672">
        <w:rPr>
          <w:lang w:val="es-ES"/>
        </w:rPr>
        <w:sym w:font="Symbol" w:char="F0B7"/>
      </w:r>
      <w:r>
        <w:rPr>
          <w:lang w:val="es-ES"/>
        </w:rPr>
        <w:tab/>
      </w:r>
      <w:r w:rsidR="00716776" w:rsidRPr="006616E4">
        <w:rPr>
          <w:b/>
          <w:szCs w:val="22"/>
          <w:lang w:val="es-ES"/>
        </w:rPr>
        <w:t>niños y adolescentes,</w:t>
      </w:r>
      <w:r w:rsidR="00716776" w:rsidRPr="00A5312D">
        <w:rPr>
          <w:lang w:val="es-ES"/>
        </w:rPr>
        <w:t xml:space="preserve"> de </w:t>
      </w:r>
      <w:r w:rsidR="00745C66">
        <w:rPr>
          <w:lang w:val="es-ES"/>
        </w:rPr>
        <w:t>1</w:t>
      </w:r>
      <w:r w:rsidR="00716776" w:rsidRPr="00A5312D">
        <w:rPr>
          <w:lang w:val="es-ES"/>
        </w:rPr>
        <w:t>2 años</w:t>
      </w:r>
      <w:r w:rsidR="00716776">
        <w:rPr>
          <w:lang w:val="es-ES"/>
        </w:rPr>
        <w:t xml:space="preserve"> de edad en adelante, con </w:t>
      </w:r>
      <w:r w:rsidR="00716776" w:rsidRPr="006616E4">
        <w:rPr>
          <w:b/>
          <w:i/>
          <w:szCs w:val="22"/>
          <w:lang w:val="es-ES"/>
        </w:rPr>
        <w:t>artritis idiopática j</w:t>
      </w:r>
      <w:r w:rsidR="00716776" w:rsidRPr="009847A8">
        <w:rPr>
          <w:b/>
          <w:i/>
          <w:szCs w:val="22"/>
          <w:lang w:val="es-ES"/>
        </w:rPr>
        <w:t>uvenil poliarticular activa (</w:t>
      </w:r>
      <w:r w:rsidR="00716776" w:rsidRPr="006616E4">
        <w:rPr>
          <w:b/>
          <w:i/>
          <w:szCs w:val="22"/>
          <w:lang w:val="es-ES"/>
        </w:rPr>
        <w:t>A</w:t>
      </w:r>
      <w:r w:rsidR="00716776">
        <w:rPr>
          <w:b/>
          <w:i/>
          <w:szCs w:val="22"/>
          <w:lang w:val="es-ES"/>
        </w:rPr>
        <w:t>IJp</w:t>
      </w:r>
      <w:r w:rsidR="00716776" w:rsidRPr="006616E4">
        <w:rPr>
          <w:b/>
          <w:i/>
          <w:szCs w:val="22"/>
          <w:lang w:val="es-ES"/>
        </w:rPr>
        <w:t>)</w:t>
      </w:r>
      <w:r w:rsidR="00716776">
        <w:rPr>
          <w:b/>
          <w:i/>
          <w:szCs w:val="22"/>
          <w:lang w:val="es-ES"/>
        </w:rPr>
        <w:t xml:space="preserve">. </w:t>
      </w:r>
      <w:r w:rsidR="00716776">
        <w:rPr>
          <w:szCs w:val="22"/>
          <w:lang w:val="es-ES"/>
        </w:rPr>
        <w:t>É</w:t>
      </w:r>
      <w:r w:rsidR="00716776" w:rsidRPr="006616E4">
        <w:rPr>
          <w:szCs w:val="22"/>
          <w:lang w:val="es-ES"/>
        </w:rPr>
        <w:t>s</w:t>
      </w:r>
      <w:r w:rsidR="00716776">
        <w:rPr>
          <w:szCs w:val="22"/>
          <w:lang w:val="es-ES"/>
        </w:rPr>
        <w:t>ta es</w:t>
      </w:r>
      <w:r w:rsidR="00716776" w:rsidRPr="006616E4">
        <w:rPr>
          <w:szCs w:val="22"/>
          <w:lang w:val="es-ES"/>
        </w:rPr>
        <w:t xml:space="preserve"> </w:t>
      </w:r>
      <w:r w:rsidR="00716776" w:rsidRPr="00A5312D">
        <w:rPr>
          <w:lang w:val="es-ES"/>
        </w:rPr>
        <w:t>una enfermedad inflamatoria que causa dolor e hinchazón en una o más articulaciones.</w:t>
      </w:r>
    </w:p>
    <w:p w14:paraId="64A91643" w14:textId="77777777" w:rsidR="00716776" w:rsidRPr="00A5312D" w:rsidRDefault="00716776" w:rsidP="00716776">
      <w:pPr>
        <w:ind w:left="425" w:hanging="425"/>
        <w:rPr>
          <w:lang w:val="es-ES"/>
        </w:rPr>
      </w:pPr>
    </w:p>
    <w:p w14:paraId="45C7F117" w14:textId="77777777" w:rsidR="00716776" w:rsidRDefault="00716776" w:rsidP="00716776">
      <w:pPr>
        <w:ind w:left="426"/>
        <w:rPr>
          <w:lang w:val="es-ES"/>
        </w:rPr>
      </w:pPr>
      <w:r w:rsidRPr="00E40E9A">
        <w:rPr>
          <w:lang w:val="es-ES"/>
        </w:rPr>
        <w:t>RoActemra se utiliza para mejorar los síntomas de la AIJp. Se puede administrar en combinación con metotrexato o solo.</w:t>
      </w:r>
    </w:p>
    <w:p w14:paraId="2278D6A6" w14:textId="77777777" w:rsidR="00716776" w:rsidRDefault="00716776" w:rsidP="00585EFC">
      <w:pPr>
        <w:rPr>
          <w:lang w:val="es-ES"/>
        </w:rPr>
      </w:pPr>
    </w:p>
    <w:p w14:paraId="10CF693C" w14:textId="77777777" w:rsidR="00C37D5B" w:rsidRPr="00575208" w:rsidRDefault="00C37D5B" w:rsidP="00585EFC">
      <w:pPr>
        <w:rPr>
          <w:lang w:val="es-ES"/>
        </w:rPr>
      </w:pPr>
    </w:p>
    <w:p w14:paraId="0004EEDA" w14:textId="77777777" w:rsidR="00585EFC" w:rsidRPr="00575208" w:rsidRDefault="00585EFC" w:rsidP="00585EFC">
      <w:pPr>
        <w:rPr>
          <w:b/>
          <w:lang w:val="es-ES"/>
        </w:rPr>
      </w:pPr>
      <w:r w:rsidRPr="00575208">
        <w:rPr>
          <w:b/>
          <w:lang w:val="es-ES"/>
        </w:rPr>
        <w:t>2.</w:t>
      </w:r>
      <w:r w:rsidRPr="00575208">
        <w:rPr>
          <w:b/>
          <w:lang w:val="es-ES"/>
        </w:rPr>
        <w:tab/>
        <w:t>Qué necesita saber antes de empezar a usar RoActemra</w:t>
      </w:r>
    </w:p>
    <w:p w14:paraId="584BE2AE" w14:textId="77777777" w:rsidR="00585EFC" w:rsidRPr="00575208" w:rsidRDefault="00585EFC" w:rsidP="00585EFC">
      <w:pPr>
        <w:rPr>
          <w:lang w:val="es-ES"/>
        </w:rPr>
      </w:pPr>
    </w:p>
    <w:p w14:paraId="724423F9" w14:textId="77777777" w:rsidR="00585EFC" w:rsidRPr="00575208" w:rsidRDefault="00585EFC" w:rsidP="00585EFC">
      <w:pPr>
        <w:rPr>
          <w:b/>
          <w:bCs/>
          <w:lang w:val="es-ES_tradnl"/>
        </w:rPr>
      </w:pPr>
      <w:r w:rsidRPr="00575208">
        <w:rPr>
          <w:b/>
          <w:bCs/>
          <w:lang w:val="es-ES_tradnl"/>
        </w:rPr>
        <w:t xml:space="preserve">No se le administrará RoActemra </w:t>
      </w:r>
    </w:p>
    <w:p w14:paraId="3B24EB56" w14:textId="77777777" w:rsidR="00585EFC" w:rsidRPr="00575208" w:rsidRDefault="00585EFC" w:rsidP="00585EFC">
      <w:pPr>
        <w:ind w:left="567" w:hanging="567"/>
        <w:rPr>
          <w:lang w:val="es-ES_tradnl"/>
        </w:rPr>
      </w:pPr>
      <w:r w:rsidRPr="00575208">
        <w:rPr>
          <w:lang w:val="es-ES"/>
        </w:rPr>
        <w:sym w:font="Symbol" w:char="F0B7"/>
      </w:r>
      <w:r w:rsidRPr="00575208">
        <w:rPr>
          <w:lang w:val="es-ES"/>
        </w:rPr>
        <w:tab/>
        <w:t xml:space="preserve">Si </w:t>
      </w:r>
      <w:r w:rsidR="00716776">
        <w:rPr>
          <w:lang w:val="es-ES"/>
        </w:rPr>
        <w:t xml:space="preserve">usted o el paciente pediátrico al que cuida </w:t>
      </w:r>
      <w:r w:rsidRPr="00575208">
        <w:rPr>
          <w:lang w:val="es-ES"/>
        </w:rPr>
        <w:t xml:space="preserve">es alérgico al </w:t>
      </w:r>
      <w:r w:rsidRPr="00575208">
        <w:rPr>
          <w:lang w:val="es-ES_tradnl"/>
        </w:rPr>
        <w:t>tocilizumab o a alguno de los demás componentes de este medicamento (enumerados en la sección 6).</w:t>
      </w:r>
    </w:p>
    <w:p w14:paraId="12652108" w14:textId="77777777" w:rsidR="00585EFC" w:rsidRPr="00575208" w:rsidRDefault="00585EFC" w:rsidP="00585EFC">
      <w:pPr>
        <w:rPr>
          <w:lang w:val="es-ES_tradnl"/>
        </w:rPr>
      </w:pPr>
      <w:r w:rsidRPr="00575208">
        <w:rPr>
          <w:lang w:val="es-ES"/>
        </w:rPr>
        <w:sym w:font="Symbol" w:char="F0B7"/>
      </w:r>
      <w:r w:rsidRPr="00575208">
        <w:rPr>
          <w:lang w:val="es-ES"/>
        </w:rPr>
        <w:tab/>
      </w:r>
      <w:r w:rsidRPr="00575208">
        <w:rPr>
          <w:lang w:val="es-ES_tradnl"/>
        </w:rPr>
        <w:t xml:space="preserve">Si </w:t>
      </w:r>
      <w:r w:rsidR="00716776">
        <w:rPr>
          <w:lang w:val="es-ES_tradnl"/>
        </w:rPr>
        <w:t xml:space="preserve">usted o el paciente pediátrico al que cuida </w:t>
      </w:r>
      <w:r w:rsidRPr="00575208">
        <w:rPr>
          <w:lang w:val="es-ES_tradnl"/>
        </w:rPr>
        <w:t>tiene una infección activa grave.</w:t>
      </w:r>
    </w:p>
    <w:p w14:paraId="4CB0DAC4" w14:textId="77777777" w:rsidR="00585EFC" w:rsidRPr="00575208" w:rsidRDefault="00585EFC" w:rsidP="00585EFC">
      <w:pPr>
        <w:rPr>
          <w:lang w:val="es-ES_tradnl"/>
        </w:rPr>
      </w:pPr>
    </w:p>
    <w:p w14:paraId="37C56726" w14:textId="77777777" w:rsidR="00585EFC" w:rsidRPr="00575208" w:rsidRDefault="00585EFC" w:rsidP="00585EFC">
      <w:pPr>
        <w:rPr>
          <w:lang w:val="es-ES"/>
        </w:rPr>
      </w:pPr>
      <w:r w:rsidRPr="00575208">
        <w:rPr>
          <w:lang w:val="es-ES"/>
        </w:rPr>
        <w:t>Si le sucede algo de esto, consulte con el médico. No utilice RoActemra.</w:t>
      </w:r>
    </w:p>
    <w:p w14:paraId="2B12DD65" w14:textId="77777777" w:rsidR="00585EFC" w:rsidRPr="00575208" w:rsidRDefault="00585EFC" w:rsidP="00585EFC">
      <w:pPr>
        <w:rPr>
          <w:lang w:val="es-ES"/>
        </w:rPr>
      </w:pPr>
    </w:p>
    <w:p w14:paraId="0DC43533" w14:textId="77777777" w:rsidR="00585EFC" w:rsidRPr="00575208" w:rsidRDefault="00585EFC" w:rsidP="00585EFC">
      <w:pPr>
        <w:rPr>
          <w:b/>
          <w:lang w:val="es-ES"/>
        </w:rPr>
      </w:pPr>
      <w:r w:rsidRPr="00575208">
        <w:rPr>
          <w:b/>
          <w:lang w:val="es-ES"/>
        </w:rPr>
        <w:t>Advertencias y precauciones</w:t>
      </w:r>
    </w:p>
    <w:p w14:paraId="3B39A046" w14:textId="77777777" w:rsidR="00585EFC" w:rsidRPr="00575208" w:rsidRDefault="00585EFC" w:rsidP="00585EFC">
      <w:pPr>
        <w:rPr>
          <w:lang w:val="es-ES"/>
        </w:rPr>
      </w:pPr>
    </w:p>
    <w:p w14:paraId="2CC6607E" w14:textId="77777777" w:rsidR="00585EFC" w:rsidRPr="00575208" w:rsidRDefault="00585EFC" w:rsidP="00585EFC">
      <w:pPr>
        <w:rPr>
          <w:lang w:val="es-ES"/>
        </w:rPr>
      </w:pPr>
      <w:r w:rsidRPr="00575208">
        <w:rPr>
          <w:lang w:val="es-ES"/>
        </w:rPr>
        <w:t>Consulte a su médico, farmacéutico o enfermero antes de empezar a recibir RoActemra.</w:t>
      </w:r>
    </w:p>
    <w:p w14:paraId="51708B0D" w14:textId="77777777" w:rsidR="00585EFC" w:rsidRPr="00575208" w:rsidRDefault="00585EFC" w:rsidP="00585EFC">
      <w:pPr>
        <w:rPr>
          <w:lang w:val="es-ES"/>
        </w:rPr>
      </w:pPr>
    </w:p>
    <w:p w14:paraId="65936449" w14:textId="77777777" w:rsidR="00585EFC" w:rsidRPr="00575208" w:rsidRDefault="00585EFC" w:rsidP="00585EFC">
      <w:pPr>
        <w:ind w:left="567" w:hanging="567"/>
        <w:rPr>
          <w:lang w:val="es-ES_tradnl"/>
        </w:rPr>
      </w:pPr>
      <w:r w:rsidRPr="00575208">
        <w:rPr>
          <w:lang w:val="es-ES"/>
        </w:rPr>
        <w:sym w:font="Symbol" w:char="F0B7"/>
      </w:r>
      <w:r w:rsidRPr="00575208">
        <w:rPr>
          <w:lang w:val="es-ES"/>
        </w:rPr>
        <w:tab/>
      </w:r>
      <w:r w:rsidRPr="00575208">
        <w:rPr>
          <w:bCs/>
          <w:lang w:val="es-ES_tradnl"/>
        </w:rPr>
        <w:t xml:space="preserve">Si experimenta </w:t>
      </w:r>
      <w:r w:rsidRPr="00575208">
        <w:rPr>
          <w:b/>
          <w:bCs/>
          <w:lang w:val="es-ES_tradnl"/>
        </w:rPr>
        <w:t>reacciones alérgicas</w:t>
      </w:r>
      <w:r w:rsidRPr="00575208">
        <w:rPr>
          <w:lang w:val="es-ES_tradnl"/>
        </w:rPr>
        <w:t xml:space="preserve"> como sensación de opresión torácica, sibilancias, mareos o aturdimiento intenso, hinchazón de los labios, lengua, cara o erupción cutánea, ronchas o picor durante o después de la inyección, </w:t>
      </w:r>
      <w:r w:rsidRPr="00575208">
        <w:rPr>
          <w:b/>
          <w:bCs/>
          <w:lang w:val="es-ES_tradnl"/>
        </w:rPr>
        <w:t>informe a su médico inmediatamente</w:t>
      </w:r>
      <w:r w:rsidRPr="00575208">
        <w:rPr>
          <w:lang w:val="es-ES_tradnl"/>
        </w:rPr>
        <w:t>.</w:t>
      </w:r>
    </w:p>
    <w:p w14:paraId="627B3A4E" w14:textId="77777777" w:rsidR="00585EFC" w:rsidRPr="00575208" w:rsidRDefault="00585EFC" w:rsidP="00585EFC">
      <w:pPr>
        <w:rPr>
          <w:lang w:val="es-ES_tradnl"/>
        </w:rPr>
      </w:pPr>
    </w:p>
    <w:p w14:paraId="2C78B0DB" w14:textId="77777777" w:rsidR="00585EFC" w:rsidRPr="00575208" w:rsidRDefault="00585EFC" w:rsidP="00585EFC">
      <w:pPr>
        <w:ind w:left="567" w:hanging="567"/>
        <w:rPr>
          <w:lang w:val="es-ES_tradnl"/>
        </w:rPr>
      </w:pPr>
      <w:r w:rsidRPr="00575208">
        <w:rPr>
          <w:lang w:val="es-ES"/>
        </w:rPr>
        <w:sym w:font="Symbol" w:char="F0B7"/>
      </w:r>
      <w:r w:rsidRPr="00575208">
        <w:rPr>
          <w:lang w:val="es-ES_tradnl"/>
        </w:rPr>
        <w:tab/>
        <w:t>Si ha experimentado algún síntoma de reacción alérgica después de la administración de RoActemra, no tome la siguiente dosis hasta haber informado a su médico y que su médico le haya indicado que tome la siguiente dosis.</w:t>
      </w:r>
    </w:p>
    <w:p w14:paraId="2D259854" w14:textId="77777777" w:rsidR="00585EFC" w:rsidRPr="00575208" w:rsidRDefault="00585EFC" w:rsidP="00585EFC">
      <w:pPr>
        <w:rPr>
          <w:lang w:val="es-ES"/>
        </w:rPr>
      </w:pPr>
    </w:p>
    <w:p w14:paraId="16518F08" w14:textId="77777777" w:rsidR="00585EFC" w:rsidRPr="00575208" w:rsidRDefault="00585EFC" w:rsidP="00585EFC">
      <w:pPr>
        <w:ind w:left="567" w:hanging="567"/>
        <w:rPr>
          <w:lang w:val="es-ES"/>
        </w:rPr>
      </w:pPr>
      <w:r w:rsidRPr="00575208">
        <w:rPr>
          <w:lang w:val="es-ES"/>
        </w:rPr>
        <w:sym w:font="Symbol" w:char="F0B7"/>
      </w:r>
      <w:r w:rsidRPr="00575208">
        <w:rPr>
          <w:lang w:val="es-ES"/>
        </w:rPr>
        <w:tab/>
      </w:r>
      <w:r w:rsidRPr="00575208">
        <w:rPr>
          <w:bCs/>
          <w:lang w:val="es-ES_tradnl"/>
        </w:rPr>
        <w:t xml:space="preserve">Si tiene cualquier tipo de </w:t>
      </w:r>
      <w:r w:rsidRPr="00575208">
        <w:rPr>
          <w:b/>
          <w:bCs/>
          <w:lang w:val="es-ES_tradnl"/>
        </w:rPr>
        <w:t>infección</w:t>
      </w:r>
      <w:r w:rsidRPr="00575208">
        <w:rPr>
          <w:b/>
          <w:lang w:val="es-ES_tradnl"/>
        </w:rPr>
        <w:t>,</w:t>
      </w:r>
      <w:r w:rsidRPr="00575208">
        <w:rPr>
          <w:lang w:val="es-ES_tradnl"/>
        </w:rPr>
        <w:t xml:space="preserve"> ya sea de evolución corta o larga, o si contrae infecciones a menudo</w:t>
      </w:r>
      <w:r w:rsidRPr="00575208">
        <w:rPr>
          <w:b/>
          <w:lang w:val="es-ES_tradnl"/>
        </w:rPr>
        <w:t>. Informe inmediatamente a su médico</w:t>
      </w:r>
      <w:r w:rsidRPr="00575208">
        <w:rPr>
          <w:lang w:val="es-ES_tradnl"/>
        </w:rPr>
        <w:t xml:space="preserve"> si se encuentra mal.</w:t>
      </w:r>
      <w:r w:rsidRPr="00575208">
        <w:rPr>
          <w:lang w:val="es-ES"/>
        </w:rPr>
        <w:t xml:space="preserve"> </w:t>
      </w:r>
      <w:r w:rsidRPr="00575208">
        <w:rPr>
          <w:lang w:val="es-ES_tradnl"/>
        </w:rPr>
        <w:t>RoActemra puede reducir la capacidad de su cuerpo para responder a las infecciones y puede hacer que una infección existente empeore o aumente la probabilidad de adquirir una nueva infección.</w:t>
      </w:r>
    </w:p>
    <w:p w14:paraId="51E8E871" w14:textId="77777777" w:rsidR="00585EFC" w:rsidRPr="00575208" w:rsidRDefault="00585EFC" w:rsidP="00585EFC">
      <w:pPr>
        <w:rPr>
          <w:lang w:val="es-ES"/>
        </w:rPr>
      </w:pPr>
    </w:p>
    <w:p w14:paraId="6F2A1C47" w14:textId="77777777" w:rsidR="00585EFC" w:rsidRPr="00575208" w:rsidRDefault="00585EFC" w:rsidP="00585EFC">
      <w:pPr>
        <w:ind w:left="567" w:hanging="567"/>
        <w:rPr>
          <w:lang w:val="es-ES_tradnl"/>
        </w:rPr>
      </w:pPr>
      <w:r w:rsidRPr="00575208">
        <w:rPr>
          <w:lang w:val="es-ES"/>
        </w:rPr>
        <w:sym w:font="Symbol" w:char="F0B7"/>
      </w:r>
      <w:r w:rsidRPr="00575208">
        <w:rPr>
          <w:lang w:val="es-ES"/>
        </w:rPr>
        <w:tab/>
      </w:r>
      <w:r w:rsidRPr="00575208">
        <w:rPr>
          <w:bCs/>
          <w:lang w:val="es-ES_tradnl"/>
        </w:rPr>
        <w:t xml:space="preserve">Si ha tenido </w:t>
      </w:r>
      <w:r w:rsidRPr="00575208">
        <w:rPr>
          <w:b/>
          <w:bCs/>
          <w:lang w:val="es-ES_tradnl"/>
        </w:rPr>
        <w:t>tuberculosis</w:t>
      </w:r>
      <w:r w:rsidRPr="00575208">
        <w:rPr>
          <w:lang w:val="es-ES_tradnl"/>
        </w:rPr>
        <w:t>, informe a su médico.</w:t>
      </w:r>
      <w:r w:rsidRPr="00575208">
        <w:rPr>
          <w:lang w:val="es-ES"/>
        </w:rPr>
        <w:t xml:space="preserve"> </w:t>
      </w:r>
      <w:r w:rsidRPr="00575208">
        <w:rPr>
          <w:lang w:val="es-ES_tradnl"/>
        </w:rPr>
        <w:t>Su médico comprobará los signos y síntomas de tuberculosis antes de comenzar el tratamiento con RoActemra. Informe a su médico inmediatamente si los síntomas de tuberculosis (tos persistente, pérdida de peso, malestar general, febrícula), o cualquier otra infección aparecen durante o después del tratamiento.</w:t>
      </w:r>
    </w:p>
    <w:p w14:paraId="3D8BB8D8" w14:textId="77777777" w:rsidR="00585EFC" w:rsidRPr="00575208" w:rsidRDefault="00585EFC" w:rsidP="00585EFC">
      <w:pPr>
        <w:rPr>
          <w:lang w:val="es-ES"/>
        </w:rPr>
      </w:pPr>
    </w:p>
    <w:p w14:paraId="343F036C" w14:textId="77777777" w:rsidR="00585EFC" w:rsidRPr="00575208" w:rsidRDefault="00585EFC" w:rsidP="00585EFC">
      <w:pPr>
        <w:ind w:left="567" w:hanging="567"/>
        <w:rPr>
          <w:lang w:val="es-ES"/>
        </w:rPr>
      </w:pPr>
      <w:r w:rsidRPr="00575208">
        <w:rPr>
          <w:lang w:val="es-ES"/>
        </w:rPr>
        <w:sym w:font="Symbol" w:char="F0B7"/>
      </w:r>
      <w:r w:rsidRPr="00575208">
        <w:rPr>
          <w:lang w:val="es-ES"/>
        </w:rPr>
        <w:tab/>
      </w:r>
      <w:r w:rsidRPr="00575208">
        <w:rPr>
          <w:bCs/>
          <w:lang w:val="es-ES_tradnl"/>
        </w:rPr>
        <w:t xml:space="preserve">Si ha tenido </w:t>
      </w:r>
      <w:r w:rsidRPr="00575208">
        <w:rPr>
          <w:b/>
          <w:bCs/>
          <w:lang w:val="es-ES_tradnl"/>
        </w:rPr>
        <w:t>úlcera intestinal o diverticulitis</w:t>
      </w:r>
      <w:r w:rsidRPr="00575208">
        <w:rPr>
          <w:bCs/>
          <w:lang w:val="es-ES_tradnl"/>
        </w:rPr>
        <w:t xml:space="preserve">, </w:t>
      </w:r>
      <w:r w:rsidRPr="00575208">
        <w:rPr>
          <w:lang w:val="es-ES_tradnl"/>
        </w:rPr>
        <w:t>informe a su médico.</w:t>
      </w:r>
      <w:r w:rsidRPr="00575208">
        <w:rPr>
          <w:lang w:val="es-ES"/>
        </w:rPr>
        <w:t xml:space="preserve"> </w:t>
      </w:r>
      <w:r w:rsidRPr="00575208">
        <w:rPr>
          <w:lang w:val="es-ES_tradnl"/>
        </w:rPr>
        <w:t>Los síntomas incluirían</w:t>
      </w:r>
      <w:r w:rsidRPr="00575208">
        <w:rPr>
          <w:lang w:val="es-ES"/>
        </w:rPr>
        <w:t xml:space="preserve"> </w:t>
      </w:r>
      <w:r w:rsidRPr="00575208">
        <w:rPr>
          <w:lang w:val="es-ES_tradnl"/>
        </w:rPr>
        <w:t>dolor abdominal y cambios inexplicables en los hábitos intestinales con fiebre.</w:t>
      </w:r>
    </w:p>
    <w:p w14:paraId="70730E9D" w14:textId="77777777" w:rsidR="00585EFC" w:rsidRPr="00575208" w:rsidRDefault="00585EFC" w:rsidP="00585EFC">
      <w:pPr>
        <w:rPr>
          <w:lang w:val="es-ES"/>
        </w:rPr>
      </w:pPr>
    </w:p>
    <w:p w14:paraId="090488B6" w14:textId="77777777" w:rsidR="00585EFC" w:rsidRPr="00575208" w:rsidRDefault="00585EFC" w:rsidP="00585EFC">
      <w:pPr>
        <w:ind w:left="567" w:hanging="567"/>
        <w:rPr>
          <w:lang w:val="es-ES"/>
        </w:rPr>
      </w:pPr>
      <w:r w:rsidRPr="00575208">
        <w:rPr>
          <w:lang w:val="es-ES"/>
        </w:rPr>
        <w:lastRenderedPageBreak/>
        <w:sym w:font="Symbol" w:char="F0B7"/>
      </w:r>
      <w:r w:rsidRPr="00575208">
        <w:rPr>
          <w:lang w:val="es-ES"/>
        </w:rPr>
        <w:tab/>
      </w:r>
      <w:r w:rsidRPr="00575208">
        <w:rPr>
          <w:bCs/>
          <w:lang w:val="es-ES_tradnl"/>
        </w:rPr>
        <w:t xml:space="preserve">Si tiene </w:t>
      </w:r>
      <w:r w:rsidRPr="00575208">
        <w:rPr>
          <w:b/>
          <w:bCs/>
          <w:lang w:val="es-ES_tradnl"/>
        </w:rPr>
        <w:t>enfermedad hepática</w:t>
      </w:r>
      <w:r w:rsidRPr="00575208">
        <w:rPr>
          <w:lang w:val="es-ES_tradnl"/>
        </w:rPr>
        <w:t>, informe a su médico.</w:t>
      </w:r>
      <w:r w:rsidRPr="00575208">
        <w:rPr>
          <w:lang w:val="es-ES"/>
        </w:rPr>
        <w:t xml:space="preserve"> </w:t>
      </w:r>
      <w:r w:rsidRPr="00575208">
        <w:rPr>
          <w:lang w:val="es-ES_tradnl"/>
        </w:rPr>
        <w:t>Antes de usar RoActemra, su médico le realizará un análisis de sangre para medir su función hepática.</w:t>
      </w:r>
    </w:p>
    <w:p w14:paraId="0DFD6258" w14:textId="77777777" w:rsidR="00585EFC" w:rsidRPr="00575208" w:rsidRDefault="00585EFC" w:rsidP="00585EFC">
      <w:pPr>
        <w:rPr>
          <w:lang w:val="es-ES"/>
        </w:rPr>
      </w:pPr>
    </w:p>
    <w:p w14:paraId="4CB29499" w14:textId="77777777" w:rsidR="00585EFC" w:rsidRPr="00575208" w:rsidRDefault="00585EFC" w:rsidP="00585EFC">
      <w:pPr>
        <w:ind w:left="567" w:hanging="567"/>
        <w:rPr>
          <w:lang w:val="es-ES_tradnl"/>
        </w:rPr>
      </w:pPr>
      <w:r w:rsidRPr="00575208">
        <w:rPr>
          <w:lang w:val="es-ES"/>
        </w:rPr>
        <w:sym w:font="Symbol" w:char="F0B7"/>
      </w:r>
      <w:r w:rsidRPr="00575208">
        <w:rPr>
          <w:lang w:val="es-ES"/>
        </w:rPr>
        <w:tab/>
      </w:r>
      <w:r w:rsidRPr="00575208">
        <w:rPr>
          <w:b/>
          <w:bCs/>
          <w:lang w:val="es-ES_tradnl"/>
        </w:rPr>
        <w:t xml:space="preserve">Si algún paciente ha sido vacunado recientemente, </w:t>
      </w:r>
      <w:r w:rsidRPr="00575208">
        <w:rPr>
          <w:bCs/>
          <w:lang w:val="es-ES_tradnl"/>
        </w:rPr>
        <w:t>o tiene previsto vacunarse,</w:t>
      </w:r>
      <w:r w:rsidRPr="00575208">
        <w:rPr>
          <w:lang w:val="es-ES_tradnl"/>
        </w:rPr>
        <w:t xml:space="preserve"> informe a su médico.</w:t>
      </w:r>
      <w:r w:rsidRPr="00575208">
        <w:rPr>
          <w:lang w:val="es-ES"/>
        </w:rPr>
        <w:t xml:space="preserve"> Todos los pacientes deben estar al día con su calendario de vacunación antes de comenzar el tratamiento con RoActemra.</w:t>
      </w:r>
      <w:r w:rsidRPr="00575208">
        <w:rPr>
          <w:lang w:val="es-ES_tradnl"/>
        </w:rPr>
        <w:t xml:space="preserve"> Determinados tipos de vacunas no deben administrarse mientras reciba RoActemra.</w:t>
      </w:r>
    </w:p>
    <w:p w14:paraId="79FB881F" w14:textId="77777777" w:rsidR="00585EFC" w:rsidRPr="00575208" w:rsidRDefault="00585EFC" w:rsidP="00585EFC">
      <w:pPr>
        <w:rPr>
          <w:lang w:val="es-ES_tradnl"/>
        </w:rPr>
      </w:pPr>
    </w:p>
    <w:p w14:paraId="41A20599" w14:textId="77777777" w:rsidR="00585EFC" w:rsidRPr="00575208" w:rsidRDefault="00585EFC" w:rsidP="00585EFC">
      <w:pPr>
        <w:ind w:left="567" w:hanging="567"/>
        <w:rPr>
          <w:lang w:val="es-ES_tradnl"/>
        </w:rPr>
      </w:pPr>
      <w:r w:rsidRPr="00575208">
        <w:rPr>
          <w:lang w:val="es-ES"/>
        </w:rPr>
        <w:sym w:font="Symbol" w:char="F0B7"/>
      </w:r>
      <w:r w:rsidRPr="00575208">
        <w:rPr>
          <w:lang w:val="es-ES"/>
        </w:rPr>
        <w:tab/>
      </w:r>
      <w:r w:rsidRPr="00575208">
        <w:rPr>
          <w:lang w:val="es-ES_tradnl"/>
        </w:rPr>
        <w:t xml:space="preserve">Si tiene </w:t>
      </w:r>
      <w:r w:rsidRPr="00575208">
        <w:rPr>
          <w:b/>
          <w:lang w:val="es-ES_tradnl"/>
        </w:rPr>
        <w:t>cáncer</w:t>
      </w:r>
      <w:r w:rsidRPr="00575208">
        <w:rPr>
          <w:lang w:val="es-ES_tradnl"/>
        </w:rPr>
        <w:t>, avise a su médico. Su médico tendrá que decidir si puede seguir recibiendo tratamiento con RoActemra.</w:t>
      </w:r>
    </w:p>
    <w:p w14:paraId="7FBD8DA1" w14:textId="77777777" w:rsidR="00585EFC" w:rsidRPr="00575208" w:rsidRDefault="00585EFC" w:rsidP="00585EFC">
      <w:pPr>
        <w:rPr>
          <w:lang w:val="es-ES_tradnl"/>
        </w:rPr>
      </w:pPr>
    </w:p>
    <w:p w14:paraId="25EF4B88" w14:textId="77777777" w:rsidR="00585EFC" w:rsidRPr="00575208" w:rsidRDefault="00585EFC" w:rsidP="00585EFC">
      <w:pPr>
        <w:ind w:left="567" w:hanging="567"/>
        <w:rPr>
          <w:lang w:val="es-ES_tradnl"/>
        </w:rPr>
      </w:pPr>
      <w:r w:rsidRPr="00575208">
        <w:rPr>
          <w:lang w:val="es-ES"/>
        </w:rPr>
        <w:sym w:font="Symbol" w:char="F0B7"/>
      </w:r>
      <w:r w:rsidRPr="00575208">
        <w:rPr>
          <w:lang w:val="es-ES"/>
        </w:rPr>
        <w:tab/>
      </w:r>
      <w:r w:rsidRPr="00575208">
        <w:rPr>
          <w:lang w:val="es-ES_tradnl"/>
        </w:rPr>
        <w:t xml:space="preserve">Si tiene </w:t>
      </w:r>
      <w:r w:rsidRPr="00575208">
        <w:rPr>
          <w:b/>
          <w:lang w:val="es-ES_tradnl"/>
        </w:rPr>
        <w:t>factores de riesgo cardiovascular</w:t>
      </w:r>
      <w:r w:rsidRPr="00575208">
        <w:rPr>
          <w:lang w:val="es-ES_tradnl"/>
        </w:rPr>
        <w:t>, tales como aumento de la presión arterial, y valores altos de colesterol, informe a su médico. Estos factores necesitan ser controlados mientras recibe tratamiento con RoActemra.</w:t>
      </w:r>
    </w:p>
    <w:p w14:paraId="68316590" w14:textId="77777777" w:rsidR="00585EFC" w:rsidRPr="00575208" w:rsidRDefault="00585EFC" w:rsidP="00585EFC">
      <w:pPr>
        <w:rPr>
          <w:lang w:val="es-ES_tradnl"/>
        </w:rPr>
      </w:pPr>
    </w:p>
    <w:p w14:paraId="4A123841" w14:textId="77777777" w:rsidR="00585EFC" w:rsidRPr="00575208" w:rsidRDefault="00585EFC" w:rsidP="00585EFC">
      <w:pPr>
        <w:rPr>
          <w:lang w:val="es-ES_tradnl"/>
        </w:rPr>
      </w:pPr>
      <w:r w:rsidRPr="00575208">
        <w:rPr>
          <w:lang w:val="es-ES"/>
        </w:rPr>
        <w:sym w:font="Symbol" w:char="F0B7"/>
      </w:r>
      <w:r w:rsidRPr="00575208">
        <w:rPr>
          <w:lang w:val="es-ES"/>
        </w:rPr>
        <w:tab/>
      </w:r>
      <w:r w:rsidRPr="00C40550">
        <w:rPr>
          <w:lang w:val="es-ES_tradnl"/>
        </w:rPr>
        <w:t xml:space="preserve">Si tiene </w:t>
      </w:r>
      <w:r w:rsidRPr="00C40550">
        <w:rPr>
          <w:b/>
          <w:lang w:val="es-ES_tradnl"/>
        </w:rPr>
        <w:t>problemas</w:t>
      </w:r>
      <w:r w:rsidRPr="007C5F6D">
        <w:rPr>
          <w:b/>
          <w:lang w:val="es-ES_tradnl"/>
        </w:rPr>
        <w:t xml:space="preserve"> de</w:t>
      </w:r>
      <w:r w:rsidRPr="00575208">
        <w:rPr>
          <w:b/>
          <w:lang w:val="es-ES_tradnl"/>
        </w:rPr>
        <w:t xml:space="preserve"> riñón de moderados a graves</w:t>
      </w:r>
      <w:r w:rsidRPr="00575208">
        <w:rPr>
          <w:lang w:val="es-ES_tradnl"/>
        </w:rPr>
        <w:t>, su médico le vigilará.</w:t>
      </w:r>
    </w:p>
    <w:p w14:paraId="3804E184" w14:textId="77777777" w:rsidR="00585EFC" w:rsidRPr="00575208" w:rsidRDefault="00585EFC" w:rsidP="00585EFC">
      <w:pPr>
        <w:rPr>
          <w:lang w:val="es-ES_tradnl"/>
        </w:rPr>
      </w:pPr>
    </w:p>
    <w:p w14:paraId="2E4C5EDE" w14:textId="77777777" w:rsidR="00585EFC" w:rsidRPr="00575208" w:rsidRDefault="00585EFC" w:rsidP="00585EFC">
      <w:pPr>
        <w:rPr>
          <w:lang w:val="es-ES_tradnl"/>
        </w:rPr>
      </w:pPr>
      <w:r w:rsidRPr="00575208">
        <w:rPr>
          <w:lang w:val="es-ES"/>
        </w:rPr>
        <w:sym w:font="Symbol" w:char="F0B7"/>
      </w:r>
      <w:r w:rsidRPr="00575208">
        <w:rPr>
          <w:lang w:val="es-ES"/>
        </w:rPr>
        <w:tab/>
      </w:r>
      <w:r w:rsidRPr="00575208">
        <w:rPr>
          <w:lang w:val="es-ES_tradnl"/>
        </w:rPr>
        <w:t xml:space="preserve">Si tiene </w:t>
      </w:r>
      <w:r w:rsidRPr="00575208">
        <w:rPr>
          <w:b/>
          <w:lang w:val="es-ES_tradnl"/>
        </w:rPr>
        <w:t>dolores de cabeza persistentes.</w:t>
      </w:r>
    </w:p>
    <w:p w14:paraId="42E0434A" w14:textId="77777777" w:rsidR="00585EFC" w:rsidRPr="00575208" w:rsidRDefault="00585EFC" w:rsidP="00585EFC">
      <w:pPr>
        <w:rPr>
          <w:lang w:val="es-ES_tradnl"/>
        </w:rPr>
      </w:pPr>
    </w:p>
    <w:p w14:paraId="30824327" w14:textId="77777777" w:rsidR="00585EFC" w:rsidRPr="00575208" w:rsidRDefault="00585EFC" w:rsidP="00585EFC">
      <w:pPr>
        <w:rPr>
          <w:lang w:val="es-ES"/>
        </w:rPr>
      </w:pPr>
      <w:r w:rsidRPr="00575208">
        <w:rPr>
          <w:lang w:val="es-ES_tradnl"/>
        </w:rPr>
        <w:t>Su médico le realizará análisis de sangre antes de que reciba RoActemra, para determinar si tiene un recuento bajo de glóbulos blancos sanguíneos, un recuento bajo de plaquetas o elevación de las enzimas hepáticas.</w:t>
      </w:r>
    </w:p>
    <w:p w14:paraId="1056FDC5" w14:textId="77777777" w:rsidR="00585EFC" w:rsidRPr="00575208" w:rsidRDefault="00585EFC" w:rsidP="00585EFC">
      <w:pPr>
        <w:rPr>
          <w:b/>
          <w:bCs/>
          <w:lang w:val="es-ES"/>
        </w:rPr>
      </w:pPr>
    </w:p>
    <w:p w14:paraId="745236CB" w14:textId="77777777" w:rsidR="00585EFC" w:rsidRPr="00575208" w:rsidRDefault="00585EFC" w:rsidP="00585EFC">
      <w:pPr>
        <w:rPr>
          <w:b/>
          <w:bCs/>
          <w:lang w:val="es-ES"/>
        </w:rPr>
      </w:pPr>
      <w:r w:rsidRPr="00575208">
        <w:rPr>
          <w:b/>
          <w:bCs/>
          <w:lang w:val="es-ES"/>
        </w:rPr>
        <w:t>Niños y adolescentes</w:t>
      </w:r>
    </w:p>
    <w:p w14:paraId="110D0DD9" w14:textId="77777777" w:rsidR="00585EFC" w:rsidRDefault="00585EFC" w:rsidP="00585EFC">
      <w:pPr>
        <w:rPr>
          <w:lang w:val="es-ES_tradnl"/>
        </w:rPr>
      </w:pPr>
    </w:p>
    <w:p w14:paraId="3CD8FA4D" w14:textId="2A4912B3" w:rsidR="00F16141" w:rsidRDefault="00F16141" w:rsidP="00585EFC">
      <w:pPr>
        <w:rPr>
          <w:lang w:val="es-ES_tradnl"/>
        </w:rPr>
      </w:pPr>
      <w:r>
        <w:rPr>
          <w:lang w:val="es-ES_tradnl"/>
        </w:rPr>
        <w:t xml:space="preserve">No se recomienda </w:t>
      </w:r>
      <w:del w:id="2755" w:author="AUTHOR">
        <w:r w:rsidDel="00806EEE">
          <w:rPr>
            <w:lang w:val="es-ES_tradnl"/>
          </w:rPr>
          <w:delText xml:space="preserve">la inyección de </w:delText>
        </w:r>
      </w:del>
      <w:r>
        <w:rPr>
          <w:lang w:val="es-ES_tradnl"/>
        </w:rPr>
        <w:t>RoActemra pluma precargada  en niños menores de 12 años. RoActemra no debe administrarse a niños con AIJs con un peso inferior a 10 kg.</w:t>
      </w:r>
    </w:p>
    <w:p w14:paraId="6B0725DA" w14:textId="77777777" w:rsidR="00F16141" w:rsidRDefault="00F16141" w:rsidP="00585EFC">
      <w:pPr>
        <w:rPr>
          <w:lang w:val="es-ES_tradnl"/>
        </w:rPr>
      </w:pPr>
    </w:p>
    <w:p w14:paraId="0C43F9C9" w14:textId="77777777" w:rsidR="00F16141" w:rsidRPr="00F16141" w:rsidRDefault="00F16141" w:rsidP="00585EFC">
      <w:pPr>
        <w:rPr>
          <w:lang w:val="es-ES_tradnl"/>
        </w:rPr>
      </w:pPr>
      <w:r>
        <w:rPr>
          <w:lang w:val="es-ES_tradnl"/>
        </w:rPr>
        <w:t xml:space="preserve">Si el niño tiene historia de </w:t>
      </w:r>
      <w:r>
        <w:rPr>
          <w:b/>
          <w:i/>
          <w:lang w:val="es-ES_tradnl"/>
        </w:rPr>
        <w:t xml:space="preserve">síndrome de activación de macrófagos </w:t>
      </w:r>
      <w:r>
        <w:rPr>
          <w:lang w:val="es-ES_tradnl"/>
        </w:rPr>
        <w:t>(activación y proliferación incontrolada de un tipo específico de células sanguíneas), dígaselo a su médico. Su médico decidirá si se le pueden seguir administrando RoActemra.</w:t>
      </w:r>
    </w:p>
    <w:p w14:paraId="26D2428D" w14:textId="77777777" w:rsidR="00585EFC" w:rsidRPr="00575208" w:rsidRDefault="00585EFC" w:rsidP="00585EFC">
      <w:pPr>
        <w:rPr>
          <w:lang w:val="es-ES"/>
        </w:rPr>
      </w:pPr>
    </w:p>
    <w:p w14:paraId="6B4FED57" w14:textId="77777777" w:rsidR="00585EFC" w:rsidRPr="00575208" w:rsidRDefault="00585EFC" w:rsidP="00585EFC">
      <w:pPr>
        <w:rPr>
          <w:b/>
          <w:bCs/>
          <w:lang w:val="es-ES_tradnl"/>
        </w:rPr>
      </w:pPr>
      <w:r w:rsidRPr="00575208">
        <w:rPr>
          <w:b/>
          <w:lang w:val="es-ES"/>
        </w:rPr>
        <w:t>Otros medicamentos y RoActemra</w:t>
      </w:r>
    </w:p>
    <w:p w14:paraId="745125CD" w14:textId="5280B3B7" w:rsidR="00585EFC" w:rsidRPr="00575208" w:rsidRDefault="00585EFC" w:rsidP="00585EFC">
      <w:pPr>
        <w:rPr>
          <w:lang w:val="es-ES"/>
        </w:rPr>
      </w:pPr>
      <w:r w:rsidRPr="00575208">
        <w:rPr>
          <w:lang w:val="es-ES_tradnl"/>
        </w:rPr>
        <w:t>Informe a su médico si está tomando cualquier otro medicamento, o ha tomado recientemente alguno.</w:t>
      </w:r>
      <w:r w:rsidRPr="00575208">
        <w:rPr>
          <w:lang w:val="es-ES"/>
        </w:rPr>
        <w:t xml:space="preserve"> </w:t>
      </w:r>
      <w:r w:rsidRPr="00575208">
        <w:rPr>
          <w:lang w:val="es-ES_tradnl"/>
        </w:rPr>
        <w:t>Esto se debe a que RoActemra puede afectar a la forma en la que actúan algunos medicamentos</w:t>
      </w:r>
      <w:r w:rsidRPr="00575208">
        <w:rPr>
          <w:lang w:val="es-ES"/>
        </w:rPr>
        <w:t xml:space="preserve">, y puede necesitarse un ajuste de dosis. </w:t>
      </w:r>
      <w:r w:rsidRPr="00575208">
        <w:rPr>
          <w:b/>
          <w:lang w:val="es-ES"/>
        </w:rPr>
        <w:t>Informe a su médico</w:t>
      </w:r>
      <w:r w:rsidRPr="00575208">
        <w:rPr>
          <w:lang w:val="es-ES"/>
        </w:rPr>
        <w:t xml:space="preserve"> si ha utilizado </w:t>
      </w:r>
      <w:del w:id="2756" w:author="AUTHOR">
        <w:r w:rsidRPr="00575208" w:rsidDel="00806EEE">
          <w:rPr>
            <w:lang w:val="es-ES"/>
          </w:rPr>
          <w:delText xml:space="preserve">recientemente </w:delText>
        </w:r>
      </w:del>
      <w:r w:rsidRPr="00575208">
        <w:rPr>
          <w:lang w:val="es-ES"/>
        </w:rPr>
        <w:t>medicamentos que contienen cualquiera de estas sustancias activas:</w:t>
      </w:r>
    </w:p>
    <w:p w14:paraId="68242BC5" w14:textId="77777777" w:rsidR="00585EFC" w:rsidRPr="00575208" w:rsidRDefault="00585EFC" w:rsidP="00585EFC">
      <w:pPr>
        <w:rPr>
          <w:lang w:val="es-ES"/>
        </w:rPr>
      </w:pPr>
      <w:r w:rsidRPr="00575208">
        <w:rPr>
          <w:lang w:val="es-ES_tradnl"/>
        </w:rPr>
        <w:sym w:font="Symbol" w:char="F0B7"/>
      </w:r>
      <w:r w:rsidRPr="00575208">
        <w:rPr>
          <w:lang w:val="es-ES_tradnl"/>
        </w:rPr>
        <w:tab/>
      </w:r>
      <w:r w:rsidRPr="00575208">
        <w:rPr>
          <w:lang w:val="es-ES"/>
        </w:rPr>
        <w:t>metilprednisolona, dexametasona, usados para reducir la inflamación</w:t>
      </w:r>
    </w:p>
    <w:p w14:paraId="4EB01FF9" w14:textId="77777777" w:rsidR="00585EFC" w:rsidRPr="00575208" w:rsidRDefault="00585EFC" w:rsidP="00585EFC">
      <w:pPr>
        <w:rPr>
          <w:lang w:val="es-ES_tradnl"/>
        </w:rPr>
      </w:pPr>
      <w:r w:rsidRPr="00575208">
        <w:rPr>
          <w:lang w:val="es-ES_tradnl"/>
        </w:rPr>
        <w:sym w:font="Symbol" w:char="F0B7"/>
      </w:r>
      <w:r w:rsidRPr="00575208">
        <w:rPr>
          <w:lang w:val="es-ES_tradnl"/>
        </w:rPr>
        <w:tab/>
      </w:r>
      <w:r w:rsidR="00B37E31">
        <w:rPr>
          <w:lang w:val="es-ES_tradnl"/>
        </w:rPr>
        <w:t xml:space="preserve">simvastatina o </w:t>
      </w:r>
      <w:r w:rsidRPr="007C5F6D">
        <w:rPr>
          <w:lang w:val="es-ES_tradnl"/>
        </w:rPr>
        <w:t>atorvastatina, utilizada</w:t>
      </w:r>
      <w:r w:rsidRPr="00575208">
        <w:rPr>
          <w:lang w:val="es-ES_tradnl"/>
        </w:rPr>
        <w:t xml:space="preserve"> para reducir los niveles de colesterol</w:t>
      </w:r>
    </w:p>
    <w:p w14:paraId="55C77384" w14:textId="77777777" w:rsidR="00585EFC" w:rsidRPr="00575208" w:rsidRDefault="00585EFC" w:rsidP="00585EFC">
      <w:pPr>
        <w:ind w:left="567" w:hanging="567"/>
        <w:rPr>
          <w:lang w:val="es-ES_tradnl"/>
        </w:rPr>
      </w:pPr>
      <w:r w:rsidRPr="00575208">
        <w:rPr>
          <w:lang w:val="es-ES_tradnl"/>
        </w:rPr>
        <w:sym w:font="Symbol" w:char="F0B7"/>
      </w:r>
      <w:r w:rsidRPr="00575208">
        <w:rPr>
          <w:lang w:val="es-ES_tradnl"/>
        </w:rPr>
        <w:tab/>
        <w:t>antagonistas de los canales del calcio, como el amlodipino utilizado en el tratamiento del aumento de la presión arterial</w:t>
      </w:r>
    </w:p>
    <w:p w14:paraId="5FA7638C" w14:textId="77777777" w:rsidR="00585EFC" w:rsidRPr="00575208" w:rsidRDefault="00585EFC" w:rsidP="00585EFC">
      <w:pPr>
        <w:rPr>
          <w:lang w:val="es-ES_tradnl"/>
        </w:rPr>
      </w:pPr>
      <w:r w:rsidRPr="00575208">
        <w:rPr>
          <w:lang w:val="es-ES_tradnl"/>
        </w:rPr>
        <w:sym w:font="Symbol" w:char="F0B7"/>
      </w:r>
      <w:r w:rsidRPr="00575208">
        <w:rPr>
          <w:lang w:val="es-ES_tradnl"/>
        </w:rPr>
        <w:tab/>
      </w:r>
      <w:proofErr w:type="gramStart"/>
      <w:r w:rsidRPr="00575208">
        <w:rPr>
          <w:lang w:val="es-ES_tradnl"/>
        </w:rPr>
        <w:t>teofilina utilizado</w:t>
      </w:r>
      <w:proofErr w:type="gramEnd"/>
      <w:r w:rsidRPr="00575208">
        <w:rPr>
          <w:lang w:val="es-ES_tradnl"/>
        </w:rPr>
        <w:t xml:space="preserve"> en el tratamiento del asma</w:t>
      </w:r>
    </w:p>
    <w:p w14:paraId="33A2CE79" w14:textId="77777777" w:rsidR="00585EFC" w:rsidRPr="00C555F2" w:rsidRDefault="00585EFC" w:rsidP="00585EFC">
      <w:pPr>
        <w:rPr>
          <w:lang w:val="pt-BR"/>
        </w:rPr>
      </w:pPr>
      <w:r w:rsidRPr="00575208">
        <w:rPr>
          <w:lang w:val="es-ES_tradnl"/>
        </w:rPr>
        <w:sym w:font="Symbol" w:char="F0B7"/>
      </w:r>
      <w:r w:rsidRPr="00C555F2">
        <w:rPr>
          <w:lang w:val="pt-BR"/>
        </w:rPr>
        <w:tab/>
        <w:t>warfarina o fenprocumona, utilizados como anticoagulantes</w:t>
      </w:r>
    </w:p>
    <w:p w14:paraId="07D7BEEB" w14:textId="77777777" w:rsidR="00585EFC" w:rsidRPr="00575208" w:rsidRDefault="00585EFC" w:rsidP="00585EFC">
      <w:pPr>
        <w:rPr>
          <w:lang w:val="es-ES"/>
        </w:rPr>
      </w:pPr>
      <w:r w:rsidRPr="00575208">
        <w:rPr>
          <w:lang w:val="es-ES"/>
        </w:rPr>
        <w:sym w:font="Symbol" w:char="F0B7"/>
      </w:r>
      <w:r w:rsidRPr="00575208">
        <w:rPr>
          <w:lang w:val="es-ES"/>
        </w:rPr>
        <w:tab/>
        <w:t>fenitoina utilizado en el tratamiento de las convulsiones</w:t>
      </w:r>
    </w:p>
    <w:p w14:paraId="7AC3F15E" w14:textId="77777777" w:rsidR="00585EFC" w:rsidRPr="00575208" w:rsidRDefault="00585EFC" w:rsidP="00585EFC">
      <w:pPr>
        <w:rPr>
          <w:lang w:val="es-ES"/>
        </w:rPr>
      </w:pPr>
      <w:r w:rsidRPr="00575208">
        <w:rPr>
          <w:lang w:val="es-ES"/>
        </w:rPr>
        <w:sym w:font="Symbol" w:char="F0B7"/>
      </w:r>
      <w:r w:rsidRPr="00575208">
        <w:rPr>
          <w:lang w:val="es-ES"/>
        </w:rPr>
        <w:tab/>
      </w:r>
      <w:proofErr w:type="gramStart"/>
      <w:r w:rsidRPr="00575208">
        <w:rPr>
          <w:lang w:val="es-ES"/>
        </w:rPr>
        <w:t>ciclosporina utilizado</w:t>
      </w:r>
      <w:proofErr w:type="gramEnd"/>
      <w:r w:rsidRPr="00575208">
        <w:rPr>
          <w:lang w:val="es-ES"/>
        </w:rPr>
        <w:t xml:space="preserve"> en los trasplantes de órganos como inmunosupresor</w:t>
      </w:r>
    </w:p>
    <w:p w14:paraId="4A0FA599" w14:textId="77777777" w:rsidR="00585EFC" w:rsidRPr="00575208" w:rsidRDefault="00585EFC" w:rsidP="00585EFC">
      <w:pPr>
        <w:rPr>
          <w:lang w:val="es-ES"/>
        </w:rPr>
      </w:pPr>
      <w:r w:rsidRPr="00575208">
        <w:rPr>
          <w:lang w:val="es-ES"/>
        </w:rPr>
        <w:sym w:font="Symbol" w:char="F0B7"/>
      </w:r>
      <w:r w:rsidRPr="00575208">
        <w:rPr>
          <w:lang w:val="es-ES"/>
        </w:rPr>
        <w:tab/>
        <w:t>benzodiazepinas, como el temazepan utilizado para calmar la ansiedad.</w:t>
      </w:r>
    </w:p>
    <w:p w14:paraId="5550C190" w14:textId="77777777" w:rsidR="00585EFC" w:rsidRPr="00575208" w:rsidRDefault="00585EFC" w:rsidP="00585EFC">
      <w:pPr>
        <w:rPr>
          <w:lang w:val="es-ES"/>
        </w:rPr>
      </w:pPr>
    </w:p>
    <w:p w14:paraId="161E8922" w14:textId="77777777" w:rsidR="00585EFC" w:rsidRPr="00575208" w:rsidRDefault="00585EFC" w:rsidP="00585EFC">
      <w:pPr>
        <w:rPr>
          <w:lang w:val="es-ES"/>
        </w:rPr>
      </w:pPr>
      <w:r w:rsidRPr="00575208">
        <w:rPr>
          <w:bCs/>
          <w:lang w:val="es-ES_tradnl"/>
        </w:rPr>
        <w:t xml:space="preserve">Debido a que no hay experiencia clínica </w:t>
      </w:r>
      <w:r w:rsidRPr="00575208">
        <w:rPr>
          <w:lang w:val="es-ES_tradnl"/>
        </w:rPr>
        <w:t>no se recomienda el uso de RoActemra con otros medicamentos biológicos empleados para tratar la AR</w:t>
      </w:r>
      <w:r w:rsidR="00F16141">
        <w:rPr>
          <w:lang w:val="es-ES_tradnl"/>
        </w:rPr>
        <w:t>, AIJs, AIJp,</w:t>
      </w:r>
      <w:r w:rsidRPr="00575208">
        <w:rPr>
          <w:lang w:val="es-ES_tradnl"/>
        </w:rPr>
        <w:t xml:space="preserve"> o ACG.</w:t>
      </w:r>
    </w:p>
    <w:p w14:paraId="2C7F8C55" w14:textId="77777777" w:rsidR="00585EFC" w:rsidRPr="00575208" w:rsidRDefault="00585EFC" w:rsidP="00585EFC">
      <w:pPr>
        <w:rPr>
          <w:lang w:val="es-ES"/>
        </w:rPr>
      </w:pPr>
    </w:p>
    <w:p w14:paraId="34376E73" w14:textId="77777777" w:rsidR="00585EFC" w:rsidRPr="00575208" w:rsidRDefault="00585EFC" w:rsidP="00585EFC">
      <w:pPr>
        <w:rPr>
          <w:b/>
          <w:lang w:val="es-ES"/>
        </w:rPr>
      </w:pPr>
      <w:r w:rsidRPr="00575208">
        <w:rPr>
          <w:b/>
          <w:lang w:val="es-ES"/>
        </w:rPr>
        <w:t>Embarazo, lactancia y fertilidad</w:t>
      </w:r>
    </w:p>
    <w:p w14:paraId="4D94F5E3" w14:textId="77777777" w:rsidR="00585EFC" w:rsidRPr="00575208" w:rsidRDefault="00585EFC" w:rsidP="00585EFC">
      <w:pPr>
        <w:rPr>
          <w:b/>
          <w:bCs/>
          <w:lang w:val="es-ES_tradnl"/>
        </w:rPr>
      </w:pPr>
    </w:p>
    <w:p w14:paraId="66A9E393" w14:textId="77777777" w:rsidR="00585EFC" w:rsidRPr="00575208" w:rsidRDefault="00585EFC" w:rsidP="00585EFC">
      <w:pPr>
        <w:rPr>
          <w:lang w:val="es-ES_tradnl"/>
        </w:rPr>
      </w:pPr>
      <w:r w:rsidRPr="00575208">
        <w:rPr>
          <w:b/>
          <w:lang w:val="es-ES"/>
        </w:rPr>
        <w:t>RoActemra no se debe utilizar durante el embarazo,</w:t>
      </w:r>
      <w:r w:rsidRPr="00575208">
        <w:rPr>
          <w:lang w:val="es-ES_tradnl"/>
        </w:rPr>
        <w:t xml:space="preserve"> salvo que sea claramente necesario. Hable con su médico si está embarazada, cree que pudiera estarlo, o tiene previsto quedarse embarazada.</w:t>
      </w:r>
    </w:p>
    <w:p w14:paraId="1E8C5DA3" w14:textId="77777777" w:rsidR="00585EFC" w:rsidRPr="00575208" w:rsidRDefault="00585EFC" w:rsidP="00585EFC">
      <w:pPr>
        <w:rPr>
          <w:lang w:val="es-ES_tradnl"/>
        </w:rPr>
      </w:pPr>
    </w:p>
    <w:p w14:paraId="09F10AE3" w14:textId="77777777" w:rsidR="00585EFC" w:rsidRPr="00575208" w:rsidRDefault="00585EFC" w:rsidP="00585EFC">
      <w:pPr>
        <w:rPr>
          <w:lang w:val="es-ES_tradnl"/>
        </w:rPr>
      </w:pPr>
      <w:r w:rsidRPr="00575208">
        <w:rPr>
          <w:b/>
          <w:lang w:val="es-ES"/>
        </w:rPr>
        <w:lastRenderedPageBreak/>
        <w:t>Las mujeres en edad fértil deben</w:t>
      </w:r>
      <w:r w:rsidRPr="00575208">
        <w:rPr>
          <w:lang w:val="es-ES_tradnl"/>
        </w:rPr>
        <w:t xml:space="preserve"> utilizar métodos anticonceptivos eficaces durante y hasta 3 meses después de finalizar el tratamiento.</w:t>
      </w:r>
    </w:p>
    <w:p w14:paraId="7F3B63AD" w14:textId="77777777" w:rsidR="00585EFC" w:rsidRPr="00575208" w:rsidRDefault="00585EFC" w:rsidP="00585EFC">
      <w:pPr>
        <w:rPr>
          <w:lang w:val="es-ES_tradnl"/>
        </w:rPr>
      </w:pPr>
    </w:p>
    <w:p w14:paraId="246BF36A" w14:textId="77777777" w:rsidR="00585EFC" w:rsidRPr="00575208" w:rsidRDefault="00585EFC" w:rsidP="00585EFC">
      <w:pPr>
        <w:rPr>
          <w:lang w:val="es-ES"/>
        </w:rPr>
      </w:pPr>
      <w:r w:rsidRPr="00575208">
        <w:rPr>
          <w:b/>
          <w:lang w:val="es-ES"/>
        </w:rPr>
        <w:t>Interrumpa la lactancia si comienza el tratamiento con RoActemra</w:t>
      </w:r>
      <w:r w:rsidRPr="00575208">
        <w:rPr>
          <w:lang w:val="es-ES_tradnl"/>
        </w:rPr>
        <w:t>, y consulte con su médico. Antes de reiniciar la lactancia deben haber pasado al menos 3 meses desde su último tratamiento con RoActemra.</w:t>
      </w:r>
      <w:r w:rsidRPr="00575208">
        <w:rPr>
          <w:lang w:val="es-ES"/>
        </w:rPr>
        <w:t xml:space="preserve"> Se desconoce si RoActemra pasa a la leche materna. </w:t>
      </w:r>
    </w:p>
    <w:p w14:paraId="5C65DDE2" w14:textId="77777777" w:rsidR="00585EFC" w:rsidRPr="00575208" w:rsidRDefault="00585EFC" w:rsidP="00585EFC">
      <w:pPr>
        <w:rPr>
          <w:lang w:val="es-ES"/>
        </w:rPr>
      </w:pPr>
    </w:p>
    <w:p w14:paraId="4AFDFFAB" w14:textId="77777777" w:rsidR="00585EFC" w:rsidRPr="00575208" w:rsidRDefault="00585EFC" w:rsidP="00585EFC">
      <w:pPr>
        <w:rPr>
          <w:b/>
          <w:lang w:val="es-ES"/>
        </w:rPr>
      </w:pPr>
      <w:r w:rsidRPr="00575208">
        <w:rPr>
          <w:b/>
          <w:lang w:val="es-ES"/>
        </w:rPr>
        <w:t>Conducción y uso de máquinas</w:t>
      </w:r>
    </w:p>
    <w:p w14:paraId="0D46116D" w14:textId="77777777" w:rsidR="00585EFC" w:rsidRPr="00575208" w:rsidRDefault="00585EFC" w:rsidP="00585EFC">
      <w:pPr>
        <w:rPr>
          <w:lang w:val="es-ES_tradnl"/>
        </w:rPr>
      </w:pPr>
      <w:r w:rsidRPr="00575208">
        <w:rPr>
          <w:lang w:val="es-ES_tradnl"/>
        </w:rPr>
        <w:t>Este medicamento puede producir mareos, si usted se siente mareado, no conduzca ni utilice máquinas.</w:t>
      </w:r>
    </w:p>
    <w:p w14:paraId="54172EF4" w14:textId="77777777" w:rsidR="000E017E" w:rsidRDefault="000E017E" w:rsidP="000E017E">
      <w:pPr>
        <w:rPr>
          <w:b/>
          <w:lang w:val="es-ES"/>
        </w:rPr>
      </w:pPr>
    </w:p>
    <w:p w14:paraId="187134DD" w14:textId="40119581" w:rsidR="000E017E" w:rsidRPr="00F30AB8" w:rsidRDefault="000E017E" w:rsidP="000E017E">
      <w:pPr>
        <w:rPr>
          <w:b/>
          <w:lang w:val="es-ES"/>
        </w:rPr>
      </w:pPr>
      <w:r w:rsidRPr="00F30AB8">
        <w:rPr>
          <w:b/>
          <w:lang w:val="es-ES"/>
        </w:rPr>
        <w:t>RoActemra contiene polisorbato</w:t>
      </w:r>
      <w:ins w:id="2757" w:author="AUTHOR">
        <w:r w:rsidR="00541248">
          <w:rPr>
            <w:b/>
            <w:lang w:val="es-ES"/>
          </w:rPr>
          <w:t xml:space="preserve"> </w:t>
        </w:r>
        <w:r w:rsidR="00541248" w:rsidRPr="00E52815">
          <w:rPr>
            <w:b/>
            <w:szCs w:val="22"/>
            <w:lang w:val="en-GB"/>
          </w:rPr>
          <w:t>80 (E 433)</w:t>
        </w:r>
      </w:ins>
    </w:p>
    <w:p w14:paraId="4A05BD2E" w14:textId="77777777" w:rsidR="00585EFC" w:rsidRPr="00575208" w:rsidRDefault="000E017E" w:rsidP="000E017E">
      <w:pPr>
        <w:rPr>
          <w:lang w:val="es-ES"/>
        </w:rPr>
      </w:pPr>
      <w:r w:rsidRPr="000E017E">
        <w:rPr>
          <w:lang w:val="es-ES"/>
        </w:rPr>
        <w:t xml:space="preserve">Este medicamento contiene 0,18 mg de polisorbato 80 en cada </w:t>
      </w:r>
      <w:r>
        <w:rPr>
          <w:lang w:val="es-ES"/>
        </w:rPr>
        <w:t>pluma precargada</w:t>
      </w:r>
      <w:r w:rsidRPr="000E017E">
        <w:rPr>
          <w:lang w:val="es-ES"/>
        </w:rPr>
        <w:t xml:space="preserve"> </w:t>
      </w:r>
      <w:r>
        <w:rPr>
          <w:lang w:val="es-ES"/>
        </w:rPr>
        <w:t>de</w:t>
      </w:r>
      <w:r w:rsidRPr="000E017E">
        <w:rPr>
          <w:lang w:val="es-ES"/>
        </w:rPr>
        <w:t xml:space="preserve"> 162 mg/0,9 ml, lo que equivale a 0,2 mg/ml. Los polisorbatos pueden causar reacciones alérgicas. Informe a su médico si usted o su hijo</w:t>
      </w:r>
      <w:r>
        <w:rPr>
          <w:lang w:val="es-ES"/>
        </w:rPr>
        <w:t xml:space="preserve"> </w:t>
      </w:r>
      <w:r w:rsidRPr="000E017E">
        <w:rPr>
          <w:lang w:val="es-ES"/>
        </w:rPr>
        <w:t>tiene alguna alergia conocida.</w:t>
      </w:r>
    </w:p>
    <w:p w14:paraId="59375EB5" w14:textId="77777777" w:rsidR="00585EFC" w:rsidRDefault="00585EFC" w:rsidP="00585EFC">
      <w:pPr>
        <w:rPr>
          <w:lang w:val="es-ES"/>
        </w:rPr>
      </w:pPr>
    </w:p>
    <w:p w14:paraId="29CCFDC8" w14:textId="77777777" w:rsidR="00B76460" w:rsidRPr="00575208" w:rsidRDefault="00B76460" w:rsidP="00585EFC">
      <w:pPr>
        <w:rPr>
          <w:lang w:val="es-ES"/>
        </w:rPr>
      </w:pPr>
    </w:p>
    <w:p w14:paraId="3C392D28" w14:textId="77777777" w:rsidR="00585EFC" w:rsidRPr="00575208" w:rsidRDefault="00585EFC" w:rsidP="00585EFC">
      <w:pPr>
        <w:rPr>
          <w:b/>
          <w:lang w:val="es-ES"/>
        </w:rPr>
      </w:pPr>
      <w:r w:rsidRPr="00575208">
        <w:rPr>
          <w:b/>
          <w:lang w:val="es-ES"/>
        </w:rPr>
        <w:t>3.</w:t>
      </w:r>
      <w:r w:rsidRPr="00575208">
        <w:rPr>
          <w:b/>
          <w:lang w:val="es-ES"/>
        </w:rPr>
        <w:tab/>
        <w:t>Cómo usar RoActemra</w:t>
      </w:r>
    </w:p>
    <w:p w14:paraId="7886247B" w14:textId="77777777" w:rsidR="00585EFC" w:rsidRPr="00575208" w:rsidRDefault="00585EFC" w:rsidP="00585EFC">
      <w:pPr>
        <w:rPr>
          <w:b/>
          <w:bCs/>
          <w:lang w:val="es-ES_tradnl"/>
        </w:rPr>
      </w:pPr>
    </w:p>
    <w:p w14:paraId="4D32716D" w14:textId="77777777" w:rsidR="00585EFC" w:rsidRPr="00575208" w:rsidRDefault="00585EFC" w:rsidP="00585EFC">
      <w:pPr>
        <w:rPr>
          <w:bCs/>
          <w:lang w:val="es-ES_tradnl"/>
        </w:rPr>
      </w:pPr>
      <w:r w:rsidRPr="00575208">
        <w:rPr>
          <w:bCs/>
          <w:lang w:val="es-ES_tradnl"/>
        </w:rPr>
        <w:t>Siga exactamente las instrucciones de administración de este medicamento indicadas por su médico, farmacéutico o enfermero. En caso de duda, consulte de nuevo a su médico, farmacéutico o enfermero.</w:t>
      </w:r>
    </w:p>
    <w:p w14:paraId="23364E6C" w14:textId="77777777" w:rsidR="00585EFC" w:rsidRPr="00575208" w:rsidRDefault="00585EFC" w:rsidP="00585EFC">
      <w:pPr>
        <w:rPr>
          <w:bCs/>
          <w:lang w:val="es-ES_tradnl"/>
        </w:rPr>
      </w:pPr>
    </w:p>
    <w:p w14:paraId="756B4751" w14:textId="5AE5ECD2" w:rsidR="00585EFC" w:rsidRDefault="00585EFC" w:rsidP="00585EFC">
      <w:pPr>
        <w:rPr>
          <w:bCs/>
          <w:lang w:val="es-ES_tradnl"/>
        </w:rPr>
      </w:pPr>
      <w:r w:rsidRPr="00575208">
        <w:rPr>
          <w:bCs/>
          <w:lang w:val="es-ES_tradnl"/>
        </w:rPr>
        <w:t xml:space="preserve">El tratamiento </w:t>
      </w:r>
      <w:del w:id="2758" w:author="AUTHOR">
        <w:r w:rsidRPr="00575208" w:rsidDel="00806EEE">
          <w:rPr>
            <w:bCs/>
            <w:lang w:val="es-ES_tradnl"/>
          </w:rPr>
          <w:delText>se</w:delText>
        </w:r>
      </w:del>
      <w:ins w:id="2759" w:author="AUTHOR">
        <w:r w:rsidR="00806EEE">
          <w:rPr>
            <w:bCs/>
            <w:lang w:val="es-ES_tradnl"/>
          </w:rPr>
          <w:t>lo</w:t>
        </w:r>
      </w:ins>
      <w:r w:rsidRPr="00575208">
        <w:rPr>
          <w:bCs/>
          <w:lang w:val="es-ES_tradnl"/>
        </w:rPr>
        <w:t xml:space="preserve"> debe i</w:t>
      </w:r>
      <w:del w:id="2760" w:author="AUTHOR">
        <w:r w:rsidRPr="00575208" w:rsidDel="00806EEE">
          <w:rPr>
            <w:bCs/>
            <w:lang w:val="es-ES_tradnl"/>
          </w:rPr>
          <w:delText>niciar por</w:delText>
        </w:r>
      </w:del>
      <w:ins w:id="2761" w:author="AUTHOR">
        <w:r w:rsidR="00806EEE">
          <w:rPr>
            <w:bCs/>
            <w:lang w:val="es-ES_tradnl"/>
          </w:rPr>
          <w:t>recetar</w:t>
        </w:r>
      </w:ins>
      <w:r w:rsidRPr="00575208">
        <w:rPr>
          <w:bCs/>
          <w:lang w:val="es-ES_tradnl"/>
        </w:rPr>
        <w:t xml:space="preserve"> un profesional sanitario con experiencia en el diagnóstico y tratamiento de la AR</w:t>
      </w:r>
      <w:r w:rsidR="00F16141">
        <w:rPr>
          <w:bCs/>
          <w:lang w:val="es-ES_tradnl"/>
        </w:rPr>
        <w:t>, AIJS, AIJp</w:t>
      </w:r>
      <w:r w:rsidRPr="00575208">
        <w:rPr>
          <w:bCs/>
          <w:lang w:val="es-ES_tradnl"/>
        </w:rPr>
        <w:t xml:space="preserve"> o ACG.</w:t>
      </w:r>
    </w:p>
    <w:p w14:paraId="2F9BF692" w14:textId="77777777" w:rsidR="00F16141" w:rsidRDefault="00F16141" w:rsidP="00585EFC">
      <w:pPr>
        <w:rPr>
          <w:bCs/>
          <w:lang w:val="es-ES_tradnl"/>
        </w:rPr>
      </w:pPr>
    </w:p>
    <w:p w14:paraId="0D4F1A88" w14:textId="77777777" w:rsidR="00F16141" w:rsidRPr="00575208" w:rsidRDefault="00F16141" w:rsidP="00F16141">
      <w:pPr>
        <w:keepNext/>
        <w:rPr>
          <w:bCs/>
          <w:lang w:val="es-ES_tradnl"/>
        </w:rPr>
      </w:pPr>
      <w:r w:rsidRPr="00575208">
        <w:rPr>
          <w:b/>
          <w:bCs/>
          <w:lang w:val="es-ES_tradnl"/>
        </w:rPr>
        <w:t>La dosis recomendada</w:t>
      </w:r>
      <w:r w:rsidRPr="00575208">
        <w:rPr>
          <w:bCs/>
          <w:lang w:val="es-ES_tradnl"/>
        </w:rPr>
        <w:t xml:space="preserve"> </w:t>
      </w:r>
    </w:p>
    <w:p w14:paraId="2EB97E91" w14:textId="260C9AD9" w:rsidR="00F16141" w:rsidRPr="00575208" w:rsidRDefault="00F16141" w:rsidP="00F16141">
      <w:pPr>
        <w:rPr>
          <w:bCs/>
          <w:lang w:val="es-ES_tradnl"/>
        </w:rPr>
      </w:pPr>
      <w:r w:rsidRPr="00575208">
        <w:rPr>
          <w:bCs/>
          <w:lang w:val="es-ES_tradnl"/>
        </w:rPr>
        <w:t xml:space="preserve">La dosis para </w:t>
      </w:r>
      <w:del w:id="2762" w:author="AUTHOR">
        <w:r w:rsidRPr="00575208" w:rsidDel="00FE70E0">
          <w:rPr>
            <w:bCs/>
            <w:lang w:val="es-ES_tradnl"/>
          </w:rPr>
          <w:delText xml:space="preserve">todos </w:delText>
        </w:r>
      </w:del>
      <w:r w:rsidRPr="00575208">
        <w:rPr>
          <w:bCs/>
          <w:lang w:val="es-ES_tradnl"/>
        </w:rPr>
        <w:t xml:space="preserve">los adultos </w:t>
      </w:r>
      <w:r>
        <w:rPr>
          <w:bCs/>
          <w:lang w:val="es-ES_tradnl"/>
        </w:rPr>
        <w:t xml:space="preserve">con AR o ACG </w:t>
      </w:r>
      <w:r w:rsidRPr="00575208">
        <w:rPr>
          <w:bCs/>
          <w:lang w:val="es-ES_tradnl"/>
        </w:rPr>
        <w:t xml:space="preserve">es de 162 mg (el contenido de una </w:t>
      </w:r>
      <w:r>
        <w:rPr>
          <w:bCs/>
          <w:lang w:val="es-ES_tradnl"/>
        </w:rPr>
        <w:t>plum</w:t>
      </w:r>
      <w:r w:rsidRPr="00575208">
        <w:rPr>
          <w:bCs/>
          <w:lang w:val="es-ES_tradnl"/>
        </w:rPr>
        <w:t>a precargada) administrada una vez por semana.</w:t>
      </w:r>
    </w:p>
    <w:p w14:paraId="1D394C22" w14:textId="77777777" w:rsidR="00585EFC" w:rsidRPr="00575208" w:rsidRDefault="00585EFC" w:rsidP="00585EFC">
      <w:pPr>
        <w:rPr>
          <w:bCs/>
          <w:lang w:val="es-ES_tradnl"/>
        </w:rPr>
      </w:pPr>
    </w:p>
    <w:p w14:paraId="3A2A6475" w14:textId="77777777" w:rsidR="00F16141" w:rsidRPr="006616E4" w:rsidRDefault="0042532A" w:rsidP="00F16141">
      <w:pPr>
        <w:keepNext/>
        <w:keepLines/>
        <w:rPr>
          <w:b/>
          <w:sz w:val="24"/>
          <w:szCs w:val="24"/>
          <w:lang w:val="es-ES"/>
        </w:rPr>
      </w:pPr>
      <w:r w:rsidRPr="00467FFD">
        <w:rPr>
          <w:b/>
          <w:szCs w:val="22"/>
          <w:lang w:val="es-ES"/>
          <w:rPrChange w:id="2763" w:author="AUTHOR">
            <w:rPr>
              <w:b/>
              <w:sz w:val="24"/>
              <w:szCs w:val="24"/>
              <w:lang w:val="es-ES"/>
            </w:rPr>
          </w:rPrChange>
        </w:rPr>
        <w:t>A</w:t>
      </w:r>
      <w:r w:rsidR="00F16141" w:rsidRPr="00467FFD">
        <w:rPr>
          <w:b/>
          <w:szCs w:val="22"/>
          <w:lang w:val="es-ES"/>
          <w:rPrChange w:id="2764" w:author="AUTHOR">
            <w:rPr>
              <w:b/>
              <w:sz w:val="24"/>
              <w:szCs w:val="24"/>
              <w:lang w:val="es-ES"/>
            </w:rPr>
          </w:rPrChange>
        </w:rPr>
        <w:t>dolescentes con AIJs (de 12 años de edad en adelante)</w:t>
      </w:r>
    </w:p>
    <w:p w14:paraId="075CA783" w14:textId="77777777" w:rsidR="00F16141" w:rsidRPr="000D2A86" w:rsidRDefault="00F16141" w:rsidP="00F16141">
      <w:pPr>
        <w:rPr>
          <w:b/>
          <w:szCs w:val="22"/>
          <w:lang w:val="es-ES"/>
        </w:rPr>
      </w:pPr>
      <w:r w:rsidRPr="000D2A86">
        <w:rPr>
          <w:b/>
          <w:szCs w:val="22"/>
          <w:lang w:val="es-ES"/>
        </w:rPr>
        <w:t>La dosis habitual de RoActemra depende del peso del paciente.</w:t>
      </w:r>
    </w:p>
    <w:p w14:paraId="0892F940" w14:textId="77777777" w:rsidR="00F16141" w:rsidRPr="0009589C" w:rsidRDefault="00F16141" w:rsidP="000E017E">
      <w:pPr>
        <w:ind w:left="567" w:hanging="567"/>
        <w:rPr>
          <w:bCs/>
          <w:lang w:val="es-ES_tradnl"/>
        </w:rPr>
      </w:pPr>
      <w:r w:rsidRPr="000D2A86">
        <w:rPr>
          <w:b/>
          <w:szCs w:val="22"/>
          <w:lang w:val="es-ES"/>
        </w:rPr>
        <w:t>•</w:t>
      </w:r>
      <w:r w:rsidRPr="0009589C">
        <w:rPr>
          <w:bCs/>
          <w:lang w:val="es-ES_tradnl"/>
        </w:rPr>
        <w:t xml:space="preserve"> </w:t>
      </w:r>
      <w:r w:rsidR="000E017E">
        <w:rPr>
          <w:bCs/>
          <w:lang w:val="es-ES_tradnl"/>
        </w:rPr>
        <w:tab/>
      </w:r>
      <w:r w:rsidRPr="0009589C">
        <w:rPr>
          <w:bCs/>
          <w:lang w:val="es-ES_tradnl"/>
        </w:rPr>
        <w:t xml:space="preserve">Si el paciente pesa </w:t>
      </w:r>
      <w:r w:rsidRPr="000D2A86">
        <w:rPr>
          <w:b/>
          <w:szCs w:val="22"/>
          <w:lang w:val="es-ES"/>
        </w:rPr>
        <w:t>menos de 30 kg</w:t>
      </w:r>
      <w:r w:rsidRPr="0009589C">
        <w:rPr>
          <w:bCs/>
          <w:lang w:val="es-ES_tradnl"/>
        </w:rPr>
        <w:t>: la dosis es de 16</w:t>
      </w:r>
      <w:r>
        <w:rPr>
          <w:bCs/>
          <w:lang w:val="es-ES_tradnl"/>
        </w:rPr>
        <w:t xml:space="preserve">2 mg (el contenido de 1 pluma </w:t>
      </w:r>
      <w:r w:rsidRPr="0009589C">
        <w:rPr>
          <w:bCs/>
          <w:lang w:val="es-ES_tradnl"/>
        </w:rPr>
        <w:t xml:space="preserve">precargada), </w:t>
      </w:r>
      <w:r w:rsidRPr="000D2A86">
        <w:rPr>
          <w:szCs w:val="22"/>
          <w:lang w:val="es-ES"/>
        </w:rPr>
        <w:t>una vez cada 2 semanas</w:t>
      </w:r>
    </w:p>
    <w:p w14:paraId="0970C99F" w14:textId="77777777" w:rsidR="001A3E76" w:rsidRDefault="00F16141" w:rsidP="00F30AB8">
      <w:pPr>
        <w:ind w:left="567" w:hanging="567"/>
        <w:rPr>
          <w:bCs/>
          <w:lang w:val="es-ES_tradnl"/>
        </w:rPr>
      </w:pPr>
      <w:r w:rsidRPr="006616E4">
        <w:rPr>
          <w:b/>
          <w:szCs w:val="22"/>
          <w:lang w:val="es-ES"/>
        </w:rPr>
        <w:t xml:space="preserve">• </w:t>
      </w:r>
      <w:r w:rsidR="000E017E">
        <w:rPr>
          <w:b/>
          <w:szCs w:val="22"/>
          <w:lang w:val="es-ES"/>
        </w:rPr>
        <w:tab/>
      </w:r>
      <w:r w:rsidRPr="0009589C">
        <w:rPr>
          <w:bCs/>
          <w:lang w:val="es-ES_tradnl"/>
        </w:rPr>
        <w:t xml:space="preserve">Si el paciente pesa </w:t>
      </w:r>
      <w:r w:rsidRPr="006616E4">
        <w:rPr>
          <w:b/>
          <w:szCs w:val="22"/>
          <w:lang w:val="es-ES"/>
        </w:rPr>
        <w:t>30 kg o más</w:t>
      </w:r>
      <w:r w:rsidRPr="0009589C">
        <w:rPr>
          <w:bCs/>
          <w:lang w:val="es-ES_tradnl"/>
        </w:rPr>
        <w:t>: la dosis es de 162</w:t>
      </w:r>
      <w:r>
        <w:rPr>
          <w:bCs/>
          <w:lang w:val="es-ES_tradnl"/>
        </w:rPr>
        <w:t xml:space="preserve"> mg (el contenido de 1 pluma </w:t>
      </w:r>
      <w:r w:rsidRPr="0009589C">
        <w:rPr>
          <w:bCs/>
          <w:lang w:val="es-ES_tradnl"/>
        </w:rPr>
        <w:t xml:space="preserve">precargada), </w:t>
      </w:r>
      <w:r w:rsidRPr="000D2A86">
        <w:rPr>
          <w:szCs w:val="22"/>
          <w:lang w:val="es-ES"/>
        </w:rPr>
        <w:t>una vez cada semana.</w:t>
      </w:r>
    </w:p>
    <w:p w14:paraId="46F3832C" w14:textId="77777777" w:rsidR="001A3E76" w:rsidRPr="00DD19FD" w:rsidRDefault="001A3E76" w:rsidP="00F16141">
      <w:pPr>
        <w:rPr>
          <w:szCs w:val="22"/>
          <w:lang w:val="es-ES"/>
        </w:rPr>
      </w:pPr>
      <w:r>
        <w:rPr>
          <w:bCs/>
          <w:lang w:val="es-ES_tradnl"/>
        </w:rPr>
        <w:t>La pluma precargada no se debe utilizar para tratar niños menores de 12 años de edad.</w:t>
      </w:r>
    </w:p>
    <w:p w14:paraId="06FC017C" w14:textId="77777777" w:rsidR="00F16141" w:rsidRDefault="00F16141" w:rsidP="00F16141">
      <w:pPr>
        <w:rPr>
          <w:bCs/>
          <w:lang w:val="es-ES_tradnl"/>
        </w:rPr>
      </w:pPr>
    </w:p>
    <w:p w14:paraId="0CD1A500" w14:textId="77777777" w:rsidR="00F16141" w:rsidRPr="00467FFD" w:rsidRDefault="0042532A" w:rsidP="00F16141">
      <w:pPr>
        <w:keepNext/>
        <w:keepLines/>
        <w:rPr>
          <w:b/>
          <w:szCs w:val="22"/>
          <w:lang w:val="es-ES"/>
          <w:rPrChange w:id="2765" w:author="AUTHOR">
            <w:rPr>
              <w:b/>
              <w:sz w:val="24"/>
              <w:szCs w:val="24"/>
              <w:lang w:val="es-ES"/>
            </w:rPr>
          </w:rPrChange>
        </w:rPr>
      </w:pPr>
      <w:r w:rsidRPr="00467FFD">
        <w:rPr>
          <w:b/>
          <w:szCs w:val="22"/>
          <w:lang w:val="es-ES"/>
          <w:rPrChange w:id="2766" w:author="AUTHOR">
            <w:rPr>
              <w:b/>
              <w:sz w:val="24"/>
              <w:szCs w:val="24"/>
              <w:lang w:val="es-ES"/>
            </w:rPr>
          </w:rPrChange>
        </w:rPr>
        <w:t>A</w:t>
      </w:r>
      <w:r w:rsidR="00F16141" w:rsidRPr="00467FFD">
        <w:rPr>
          <w:b/>
          <w:szCs w:val="22"/>
          <w:lang w:val="es-ES"/>
          <w:rPrChange w:id="2767" w:author="AUTHOR">
            <w:rPr>
              <w:b/>
              <w:sz w:val="24"/>
              <w:szCs w:val="24"/>
              <w:lang w:val="es-ES"/>
            </w:rPr>
          </w:rPrChange>
        </w:rPr>
        <w:t>dolescentes con AIJp (de 12 años de edad en adelante)</w:t>
      </w:r>
    </w:p>
    <w:p w14:paraId="61B3B841" w14:textId="77777777" w:rsidR="00F16141" w:rsidRPr="00EF2448" w:rsidRDefault="00F16141" w:rsidP="00F16141">
      <w:pPr>
        <w:rPr>
          <w:b/>
          <w:szCs w:val="22"/>
          <w:lang w:val="es-ES"/>
        </w:rPr>
      </w:pPr>
      <w:r w:rsidRPr="00EF2448">
        <w:rPr>
          <w:b/>
          <w:szCs w:val="22"/>
          <w:lang w:val="es-ES"/>
        </w:rPr>
        <w:t>La dosis habitual de RoActemra depende del peso del paciente.</w:t>
      </w:r>
    </w:p>
    <w:p w14:paraId="46B08BDA" w14:textId="77777777" w:rsidR="00F16141" w:rsidRPr="0009589C" w:rsidRDefault="00F16141" w:rsidP="00F30AB8">
      <w:pPr>
        <w:ind w:left="567" w:hanging="567"/>
        <w:rPr>
          <w:bCs/>
          <w:lang w:val="es-ES_tradnl"/>
        </w:rPr>
      </w:pPr>
      <w:r w:rsidRPr="00EF2448">
        <w:rPr>
          <w:b/>
          <w:szCs w:val="22"/>
          <w:lang w:val="es-ES"/>
        </w:rPr>
        <w:t>•</w:t>
      </w:r>
      <w:r w:rsidRPr="0009589C">
        <w:rPr>
          <w:bCs/>
          <w:lang w:val="es-ES_tradnl"/>
        </w:rPr>
        <w:t xml:space="preserve"> </w:t>
      </w:r>
      <w:r w:rsidR="000E017E">
        <w:rPr>
          <w:bCs/>
          <w:lang w:val="es-ES_tradnl"/>
        </w:rPr>
        <w:tab/>
      </w:r>
      <w:r w:rsidRPr="0009589C">
        <w:rPr>
          <w:bCs/>
          <w:lang w:val="es-ES_tradnl"/>
        </w:rPr>
        <w:t xml:space="preserve">Si el paciente pesa </w:t>
      </w:r>
      <w:r w:rsidRPr="00EF2448">
        <w:rPr>
          <w:b/>
          <w:szCs w:val="22"/>
          <w:lang w:val="es-ES"/>
        </w:rPr>
        <w:t>menos de 30 kg</w:t>
      </w:r>
      <w:r w:rsidRPr="0009589C">
        <w:rPr>
          <w:bCs/>
          <w:lang w:val="es-ES_tradnl"/>
        </w:rPr>
        <w:t>: la dosis es de 162 mg (el co</w:t>
      </w:r>
      <w:r>
        <w:rPr>
          <w:bCs/>
          <w:lang w:val="es-ES_tradnl"/>
        </w:rPr>
        <w:t xml:space="preserve">ntenido de 1 pluma </w:t>
      </w:r>
      <w:r w:rsidRPr="0009589C">
        <w:rPr>
          <w:bCs/>
          <w:lang w:val="es-ES_tradnl"/>
        </w:rPr>
        <w:t xml:space="preserve">precargada), </w:t>
      </w:r>
      <w:r w:rsidRPr="00EF2448">
        <w:rPr>
          <w:b/>
          <w:szCs w:val="22"/>
          <w:lang w:val="es-ES"/>
        </w:rPr>
        <w:t>una vez cada 3 semanas</w:t>
      </w:r>
    </w:p>
    <w:p w14:paraId="7DF1F5CB" w14:textId="77777777" w:rsidR="00F16141" w:rsidRDefault="00F16141" w:rsidP="00F30AB8">
      <w:pPr>
        <w:ind w:left="567" w:hanging="567"/>
        <w:rPr>
          <w:b/>
          <w:szCs w:val="22"/>
          <w:lang w:val="es-ES"/>
        </w:rPr>
      </w:pPr>
      <w:r w:rsidRPr="006616E4">
        <w:rPr>
          <w:b/>
          <w:szCs w:val="22"/>
          <w:lang w:val="es-ES"/>
        </w:rPr>
        <w:t xml:space="preserve">• </w:t>
      </w:r>
      <w:r w:rsidR="000E017E">
        <w:rPr>
          <w:b/>
          <w:szCs w:val="22"/>
          <w:lang w:val="es-ES"/>
        </w:rPr>
        <w:tab/>
      </w:r>
      <w:r w:rsidRPr="0009589C">
        <w:rPr>
          <w:bCs/>
          <w:lang w:val="es-ES_tradnl"/>
        </w:rPr>
        <w:t xml:space="preserve">Si el paciente pesa </w:t>
      </w:r>
      <w:r w:rsidRPr="006616E4">
        <w:rPr>
          <w:b/>
          <w:szCs w:val="22"/>
          <w:lang w:val="es-ES"/>
        </w:rPr>
        <w:t>30 kg o más</w:t>
      </w:r>
      <w:r w:rsidRPr="0009589C">
        <w:rPr>
          <w:bCs/>
          <w:lang w:val="es-ES_tradnl"/>
        </w:rPr>
        <w:t>: la dosis es de 16</w:t>
      </w:r>
      <w:r>
        <w:rPr>
          <w:bCs/>
          <w:lang w:val="es-ES_tradnl"/>
        </w:rPr>
        <w:t xml:space="preserve">2 mg (el contenido de 1 pluma </w:t>
      </w:r>
      <w:r w:rsidRPr="0009589C">
        <w:rPr>
          <w:bCs/>
          <w:lang w:val="es-ES_tradnl"/>
        </w:rPr>
        <w:t xml:space="preserve">precargada), </w:t>
      </w:r>
      <w:r w:rsidRPr="006616E4">
        <w:rPr>
          <w:b/>
          <w:szCs w:val="22"/>
          <w:lang w:val="es-ES"/>
        </w:rPr>
        <w:t>una vez cada 2 semanas.</w:t>
      </w:r>
    </w:p>
    <w:p w14:paraId="466F7783" w14:textId="77777777" w:rsidR="00F16141" w:rsidRDefault="00F16141" w:rsidP="00F16141">
      <w:pPr>
        <w:rPr>
          <w:b/>
          <w:szCs w:val="22"/>
          <w:lang w:val="es-ES"/>
        </w:rPr>
      </w:pPr>
    </w:p>
    <w:p w14:paraId="3D48C5B7" w14:textId="77777777" w:rsidR="00F16141" w:rsidRDefault="00F16141" w:rsidP="00F16141">
      <w:pPr>
        <w:rPr>
          <w:szCs w:val="22"/>
          <w:lang w:val="es-ES"/>
        </w:rPr>
      </w:pPr>
      <w:r>
        <w:rPr>
          <w:szCs w:val="22"/>
          <w:lang w:val="es-ES"/>
        </w:rPr>
        <w:t xml:space="preserve">La pluma precargada no </w:t>
      </w:r>
      <w:r w:rsidR="001A3E76">
        <w:rPr>
          <w:szCs w:val="22"/>
          <w:lang w:val="es-ES"/>
        </w:rPr>
        <w:t xml:space="preserve">se </w:t>
      </w:r>
      <w:r>
        <w:rPr>
          <w:szCs w:val="22"/>
          <w:lang w:val="es-ES"/>
        </w:rPr>
        <w:t xml:space="preserve">debe </w:t>
      </w:r>
      <w:r w:rsidR="001A3E76">
        <w:rPr>
          <w:szCs w:val="22"/>
          <w:lang w:val="es-ES"/>
        </w:rPr>
        <w:t>utilizar</w:t>
      </w:r>
      <w:r>
        <w:rPr>
          <w:szCs w:val="22"/>
          <w:lang w:val="es-ES"/>
        </w:rPr>
        <w:t xml:space="preserve"> para tr</w:t>
      </w:r>
      <w:r w:rsidR="00F97391">
        <w:rPr>
          <w:szCs w:val="22"/>
          <w:lang w:val="es-ES"/>
        </w:rPr>
        <w:t>a</w:t>
      </w:r>
      <w:r>
        <w:rPr>
          <w:szCs w:val="22"/>
          <w:lang w:val="es-ES"/>
        </w:rPr>
        <w:t>ta</w:t>
      </w:r>
      <w:r w:rsidR="00F97391">
        <w:rPr>
          <w:szCs w:val="22"/>
          <w:lang w:val="es-ES"/>
        </w:rPr>
        <w:t>r a</w:t>
      </w:r>
      <w:r>
        <w:rPr>
          <w:szCs w:val="22"/>
          <w:lang w:val="es-ES"/>
        </w:rPr>
        <w:t xml:space="preserve"> niños </w:t>
      </w:r>
      <w:r w:rsidR="001A3E76">
        <w:rPr>
          <w:szCs w:val="22"/>
          <w:lang w:val="es-ES"/>
        </w:rPr>
        <w:t>menores</w:t>
      </w:r>
      <w:r>
        <w:rPr>
          <w:szCs w:val="22"/>
          <w:lang w:val="es-ES"/>
        </w:rPr>
        <w:t xml:space="preserve"> de 12 años de edad.</w:t>
      </w:r>
    </w:p>
    <w:p w14:paraId="2BD5D140" w14:textId="77777777" w:rsidR="00585EFC" w:rsidRPr="00FF2AFA" w:rsidRDefault="00585EFC" w:rsidP="00585EFC">
      <w:pPr>
        <w:rPr>
          <w:bCs/>
          <w:lang w:val="es-ES"/>
        </w:rPr>
      </w:pPr>
    </w:p>
    <w:p w14:paraId="44C960F0" w14:textId="61A0E394" w:rsidR="00585EFC" w:rsidRPr="00575208" w:rsidRDefault="00585EFC" w:rsidP="00585EFC">
      <w:pPr>
        <w:rPr>
          <w:lang w:val="es-ES"/>
        </w:rPr>
      </w:pPr>
      <w:r w:rsidRPr="00575208">
        <w:rPr>
          <w:bCs/>
          <w:lang w:val="es-ES_tradnl"/>
        </w:rPr>
        <w:t>RoActemra se administra mediante inyección debajo de la piel (</w:t>
      </w:r>
      <w:r w:rsidRPr="00575208">
        <w:rPr>
          <w:bCs/>
          <w:i/>
          <w:lang w:val="es-ES_tradnl"/>
        </w:rPr>
        <w:t>subcutáneamente</w:t>
      </w:r>
      <w:r w:rsidRPr="00575208">
        <w:rPr>
          <w:bCs/>
          <w:lang w:val="es-ES_tradnl"/>
        </w:rPr>
        <w:t>). Al inicio, su médico o enfermero puede inyectarle RoActemra</w:t>
      </w:r>
      <w:del w:id="2768" w:author="AUTHOR">
        <w:r w:rsidDel="00806EEE">
          <w:rPr>
            <w:bCs/>
            <w:lang w:val="es-ES_tradnl"/>
          </w:rPr>
          <w:delText xml:space="preserve"> (</w:delText>
        </w:r>
        <w:r w:rsidRPr="00C555F2" w:rsidDel="00806EEE">
          <w:rPr>
            <w:szCs w:val="22"/>
            <w:lang w:val="es-ES"/>
          </w:rPr>
          <w:delText>ACTP</w:delText>
        </w:r>
        <w:r w:rsidDel="00806EEE">
          <w:rPr>
            <w:szCs w:val="22"/>
            <w:lang w:val="es-ES"/>
          </w:rPr>
          <w:delText>luma</w:delText>
        </w:r>
        <w:r w:rsidRPr="00C555F2" w:rsidDel="00806EEE">
          <w:rPr>
            <w:szCs w:val="22"/>
            <w:vertAlign w:val="superscript"/>
            <w:lang w:val="es-ES"/>
          </w:rPr>
          <w:delText>®</w:delText>
        </w:r>
        <w:r w:rsidDel="00806EEE">
          <w:rPr>
            <w:bCs/>
            <w:lang w:val="es-ES_tradnl"/>
          </w:rPr>
          <w:delText>)</w:delText>
        </w:r>
      </w:del>
      <w:r w:rsidRPr="00575208">
        <w:rPr>
          <w:lang w:val="es-ES"/>
        </w:rPr>
        <w:t xml:space="preserve">. Sin embargo, su médico puede decidir que usted mismo se inyecte RoActemra. En este caso usted recibirá </w:t>
      </w:r>
      <w:del w:id="2769" w:author="AUTHOR">
        <w:r w:rsidRPr="00575208" w:rsidDel="00806EEE">
          <w:rPr>
            <w:lang w:val="es-ES"/>
          </w:rPr>
          <w:delText>in</w:delText>
        </w:r>
      </w:del>
      <w:r w:rsidRPr="00575208">
        <w:rPr>
          <w:lang w:val="es-ES"/>
        </w:rPr>
        <w:t>formación de cómo autoinyectarse RoActemra.</w:t>
      </w:r>
      <w:r w:rsidR="00250533">
        <w:rPr>
          <w:lang w:val="es-ES"/>
        </w:rPr>
        <w:t xml:space="preserve"> Los padres y cuidadores serán entrenados en cómo inyectar RoActemra a los pacientes que no pueden inyectarse ellos mismos.</w:t>
      </w:r>
    </w:p>
    <w:p w14:paraId="7C98A51C" w14:textId="77777777" w:rsidR="00585EFC" w:rsidRPr="00575208" w:rsidRDefault="00585EFC" w:rsidP="00585EFC">
      <w:pPr>
        <w:rPr>
          <w:lang w:val="es-ES"/>
        </w:rPr>
      </w:pPr>
    </w:p>
    <w:p w14:paraId="07031FC8" w14:textId="77777777" w:rsidR="00585EFC" w:rsidRPr="00575208" w:rsidRDefault="00585EFC" w:rsidP="00585EFC">
      <w:pPr>
        <w:rPr>
          <w:bCs/>
          <w:lang w:val="es-ES"/>
        </w:rPr>
      </w:pPr>
      <w:r w:rsidRPr="00575208">
        <w:rPr>
          <w:lang w:val="es-ES"/>
        </w:rPr>
        <w:t xml:space="preserve">Hable con su médico si tiene alguna pregunta sobre como </w:t>
      </w:r>
      <w:r w:rsidR="00250533">
        <w:rPr>
          <w:lang w:val="es-ES"/>
        </w:rPr>
        <w:t xml:space="preserve">usted o un adolescente al que cuida puede </w:t>
      </w:r>
      <w:r w:rsidRPr="00575208">
        <w:rPr>
          <w:lang w:val="es-ES"/>
        </w:rPr>
        <w:t>autoadministrarse una inyección. Al final de este prospecto usted encontrará “instrucciones de administración” detalladas.</w:t>
      </w:r>
    </w:p>
    <w:p w14:paraId="1DE6F1D5" w14:textId="77777777" w:rsidR="00585EFC" w:rsidRPr="00575208" w:rsidRDefault="00585EFC" w:rsidP="00585EFC">
      <w:pPr>
        <w:rPr>
          <w:bCs/>
          <w:lang w:val="es-ES_tradnl"/>
        </w:rPr>
      </w:pPr>
    </w:p>
    <w:p w14:paraId="3FD8385E" w14:textId="77777777" w:rsidR="00585EFC" w:rsidRPr="00575208" w:rsidRDefault="00585EFC" w:rsidP="00F30AB8">
      <w:pPr>
        <w:keepNext/>
        <w:keepLines/>
        <w:rPr>
          <w:b/>
          <w:lang w:val="es-ES"/>
        </w:rPr>
      </w:pPr>
      <w:r w:rsidRPr="00575208">
        <w:rPr>
          <w:b/>
          <w:lang w:val="es-ES"/>
        </w:rPr>
        <w:lastRenderedPageBreak/>
        <w:t>Si se le administra más RoActemra del que debe</w:t>
      </w:r>
    </w:p>
    <w:p w14:paraId="64F74CA2" w14:textId="77777777" w:rsidR="00585EFC" w:rsidRPr="00575208" w:rsidRDefault="00585EFC" w:rsidP="00F30AB8">
      <w:pPr>
        <w:keepNext/>
        <w:keepLines/>
        <w:rPr>
          <w:lang w:val="es-ES"/>
        </w:rPr>
      </w:pPr>
      <w:r w:rsidRPr="00575208">
        <w:rPr>
          <w:lang w:val="es-ES_tradnl"/>
        </w:rPr>
        <w:t xml:space="preserve">Como RoActemra se administra en una </w:t>
      </w:r>
      <w:r>
        <w:rPr>
          <w:lang w:val="es-ES_tradnl"/>
        </w:rPr>
        <w:t>plum</w:t>
      </w:r>
      <w:r w:rsidRPr="00575208">
        <w:rPr>
          <w:lang w:val="es-ES_tradnl"/>
        </w:rPr>
        <w:t>a precargada, es poco probable que se le administre demasiado.</w:t>
      </w:r>
      <w:r w:rsidRPr="00575208">
        <w:rPr>
          <w:lang w:val="es-ES"/>
        </w:rPr>
        <w:t xml:space="preserve"> </w:t>
      </w:r>
      <w:r w:rsidRPr="00575208">
        <w:rPr>
          <w:lang w:val="es-ES_tradnl"/>
        </w:rPr>
        <w:t>Sin embargo, si le preocupa, hable con su médico</w:t>
      </w:r>
      <w:r w:rsidRPr="00575208">
        <w:rPr>
          <w:lang w:val="es-ES"/>
        </w:rPr>
        <w:t>, farmacéutico o enfermero.</w:t>
      </w:r>
    </w:p>
    <w:p w14:paraId="7E43BE8F" w14:textId="77777777" w:rsidR="00585EFC" w:rsidRPr="00575208" w:rsidRDefault="00585EFC" w:rsidP="00585EFC">
      <w:pPr>
        <w:rPr>
          <w:lang w:val="es-ES"/>
        </w:rPr>
      </w:pPr>
    </w:p>
    <w:p w14:paraId="07F280BE" w14:textId="3279DB2B" w:rsidR="00585EFC" w:rsidRPr="00575208" w:rsidRDefault="00585EFC" w:rsidP="00FF2AFA">
      <w:pPr>
        <w:keepNext/>
        <w:keepLines/>
        <w:rPr>
          <w:b/>
          <w:lang w:val="es-ES"/>
        </w:rPr>
      </w:pPr>
      <w:r w:rsidRPr="00575208">
        <w:rPr>
          <w:b/>
          <w:lang w:val="es-ES"/>
        </w:rPr>
        <w:t xml:space="preserve">Si </w:t>
      </w:r>
      <w:r w:rsidR="00250533">
        <w:rPr>
          <w:b/>
          <w:lang w:val="es-ES"/>
        </w:rPr>
        <w:t xml:space="preserve">un adulto con AR o GCA o un adolescente con AIJs perdió u </w:t>
      </w:r>
      <w:r w:rsidRPr="00575208">
        <w:rPr>
          <w:b/>
          <w:lang w:val="es-ES"/>
        </w:rPr>
        <w:t>olvidó una dosis</w:t>
      </w:r>
      <w:del w:id="2770" w:author="AUTHOR">
        <w:r w:rsidRPr="00575208" w:rsidDel="00806EEE">
          <w:rPr>
            <w:b/>
            <w:lang w:val="es-ES"/>
          </w:rPr>
          <w:delText xml:space="preserve"> de RoActemra</w:delText>
        </w:r>
      </w:del>
    </w:p>
    <w:p w14:paraId="7D41B82F" w14:textId="77777777" w:rsidR="00741363" w:rsidRDefault="00585EFC" w:rsidP="00FF2AFA">
      <w:pPr>
        <w:keepNext/>
        <w:keepLines/>
        <w:rPr>
          <w:bCs/>
          <w:lang w:val="es-ES_tradnl"/>
        </w:rPr>
      </w:pPr>
      <w:r w:rsidRPr="00575208">
        <w:rPr>
          <w:bCs/>
          <w:lang w:val="es-ES_tradnl"/>
        </w:rPr>
        <w:t xml:space="preserve">Es muy importante usar RoActemra exactamente como lo prescribe su médico. Mantenga el registro de su próxima dosis. </w:t>
      </w:r>
    </w:p>
    <w:p w14:paraId="5D43E7FF" w14:textId="77777777" w:rsidR="00741363" w:rsidRDefault="00562D12" w:rsidP="00FF2AFA">
      <w:pPr>
        <w:keepNext/>
        <w:keepLines/>
        <w:ind w:left="357" w:hanging="357"/>
        <w:rPr>
          <w:bCs/>
          <w:lang w:val="es-ES_tradnl"/>
        </w:rPr>
      </w:pPr>
      <w:r w:rsidRPr="008A106B">
        <w:rPr>
          <w:lang w:val="es-ES"/>
        </w:rPr>
        <w:sym w:font="Symbol" w:char="F0B7"/>
      </w:r>
      <w:r>
        <w:rPr>
          <w:lang w:val="es-ES"/>
        </w:rPr>
        <w:tab/>
      </w:r>
      <w:r w:rsidR="00585EFC" w:rsidRPr="00575208">
        <w:rPr>
          <w:bCs/>
          <w:lang w:val="es-ES_tradnl"/>
        </w:rPr>
        <w:t xml:space="preserve">Si usted olvida su dosis semanal dentro de los 7 días, tome su dosis en el próximo día programado. </w:t>
      </w:r>
    </w:p>
    <w:p w14:paraId="11280478" w14:textId="4F5B95AD" w:rsidR="00741363" w:rsidRDefault="00562D12" w:rsidP="00FF2AFA">
      <w:pPr>
        <w:keepNext/>
        <w:keepLines/>
        <w:ind w:left="357" w:hanging="357"/>
        <w:rPr>
          <w:bCs/>
          <w:lang w:val="es-ES_tradnl"/>
        </w:rPr>
      </w:pPr>
      <w:r w:rsidRPr="008A106B">
        <w:rPr>
          <w:lang w:val="es-ES"/>
        </w:rPr>
        <w:sym w:font="Symbol" w:char="F0B7"/>
      </w:r>
      <w:r>
        <w:rPr>
          <w:lang w:val="es-ES"/>
        </w:rPr>
        <w:tab/>
      </w:r>
      <w:r w:rsidR="00585EFC" w:rsidRPr="00575208">
        <w:rPr>
          <w:bCs/>
          <w:lang w:val="es-ES_tradnl"/>
        </w:rPr>
        <w:t xml:space="preserve">Si usted olvida la dosis de cada dos semanas dentro de los 7 días, inyecte una dosis tan pronto como se acuerde y tome su siguiente dosis según su calendario </w:t>
      </w:r>
      <w:del w:id="2771" w:author="AUTHOR">
        <w:r w:rsidR="00585EFC" w:rsidRPr="00575208" w:rsidDel="00806EEE">
          <w:rPr>
            <w:bCs/>
            <w:lang w:val="es-ES_tradnl"/>
          </w:rPr>
          <w:delText>original</w:delText>
        </w:r>
      </w:del>
      <w:ins w:id="2772" w:author="AUTHOR">
        <w:r w:rsidR="00806EEE">
          <w:rPr>
            <w:bCs/>
            <w:lang w:val="es-ES_tradnl"/>
          </w:rPr>
          <w:t>habitual</w:t>
        </w:r>
      </w:ins>
      <w:r w:rsidR="00585EFC" w:rsidRPr="00575208">
        <w:rPr>
          <w:bCs/>
          <w:lang w:val="es-ES_tradnl"/>
        </w:rPr>
        <w:t xml:space="preserve">. </w:t>
      </w:r>
    </w:p>
    <w:p w14:paraId="47403979" w14:textId="77777777" w:rsidR="00585EFC" w:rsidRPr="00575208" w:rsidRDefault="00562D12" w:rsidP="00FF2AFA">
      <w:pPr>
        <w:ind w:left="357" w:hanging="357"/>
        <w:rPr>
          <w:bCs/>
          <w:lang w:val="es-ES_tradnl"/>
        </w:rPr>
      </w:pPr>
      <w:r w:rsidRPr="008A106B">
        <w:rPr>
          <w:lang w:val="es-ES"/>
        </w:rPr>
        <w:sym w:font="Symbol" w:char="F0B7"/>
      </w:r>
      <w:r>
        <w:rPr>
          <w:lang w:val="es-ES"/>
        </w:rPr>
        <w:tab/>
      </w:r>
      <w:r w:rsidR="00585EFC" w:rsidRPr="00575208">
        <w:rPr>
          <w:bCs/>
          <w:lang w:val="es-ES_tradnl"/>
        </w:rPr>
        <w:t>Si usted se olvida su dosis semanal o cada dos semanas durante más de 7 días o no está seguro cuando inyectarse RoActemra llame a su médico o farmacéutico.</w:t>
      </w:r>
    </w:p>
    <w:p w14:paraId="05E9B48C" w14:textId="77777777" w:rsidR="00585EFC" w:rsidRPr="00575208" w:rsidRDefault="00585EFC" w:rsidP="00585EFC">
      <w:pPr>
        <w:rPr>
          <w:bCs/>
          <w:lang w:val="es-ES_tradnl"/>
        </w:rPr>
      </w:pPr>
    </w:p>
    <w:p w14:paraId="71C00D50" w14:textId="77777777" w:rsidR="00250533" w:rsidRPr="006616E4" w:rsidRDefault="00250533" w:rsidP="00250533">
      <w:pPr>
        <w:keepNext/>
        <w:keepLines/>
        <w:rPr>
          <w:b/>
          <w:sz w:val="24"/>
          <w:szCs w:val="24"/>
          <w:lang w:val="es-ES"/>
        </w:rPr>
      </w:pPr>
      <w:r w:rsidRPr="00F94E5C">
        <w:rPr>
          <w:b/>
          <w:sz w:val="24"/>
          <w:szCs w:val="24"/>
          <w:lang w:val="es-ES"/>
        </w:rPr>
        <w:t xml:space="preserve">Si un adolescente con </w:t>
      </w:r>
      <w:r w:rsidRPr="006616E4">
        <w:rPr>
          <w:b/>
          <w:sz w:val="24"/>
          <w:szCs w:val="24"/>
          <w:lang w:val="es-ES"/>
        </w:rPr>
        <w:t>A</w:t>
      </w:r>
      <w:r>
        <w:rPr>
          <w:b/>
          <w:sz w:val="24"/>
          <w:szCs w:val="24"/>
          <w:lang w:val="es-ES"/>
        </w:rPr>
        <w:t>IJp</w:t>
      </w:r>
      <w:r w:rsidRPr="00C26A9F">
        <w:rPr>
          <w:b/>
          <w:sz w:val="24"/>
          <w:szCs w:val="24"/>
          <w:lang w:val="es-ES"/>
        </w:rPr>
        <w:t xml:space="preserve"> </w:t>
      </w:r>
      <w:r w:rsidR="004B007E">
        <w:rPr>
          <w:b/>
          <w:sz w:val="24"/>
          <w:szCs w:val="24"/>
          <w:lang w:val="es-ES"/>
        </w:rPr>
        <w:t>omiti</w:t>
      </w:r>
      <w:r>
        <w:rPr>
          <w:b/>
          <w:sz w:val="24"/>
          <w:szCs w:val="24"/>
          <w:lang w:val="es-ES"/>
        </w:rPr>
        <w:t>ó</w:t>
      </w:r>
      <w:r w:rsidRPr="00C26A9F">
        <w:rPr>
          <w:b/>
          <w:sz w:val="24"/>
          <w:szCs w:val="24"/>
          <w:lang w:val="es-ES"/>
        </w:rPr>
        <w:t xml:space="preserve"> u olvid</w:t>
      </w:r>
      <w:r>
        <w:rPr>
          <w:b/>
          <w:sz w:val="24"/>
          <w:szCs w:val="24"/>
          <w:lang w:val="es-ES"/>
        </w:rPr>
        <w:t>ó</w:t>
      </w:r>
      <w:r w:rsidRPr="006616E4">
        <w:rPr>
          <w:b/>
          <w:sz w:val="24"/>
          <w:szCs w:val="24"/>
          <w:lang w:val="es-ES"/>
        </w:rPr>
        <w:t xml:space="preserve"> una dosis</w:t>
      </w:r>
    </w:p>
    <w:p w14:paraId="6FCBA794" w14:textId="77777777" w:rsidR="00250533" w:rsidRPr="0009589C" w:rsidRDefault="00250533" w:rsidP="00250533">
      <w:pPr>
        <w:rPr>
          <w:bCs/>
          <w:lang w:val="es-ES_tradnl"/>
        </w:rPr>
      </w:pPr>
      <w:r w:rsidRPr="0009589C">
        <w:rPr>
          <w:bCs/>
          <w:lang w:val="es-ES_tradnl"/>
        </w:rPr>
        <w:t xml:space="preserve">Es muy importante usar RoActemra </w:t>
      </w:r>
      <w:r>
        <w:rPr>
          <w:bCs/>
          <w:lang w:val="es-ES_tradnl"/>
        </w:rPr>
        <w:t>exactamente como lo prescribe el médico. Mantenga el</w:t>
      </w:r>
      <w:r w:rsidRPr="0009589C">
        <w:rPr>
          <w:bCs/>
          <w:lang w:val="es-ES_tradnl"/>
        </w:rPr>
        <w:t xml:space="preserve"> registro de la próxima</w:t>
      </w:r>
      <w:r>
        <w:rPr>
          <w:bCs/>
          <w:lang w:val="es-ES_tradnl"/>
        </w:rPr>
        <w:t xml:space="preserve"> </w:t>
      </w:r>
      <w:r w:rsidRPr="0009589C">
        <w:rPr>
          <w:bCs/>
          <w:lang w:val="es-ES_tradnl"/>
        </w:rPr>
        <w:t>dosis.</w:t>
      </w:r>
    </w:p>
    <w:p w14:paraId="72E8B9CC" w14:textId="11086F1C" w:rsidR="00250533" w:rsidRPr="0009589C" w:rsidRDefault="002F63EF" w:rsidP="002F63EF">
      <w:pPr>
        <w:tabs>
          <w:tab w:val="left" w:pos="284"/>
        </w:tabs>
        <w:ind w:left="426" w:hanging="426"/>
        <w:rPr>
          <w:bCs/>
          <w:lang w:val="es-ES_tradnl"/>
        </w:rPr>
      </w:pPr>
      <w:r w:rsidRPr="008A106B">
        <w:rPr>
          <w:lang w:val="es-ES"/>
        </w:rPr>
        <w:sym w:font="Symbol" w:char="F0B7"/>
      </w:r>
      <w:r>
        <w:rPr>
          <w:lang w:val="es-ES"/>
        </w:rPr>
        <w:tab/>
      </w:r>
      <w:r w:rsidR="00250533">
        <w:rPr>
          <w:bCs/>
          <w:lang w:val="es-ES_tradnl"/>
        </w:rPr>
        <w:t>Si olvida una dosis dentro de los</w:t>
      </w:r>
      <w:r w:rsidR="00250533" w:rsidRPr="0009589C">
        <w:rPr>
          <w:bCs/>
          <w:lang w:val="es-ES_tradnl"/>
        </w:rPr>
        <w:t xml:space="preserve"> 7 días, inyecte una dosis tan </w:t>
      </w:r>
      <w:r w:rsidR="00250533">
        <w:rPr>
          <w:bCs/>
          <w:lang w:val="es-ES_tradnl"/>
        </w:rPr>
        <w:t>pronto como se</w:t>
      </w:r>
      <w:r w:rsidR="00250533" w:rsidRPr="0009589C">
        <w:rPr>
          <w:bCs/>
          <w:lang w:val="es-ES_tradnl"/>
        </w:rPr>
        <w:t xml:space="preserve"> </w:t>
      </w:r>
      <w:r w:rsidR="00250533">
        <w:rPr>
          <w:bCs/>
          <w:lang w:val="es-ES_tradnl"/>
        </w:rPr>
        <w:t>acue</w:t>
      </w:r>
      <w:r w:rsidR="00250533" w:rsidRPr="0009589C">
        <w:rPr>
          <w:bCs/>
          <w:lang w:val="es-ES_tradnl"/>
        </w:rPr>
        <w:t xml:space="preserve">rde y administre la siguiente dosis </w:t>
      </w:r>
      <w:r w:rsidR="00250533">
        <w:rPr>
          <w:bCs/>
          <w:lang w:val="es-ES_tradnl"/>
        </w:rPr>
        <w:t xml:space="preserve">según su calendario </w:t>
      </w:r>
      <w:del w:id="2773" w:author="AUTHOR">
        <w:r w:rsidR="00250533" w:rsidDel="00806EEE">
          <w:rPr>
            <w:bCs/>
            <w:lang w:val="es-ES_tradnl"/>
          </w:rPr>
          <w:delText>original</w:delText>
        </w:r>
      </w:del>
      <w:ins w:id="2774" w:author="AUTHOR">
        <w:r w:rsidR="00806EEE">
          <w:rPr>
            <w:bCs/>
            <w:lang w:val="es-ES_tradnl"/>
          </w:rPr>
          <w:t>habitual</w:t>
        </w:r>
      </w:ins>
      <w:r w:rsidR="00250533" w:rsidRPr="0009589C">
        <w:rPr>
          <w:bCs/>
          <w:lang w:val="es-ES_tradnl"/>
        </w:rPr>
        <w:t>.</w:t>
      </w:r>
    </w:p>
    <w:p w14:paraId="652CA9A3" w14:textId="77777777" w:rsidR="00250533" w:rsidRDefault="002F63EF" w:rsidP="002F63EF">
      <w:pPr>
        <w:ind w:left="284" w:hanging="284"/>
        <w:rPr>
          <w:bCs/>
          <w:lang w:val="es-ES_tradnl"/>
        </w:rPr>
      </w:pPr>
      <w:r w:rsidRPr="008A106B">
        <w:rPr>
          <w:lang w:val="es-ES"/>
        </w:rPr>
        <w:sym w:font="Symbol" w:char="F0B7"/>
      </w:r>
      <w:r>
        <w:rPr>
          <w:lang w:val="es-ES"/>
        </w:rPr>
        <w:tab/>
      </w:r>
      <w:r w:rsidR="00250533">
        <w:rPr>
          <w:bCs/>
          <w:lang w:val="es-ES_tradnl"/>
        </w:rPr>
        <w:t>Si olvida una dosis du</w:t>
      </w:r>
      <w:r w:rsidR="00250533" w:rsidRPr="0009589C">
        <w:rPr>
          <w:bCs/>
          <w:lang w:val="es-ES_tradnl"/>
        </w:rPr>
        <w:t>r</w:t>
      </w:r>
      <w:r w:rsidR="00250533">
        <w:rPr>
          <w:bCs/>
          <w:lang w:val="es-ES_tradnl"/>
        </w:rPr>
        <w:t>ante</w:t>
      </w:r>
      <w:r w:rsidR="00250533" w:rsidRPr="0009589C">
        <w:rPr>
          <w:bCs/>
          <w:lang w:val="es-ES_tradnl"/>
        </w:rPr>
        <w:t xml:space="preserve"> 7 días o más, o no está seguro de cuándo inyectar</w:t>
      </w:r>
      <w:r w:rsidR="00250533">
        <w:rPr>
          <w:bCs/>
          <w:lang w:val="es-ES_tradnl"/>
        </w:rPr>
        <w:t>se RoActemra, llame al</w:t>
      </w:r>
      <w:r w:rsidR="00250533" w:rsidRPr="0009589C">
        <w:rPr>
          <w:bCs/>
          <w:lang w:val="es-ES_tradnl"/>
        </w:rPr>
        <w:t xml:space="preserve"> médico o al farmacéutico.</w:t>
      </w:r>
    </w:p>
    <w:p w14:paraId="7D74CD05" w14:textId="77777777" w:rsidR="00250533" w:rsidRDefault="00250533" w:rsidP="00585EFC">
      <w:pPr>
        <w:rPr>
          <w:b/>
          <w:lang w:val="es-ES_tradnl"/>
        </w:rPr>
      </w:pPr>
    </w:p>
    <w:p w14:paraId="04EA2DDC" w14:textId="77777777" w:rsidR="00585EFC" w:rsidRPr="00575208" w:rsidRDefault="00585EFC" w:rsidP="00585EFC">
      <w:pPr>
        <w:rPr>
          <w:b/>
          <w:lang w:val="es-ES"/>
        </w:rPr>
      </w:pPr>
      <w:r w:rsidRPr="00575208">
        <w:rPr>
          <w:b/>
          <w:lang w:val="es-ES"/>
        </w:rPr>
        <w:t>Si interrumpe el tratamiento con RoActemra</w:t>
      </w:r>
    </w:p>
    <w:p w14:paraId="26EDF9E9" w14:textId="77777777" w:rsidR="00585EFC" w:rsidRPr="00575208" w:rsidRDefault="00585EFC" w:rsidP="00585EFC">
      <w:pPr>
        <w:rPr>
          <w:bCs/>
          <w:lang w:val="es-ES_tradnl"/>
        </w:rPr>
      </w:pPr>
      <w:r w:rsidRPr="00575208">
        <w:rPr>
          <w:bCs/>
          <w:lang w:val="es-ES_tradnl"/>
        </w:rPr>
        <w:t>No debe detener el tratamiento con RoActemra sin consultárselo a su médico previamente.</w:t>
      </w:r>
    </w:p>
    <w:p w14:paraId="129920D6" w14:textId="77777777" w:rsidR="00585EFC" w:rsidRPr="00575208" w:rsidRDefault="00585EFC" w:rsidP="00585EFC">
      <w:pPr>
        <w:rPr>
          <w:lang w:val="es-ES"/>
        </w:rPr>
      </w:pPr>
    </w:p>
    <w:p w14:paraId="178D6645" w14:textId="77777777" w:rsidR="00585EFC" w:rsidRPr="00575208" w:rsidRDefault="00585EFC" w:rsidP="00585EFC">
      <w:pPr>
        <w:rPr>
          <w:lang w:val="es-ES"/>
        </w:rPr>
      </w:pPr>
      <w:r w:rsidRPr="00575208">
        <w:rPr>
          <w:lang w:val="es-ES_tradnl"/>
        </w:rPr>
        <w:t xml:space="preserve">Si tiene cualquier otra duda sobre el uso de este medicamento, </w:t>
      </w:r>
      <w:r w:rsidRPr="00575208">
        <w:rPr>
          <w:bCs/>
          <w:lang w:val="es-ES_tradnl"/>
        </w:rPr>
        <w:t>pregunte a su médico, farmacéutico o enfermero</w:t>
      </w:r>
      <w:r w:rsidRPr="00575208">
        <w:rPr>
          <w:lang w:val="es-ES_tradnl"/>
        </w:rPr>
        <w:t>.</w:t>
      </w:r>
    </w:p>
    <w:p w14:paraId="26992535" w14:textId="77777777" w:rsidR="00585EFC" w:rsidRPr="00575208" w:rsidRDefault="00585EFC" w:rsidP="00585EFC">
      <w:pPr>
        <w:rPr>
          <w:lang w:val="es-ES"/>
        </w:rPr>
      </w:pPr>
    </w:p>
    <w:p w14:paraId="5C35284F" w14:textId="77777777" w:rsidR="00585EFC" w:rsidRPr="00575208" w:rsidRDefault="00585EFC" w:rsidP="00585EFC">
      <w:pPr>
        <w:rPr>
          <w:lang w:val="es-ES"/>
        </w:rPr>
      </w:pPr>
    </w:p>
    <w:p w14:paraId="7E585887" w14:textId="77777777" w:rsidR="00585EFC" w:rsidRPr="00575208" w:rsidRDefault="00585EFC" w:rsidP="00585EFC">
      <w:pPr>
        <w:rPr>
          <w:b/>
          <w:lang w:val="es-ES"/>
        </w:rPr>
      </w:pPr>
      <w:r w:rsidRPr="00575208">
        <w:rPr>
          <w:b/>
          <w:lang w:val="es-ES"/>
        </w:rPr>
        <w:t>4.</w:t>
      </w:r>
      <w:r w:rsidRPr="00575208">
        <w:rPr>
          <w:b/>
          <w:lang w:val="es-ES"/>
        </w:rPr>
        <w:tab/>
        <w:t>Posibles efectos adversos</w:t>
      </w:r>
    </w:p>
    <w:p w14:paraId="1E494096" w14:textId="77777777" w:rsidR="00585EFC" w:rsidRPr="00575208" w:rsidRDefault="00585EFC" w:rsidP="00585EFC">
      <w:pPr>
        <w:rPr>
          <w:lang w:val="es-ES"/>
        </w:rPr>
      </w:pPr>
    </w:p>
    <w:p w14:paraId="7B3F729C" w14:textId="77777777" w:rsidR="00585EFC" w:rsidRPr="00575208" w:rsidRDefault="00585EFC" w:rsidP="00585EFC">
      <w:pPr>
        <w:rPr>
          <w:lang w:val="es-ES"/>
        </w:rPr>
      </w:pPr>
      <w:r w:rsidRPr="00575208">
        <w:rPr>
          <w:lang w:val="es-ES_tradnl"/>
        </w:rPr>
        <w:t>Al igual que todos los medicamentos, este medicamento puede producir efectos adversos, aunque no todas las personas los</w:t>
      </w:r>
      <w:r w:rsidRPr="00575208">
        <w:rPr>
          <w:lang w:val="es-ES"/>
        </w:rPr>
        <w:t xml:space="preserve"> </w:t>
      </w:r>
      <w:r w:rsidRPr="00575208">
        <w:rPr>
          <w:lang w:val="es-ES_tradnl"/>
        </w:rPr>
        <w:t>sufran.</w:t>
      </w:r>
      <w:r w:rsidRPr="00575208">
        <w:rPr>
          <w:lang w:val="es-ES"/>
        </w:rPr>
        <w:t xml:space="preserve"> </w:t>
      </w:r>
    </w:p>
    <w:p w14:paraId="4C1CCCBF" w14:textId="77777777" w:rsidR="00585EFC" w:rsidRPr="00575208" w:rsidRDefault="00585EFC" w:rsidP="00585EFC">
      <w:pPr>
        <w:rPr>
          <w:lang w:val="es-ES"/>
        </w:rPr>
      </w:pPr>
      <w:r w:rsidRPr="00575208">
        <w:rPr>
          <w:lang w:val="es-ES"/>
        </w:rPr>
        <w:t>Los efectos adversos pueden ocurrir hasta al menos 3 meses después de su última dosis de RoActemra.</w:t>
      </w:r>
    </w:p>
    <w:p w14:paraId="07E7A1D1" w14:textId="77777777" w:rsidR="00585EFC" w:rsidRPr="00575208" w:rsidRDefault="00585EFC" w:rsidP="00585EFC">
      <w:pPr>
        <w:rPr>
          <w:lang w:val="es-ES"/>
        </w:rPr>
      </w:pPr>
    </w:p>
    <w:p w14:paraId="5C378E04" w14:textId="1B420C00" w:rsidR="00585EFC" w:rsidRPr="00575208" w:rsidRDefault="00585EFC" w:rsidP="00585EFC">
      <w:pPr>
        <w:rPr>
          <w:b/>
          <w:lang w:val="es-ES"/>
        </w:rPr>
      </w:pPr>
      <w:r w:rsidRPr="00575208">
        <w:rPr>
          <w:b/>
          <w:lang w:val="es-ES"/>
        </w:rPr>
        <w:t xml:space="preserve">Posibles efectos adversos graves </w:t>
      </w:r>
    </w:p>
    <w:p w14:paraId="5A50070B" w14:textId="77777777" w:rsidR="000E017E" w:rsidRPr="00F30AB8" w:rsidRDefault="000E017E" w:rsidP="00585EFC">
      <w:pPr>
        <w:rPr>
          <w:iCs/>
          <w:lang w:val="es-ES"/>
        </w:rPr>
      </w:pPr>
      <w:r w:rsidRPr="00F30AB8">
        <w:rPr>
          <w:iCs/>
          <w:lang w:val="es-ES"/>
        </w:rPr>
        <w:t xml:space="preserve">Consulte con su médico </w:t>
      </w:r>
      <w:r w:rsidRPr="00F30AB8">
        <w:rPr>
          <w:b/>
          <w:bCs/>
          <w:iCs/>
          <w:lang w:val="es-ES"/>
        </w:rPr>
        <w:t xml:space="preserve">inmediatamente </w:t>
      </w:r>
      <w:r w:rsidRPr="00F30AB8">
        <w:rPr>
          <w:iCs/>
          <w:lang w:val="es-ES"/>
        </w:rPr>
        <w:t>si experimenta alguno de los siguientes efectos adversos:</w:t>
      </w:r>
    </w:p>
    <w:p w14:paraId="4B2B17CC" w14:textId="06220A02" w:rsidR="00585EFC" w:rsidRPr="00575208" w:rsidRDefault="00585EFC" w:rsidP="00585EFC">
      <w:pPr>
        <w:rPr>
          <w:i/>
          <w:lang w:val="es-ES_tradnl"/>
        </w:rPr>
      </w:pPr>
      <w:r w:rsidRPr="00575208">
        <w:rPr>
          <w:i/>
          <w:lang w:val="es-ES"/>
        </w:rPr>
        <w:t xml:space="preserve">Estos son frecuentes: </w:t>
      </w:r>
      <w:r w:rsidRPr="00575208">
        <w:rPr>
          <w:i/>
          <w:lang w:val="es-ES_tradnl"/>
        </w:rPr>
        <w:t xml:space="preserve">Pueden afectar hasta </w:t>
      </w:r>
      <w:del w:id="2775" w:author="AUTHOR">
        <w:r w:rsidRPr="00575208" w:rsidDel="005A55F7">
          <w:rPr>
            <w:i/>
            <w:lang w:val="es-ES_tradnl"/>
          </w:rPr>
          <w:delText xml:space="preserve">de </w:delText>
        </w:r>
      </w:del>
      <w:ins w:id="2776" w:author="AUTHOR">
        <w:r w:rsidR="005A55F7">
          <w:rPr>
            <w:i/>
            <w:lang w:val="es-ES_tradnl"/>
          </w:rPr>
          <w:t>a</w:t>
        </w:r>
        <w:r w:rsidR="005A55F7" w:rsidRPr="00575208">
          <w:rPr>
            <w:i/>
            <w:lang w:val="es-ES_tradnl"/>
          </w:rPr>
          <w:t xml:space="preserve"> </w:t>
        </w:r>
      </w:ins>
      <w:r w:rsidRPr="00575208">
        <w:rPr>
          <w:i/>
          <w:lang w:val="es-ES_tradnl"/>
        </w:rPr>
        <w:t>1 de cada 10 pacientes</w:t>
      </w:r>
    </w:p>
    <w:p w14:paraId="4F3CCF0A" w14:textId="77777777" w:rsidR="00585EFC" w:rsidRPr="00575208" w:rsidRDefault="00585EFC" w:rsidP="00585EFC">
      <w:pPr>
        <w:rPr>
          <w:lang w:val="es-ES_tradnl"/>
        </w:rPr>
      </w:pPr>
    </w:p>
    <w:p w14:paraId="6ADF9BFB" w14:textId="77777777" w:rsidR="00585EFC" w:rsidRPr="00575208" w:rsidRDefault="00585EFC" w:rsidP="00585EFC">
      <w:pPr>
        <w:rPr>
          <w:lang w:val="es-ES"/>
        </w:rPr>
      </w:pPr>
      <w:r w:rsidRPr="00575208">
        <w:rPr>
          <w:b/>
          <w:lang w:val="es-ES"/>
        </w:rPr>
        <w:t>Reacciones alérgicas</w:t>
      </w:r>
      <w:r w:rsidRPr="00575208">
        <w:rPr>
          <w:lang w:val="es-ES"/>
        </w:rPr>
        <w:t xml:space="preserve"> durante o después de la inyección:</w:t>
      </w:r>
    </w:p>
    <w:p w14:paraId="1F6FD4DC" w14:textId="77777777" w:rsidR="00585EFC" w:rsidRPr="00575208" w:rsidRDefault="00585EFC" w:rsidP="00585EFC">
      <w:pPr>
        <w:rPr>
          <w:lang w:val="es-ES"/>
        </w:rPr>
      </w:pPr>
      <w:r w:rsidRPr="00575208">
        <w:rPr>
          <w:lang w:val="es-ES"/>
        </w:rPr>
        <w:sym w:font="Symbol" w:char="F0B7"/>
      </w:r>
      <w:r w:rsidRPr="00575208">
        <w:rPr>
          <w:lang w:val="es-ES"/>
        </w:rPr>
        <w:tab/>
      </w:r>
      <w:r w:rsidRPr="00575208">
        <w:rPr>
          <w:lang w:val="es-ES_tradnl"/>
        </w:rPr>
        <w:t xml:space="preserve">dificultad para respirar, </w:t>
      </w:r>
      <w:r w:rsidR="00F37655">
        <w:rPr>
          <w:lang w:val="es-ES_tradnl"/>
        </w:rPr>
        <w:t>o</w:t>
      </w:r>
      <w:r w:rsidRPr="00575208">
        <w:rPr>
          <w:lang w:val="es-ES_tradnl"/>
        </w:rPr>
        <w:t>presión torácica o aturdimiento</w:t>
      </w:r>
    </w:p>
    <w:p w14:paraId="2045CC52" w14:textId="77777777" w:rsidR="00585EFC" w:rsidRDefault="00585EFC" w:rsidP="00585EFC">
      <w:pPr>
        <w:rPr>
          <w:lang w:val="es-ES_tradnl"/>
        </w:rPr>
      </w:pPr>
      <w:r w:rsidRPr="00575208">
        <w:rPr>
          <w:lang w:val="es-ES"/>
        </w:rPr>
        <w:sym w:font="Symbol" w:char="F0B7"/>
      </w:r>
      <w:r w:rsidRPr="00575208">
        <w:rPr>
          <w:lang w:val="es-ES"/>
        </w:rPr>
        <w:tab/>
      </w:r>
      <w:r w:rsidRPr="00575208">
        <w:rPr>
          <w:lang w:val="es-ES_tradnl"/>
        </w:rPr>
        <w:t>erupción cutánea, picor, ronchas, hinchazón de los labios, lengua o cara</w:t>
      </w:r>
    </w:p>
    <w:p w14:paraId="30BC3BCF" w14:textId="77777777" w:rsidR="00BE56EE" w:rsidRPr="00575208" w:rsidRDefault="00BE56EE" w:rsidP="00585EFC">
      <w:pPr>
        <w:rPr>
          <w:lang w:val="es-ES"/>
        </w:rPr>
      </w:pPr>
    </w:p>
    <w:p w14:paraId="310F4768" w14:textId="77777777" w:rsidR="00585EFC" w:rsidRPr="00575208" w:rsidRDefault="00585EFC" w:rsidP="00585EFC">
      <w:pPr>
        <w:rPr>
          <w:b/>
          <w:lang w:val="es-ES"/>
        </w:rPr>
      </w:pPr>
      <w:r w:rsidRPr="00575208">
        <w:rPr>
          <w:b/>
          <w:lang w:val="es-ES"/>
        </w:rPr>
        <w:t xml:space="preserve">Signos de infecciones graves: </w:t>
      </w:r>
    </w:p>
    <w:p w14:paraId="32332052" w14:textId="77777777" w:rsidR="00585EFC" w:rsidRPr="00575208" w:rsidRDefault="00585EFC" w:rsidP="00585EFC">
      <w:pPr>
        <w:rPr>
          <w:lang w:val="es-ES_tradnl"/>
        </w:rPr>
      </w:pPr>
      <w:r w:rsidRPr="00575208">
        <w:rPr>
          <w:lang w:val="es-ES"/>
        </w:rPr>
        <w:sym w:font="Symbol" w:char="F0B7"/>
      </w:r>
      <w:r w:rsidRPr="00575208">
        <w:rPr>
          <w:lang w:val="es-ES"/>
        </w:rPr>
        <w:tab/>
      </w:r>
      <w:r w:rsidRPr="00575208">
        <w:rPr>
          <w:lang w:val="es-ES_tradnl"/>
        </w:rPr>
        <w:t xml:space="preserve">fiebre y escalofríos </w:t>
      </w:r>
    </w:p>
    <w:p w14:paraId="6E6BC4D3" w14:textId="77777777" w:rsidR="00585EFC" w:rsidRPr="00575208" w:rsidRDefault="00585EFC" w:rsidP="00585EFC">
      <w:pPr>
        <w:rPr>
          <w:lang w:val="es-ES_tradnl"/>
        </w:rPr>
      </w:pPr>
      <w:r w:rsidRPr="00575208">
        <w:rPr>
          <w:lang w:val="es-ES"/>
        </w:rPr>
        <w:sym w:font="Symbol" w:char="F0B7"/>
      </w:r>
      <w:r w:rsidRPr="00575208">
        <w:rPr>
          <w:lang w:val="es-ES"/>
        </w:rPr>
        <w:tab/>
      </w:r>
      <w:r w:rsidRPr="00575208">
        <w:rPr>
          <w:lang w:val="es-ES_tradnl"/>
        </w:rPr>
        <w:t>ampollas en la boca o la piel</w:t>
      </w:r>
    </w:p>
    <w:p w14:paraId="376AC717" w14:textId="77777777" w:rsidR="004706E4" w:rsidRDefault="00585EFC" w:rsidP="00585EFC">
      <w:pPr>
        <w:rPr>
          <w:lang w:val="es-ES_tradnl"/>
        </w:rPr>
      </w:pPr>
      <w:r w:rsidRPr="00575208">
        <w:rPr>
          <w:lang w:val="es-ES"/>
        </w:rPr>
        <w:sym w:font="Symbol" w:char="F0B7"/>
      </w:r>
      <w:r w:rsidRPr="00575208">
        <w:rPr>
          <w:lang w:val="es-ES"/>
        </w:rPr>
        <w:tab/>
      </w:r>
      <w:r w:rsidRPr="00575208">
        <w:rPr>
          <w:lang w:val="es-ES_tradnl"/>
        </w:rPr>
        <w:t>dolor de estómago</w:t>
      </w:r>
    </w:p>
    <w:p w14:paraId="1664A1B0" w14:textId="77777777" w:rsidR="004706E4" w:rsidRDefault="004706E4" w:rsidP="00585EFC">
      <w:pPr>
        <w:rPr>
          <w:lang w:val="es-ES_tradnl"/>
        </w:rPr>
      </w:pPr>
    </w:p>
    <w:p w14:paraId="2D9B98BB" w14:textId="77777777" w:rsidR="004706E4" w:rsidRDefault="004706E4" w:rsidP="00585EFC">
      <w:pPr>
        <w:rPr>
          <w:b/>
          <w:lang w:val="es-ES_tradnl"/>
        </w:rPr>
      </w:pPr>
      <w:r>
        <w:rPr>
          <w:b/>
          <w:lang w:val="es-ES_tradnl"/>
        </w:rPr>
        <w:t>Signos y síntomas de toxicidad hepática</w:t>
      </w:r>
    </w:p>
    <w:p w14:paraId="453F15D3" w14:textId="77777777" w:rsidR="00585EFC" w:rsidRDefault="004706E4" w:rsidP="00585EFC">
      <w:pPr>
        <w:rPr>
          <w:i/>
          <w:lang w:val="es-ES_tradnl"/>
        </w:rPr>
      </w:pPr>
      <w:r w:rsidRPr="00EF2448">
        <w:rPr>
          <w:i/>
          <w:lang w:val="es-ES_tradnl"/>
        </w:rPr>
        <w:t>Pueden afectar hasta 1 de cada 1.000 pacientes</w:t>
      </w:r>
      <w:r w:rsidR="00585EFC" w:rsidRPr="00EF2448">
        <w:rPr>
          <w:i/>
          <w:lang w:val="es-ES_tradnl"/>
        </w:rPr>
        <w:t xml:space="preserve"> </w:t>
      </w:r>
    </w:p>
    <w:p w14:paraId="20351BF7" w14:textId="77777777" w:rsidR="004706E4" w:rsidRDefault="00B27F09" w:rsidP="002E6CA5">
      <w:pPr>
        <w:ind w:left="714" w:hanging="714"/>
        <w:rPr>
          <w:lang w:val="es-ES_tradnl"/>
        </w:rPr>
      </w:pPr>
      <w:r w:rsidRPr="00F22672">
        <w:rPr>
          <w:lang w:val="es-ES"/>
        </w:rPr>
        <w:sym w:font="Symbol" w:char="F0B7"/>
      </w:r>
      <w:r w:rsidRPr="00F22672">
        <w:rPr>
          <w:noProof/>
          <w:lang w:val="es-ES"/>
        </w:rPr>
        <w:tab/>
      </w:r>
      <w:r w:rsidR="00B53C13">
        <w:rPr>
          <w:lang w:val="es-ES_tradnl"/>
        </w:rPr>
        <w:t>c</w:t>
      </w:r>
      <w:r w:rsidR="004706E4">
        <w:rPr>
          <w:lang w:val="es-ES_tradnl"/>
        </w:rPr>
        <w:t>ansancio</w:t>
      </w:r>
    </w:p>
    <w:p w14:paraId="307EA42E" w14:textId="77777777" w:rsidR="004706E4" w:rsidRDefault="00B27F09" w:rsidP="002E6CA5">
      <w:pPr>
        <w:ind w:left="714" w:hanging="714"/>
        <w:rPr>
          <w:lang w:val="es-ES_tradnl"/>
        </w:rPr>
      </w:pPr>
      <w:r w:rsidRPr="00F22672">
        <w:rPr>
          <w:lang w:val="es-ES"/>
        </w:rPr>
        <w:sym w:font="Symbol" w:char="F0B7"/>
      </w:r>
      <w:r w:rsidRPr="00F22672">
        <w:rPr>
          <w:noProof/>
          <w:lang w:val="es-ES"/>
        </w:rPr>
        <w:tab/>
      </w:r>
      <w:r w:rsidR="00B53C13">
        <w:rPr>
          <w:lang w:val="es-ES_tradnl"/>
        </w:rPr>
        <w:t>d</w:t>
      </w:r>
      <w:r w:rsidR="004706E4">
        <w:rPr>
          <w:lang w:val="es-ES_tradnl"/>
        </w:rPr>
        <w:t>olor abdominal</w:t>
      </w:r>
    </w:p>
    <w:p w14:paraId="056D3D33" w14:textId="77777777" w:rsidR="004706E4" w:rsidRPr="00C43B95" w:rsidRDefault="00B27F09" w:rsidP="002E6CA5">
      <w:pPr>
        <w:ind w:left="714" w:hanging="714"/>
        <w:rPr>
          <w:lang w:val="es-ES_tradnl"/>
        </w:rPr>
      </w:pPr>
      <w:r w:rsidRPr="00F22672">
        <w:rPr>
          <w:lang w:val="es-ES"/>
        </w:rPr>
        <w:sym w:font="Symbol" w:char="F0B7"/>
      </w:r>
      <w:r w:rsidRPr="00F22672">
        <w:rPr>
          <w:noProof/>
          <w:lang w:val="es-ES"/>
        </w:rPr>
        <w:tab/>
      </w:r>
      <w:r w:rsidR="00B53C13">
        <w:rPr>
          <w:lang w:val="es-ES_tradnl"/>
        </w:rPr>
        <w:t>i</w:t>
      </w:r>
      <w:r w:rsidR="004706E4">
        <w:rPr>
          <w:lang w:val="es-ES_tradnl"/>
        </w:rPr>
        <w:t>ctericia (</w:t>
      </w:r>
      <w:r w:rsidR="00B53C13">
        <w:rPr>
          <w:lang w:val="es-ES_tradnl"/>
        </w:rPr>
        <w:t>de</w:t>
      </w:r>
      <w:r w:rsidR="004706E4">
        <w:rPr>
          <w:lang w:val="es-ES_tradnl"/>
        </w:rPr>
        <w:t>coloración amarillenta de piel u ojos)</w:t>
      </w:r>
    </w:p>
    <w:p w14:paraId="4AD181C1" w14:textId="77777777" w:rsidR="00585EFC" w:rsidRPr="00575208" w:rsidRDefault="00585EFC" w:rsidP="00585EFC">
      <w:pPr>
        <w:rPr>
          <w:lang w:val="es-ES"/>
        </w:rPr>
      </w:pPr>
    </w:p>
    <w:p w14:paraId="626B93BD" w14:textId="77777777" w:rsidR="00616541" w:rsidRPr="00F30AB8" w:rsidRDefault="00616541" w:rsidP="00585EFC">
      <w:pPr>
        <w:rPr>
          <w:b/>
          <w:bCs/>
          <w:lang w:val="es-ES"/>
        </w:rPr>
      </w:pPr>
      <w:r w:rsidRPr="00F30AB8">
        <w:rPr>
          <w:b/>
          <w:bCs/>
          <w:lang w:val="es-ES"/>
        </w:rPr>
        <w:t>Lista de otros posibles efectos adversos</w:t>
      </w:r>
    </w:p>
    <w:p w14:paraId="540FB691" w14:textId="77777777" w:rsidR="00585EFC" w:rsidRPr="00575208" w:rsidRDefault="00585EFC" w:rsidP="00585EFC">
      <w:pPr>
        <w:rPr>
          <w:b/>
          <w:lang w:val="es-ES"/>
        </w:rPr>
      </w:pPr>
      <w:r w:rsidRPr="00575208">
        <w:rPr>
          <w:lang w:val="es-ES"/>
        </w:rPr>
        <w:t xml:space="preserve">Si nota alguno de estos síntomas, avise a su médico </w:t>
      </w:r>
      <w:r w:rsidRPr="00575208">
        <w:rPr>
          <w:b/>
          <w:lang w:val="es-ES"/>
        </w:rPr>
        <w:t>inmediatamente.</w:t>
      </w:r>
    </w:p>
    <w:p w14:paraId="79DBAAA5" w14:textId="77777777" w:rsidR="00585EFC" w:rsidRPr="00575208" w:rsidRDefault="00585EFC" w:rsidP="00585EFC">
      <w:pPr>
        <w:rPr>
          <w:b/>
          <w:lang w:val="es-ES"/>
        </w:rPr>
      </w:pPr>
    </w:p>
    <w:p w14:paraId="7B2E7133" w14:textId="77777777" w:rsidR="00585EFC" w:rsidRPr="00575208" w:rsidRDefault="00585EFC" w:rsidP="00F30AB8">
      <w:pPr>
        <w:keepNext/>
        <w:keepLines/>
        <w:rPr>
          <w:b/>
          <w:lang w:val="es-ES"/>
        </w:rPr>
      </w:pPr>
      <w:r w:rsidRPr="00575208">
        <w:rPr>
          <w:b/>
          <w:lang w:val="es-ES"/>
        </w:rPr>
        <w:lastRenderedPageBreak/>
        <w:t xml:space="preserve">Efectos adversos muy frecuentes: </w:t>
      </w:r>
    </w:p>
    <w:p w14:paraId="3FB9BC12" w14:textId="76ECF58B" w:rsidR="00585EFC" w:rsidRPr="00575208" w:rsidRDefault="00585EFC" w:rsidP="00F30AB8">
      <w:pPr>
        <w:keepNext/>
        <w:keepLines/>
        <w:rPr>
          <w:i/>
          <w:lang w:val="es-ES_tradnl"/>
        </w:rPr>
      </w:pPr>
      <w:r w:rsidRPr="00575208">
        <w:rPr>
          <w:i/>
          <w:lang w:val="es-ES_tradnl"/>
        </w:rPr>
        <w:t xml:space="preserve">Pueden afectar a </w:t>
      </w:r>
      <w:del w:id="2777" w:author="AUTHOR">
        <w:r w:rsidRPr="00575208" w:rsidDel="005A55F7">
          <w:rPr>
            <w:i/>
            <w:lang w:val="es-ES_tradnl"/>
          </w:rPr>
          <w:delText xml:space="preserve">más de </w:delText>
        </w:r>
      </w:del>
      <w:r w:rsidRPr="00575208">
        <w:rPr>
          <w:i/>
          <w:lang w:val="es-ES_tradnl"/>
        </w:rPr>
        <w:t>1 de cada 10 pacientes</w:t>
      </w:r>
    </w:p>
    <w:p w14:paraId="5370D2D5" w14:textId="77777777" w:rsidR="00585EFC" w:rsidRPr="00575208" w:rsidRDefault="00585EFC" w:rsidP="00F30AB8">
      <w:pPr>
        <w:keepNext/>
        <w:keepLines/>
        <w:ind w:left="567" w:hanging="567"/>
        <w:rPr>
          <w:b/>
          <w:bCs/>
          <w:lang w:val="es-ES"/>
        </w:rPr>
      </w:pPr>
      <w:r w:rsidRPr="00575208">
        <w:rPr>
          <w:lang w:val="es-ES"/>
        </w:rPr>
        <w:sym w:font="Symbol" w:char="F0B7"/>
      </w:r>
      <w:r w:rsidRPr="00575208">
        <w:rPr>
          <w:lang w:val="es-ES"/>
        </w:rPr>
        <w:tab/>
      </w:r>
      <w:r w:rsidRPr="00575208">
        <w:rPr>
          <w:bCs/>
          <w:lang w:val="es-ES_tradnl"/>
        </w:rPr>
        <w:t xml:space="preserve">infecciones de las vías respiratorias superiores, con síntomas típicos como tos, congestión nasal, moqueo, dolor de garganta y dolor de cabeza </w:t>
      </w:r>
    </w:p>
    <w:p w14:paraId="2A551C7B" w14:textId="77777777" w:rsidR="00585EFC" w:rsidRDefault="00585EFC" w:rsidP="00585EFC">
      <w:pPr>
        <w:rPr>
          <w:bCs/>
          <w:lang w:val="es-ES_tradnl"/>
        </w:rPr>
      </w:pPr>
      <w:r w:rsidRPr="00575208">
        <w:rPr>
          <w:lang w:val="es-ES"/>
        </w:rPr>
        <w:sym w:font="Symbol" w:char="F0B7"/>
      </w:r>
      <w:r w:rsidRPr="00575208">
        <w:rPr>
          <w:lang w:val="es-ES"/>
        </w:rPr>
        <w:tab/>
      </w:r>
      <w:r w:rsidRPr="00575208">
        <w:rPr>
          <w:bCs/>
          <w:lang w:val="es-ES_tradnl"/>
        </w:rPr>
        <w:t>niveles altos de grasa en sangre (colesterol)</w:t>
      </w:r>
    </w:p>
    <w:p w14:paraId="1E327221" w14:textId="77777777" w:rsidR="00250533" w:rsidRPr="00575208" w:rsidRDefault="00C37D5B" w:rsidP="00FF2AFA">
      <w:pPr>
        <w:ind w:left="567" w:hanging="567"/>
        <w:rPr>
          <w:b/>
          <w:bCs/>
          <w:lang w:val="es-ES"/>
        </w:rPr>
      </w:pPr>
      <w:r w:rsidRPr="00F22672">
        <w:rPr>
          <w:lang w:val="es-ES"/>
        </w:rPr>
        <w:sym w:font="Symbol" w:char="F0B7"/>
      </w:r>
      <w:r>
        <w:rPr>
          <w:lang w:val="es-ES"/>
        </w:rPr>
        <w:tab/>
      </w:r>
      <w:r w:rsidR="00250533">
        <w:rPr>
          <w:bCs/>
          <w:lang w:val="es-ES"/>
        </w:rPr>
        <w:t>reacciones en el lugar de la inyección</w:t>
      </w:r>
    </w:p>
    <w:p w14:paraId="10510E7E" w14:textId="77777777" w:rsidR="00585EFC" w:rsidRPr="00FF2AFA" w:rsidRDefault="00585EFC" w:rsidP="00585EFC">
      <w:pPr>
        <w:rPr>
          <w:b/>
          <w:bCs/>
          <w:lang w:val="es-ES"/>
        </w:rPr>
      </w:pPr>
    </w:p>
    <w:p w14:paraId="10A5BB96" w14:textId="77777777" w:rsidR="00585EFC" w:rsidRPr="00575208" w:rsidRDefault="00585EFC" w:rsidP="00FF2AFA">
      <w:pPr>
        <w:keepNext/>
        <w:rPr>
          <w:b/>
          <w:lang w:val="es-ES"/>
        </w:rPr>
      </w:pPr>
      <w:r w:rsidRPr="00575208">
        <w:rPr>
          <w:b/>
          <w:lang w:val="es-ES"/>
        </w:rPr>
        <w:t xml:space="preserve">Efectos adversos frecuentes: </w:t>
      </w:r>
    </w:p>
    <w:p w14:paraId="411A2BBB" w14:textId="77777777" w:rsidR="00585EFC" w:rsidRPr="00575208" w:rsidRDefault="00585EFC" w:rsidP="00FF2AFA">
      <w:pPr>
        <w:keepNext/>
        <w:rPr>
          <w:bCs/>
          <w:i/>
          <w:lang w:val="es-ES"/>
        </w:rPr>
      </w:pPr>
      <w:r w:rsidRPr="00575208">
        <w:rPr>
          <w:bCs/>
          <w:i/>
          <w:lang w:val="es-ES"/>
        </w:rPr>
        <w:t>Pueden afectar hasta 1 de cada 10 pacientes</w:t>
      </w:r>
    </w:p>
    <w:p w14:paraId="240C6E4A" w14:textId="77777777" w:rsidR="00585EFC" w:rsidRPr="00575208" w:rsidRDefault="00585EFC" w:rsidP="00585EFC">
      <w:pPr>
        <w:rPr>
          <w:bCs/>
          <w:lang w:val="es-ES_tradnl"/>
        </w:rPr>
      </w:pPr>
      <w:r w:rsidRPr="00575208">
        <w:rPr>
          <w:lang w:val="es-ES"/>
        </w:rPr>
        <w:sym w:font="Symbol" w:char="F0B7"/>
      </w:r>
      <w:r w:rsidRPr="00575208">
        <w:rPr>
          <w:lang w:val="es-ES"/>
        </w:rPr>
        <w:tab/>
      </w:r>
      <w:r w:rsidRPr="00575208">
        <w:rPr>
          <w:bCs/>
          <w:lang w:val="es-ES_tradnl"/>
        </w:rPr>
        <w:t>infección de pulmón (neumonía)</w:t>
      </w:r>
    </w:p>
    <w:p w14:paraId="0BEFE00F" w14:textId="77777777" w:rsidR="00585EFC" w:rsidRPr="00575208" w:rsidRDefault="00585EFC" w:rsidP="00585EFC">
      <w:pPr>
        <w:rPr>
          <w:lang w:val="es-ES"/>
        </w:rPr>
      </w:pPr>
      <w:r w:rsidRPr="00575208">
        <w:rPr>
          <w:lang w:val="es-ES"/>
        </w:rPr>
        <w:sym w:font="Symbol" w:char="F0B7"/>
      </w:r>
      <w:r w:rsidRPr="00575208">
        <w:rPr>
          <w:lang w:val="es-ES"/>
        </w:rPr>
        <w:tab/>
        <w:t>herpes (herpes zoster)</w:t>
      </w:r>
    </w:p>
    <w:p w14:paraId="0C734464" w14:textId="77777777" w:rsidR="00585EFC" w:rsidRPr="00575208" w:rsidRDefault="00585EFC" w:rsidP="00585EFC">
      <w:pPr>
        <w:rPr>
          <w:lang w:val="es-ES"/>
        </w:rPr>
      </w:pPr>
      <w:r w:rsidRPr="00575208">
        <w:rPr>
          <w:lang w:val="es-ES"/>
        </w:rPr>
        <w:sym w:font="Symbol" w:char="F0B7"/>
      </w:r>
      <w:r w:rsidRPr="00575208">
        <w:rPr>
          <w:lang w:val="es-ES"/>
        </w:rPr>
        <w:tab/>
        <w:t>calenturas (herpes simple oral), ampollas</w:t>
      </w:r>
    </w:p>
    <w:p w14:paraId="3D1378DC" w14:textId="77777777" w:rsidR="00585EFC" w:rsidRPr="00575208" w:rsidRDefault="00585EFC" w:rsidP="00585EFC">
      <w:pPr>
        <w:rPr>
          <w:lang w:val="es-ES"/>
        </w:rPr>
      </w:pPr>
      <w:r w:rsidRPr="00575208">
        <w:rPr>
          <w:lang w:val="es-ES"/>
        </w:rPr>
        <w:sym w:font="Symbol" w:char="F0B7"/>
      </w:r>
      <w:r w:rsidRPr="00575208">
        <w:rPr>
          <w:lang w:val="es-ES"/>
        </w:rPr>
        <w:tab/>
        <w:t>infecciones en la piel (celulitis), a veces con fiebre y escalofríos</w:t>
      </w:r>
    </w:p>
    <w:p w14:paraId="2F10632B" w14:textId="77777777" w:rsidR="00585EFC" w:rsidRPr="00575208" w:rsidRDefault="00585EFC" w:rsidP="00585EFC">
      <w:pPr>
        <w:rPr>
          <w:lang w:val="es-ES"/>
        </w:rPr>
      </w:pPr>
      <w:r w:rsidRPr="00575208">
        <w:rPr>
          <w:lang w:val="es-ES"/>
        </w:rPr>
        <w:sym w:font="Symbol" w:char="F0B7"/>
      </w:r>
      <w:r w:rsidRPr="00575208">
        <w:rPr>
          <w:lang w:val="es-ES"/>
        </w:rPr>
        <w:tab/>
        <w:t>erupción y picor, urticaria</w:t>
      </w:r>
    </w:p>
    <w:p w14:paraId="22B93AE5" w14:textId="77777777" w:rsidR="00585EFC" w:rsidRPr="00575208" w:rsidRDefault="00585EFC" w:rsidP="00585EFC">
      <w:pPr>
        <w:rPr>
          <w:lang w:val="es-ES"/>
        </w:rPr>
      </w:pPr>
      <w:r w:rsidRPr="00575208">
        <w:rPr>
          <w:lang w:val="es-ES"/>
        </w:rPr>
        <w:sym w:font="Symbol" w:char="F0B7"/>
      </w:r>
      <w:r w:rsidRPr="00575208">
        <w:rPr>
          <w:lang w:val="es-ES"/>
        </w:rPr>
        <w:tab/>
        <w:t>reacciones alérgicas (hipersensibilidad)</w:t>
      </w:r>
    </w:p>
    <w:p w14:paraId="3715279A" w14:textId="77777777" w:rsidR="00585EFC" w:rsidRPr="00575208" w:rsidRDefault="00585EFC" w:rsidP="00585EFC">
      <w:pPr>
        <w:rPr>
          <w:lang w:val="es-ES"/>
        </w:rPr>
      </w:pPr>
      <w:r w:rsidRPr="00575208">
        <w:rPr>
          <w:lang w:val="es-ES"/>
        </w:rPr>
        <w:sym w:font="Symbol" w:char="F0B7"/>
      </w:r>
      <w:r w:rsidRPr="00575208">
        <w:rPr>
          <w:lang w:val="es-ES"/>
        </w:rPr>
        <w:tab/>
        <w:t>infección ocular (conjuntivitis)</w:t>
      </w:r>
    </w:p>
    <w:p w14:paraId="419D1291" w14:textId="77777777" w:rsidR="00585EFC" w:rsidRPr="00575208" w:rsidRDefault="00585EFC" w:rsidP="00585EFC">
      <w:pPr>
        <w:rPr>
          <w:lang w:val="es-ES"/>
        </w:rPr>
      </w:pPr>
      <w:r w:rsidRPr="00575208">
        <w:rPr>
          <w:lang w:val="es-ES"/>
        </w:rPr>
        <w:sym w:font="Symbol" w:char="F0B7"/>
      </w:r>
      <w:r w:rsidRPr="00575208">
        <w:rPr>
          <w:lang w:val="es-ES"/>
        </w:rPr>
        <w:tab/>
        <w:t>dolor de cabeza, mareos, hipertensión</w:t>
      </w:r>
    </w:p>
    <w:p w14:paraId="41DE136D" w14:textId="77777777" w:rsidR="00585EFC" w:rsidRPr="00575208" w:rsidRDefault="00585EFC" w:rsidP="00585EFC">
      <w:pPr>
        <w:rPr>
          <w:lang w:val="es-ES"/>
        </w:rPr>
      </w:pPr>
      <w:r w:rsidRPr="00575208">
        <w:rPr>
          <w:lang w:val="es-ES"/>
        </w:rPr>
        <w:sym w:font="Symbol" w:char="F0B7"/>
      </w:r>
      <w:r w:rsidRPr="00575208">
        <w:rPr>
          <w:lang w:val="es-ES"/>
        </w:rPr>
        <w:tab/>
        <w:t>úlceras en la boca, dolor de estómago</w:t>
      </w:r>
    </w:p>
    <w:p w14:paraId="7F9C12C3" w14:textId="77777777" w:rsidR="00585EFC" w:rsidRPr="00575208" w:rsidRDefault="00585EFC" w:rsidP="00585EFC">
      <w:pPr>
        <w:rPr>
          <w:lang w:val="es-ES"/>
        </w:rPr>
      </w:pPr>
      <w:r w:rsidRPr="00575208">
        <w:rPr>
          <w:lang w:val="es-ES"/>
        </w:rPr>
        <w:sym w:font="Symbol" w:char="F0B7"/>
      </w:r>
      <w:r w:rsidRPr="00575208">
        <w:rPr>
          <w:lang w:val="es-ES"/>
        </w:rPr>
        <w:tab/>
        <w:t>retención de líquido (edema) en la parte inferior de las piernas, aumento de peso</w:t>
      </w:r>
    </w:p>
    <w:p w14:paraId="2188BEB3" w14:textId="77777777" w:rsidR="00585EFC" w:rsidRPr="00575208" w:rsidRDefault="00585EFC" w:rsidP="00585EFC">
      <w:pPr>
        <w:rPr>
          <w:lang w:val="es-ES"/>
        </w:rPr>
      </w:pPr>
      <w:r w:rsidRPr="00575208">
        <w:rPr>
          <w:lang w:val="es-ES"/>
        </w:rPr>
        <w:sym w:font="Symbol" w:char="F0B7"/>
      </w:r>
      <w:r w:rsidRPr="00575208">
        <w:rPr>
          <w:lang w:val="es-ES"/>
        </w:rPr>
        <w:tab/>
        <w:t>tos, respiración entrecortada</w:t>
      </w:r>
    </w:p>
    <w:p w14:paraId="1608963F" w14:textId="77777777" w:rsidR="00585EFC" w:rsidRPr="00575208" w:rsidRDefault="00585EFC" w:rsidP="00585EFC">
      <w:pPr>
        <w:rPr>
          <w:lang w:val="es-ES"/>
        </w:rPr>
      </w:pPr>
      <w:r w:rsidRPr="00575208">
        <w:rPr>
          <w:lang w:val="es-ES"/>
        </w:rPr>
        <w:sym w:font="Symbol" w:char="F0B7"/>
      </w:r>
      <w:r w:rsidRPr="00575208">
        <w:rPr>
          <w:lang w:val="es-ES"/>
        </w:rPr>
        <w:tab/>
        <w:t>recuentos bajos de los glóbulos blancos en análisis de sangre (neutropenia, leucopenia)</w:t>
      </w:r>
    </w:p>
    <w:p w14:paraId="6278B1B9" w14:textId="77777777" w:rsidR="00585EFC" w:rsidRPr="00575208" w:rsidRDefault="00585EFC" w:rsidP="00585EFC">
      <w:pPr>
        <w:rPr>
          <w:lang w:val="es-ES"/>
        </w:rPr>
      </w:pPr>
      <w:r w:rsidRPr="00575208">
        <w:rPr>
          <w:lang w:val="es-ES"/>
        </w:rPr>
        <w:sym w:font="Symbol" w:char="F0B7"/>
      </w:r>
      <w:r w:rsidRPr="00575208">
        <w:rPr>
          <w:lang w:val="es-ES"/>
        </w:rPr>
        <w:tab/>
        <w:t>pruebas de función hepática alteradas (elevación de las transaminasas)</w:t>
      </w:r>
    </w:p>
    <w:p w14:paraId="4B46E0F2" w14:textId="77777777" w:rsidR="00BE56EE" w:rsidRDefault="00585EFC" w:rsidP="00BE56EE">
      <w:pPr>
        <w:ind w:left="567" w:hanging="567"/>
        <w:rPr>
          <w:lang w:val="es-ES"/>
        </w:rPr>
      </w:pPr>
      <w:r w:rsidRPr="00575208">
        <w:rPr>
          <w:lang w:val="es-ES"/>
        </w:rPr>
        <w:sym w:font="Symbol" w:char="F0B7"/>
      </w:r>
      <w:r w:rsidRPr="00575208">
        <w:rPr>
          <w:lang w:val="es-ES"/>
        </w:rPr>
        <w:tab/>
        <w:t>aumento de la bilirrubina medido mediante análisis de sangre</w:t>
      </w:r>
    </w:p>
    <w:p w14:paraId="79307C7A" w14:textId="77777777" w:rsidR="00585EFC" w:rsidRPr="00575208" w:rsidRDefault="00261FC4" w:rsidP="00E576A0">
      <w:pPr>
        <w:ind w:left="357" w:hanging="357"/>
        <w:rPr>
          <w:lang w:val="es-ES"/>
        </w:rPr>
      </w:pPr>
      <w:r w:rsidRPr="00575208">
        <w:rPr>
          <w:b/>
          <w:bCs/>
          <w:lang w:val="es-ES"/>
        </w:rPr>
        <w:sym w:font="Symbol" w:char="F0B7"/>
      </w:r>
      <w:r w:rsidRPr="00575208">
        <w:rPr>
          <w:bCs/>
          <w:lang w:val="es-ES"/>
        </w:rPr>
        <w:tab/>
      </w:r>
      <w:r w:rsidR="00F37655">
        <w:rPr>
          <w:bCs/>
          <w:lang w:val="es-ES"/>
        </w:rPr>
        <w:t xml:space="preserve">    </w:t>
      </w:r>
      <w:r w:rsidR="00361E21">
        <w:rPr>
          <w:lang w:val="es-ES"/>
        </w:rPr>
        <w:t>niveles bajos de fibrinógeno en sangre (proteína involucrada en la coagulación de la sangre)</w:t>
      </w:r>
    </w:p>
    <w:p w14:paraId="542448FC" w14:textId="77777777" w:rsidR="00585EFC" w:rsidRPr="00575208" w:rsidRDefault="00585EFC" w:rsidP="00585EFC">
      <w:pPr>
        <w:rPr>
          <w:bCs/>
          <w:lang w:val="es-ES_tradnl"/>
        </w:rPr>
      </w:pPr>
    </w:p>
    <w:p w14:paraId="0F10BE59" w14:textId="77777777" w:rsidR="00585EFC" w:rsidRPr="00575208" w:rsidRDefault="00585EFC" w:rsidP="00585EFC">
      <w:pPr>
        <w:rPr>
          <w:b/>
          <w:lang w:val="es-ES"/>
        </w:rPr>
      </w:pPr>
      <w:r w:rsidRPr="00575208">
        <w:rPr>
          <w:b/>
          <w:lang w:val="es-ES"/>
        </w:rPr>
        <w:t xml:space="preserve">Efectos adversos poco frecuentes: </w:t>
      </w:r>
    </w:p>
    <w:p w14:paraId="106304CC" w14:textId="77777777" w:rsidR="00585EFC" w:rsidRPr="00575208" w:rsidRDefault="00585EFC" w:rsidP="00585EFC">
      <w:pPr>
        <w:rPr>
          <w:bCs/>
          <w:lang w:val="es-ES"/>
        </w:rPr>
      </w:pPr>
      <w:r w:rsidRPr="00575208">
        <w:rPr>
          <w:bCs/>
          <w:i/>
          <w:lang w:val="es-ES"/>
        </w:rPr>
        <w:t>Pueden afectar hasta 1 de cada 100 pacientes</w:t>
      </w:r>
    </w:p>
    <w:p w14:paraId="41BBBCE2" w14:textId="77777777" w:rsidR="00585EFC" w:rsidRPr="00575208" w:rsidRDefault="00585EFC" w:rsidP="00585EFC">
      <w:pPr>
        <w:rPr>
          <w:lang w:val="es-ES"/>
        </w:rPr>
      </w:pPr>
      <w:r w:rsidRPr="00575208">
        <w:rPr>
          <w:b/>
          <w:bCs/>
          <w:lang w:val="es-ES"/>
        </w:rPr>
        <w:sym w:font="Symbol" w:char="F0B7"/>
      </w:r>
      <w:r w:rsidRPr="00575208">
        <w:rPr>
          <w:lang w:val="es-ES"/>
        </w:rPr>
        <w:tab/>
        <w:t>diverticulitis (fiebre, náuseas, diarrea, estreñimiento, dolor de estómago)</w:t>
      </w:r>
    </w:p>
    <w:p w14:paraId="5A49FB79" w14:textId="77777777" w:rsidR="00585EFC" w:rsidRPr="00575208" w:rsidRDefault="00585EFC" w:rsidP="00585EFC">
      <w:pPr>
        <w:rPr>
          <w:bCs/>
          <w:lang w:val="es-ES"/>
        </w:rPr>
      </w:pPr>
      <w:r w:rsidRPr="00575208">
        <w:rPr>
          <w:b/>
          <w:bCs/>
          <w:lang w:val="es-ES"/>
        </w:rPr>
        <w:sym w:font="Symbol" w:char="F0B7"/>
      </w:r>
      <w:r w:rsidRPr="00575208">
        <w:rPr>
          <w:bCs/>
          <w:lang w:val="es-ES"/>
        </w:rPr>
        <w:tab/>
        <w:t>zonas hinchadas y rojas en la boca</w:t>
      </w:r>
    </w:p>
    <w:p w14:paraId="634134D6" w14:textId="77777777" w:rsidR="00585EFC" w:rsidRPr="00575208" w:rsidRDefault="00585EFC" w:rsidP="00585EFC">
      <w:pPr>
        <w:rPr>
          <w:bCs/>
          <w:lang w:val="es-ES"/>
        </w:rPr>
      </w:pPr>
      <w:r w:rsidRPr="00575208">
        <w:rPr>
          <w:b/>
          <w:bCs/>
          <w:lang w:val="es-ES"/>
        </w:rPr>
        <w:sym w:font="Symbol" w:char="F0B7"/>
      </w:r>
      <w:r w:rsidRPr="00575208">
        <w:rPr>
          <w:bCs/>
          <w:lang w:val="es-ES"/>
        </w:rPr>
        <w:tab/>
        <w:t>grasas elevadas en la sangre (triglicéridos)</w:t>
      </w:r>
    </w:p>
    <w:p w14:paraId="5794D473" w14:textId="77777777" w:rsidR="00585EFC" w:rsidRPr="00575208" w:rsidRDefault="00585EFC" w:rsidP="00585EFC">
      <w:pPr>
        <w:rPr>
          <w:bCs/>
          <w:lang w:val="es-ES"/>
        </w:rPr>
      </w:pPr>
      <w:r w:rsidRPr="00575208">
        <w:rPr>
          <w:b/>
          <w:bCs/>
          <w:lang w:val="es-ES"/>
        </w:rPr>
        <w:sym w:font="Symbol" w:char="F0B7"/>
      </w:r>
      <w:r w:rsidRPr="00575208">
        <w:rPr>
          <w:bCs/>
          <w:lang w:val="es-ES"/>
        </w:rPr>
        <w:tab/>
        <w:t>úlceras estomacales</w:t>
      </w:r>
    </w:p>
    <w:p w14:paraId="03A73066" w14:textId="77777777" w:rsidR="00585EFC" w:rsidRPr="00575208" w:rsidRDefault="00585EFC" w:rsidP="00585EFC">
      <w:pPr>
        <w:rPr>
          <w:bCs/>
          <w:lang w:val="es-ES"/>
        </w:rPr>
      </w:pPr>
      <w:r w:rsidRPr="00575208">
        <w:rPr>
          <w:b/>
          <w:bCs/>
          <w:lang w:val="es-ES"/>
        </w:rPr>
        <w:sym w:font="Symbol" w:char="F0B7"/>
      </w:r>
      <w:r w:rsidRPr="00575208">
        <w:rPr>
          <w:bCs/>
          <w:lang w:val="es-ES"/>
        </w:rPr>
        <w:tab/>
        <w:t>piedras en el riñón</w:t>
      </w:r>
    </w:p>
    <w:p w14:paraId="3FF86CC1" w14:textId="77777777" w:rsidR="00585EFC" w:rsidRDefault="00585EFC" w:rsidP="001C5A4D">
      <w:pPr>
        <w:rPr>
          <w:bCs/>
          <w:lang w:val="es-ES"/>
        </w:rPr>
      </w:pPr>
      <w:r w:rsidRPr="00575208">
        <w:rPr>
          <w:b/>
          <w:bCs/>
          <w:lang w:val="es-ES"/>
        </w:rPr>
        <w:sym w:font="Symbol" w:char="F0B7"/>
      </w:r>
      <w:r w:rsidRPr="00575208">
        <w:rPr>
          <w:bCs/>
          <w:lang w:val="es-ES"/>
        </w:rPr>
        <w:tab/>
        <w:t>hipotiroidismo</w:t>
      </w:r>
    </w:p>
    <w:p w14:paraId="38710EB1" w14:textId="77777777" w:rsidR="004706E4" w:rsidRDefault="004706E4" w:rsidP="001C5A4D">
      <w:pPr>
        <w:rPr>
          <w:bCs/>
          <w:lang w:val="es-ES"/>
        </w:rPr>
      </w:pPr>
    </w:p>
    <w:p w14:paraId="644D6953" w14:textId="77777777" w:rsidR="004706E4" w:rsidRDefault="004706E4" w:rsidP="001C5A4D">
      <w:pPr>
        <w:rPr>
          <w:b/>
          <w:bCs/>
          <w:lang w:val="es-ES"/>
        </w:rPr>
      </w:pPr>
      <w:r>
        <w:rPr>
          <w:b/>
          <w:bCs/>
          <w:lang w:val="es-ES"/>
        </w:rPr>
        <w:t>Efectos adversos raros:</w:t>
      </w:r>
    </w:p>
    <w:p w14:paraId="08CE8ADE" w14:textId="77777777" w:rsidR="004706E4" w:rsidRDefault="004706E4" w:rsidP="001C5A4D">
      <w:pPr>
        <w:rPr>
          <w:bCs/>
          <w:i/>
          <w:lang w:val="es-ES"/>
        </w:rPr>
      </w:pPr>
      <w:r>
        <w:rPr>
          <w:bCs/>
          <w:i/>
          <w:lang w:val="es-ES"/>
        </w:rPr>
        <w:t>Pueden afectar hasta 1 de cada 1.000 pacientes</w:t>
      </w:r>
    </w:p>
    <w:p w14:paraId="76B227D5" w14:textId="77777777" w:rsidR="00AD5F85" w:rsidRDefault="00B27F09" w:rsidP="002E6CA5">
      <w:pPr>
        <w:ind w:left="567" w:hanging="567"/>
        <w:rPr>
          <w:noProof/>
          <w:lang w:val="es-ES"/>
        </w:rPr>
      </w:pPr>
      <w:r w:rsidRPr="00F22672">
        <w:rPr>
          <w:lang w:val="es-ES"/>
        </w:rPr>
        <w:sym w:font="Symbol" w:char="F0B7"/>
      </w:r>
      <w:r w:rsidR="001F2E5A">
        <w:rPr>
          <w:lang w:val="es-ES"/>
        </w:rPr>
        <w:tab/>
      </w:r>
      <w:r w:rsidR="00AD5F85">
        <w:rPr>
          <w:noProof/>
          <w:lang w:val="es-ES"/>
        </w:rPr>
        <w:t>Síndrome de Stevens-Johnson (erupción cutánea que puede dar lugar a ampollas y descamación grave de la piel)</w:t>
      </w:r>
    </w:p>
    <w:p w14:paraId="2BAF17A2" w14:textId="6642A20D" w:rsidR="00AD5F85" w:rsidRPr="00E576A0" w:rsidRDefault="00F12E00" w:rsidP="002E6CA5">
      <w:pPr>
        <w:ind w:left="567" w:hanging="567"/>
        <w:rPr>
          <w:bCs/>
          <w:i/>
          <w:lang w:val="es-ES"/>
        </w:rPr>
      </w:pPr>
      <w:r w:rsidRPr="008A106B">
        <w:rPr>
          <w:lang w:val="es-ES"/>
        </w:rPr>
        <w:sym w:font="Symbol" w:char="F0B7"/>
      </w:r>
      <w:r>
        <w:rPr>
          <w:lang w:val="es-ES"/>
        </w:rPr>
        <w:tab/>
      </w:r>
      <w:r w:rsidR="00AD5F85">
        <w:rPr>
          <w:bCs/>
          <w:lang w:val="es-ES"/>
        </w:rPr>
        <w:t>Reacciones alérgicas mortales (Anafilaxia</w:t>
      </w:r>
      <w:r w:rsidR="00AD5F85" w:rsidRPr="00E576A0">
        <w:rPr>
          <w:color w:val="222222"/>
          <w:szCs w:val="22"/>
          <w:shd w:val="clear" w:color="auto" w:fill="FFFFFF"/>
          <w:lang w:val="es-ES"/>
        </w:rPr>
        <w:t>)</w:t>
      </w:r>
    </w:p>
    <w:p w14:paraId="772A6210" w14:textId="77777777" w:rsidR="004706E4" w:rsidRPr="00EF2448" w:rsidRDefault="00F12E00" w:rsidP="002E6CA5">
      <w:pPr>
        <w:ind w:left="567" w:hanging="567"/>
        <w:rPr>
          <w:bCs/>
          <w:i/>
          <w:lang w:val="es-ES"/>
        </w:rPr>
      </w:pPr>
      <w:r w:rsidRPr="008A106B">
        <w:rPr>
          <w:lang w:val="es-ES"/>
        </w:rPr>
        <w:sym w:font="Symbol" w:char="F0B7"/>
      </w:r>
      <w:r>
        <w:rPr>
          <w:lang w:val="es-ES"/>
        </w:rPr>
        <w:tab/>
      </w:r>
      <w:r w:rsidR="00B53C13">
        <w:rPr>
          <w:bCs/>
          <w:lang w:val="es-ES"/>
        </w:rPr>
        <w:t>i</w:t>
      </w:r>
      <w:r w:rsidR="004706E4">
        <w:rPr>
          <w:bCs/>
          <w:lang w:val="es-ES"/>
        </w:rPr>
        <w:t>nflamación del hígado (hepatitis), ictericia</w:t>
      </w:r>
    </w:p>
    <w:p w14:paraId="3000F334" w14:textId="77777777" w:rsidR="00585EFC" w:rsidRPr="00575208" w:rsidRDefault="00585EFC" w:rsidP="00FC3DC7">
      <w:pPr>
        <w:rPr>
          <w:bCs/>
          <w:lang w:val="es-ES"/>
        </w:rPr>
      </w:pPr>
    </w:p>
    <w:p w14:paraId="2F7EE13E" w14:textId="77777777" w:rsidR="00585EFC" w:rsidRPr="00575208" w:rsidRDefault="00585EFC" w:rsidP="00585EFC">
      <w:pPr>
        <w:rPr>
          <w:b/>
          <w:lang w:val="es-ES"/>
        </w:rPr>
      </w:pPr>
      <w:r w:rsidRPr="00575208">
        <w:rPr>
          <w:b/>
          <w:lang w:val="es-ES"/>
        </w:rPr>
        <w:t xml:space="preserve">Efectos </w:t>
      </w:r>
      <w:proofErr w:type="gramStart"/>
      <w:r w:rsidRPr="00575208">
        <w:rPr>
          <w:b/>
          <w:lang w:val="es-ES"/>
        </w:rPr>
        <w:t xml:space="preserve">adversos </w:t>
      </w:r>
      <w:r w:rsidR="00587BEB">
        <w:rPr>
          <w:b/>
          <w:lang w:val="es-ES"/>
        </w:rPr>
        <w:t xml:space="preserve"> muy</w:t>
      </w:r>
      <w:proofErr w:type="gramEnd"/>
      <w:r w:rsidR="00587BEB">
        <w:rPr>
          <w:b/>
          <w:lang w:val="es-ES"/>
        </w:rPr>
        <w:t xml:space="preserve"> </w:t>
      </w:r>
      <w:r w:rsidR="00361E21">
        <w:rPr>
          <w:b/>
          <w:lang w:val="es-ES"/>
        </w:rPr>
        <w:t>raros</w:t>
      </w:r>
      <w:r w:rsidRPr="00575208">
        <w:rPr>
          <w:b/>
          <w:lang w:val="es-ES"/>
        </w:rPr>
        <w:t>:</w:t>
      </w:r>
    </w:p>
    <w:p w14:paraId="3193C8B6" w14:textId="77777777" w:rsidR="00585EFC" w:rsidRPr="00575208" w:rsidRDefault="00585EFC" w:rsidP="00585EFC">
      <w:pPr>
        <w:rPr>
          <w:bCs/>
          <w:i/>
          <w:lang w:val="es-ES"/>
        </w:rPr>
      </w:pPr>
      <w:r w:rsidRPr="00575208">
        <w:rPr>
          <w:bCs/>
          <w:i/>
          <w:lang w:val="es-ES"/>
        </w:rPr>
        <w:t>Pueden afectar hasta 1 de cada 1</w:t>
      </w:r>
      <w:r w:rsidR="00587BEB">
        <w:rPr>
          <w:bCs/>
          <w:i/>
          <w:lang w:val="es-ES"/>
        </w:rPr>
        <w:t>0</w:t>
      </w:r>
      <w:r w:rsidRPr="00575208">
        <w:rPr>
          <w:bCs/>
          <w:i/>
          <w:lang w:val="es-ES"/>
        </w:rPr>
        <w:t>.000 pacientes</w:t>
      </w:r>
    </w:p>
    <w:p w14:paraId="0D87C902" w14:textId="77777777" w:rsidR="00585EFC" w:rsidRDefault="00585EFC" w:rsidP="00585EFC">
      <w:pPr>
        <w:rPr>
          <w:lang w:val="es-ES"/>
        </w:rPr>
      </w:pPr>
    </w:p>
    <w:p w14:paraId="2D3711DE" w14:textId="77777777" w:rsidR="00AD5F85" w:rsidRDefault="00F12E00" w:rsidP="00E576A0">
      <w:pPr>
        <w:ind w:left="357" w:hanging="357"/>
        <w:rPr>
          <w:lang w:val="es-ES"/>
        </w:rPr>
      </w:pPr>
      <w:r w:rsidRPr="008A106B">
        <w:rPr>
          <w:lang w:val="es-ES"/>
        </w:rPr>
        <w:sym w:font="Symbol" w:char="F0B7"/>
      </w:r>
      <w:r>
        <w:rPr>
          <w:lang w:val="es-ES"/>
        </w:rPr>
        <w:tab/>
      </w:r>
      <w:r w:rsidR="00F37655">
        <w:rPr>
          <w:lang w:val="es-ES"/>
        </w:rPr>
        <w:t xml:space="preserve">   </w:t>
      </w:r>
      <w:r w:rsidR="00EB51B9">
        <w:rPr>
          <w:lang w:val="es-ES"/>
        </w:rPr>
        <w:t>recuento</w:t>
      </w:r>
      <w:r w:rsidR="00AD5F85">
        <w:rPr>
          <w:lang w:val="es-ES"/>
        </w:rPr>
        <w:t xml:space="preserve"> bajo de glóbulos blancos, glóbulos rojos y plaquetas en análisis de sangre</w:t>
      </w:r>
    </w:p>
    <w:p w14:paraId="34B537B5" w14:textId="77777777" w:rsidR="004706E4" w:rsidRPr="00575208" w:rsidRDefault="00EA151C" w:rsidP="00EF2448">
      <w:pPr>
        <w:ind w:left="357" w:hanging="357"/>
        <w:rPr>
          <w:bCs/>
          <w:lang w:val="es-ES"/>
        </w:rPr>
      </w:pPr>
      <w:r w:rsidRPr="00575208">
        <w:rPr>
          <w:b/>
          <w:bCs/>
          <w:lang w:val="es-ES"/>
        </w:rPr>
        <w:sym w:font="Symbol" w:char="F0B7"/>
      </w:r>
      <w:r w:rsidRPr="00575208">
        <w:rPr>
          <w:bCs/>
          <w:lang w:val="es-ES"/>
        </w:rPr>
        <w:tab/>
      </w:r>
      <w:r w:rsidR="00B53C13">
        <w:rPr>
          <w:bCs/>
          <w:lang w:val="es-ES"/>
        </w:rPr>
        <w:t xml:space="preserve">   f</w:t>
      </w:r>
      <w:r w:rsidR="004706E4">
        <w:rPr>
          <w:bCs/>
          <w:lang w:val="es-ES"/>
        </w:rPr>
        <w:t>allo hepático</w:t>
      </w:r>
    </w:p>
    <w:p w14:paraId="2726EE3A" w14:textId="77777777" w:rsidR="00585EFC" w:rsidRDefault="00585EFC" w:rsidP="00585EFC">
      <w:pPr>
        <w:rPr>
          <w:lang w:val="es-ES"/>
        </w:rPr>
      </w:pPr>
    </w:p>
    <w:p w14:paraId="1B8DE7E3" w14:textId="77777777" w:rsidR="00250533" w:rsidRDefault="00250533" w:rsidP="00250533">
      <w:pPr>
        <w:rPr>
          <w:b/>
          <w:szCs w:val="22"/>
          <w:lang w:val="es-ES"/>
        </w:rPr>
      </w:pPr>
      <w:r w:rsidRPr="006616E4">
        <w:rPr>
          <w:b/>
          <w:szCs w:val="22"/>
          <w:lang w:val="es-ES"/>
        </w:rPr>
        <w:t xml:space="preserve">Efectos </w:t>
      </w:r>
      <w:r>
        <w:rPr>
          <w:b/>
          <w:szCs w:val="22"/>
          <w:lang w:val="es-ES"/>
        </w:rPr>
        <w:t>adversos</w:t>
      </w:r>
      <w:r w:rsidRPr="008F4CA2">
        <w:rPr>
          <w:b/>
          <w:szCs w:val="22"/>
          <w:lang w:val="es-ES"/>
        </w:rPr>
        <w:t xml:space="preserve"> en niños y adolescentes con </w:t>
      </w:r>
      <w:r>
        <w:rPr>
          <w:b/>
          <w:szCs w:val="22"/>
          <w:lang w:val="es-ES"/>
        </w:rPr>
        <w:t xml:space="preserve">AIJs o </w:t>
      </w:r>
      <w:r w:rsidRPr="006616E4">
        <w:rPr>
          <w:b/>
          <w:szCs w:val="22"/>
          <w:lang w:val="es-ES"/>
        </w:rPr>
        <w:t>A</w:t>
      </w:r>
      <w:r>
        <w:rPr>
          <w:b/>
          <w:szCs w:val="22"/>
          <w:lang w:val="es-ES"/>
        </w:rPr>
        <w:t>IJp</w:t>
      </w:r>
    </w:p>
    <w:p w14:paraId="2E05A783" w14:textId="77777777" w:rsidR="00250533" w:rsidRPr="006616E4" w:rsidRDefault="00ED4EF7" w:rsidP="00250533">
      <w:pPr>
        <w:rPr>
          <w:b/>
          <w:szCs w:val="22"/>
          <w:lang w:val="es-ES"/>
        </w:rPr>
      </w:pPr>
      <w:r>
        <w:rPr>
          <w:bCs/>
          <w:szCs w:val="22"/>
          <w:lang w:val="es-ES"/>
        </w:rPr>
        <w:t>L</w:t>
      </w:r>
      <w:r w:rsidRPr="0040524D">
        <w:rPr>
          <w:bCs/>
          <w:szCs w:val="22"/>
          <w:lang w:val="es-ES"/>
        </w:rPr>
        <w:t xml:space="preserve">os efectos </w:t>
      </w:r>
      <w:r>
        <w:rPr>
          <w:bCs/>
          <w:szCs w:val="22"/>
          <w:lang w:val="es-ES"/>
        </w:rPr>
        <w:t>adversos</w:t>
      </w:r>
      <w:r w:rsidDel="00ED4EF7">
        <w:rPr>
          <w:bCs/>
          <w:szCs w:val="22"/>
          <w:lang w:val="es-ES"/>
        </w:rPr>
        <w:t xml:space="preserve"> </w:t>
      </w:r>
      <w:r>
        <w:rPr>
          <w:bCs/>
          <w:szCs w:val="22"/>
          <w:lang w:val="es-ES"/>
        </w:rPr>
        <w:t>e</w:t>
      </w:r>
      <w:r w:rsidR="00250533">
        <w:rPr>
          <w:bCs/>
          <w:szCs w:val="22"/>
          <w:lang w:val="es-ES"/>
        </w:rPr>
        <w:t xml:space="preserve">n niños y adolescentes con AIJs o </w:t>
      </w:r>
      <w:r w:rsidR="00250533" w:rsidRPr="0040524D">
        <w:rPr>
          <w:bCs/>
          <w:szCs w:val="22"/>
          <w:lang w:val="es-ES"/>
        </w:rPr>
        <w:t>A</w:t>
      </w:r>
      <w:r w:rsidR="00250533">
        <w:rPr>
          <w:bCs/>
          <w:szCs w:val="22"/>
          <w:lang w:val="es-ES"/>
        </w:rPr>
        <w:t>IJp</w:t>
      </w:r>
      <w:r w:rsidR="00250533" w:rsidRPr="0040524D">
        <w:rPr>
          <w:bCs/>
          <w:szCs w:val="22"/>
          <w:lang w:val="es-ES"/>
        </w:rPr>
        <w:t xml:space="preserve"> </w:t>
      </w:r>
      <w:r w:rsidR="00250533">
        <w:rPr>
          <w:bCs/>
          <w:szCs w:val="22"/>
          <w:lang w:val="es-ES"/>
        </w:rPr>
        <w:t>son en general,</w:t>
      </w:r>
      <w:r w:rsidR="00250533" w:rsidRPr="0040524D">
        <w:rPr>
          <w:bCs/>
          <w:szCs w:val="22"/>
          <w:lang w:val="es-ES"/>
        </w:rPr>
        <w:t xml:space="preserve"> similares a los de los adultos. Algunos efectos </w:t>
      </w:r>
      <w:r w:rsidR="00250533">
        <w:rPr>
          <w:bCs/>
          <w:szCs w:val="22"/>
          <w:lang w:val="es-ES"/>
        </w:rPr>
        <w:t>advers</w:t>
      </w:r>
      <w:r w:rsidR="00250533" w:rsidRPr="0040524D">
        <w:rPr>
          <w:bCs/>
          <w:szCs w:val="22"/>
          <w:lang w:val="es-ES"/>
        </w:rPr>
        <w:t>os</w:t>
      </w:r>
      <w:r>
        <w:rPr>
          <w:bCs/>
          <w:szCs w:val="22"/>
          <w:lang w:val="es-ES"/>
        </w:rPr>
        <w:t xml:space="preserve"> que</w:t>
      </w:r>
      <w:r w:rsidR="00250533" w:rsidRPr="0040524D">
        <w:rPr>
          <w:bCs/>
          <w:szCs w:val="22"/>
          <w:lang w:val="es-ES"/>
        </w:rPr>
        <w:t xml:space="preserve"> se observan con mayor frecuencia en niños y adolescentes</w:t>
      </w:r>
      <w:r>
        <w:rPr>
          <w:bCs/>
          <w:szCs w:val="22"/>
          <w:lang w:val="es-ES"/>
        </w:rPr>
        <w:t xml:space="preserve"> son</w:t>
      </w:r>
      <w:r w:rsidR="00250533" w:rsidRPr="0040524D">
        <w:rPr>
          <w:bCs/>
          <w:szCs w:val="22"/>
          <w:lang w:val="es-ES"/>
        </w:rPr>
        <w:t xml:space="preserve">: </w:t>
      </w:r>
      <w:r w:rsidR="00250533">
        <w:rPr>
          <w:bCs/>
          <w:szCs w:val="22"/>
          <w:lang w:val="es-ES"/>
        </w:rPr>
        <w:t xml:space="preserve">inflamación de </w:t>
      </w:r>
      <w:r w:rsidR="00250533" w:rsidRPr="0040524D">
        <w:rPr>
          <w:bCs/>
          <w:szCs w:val="22"/>
          <w:lang w:val="es-ES"/>
        </w:rPr>
        <w:t>nariz y garganta, dolor de cabeza, náuseas y disminución del recuento de glóbulos blancos.</w:t>
      </w:r>
    </w:p>
    <w:p w14:paraId="29F82156" w14:textId="77777777" w:rsidR="00250533" w:rsidRPr="00F22672" w:rsidRDefault="00250533" w:rsidP="00250533">
      <w:pPr>
        <w:rPr>
          <w:lang w:val="es-ES"/>
        </w:rPr>
      </w:pPr>
    </w:p>
    <w:p w14:paraId="2F23A46E" w14:textId="77777777" w:rsidR="00585EFC" w:rsidRPr="00575208" w:rsidRDefault="00585EFC" w:rsidP="00F30AB8">
      <w:pPr>
        <w:keepNext/>
        <w:keepLines/>
        <w:rPr>
          <w:b/>
          <w:lang w:val="es-ES"/>
        </w:rPr>
      </w:pPr>
      <w:r w:rsidRPr="00575208">
        <w:rPr>
          <w:b/>
          <w:lang w:val="es-ES"/>
        </w:rPr>
        <w:lastRenderedPageBreak/>
        <w:t xml:space="preserve">Comunicación de efectos adversos </w:t>
      </w:r>
    </w:p>
    <w:p w14:paraId="0567CEAE" w14:textId="254FC403" w:rsidR="00585EFC" w:rsidRPr="00575208" w:rsidRDefault="00585EFC" w:rsidP="00F30AB8">
      <w:pPr>
        <w:keepNext/>
        <w:keepLines/>
        <w:rPr>
          <w:lang w:val="es-ES_tradnl"/>
        </w:rPr>
      </w:pPr>
      <w:r w:rsidRPr="00575208">
        <w:rPr>
          <w:lang w:val="es-ES_tradnl"/>
        </w:rPr>
        <w:t xml:space="preserve">Si experimenta cualquier tipo de efecto adverso, consulte a su médico, farmacéutico o enfermero, incluso si se trata de posibles efectos adversos que no aparecen en este prospecto. También puede comunicarlos directamente a través del </w:t>
      </w:r>
      <w:r w:rsidRPr="00C555F2">
        <w:rPr>
          <w:highlight w:val="lightGray"/>
          <w:lang w:val="es-ES_tradnl"/>
        </w:rPr>
        <w:t xml:space="preserve">sistema nacional de notificación incluido en el </w:t>
      </w:r>
      <w:r>
        <w:fldChar w:fldCharType="begin"/>
      </w:r>
      <w:r w:rsidRPr="00467FFD">
        <w:rPr>
          <w:lang w:val="es-ES"/>
          <w:rPrChange w:id="2778" w:author="AUTHOR">
            <w:rPr/>
          </w:rPrChange>
        </w:rPr>
        <w:instrText>HYPERLINK "https://www.ema.europa.eu/documents/template-form/qrd-appendix-v-adverse-drug-reaction-reporting-details_en.docx"</w:instrText>
      </w:r>
      <w:r>
        <w:fldChar w:fldCharType="separate"/>
      </w:r>
      <w:r w:rsidRPr="00C555F2">
        <w:rPr>
          <w:rStyle w:val="Hyperlink"/>
          <w:highlight w:val="lightGray"/>
          <w:lang w:val="es-ES_tradnl"/>
        </w:rPr>
        <w:t>Apéndice V</w:t>
      </w:r>
      <w:r>
        <w:fldChar w:fldCharType="end"/>
      </w:r>
      <w:r w:rsidRPr="00575208">
        <w:rPr>
          <w:lang w:val="es-ES_tradnl"/>
        </w:rPr>
        <w:t>. Mediante la comunicación de efectos adversos usted puede contribuir a proporcionar más información sobre la seguridad de este medicamento.</w:t>
      </w:r>
    </w:p>
    <w:p w14:paraId="7A709DF5" w14:textId="77777777" w:rsidR="00585EFC" w:rsidRPr="00575208" w:rsidRDefault="00585EFC" w:rsidP="00585EFC">
      <w:pPr>
        <w:rPr>
          <w:lang w:val="es-ES_tradnl"/>
        </w:rPr>
      </w:pPr>
    </w:p>
    <w:p w14:paraId="4D68BB69" w14:textId="77777777" w:rsidR="00585EFC" w:rsidRPr="00575208" w:rsidRDefault="00585EFC" w:rsidP="00585EFC">
      <w:pPr>
        <w:rPr>
          <w:lang w:val="es-ES"/>
        </w:rPr>
      </w:pPr>
    </w:p>
    <w:p w14:paraId="45EA8B47" w14:textId="77777777" w:rsidR="00585EFC" w:rsidRPr="00575208" w:rsidRDefault="00585EFC" w:rsidP="00EF2448">
      <w:pPr>
        <w:keepNext/>
        <w:keepLines/>
        <w:rPr>
          <w:b/>
          <w:lang w:val="es-ES"/>
        </w:rPr>
      </w:pPr>
      <w:r w:rsidRPr="00575208">
        <w:rPr>
          <w:b/>
          <w:lang w:val="es-ES"/>
        </w:rPr>
        <w:t>5.</w:t>
      </w:r>
      <w:r w:rsidRPr="00575208">
        <w:rPr>
          <w:b/>
          <w:lang w:val="es-ES"/>
        </w:rPr>
        <w:tab/>
        <w:t>Conservación de RoActemra</w:t>
      </w:r>
    </w:p>
    <w:p w14:paraId="51EDFE5B" w14:textId="77777777" w:rsidR="00585EFC" w:rsidRPr="00575208" w:rsidRDefault="00585EFC" w:rsidP="00EF2448">
      <w:pPr>
        <w:keepNext/>
        <w:keepLines/>
        <w:rPr>
          <w:lang w:val="es-ES"/>
        </w:rPr>
      </w:pPr>
    </w:p>
    <w:p w14:paraId="3243C18D" w14:textId="77777777" w:rsidR="00585EFC" w:rsidRPr="00575208" w:rsidRDefault="00585EFC" w:rsidP="00EF2448">
      <w:pPr>
        <w:keepNext/>
        <w:keepLines/>
        <w:rPr>
          <w:lang w:val="es-ES"/>
        </w:rPr>
      </w:pPr>
      <w:r w:rsidRPr="00575208">
        <w:rPr>
          <w:lang w:val="es-ES_tradnl"/>
        </w:rPr>
        <w:t>Mantener este medicamento fuera de la vista y del alcance de los niños.</w:t>
      </w:r>
    </w:p>
    <w:p w14:paraId="6C65058D" w14:textId="77777777" w:rsidR="00585EFC" w:rsidRPr="00575208" w:rsidRDefault="00585EFC" w:rsidP="00EF2448">
      <w:pPr>
        <w:keepNext/>
        <w:keepLines/>
        <w:rPr>
          <w:lang w:val="es-ES"/>
        </w:rPr>
      </w:pPr>
    </w:p>
    <w:p w14:paraId="7A92EF6D" w14:textId="4EDF32F7" w:rsidR="00585EFC" w:rsidRPr="00575208" w:rsidRDefault="00585EFC" w:rsidP="00EF2448">
      <w:pPr>
        <w:keepNext/>
        <w:keepLines/>
        <w:rPr>
          <w:lang w:val="es-ES_tradnl"/>
        </w:rPr>
      </w:pPr>
      <w:r w:rsidRPr="00575208">
        <w:rPr>
          <w:lang w:val="es-ES_tradnl"/>
        </w:rPr>
        <w:t xml:space="preserve">No utilice este medicamento después de la fecha de caducidad que aparece en la etiqueta de la </w:t>
      </w:r>
      <w:r>
        <w:rPr>
          <w:lang w:val="es-ES_tradnl"/>
        </w:rPr>
        <w:t>plum</w:t>
      </w:r>
      <w:r w:rsidRPr="00575208">
        <w:rPr>
          <w:lang w:val="es-ES_tradnl"/>
        </w:rPr>
        <w:t xml:space="preserve">a precargada y en la caja después de </w:t>
      </w:r>
      <w:r w:rsidR="00616541">
        <w:rPr>
          <w:lang w:val="es-ES_tradnl"/>
        </w:rPr>
        <w:t>EXP</w:t>
      </w:r>
      <w:r w:rsidRPr="00575208">
        <w:rPr>
          <w:lang w:val="es-ES_tradnl"/>
        </w:rPr>
        <w:t>. La fecha de caducidad es el último día del mes que se indica.</w:t>
      </w:r>
    </w:p>
    <w:p w14:paraId="71F81684" w14:textId="77777777" w:rsidR="00585EFC" w:rsidRPr="00575208" w:rsidRDefault="00585EFC" w:rsidP="00585EFC">
      <w:pPr>
        <w:rPr>
          <w:lang w:val="es-ES_tradnl"/>
        </w:rPr>
      </w:pPr>
    </w:p>
    <w:p w14:paraId="5584B1C6" w14:textId="63B31C19" w:rsidR="00004756" w:rsidRPr="00883E95" w:rsidRDefault="00585EFC" w:rsidP="00004756">
      <w:pPr>
        <w:rPr>
          <w:szCs w:val="22"/>
          <w:lang w:val="es-ES"/>
        </w:rPr>
      </w:pPr>
      <w:r w:rsidRPr="00575208">
        <w:rPr>
          <w:lang w:val="es-ES_tradnl"/>
        </w:rPr>
        <w:t>Conservar en nevera (entre 2</w:t>
      </w:r>
      <w:r w:rsidR="00616541" w:rsidRPr="00F30AB8">
        <w:rPr>
          <w:szCs w:val="22"/>
          <w:lang w:val="es-ES"/>
        </w:rPr>
        <w:t> </w:t>
      </w:r>
      <w:r w:rsidRPr="00575208">
        <w:rPr>
          <w:lang w:val="es-ES_tradnl"/>
        </w:rPr>
        <w:t>°C</w:t>
      </w:r>
      <w:r w:rsidR="00616541" w:rsidRPr="00F30AB8">
        <w:rPr>
          <w:szCs w:val="22"/>
          <w:lang w:val="es-ES"/>
        </w:rPr>
        <w:t> – </w:t>
      </w:r>
      <w:r w:rsidRPr="00575208">
        <w:rPr>
          <w:lang w:val="es-ES_tradnl"/>
        </w:rPr>
        <w:t>8°</w:t>
      </w:r>
      <w:r w:rsidR="00616541" w:rsidRPr="00F30AB8">
        <w:rPr>
          <w:szCs w:val="22"/>
          <w:lang w:val="es-ES"/>
        </w:rPr>
        <w:t> </w:t>
      </w:r>
      <w:r w:rsidRPr="00575208">
        <w:rPr>
          <w:lang w:val="es-ES_tradnl"/>
        </w:rPr>
        <w:t>C).</w:t>
      </w:r>
      <w:r w:rsidRPr="00575208">
        <w:rPr>
          <w:lang w:val="es-ES"/>
        </w:rPr>
        <w:t xml:space="preserve"> </w:t>
      </w:r>
      <w:r w:rsidRPr="00575208">
        <w:rPr>
          <w:lang w:val="es-ES_tradnl"/>
        </w:rPr>
        <w:t>No congelar.</w:t>
      </w:r>
      <w:r w:rsidRPr="00575208">
        <w:rPr>
          <w:lang w:val="es-ES"/>
        </w:rPr>
        <w:t xml:space="preserve"> </w:t>
      </w:r>
      <w:r w:rsidR="00004756" w:rsidRPr="00004756">
        <w:rPr>
          <w:lang w:val="es-ES_tradnl"/>
        </w:rPr>
        <w:t xml:space="preserve"> </w:t>
      </w:r>
      <w:r w:rsidR="00004756" w:rsidRPr="00363FFA">
        <w:rPr>
          <w:lang w:val="es-ES_tradnl"/>
        </w:rPr>
        <w:t xml:space="preserve">Una vez fuera de la nevera, </w:t>
      </w:r>
      <w:r w:rsidR="00004756">
        <w:rPr>
          <w:lang w:val="es-ES_tradnl"/>
        </w:rPr>
        <w:t>la pluma precargada</w:t>
      </w:r>
      <w:r w:rsidR="00004756" w:rsidRPr="00363FFA">
        <w:rPr>
          <w:lang w:val="es-ES_tradnl"/>
        </w:rPr>
        <w:t xml:space="preserve"> </w:t>
      </w:r>
      <w:r w:rsidR="00004756">
        <w:rPr>
          <w:lang w:val="es-ES_tradnl"/>
        </w:rPr>
        <w:t>se puede conservar hasta 2 semanas a una temperatura igual o inferior</w:t>
      </w:r>
      <w:r w:rsidR="00004756" w:rsidRPr="00363FFA">
        <w:rPr>
          <w:lang w:val="es-ES_tradnl"/>
        </w:rPr>
        <w:t xml:space="preserve"> </w:t>
      </w:r>
      <w:r w:rsidR="00004756">
        <w:rPr>
          <w:lang w:val="es-ES_tradnl"/>
        </w:rPr>
        <w:t xml:space="preserve">a </w:t>
      </w:r>
      <w:r w:rsidR="00004756" w:rsidRPr="00363FFA">
        <w:rPr>
          <w:lang w:val="es-ES_tradnl"/>
        </w:rPr>
        <w:t>30</w:t>
      </w:r>
      <w:r w:rsidR="00616541" w:rsidRPr="00F30AB8">
        <w:rPr>
          <w:szCs w:val="22"/>
          <w:lang w:val="es-ES"/>
        </w:rPr>
        <w:t> </w:t>
      </w:r>
      <w:r w:rsidR="00004756" w:rsidRPr="00363FFA">
        <w:rPr>
          <w:lang w:val="es-ES_tradnl"/>
        </w:rPr>
        <w:t>ºC.</w:t>
      </w:r>
    </w:p>
    <w:p w14:paraId="5EA4E174" w14:textId="77777777" w:rsidR="00585EFC" w:rsidRPr="00575208" w:rsidRDefault="00585EFC" w:rsidP="00585EFC">
      <w:pPr>
        <w:rPr>
          <w:lang w:val="es-ES"/>
        </w:rPr>
      </w:pPr>
    </w:p>
    <w:p w14:paraId="5CBD8D1E" w14:textId="77777777" w:rsidR="00585EFC" w:rsidRPr="00575208" w:rsidRDefault="00585EFC" w:rsidP="00585EFC">
      <w:pPr>
        <w:rPr>
          <w:lang w:val="es-ES_tradnl"/>
        </w:rPr>
      </w:pPr>
      <w:r w:rsidRPr="00575208">
        <w:rPr>
          <w:lang w:val="es-ES_tradnl"/>
        </w:rPr>
        <w:t xml:space="preserve">Mantener las </w:t>
      </w:r>
      <w:r>
        <w:rPr>
          <w:lang w:val="es-ES_tradnl"/>
        </w:rPr>
        <w:t>plum</w:t>
      </w:r>
      <w:r w:rsidRPr="00575208">
        <w:rPr>
          <w:lang w:val="es-ES_tradnl"/>
        </w:rPr>
        <w:t>as precargadas en el embalaje exterior para proteger de la luz y la humedad.</w:t>
      </w:r>
    </w:p>
    <w:p w14:paraId="6EDBA943" w14:textId="77777777" w:rsidR="00585EFC" w:rsidRPr="00575208" w:rsidRDefault="00585EFC" w:rsidP="00585EFC">
      <w:pPr>
        <w:rPr>
          <w:lang w:val="es-ES_tradnl"/>
        </w:rPr>
      </w:pPr>
    </w:p>
    <w:p w14:paraId="7BF968B8" w14:textId="77777777" w:rsidR="00585EFC" w:rsidRPr="00575208" w:rsidRDefault="00585EFC" w:rsidP="00585EFC">
      <w:pPr>
        <w:rPr>
          <w:lang w:val="es-ES"/>
        </w:rPr>
      </w:pPr>
      <w:r w:rsidRPr="00575208">
        <w:rPr>
          <w:lang w:val="es-ES"/>
        </w:rPr>
        <w:t xml:space="preserve">No utilice este medicamento si observa que esta turbio o contiene partículas, es de algún color distinto a incoloro y ligeramente amarillento, o alguna parte de la </w:t>
      </w:r>
      <w:r>
        <w:rPr>
          <w:lang w:val="es-ES"/>
        </w:rPr>
        <w:t>plum</w:t>
      </w:r>
      <w:r w:rsidRPr="00575208">
        <w:rPr>
          <w:lang w:val="es-ES"/>
        </w:rPr>
        <w:t>a precargada aparece dañada.</w:t>
      </w:r>
    </w:p>
    <w:p w14:paraId="2A3364F0" w14:textId="77777777" w:rsidR="00585EFC" w:rsidRPr="00575208" w:rsidRDefault="00585EFC" w:rsidP="00585EFC">
      <w:pPr>
        <w:rPr>
          <w:lang w:val="es-ES"/>
        </w:rPr>
      </w:pPr>
    </w:p>
    <w:p w14:paraId="10B41C0A" w14:textId="77777777" w:rsidR="00585EFC" w:rsidRPr="00575208" w:rsidRDefault="00585EFC" w:rsidP="00585EFC">
      <w:pPr>
        <w:rPr>
          <w:lang w:val="es-ES"/>
        </w:rPr>
      </w:pPr>
      <w:r w:rsidRPr="00575208">
        <w:rPr>
          <w:lang w:val="es-ES_tradnl"/>
        </w:rPr>
        <w:t xml:space="preserve">No agitar la </w:t>
      </w:r>
      <w:r>
        <w:rPr>
          <w:lang w:val="es-ES_tradnl"/>
        </w:rPr>
        <w:t>plum</w:t>
      </w:r>
      <w:r w:rsidRPr="00575208">
        <w:rPr>
          <w:lang w:val="es-ES_tradnl"/>
        </w:rPr>
        <w:t xml:space="preserve">a. Después de retirar el tapón de la aguja, la inyección se debe iniciar </w:t>
      </w:r>
      <w:r>
        <w:rPr>
          <w:lang w:val="es-ES_tradnl"/>
        </w:rPr>
        <w:t>en los 3</w:t>
      </w:r>
      <w:r w:rsidRPr="00575208">
        <w:rPr>
          <w:lang w:val="es-ES_tradnl"/>
        </w:rPr>
        <w:t xml:space="preserve"> minutos siguientes para evitar que el medicamento se seque y bloquee la aguja. Si la </w:t>
      </w:r>
      <w:r>
        <w:rPr>
          <w:lang w:val="es-ES_tradnl"/>
        </w:rPr>
        <w:t>plum</w:t>
      </w:r>
      <w:r w:rsidRPr="00575208">
        <w:rPr>
          <w:lang w:val="es-ES_tradnl"/>
        </w:rPr>
        <w:t xml:space="preserve">a precargada no se utiliza dentro de los </w:t>
      </w:r>
      <w:r>
        <w:rPr>
          <w:lang w:val="es-ES_tradnl"/>
        </w:rPr>
        <w:t>3</w:t>
      </w:r>
      <w:r w:rsidRPr="00575208">
        <w:rPr>
          <w:lang w:val="es-ES_tradnl"/>
        </w:rPr>
        <w:t xml:space="preserve"> minutos siguientes a retirar el tapón, se debe eliminar en un contenedor para objetos punzantes y utilizar una nueva </w:t>
      </w:r>
      <w:r>
        <w:rPr>
          <w:lang w:val="es-ES_tradnl"/>
        </w:rPr>
        <w:t>plum</w:t>
      </w:r>
      <w:r w:rsidRPr="00575208">
        <w:rPr>
          <w:lang w:val="es-ES_tradnl"/>
        </w:rPr>
        <w:t>a precargada.</w:t>
      </w:r>
    </w:p>
    <w:p w14:paraId="68A45EBB" w14:textId="77777777" w:rsidR="00585EFC" w:rsidRPr="00575208" w:rsidRDefault="00585EFC" w:rsidP="00585EFC">
      <w:pPr>
        <w:rPr>
          <w:lang w:val="es-ES_tradnl"/>
        </w:rPr>
      </w:pPr>
    </w:p>
    <w:p w14:paraId="04D3277F" w14:textId="77777777" w:rsidR="00585EFC" w:rsidRPr="00C555F2" w:rsidRDefault="00585EFC" w:rsidP="00585EFC">
      <w:pPr>
        <w:keepNext/>
        <w:rPr>
          <w:lang w:val="es-ES"/>
        </w:rPr>
      </w:pPr>
      <w:r w:rsidRPr="006214A7">
        <w:rPr>
          <w:lang w:val="es-ES"/>
        </w:rPr>
        <w:t>Si tras</w:t>
      </w:r>
      <w:r w:rsidRPr="00897D86">
        <w:rPr>
          <w:lang w:val="es-ES"/>
        </w:rPr>
        <w:t xml:space="preserve"> presionar el botón para activación de la dosis</w:t>
      </w:r>
      <w:r w:rsidRPr="006214A7">
        <w:rPr>
          <w:lang w:val="es-ES"/>
        </w:rPr>
        <w:t xml:space="preserve"> el</w:t>
      </w:r>
      <w:r>
        <w:rPr>
          <w:lang w:val="es-ES"/>
        </w:rPr>
        <w:t xml:space="preserve"> indicador morado no se mueve, se </w:t>
      </w:r>
      <w:r w:rsidRPr="00097C58">
        <w:rPr>
          <w:lang w:val="es-ES"/>
        </w:rPr>
        <w:t xml:space="preserve">debe eliminar la </w:t>
      </w:r>
      <w:r>
        <w:rPr>
          <w:lang w:val="es-ES"/>
        </w:rPr>
        <w:t>plum</w:t>
      </w:r>
      <w:r w:rsidRPr="00097C58">
        <w:rPr>
          <w:lang w:val="es-ES"/>
        </w:rPr>
        <w:t>a precargada en un contenedor para objeto</w:t>
      </w:r>
      <w:r>
        <w:rPr>
          <w:lang w:val="es-ES"/>
        </w:rPr>
        <w:t xml:space="preserve">s punzantes. </w:t>
      </w:r>
      <w:r w:rsidRPr="00C555F2">
        <w:rPr>
          <w:b/>
          <w:lang w:val="es-ES"/>
        </w:rPr>
        <w:t>No</w:t>
      </w:r>
      <w:r>
        <w:rPr>
          <w:lang w:val="es-ES"/>
        </w:rPr>
        <w:t xml:space="preserve"> intente reutilizar la pluma precargada. No repita la inyección con otra pluma precargada. </w:t>
      </w:r>
      <w:r w:rsidRPr="00897D86">
        <w:rPr>
          <w:lang w:val="es-ES"/>
        </w:rPr>
        <w:t>Si tiene a</w:t>
      </w:r>
      <w:r w:rsidRPr="00FB4C07">
        <w:rPr>
          <w:lang w:val="es-ES"/>
        </w:rPr>
        <w:t>lguna pregunta o algún problema</w:t>
      </w:r>
      <w:r w:rsidRPr="00897D86">
        <w:rPr>
          <w:lang w:val="es-ES"/>
        </w:rPr>
        <w:t>, consulte con su profesional sanitario</w:t>
      </w:r>
      <w:r>
        <w:rPr>
          <w:lang w:val="es-ES"/>
        </w:rPr>
        <w:t>.</w:t>
      </w:r>
    </w:p>
    <w:p w14:paraId="339ED468" w14:textId="77777777" w:rsidR="00585EFC" w:rsidRPr="00575208" w:rsidRDefault="00585EFC" w:rsidP="00585EFC">
      <w:pPr>
        <w:rPr>
          <w:lang w:val="es-ES"/>
        </w:rPr>
      </w:pPr>
    </w:p>
    <w:p w14:paraId="6F476621" w14:textId="77777777" w:rsidR="00585EFC" w:rsidRPr="00575208" w:rsidRDefault="00585EFC" w:rsidP="00585EFC">
      <w:pPr>
        <w:rPr>
          <w:lang w:val="es-ES"/>
        </w:rPr>
      </w:pPr>
    </w:p>
    <w:p w14:paraId="212603B7" w14:textId="77777777" w:rsidR="00585EFC" w:rsidRPr="00575208" w:rsidRDefault="00585EFC" w:rsidP="00585EFC">
      <w:pPr>
        <w:rPr>
          <w:b/>
          <w:lang w:val="es-ES"/>
        </w:rPr>
      </w:pPr>
      <w:r w:rsidRPr="00575208">
        <w:rPr>
          <w:b/>
          <w:lang w:val="es-ES"/>
        </w:rPr>
        <w:t>6.</w:t>
      </w:r>
      <w:r w:rsidRPr="00575208">
        <w:rPr>
          <w:b/>
          <w:lang w:val="es-ES"/>
        </w:rPr>
        <w:tab/>
        <w:t>Contenido del envase e información adicional</w:t>
      </w:r>
    </w:p>
    <w:p w14:paraId="4A69438B" w14:textId="77777777" w:rsidR="00585EFC" w:rsidRPr="00575208" w:rsidRDefault="00585EFC" w:rsidP="00585EFC">
      <w:pPr>
        <w:rPr>
          <w:b/>
          <w:bCs/>
          <w:lang w:val="es-ES"/>
        </w:rPr>
      </w:pPr>
    </w:p>
    <w:p w14:paraId="435110F3" w14:textId="77777777" w:rsidR="00585EFC" w:rsidRPr="00575208" w:rsidRDefault="00585EFC" w:rsidP="00585EFC">
      <w:pPr>
        <w:rPr>
          <w:b/>
          <w:bCs/>
          <w:lang w:val="es-ES_tradnl"/>
        </w:rPr>
      </w:pPr>
      <w:r w:rsidRPr="00575208">
        <w:rPr>
          <w:b/>
          <w:bCs/>
          <w:lang w:val="es-ES_tradnl"/>
        </w:rPr>
        <w:t>Composición de RoActemra</w:t>
      </w:r>
    </w:p>
    <w:p w14:paraId="180411DF" w14:textId="77777777" w:rsidR="00585EFC" w:rsidRPr="00575208" w:rsidRDefault="00585EFC" w:rsidP="00585EFC">
      <w:pPr>
        <w:rPr>
          <w:b/>
          <w:bCs/>
          <w:lang w:val="es-ES"/>
        </w:rPr>
      </w:pPr>
      <w:r w:rsidRPr="00575208">
        <w:rPr>
          <w:lang w:val="es-ES"/>
        </w:rPr>
        <w:sym w:font="Symbol" w:char="F0B7"/>
      </w:r>
      <w:r w:rsidRPr="00575208">
        <w:rPr>
          <w:lang w:val="es-ES"/>
        </w:rPr>
        <w:tab/>
      </w:r>
      <w:r w:rsidRPr="00575208">
        <w:rPr>
          <w:lang w:val="es-ES_tradnl"/>
        </w:rPr>
        <w:t>El principio activo es tocilizumab.</w:t>
      </w:r>
      <w:r w:rsidRPr="00575208">
        <w:rPr>
          <w:lang w:val="es-ES"/>
        </w:rPr>
        <w:t xml:space="preserve"> </w:t>
      </w:r>
    </w:p>
    <w:p w14:paraId="6F2E5873" w14:textId="77777777" w:rsidR="00585EFC" w:rsidRPr="00575208" w:rsidRDefault="00585EFC" w:rsidP="00585EFC">
      <w:pPr>
        <w:rPr>
          <w:lang w:val="es-ES"/>
        </w:rPr>
      </w:pPr>
      <w:r w:rsidRPr="00575208">
        <w:rPr>
          <w:lang w:val="es-ES"/>
        </w:rPr>
        <w:tab/>
      </w:r>
      <w:r w:rsidRPr="00575208">
        <w:rPr>
          <w:lang w:val="es-ES_tradnl"/>
        </w:rPr>
        <w:t xml:space="preserve">Cada </w:t>
      </w:r>
      <w:r>
        <w:rPr>
          <w:lang w:val="es-ES_tradnl"/>
        </w:rPr>
        <w:t>plum</w:t>
      </w:r>
      <w:r w:rsidRPr="00575208">
        <w:rPr>
          <w:lang w:val="es-ES_tradnl"/>
        </w:rPr>
        <w:t>a precargada contiene 162 mg de tocilizumab en 0,9 ml.</w:t>
      </w:r>
    </w:p>
    <w:p w14:paraId="600415B5" w14:textId="77777777" w:rsidR="00585EFC" w:rsidRPr="00575208" w:rsidRDefault="00585EFC" w:rsidP="00585EFC">
      <w:pPr>
        <w:rPr>
          <w:lang w:val="es-ES"/>
        </w:rPr>
      </w:pPr>
    </w:p>
    <w:p w14:paraId="17C1AA2E" w14:textId="475C41F0" w:rsidR="00585EFC" w:rsidRPr="00575208" w:rsidRDefault="00585EFC" w:rsidP="00585EFC">
      <w:pPr>
        <w:ind w:left="567" w:hanging="567"/>
        <w:rPr>
          <w:lang w:val="es-ES"/>
        </w:rPr>
      </w:pPr>
      <w:r w:rsidRPr="00575208">
        <w:rPr>
          <w:lang w:val="es-ES"/>
        </w:rPr>
        <w:sym w:font="Symbol" w:char="F0B7"/>
      </w:r>
      <w:r w:rsidRPr="00575208">
        <w:rPr>
          <w:lang w:val="es-ES"/>
        </w:rPr>
        <w:tab/>
      </w:r>
      <w:r w:rsidRPr="00575208">
        <w:rPr>
          <w:lang w:val="es-ES_tradnl"/>
        </w:rPr>
        <w:t xml:space="preserve">Los demás componentes son </w:t>
      </w:r>
      <w:r w:rsidRPr="00575208">
        <w:rPr>
          <w:lang w:val="es-ES"/>
        </w:rPr>
        <w:t xml:space="preserve">L-Histidina, Monohidrocloruro de L-histidina monohidrato, </w:t>
      </w:r>
      <w:r w:rsidR="00137C28" w:rsidRPr="00CD1F47">
        <w:rPr>
          <w:lang w:val="es-ES"/>
        </w:rPr>
        <w:t>L-Arginina</w:t>
      </w:r>
      <w:r w:rsidR="00B947D0">
        <w:rPr>
          <w:lang w:val="es-ES"/>
        </w:rPr>
        <w:t>/</w:t>
      </w:r>
      <w:r w:rsidRPr="00575208">
        <w:rPr>
          <w:lang w:val="es-ES"/>
        </w:rPr>
        <w:t xml:space="preserve">Hidrocloruro de L- Arginina, L-Metionina, </w:t>
      </w:r>
      <w:r w:rsidRPr="00575208">
        <w:rPr>
          <w:lang w:val="es-ES_tradnl"/>
        </w:rPr>
        <w:t>Polisorbato 80</w:t>
      </w:r>
      <w:r w:rsidRPr="00575208">
        <w:rPr>
          <w:lang w:val="es-ES"/>
        </w:rPr>
        <w:t xml:space="preserve">, </w:t>
      </w:r>
      <w:r w:rsidRPr="00575208">
        <w:rPr>
          <w:lang w:val="es-ES_tradnl"/>
        </w:rPr>
        <w:t>Agua para preparaciones inyectables</w:t>
      </w:r>
      <w:r w:rsidR="00616541">
        <w:rPr>
          <w:lang w:val="es-ES_tradnl"/>
        </w:rPr>
        <w:t xml:space="preserve"> (ver sección 2 </w:t>
      </w:r>
      <w:r w:rsidR="00616541" w:rsidRPr="00F30AB8">
        <w:rPr>
          <w:szCs w:val="22"/>
          <w:lang w:val="es-ES"/>
        </w:rPr>
        <w:t>‘</w:t>
      </w:r>
      <w:r w:rsidR="00616541">
        <w:rPr>
          <w:lang w:val="es-ES_tradnl"/>
        </w:rPr>
        <w:t>Roactemra contiene polisorbatos</w:t>
      </w:r>
      <w:ins w:id="2779" w:author="AUTHOR">
        <w:r w:rsidR="00024761">
          <w:rPr>
            <w:lang w:val="es-ES_tradnl"/>
          </w:rPr>
          <w:t xml:space="preserve"> </w:t>
        </w:r>
        <w:r w:rsidR="00024761" w:rsidRPr="00467FFD">
          <w:rPr>
            <w:szCs w:val="22"/>
            <w:lang w:val="es-ES"/>
            <w:rPrChange w:id="2780" w:author="AUTHOR">
              <w:rPr>
                <w:szCs w:val="22"/>
                <w:lang w:val="en-GB"/>
              </w:rPr>
            </w:rPrChange>
          </w:rPr>
          <w:t>80 (E 433)</w:t>
        </w:r>
      </w:ins>
      <w:r w:rsidR="00616541" w:rsidRPr="00F30AB8">
        <w:rPr>
          <w:szCs w:val="22"/>
          <w:lang w:val="es-ES"/>
        </w:rPr>
        <w:t>’</w:t>
      </w:r>
      <w:r w:rsidR="00616541">
        <w:rPr>
          <w:lang w:val="es-ES_tradnl"/>
        </w:rPr>
        <w:t>)</w:t>
      </w:r>
      <w:r w:rsidRPr="00575208">
        <w:rPr>
          <w:lang w:val="es-ES_tradnl"/>
        </w:rPr>
        <w:t>.</w:t>
      </w:r>
    </w:p>
    <w:p w14:paraId="7BAA6FFD" w14:textId="77777777" w:rsidR="00585EFC" w:rsidRPr="00575208" w:rsidRDefault="00585EFC" w:rsidP="00585EFC">
      <w:pPr>
        <w:rPr>
          <w:bCs/>
          <w:lang w:val="es-ES"/>
        </w:rPr>
      </w:pPr>
    </w:p>
    <w:p w14:paraId="54972F79" w14:textId="77777777" w:rsidR="00585EFC" w:rsidRPr="00575208" w:rsidRDefault="00585EFC" w:rsidP="00585EFC">
      <w:pPr>
        <w:rPr>
          <w:b/>
          <w:bCs/>
          <w:lang w:val="es-ES_tradnl"/>
        </w:rPr>
      </w:pPr>
      <w:r w:rsidRPr="00575208">
        <w:rPr>
          <w:b/>
          <w:bCs/>
          <w:lang w:val="es-ES_tradnl"/>
        </w:rPr>
        <w:t>Aspecto del producto y contenido del envase</w:t>
      </w:r>
    </w:p>
    <w:p w14:paraId="47052AD2" w14:textId="77777777" w:rsidR="00585EFC" w:rsidRPr="00575208" w:rsidRDefault="00585EFC" w:rsidP="00585EFC">
      <w:pPr>
        <w:rPr>
          <w:lang w:val="es-ES_tradnl"/>
        </w:rPr>
      </w:pPr>
      <w:r w:rsidRPr="00575208">
        <w:rPr>
          <w:lang w:val="es-ES_tradnl"/>
        </w:rPr>
        <w:t xml:space="preserve">RoActemra es una solución para inyección. La solución es incolora a ligeramente amarillenta. </w:t>
      </w:r>
    </w:p>
    <w:p w14:paraId="2C48896A" w14:textId="77777777" w:rsidR="00585EFC" w:rsidRPr="00575208" w:rsidRDefault="00585EFC" w:rsidP="00585EFC">
      <w:pPr>
        <w:rPr>
          <w:lang w:val="es-ES_tradnl"/>
        </w:rPr>
      </w:pPr>
    </w:p>
    <w:p w14:paraId="75CC7A27" w14:textId="77777777" w:rsidR="00585EFC" w:rsidRPr="00575208" w:rsidRDefault="00585EFC" w:rsidP="00585EFC">
      <w:pPr>
        <w:rPr>
          <w:lang w:val="es-ES_tradnl"/>
        </w:rPr>
      </w:pPr>
      <w:r w:rsidRPr="00575208">
        <w:rPr>
          <w:lang w:val="es-ES_tradnl"/>
        </w:rPr>
        <w:t xml:space="preserve">RoActemra es suministrado en </w:t>
      </w:r>
      <w:r>
        <w:rPr>
          <w:lang w:val="es-ES_tradnl"/>
        </w:rPr>
        <w:t>plum</w:t>
      </w:r>
      <w:r w:rsidRPr="00575208">
        <w:rPr>
          <w:lang w:val="es-ES_tradnl"/>
        </w:rPr>
        <w:t>as precargadas de 0,9 ml que contienen 162 mg de tocilizumab solución para inyección.</w:t>
      </w:r>
    </w:p>
    <w:p w14:paraId="4077116B" w14:textId="77777777" w:rsidR="00585EFC" w:rsidRPr="00575208" w:rsidRDefault="00585EFC" w:rsidP="00585EFC">
      <w:pPr>
        <w:rPr>
          <w:lang w:val="es-ES_tradnl"/>
        </w:rPr>
      </w:pPr>
    </w:p>
    <w:p w14:paraId="32E41B66" w14:textId="77777777" w:rsidR="00585EFC" w:rsidRPr="00575208" w:rsidRDefault="00585EFC" w:rsidP="00957972">
      <w:pPr>
        <w:keepNext/>
        <w:keepLines/>
        <w:rPr>
          <w:lang w:val="es-ES"/>
        </w:rPr>
      </w:pPr>
      <w:r w:rsidRPr="00575208">
        <w:rPr>
          <w:lang w:val="es-ES_tradnl"/>
        </w:rPr>
        <w:lastRenderedPageBreak/>
        <w:t xml:space="preserve">Cada envase contiene 4 </w:t>
      </w:r>
      <w:r>
        <w:rPr>
          <w:lang w:val="es-ES_tradnl"/>
        </w:rPr>
        <w:t>plum</w:t>
      </w:r>
      <w:r w:rsidRPr="00575208">
        <w:rPr>
          <w:lang w:val="es-ES_tradnl"/>
        </w:rPr>
        <w:t>as precargadas</w:t>
      </w:r>
      <w:r w:rsidRPr="00575208">
        <w:rPr>
          <w:b/>
          <w:lang w:val="es-ES_tradnl"/>
        </w:rPr>
        <w:t xml:space="preserve">. El </w:t>
      </w:r>
      <w:r w:rsidR="002F0687">
        <w:rPr>
          <w:b/>
          <w:lang w:val="es-ES_tradnl"/>
        </w:rPr>
        <w:t>envase múltiple</w:t>
      </w:r>
      <w:r w:rsidRPr="00575208">
        <w:rPr>
          <w:b/>
          <w:lang w:val="es-ES_tradnl"/>
        </w:rPr>
        <w:t xml:space="preserve"> contiene 12 (3 envases de 4) </w:t>
      </w:r>
      <w:r>
        <w:rPr>
          <w:b/>
          <w:lang w:val="es-ES_tradnl"/>
        </w:rPr>
        <w:t>plum</w:t>
      </w:r>
      <w:r w:rsidRPr="00575208">
        <w:rPr>
          <w:b/>
          <w:lang w:val="es-ES_tradnl"/>
        </w:rPr>
        <w:t>as precargadas. Puede que solamente estén comercializados algunos tamaños de envases</w:t>
      </w:r>
      <w:r w:rsidRPr="00575208">
        <w:rPr>
          <w:lang w:val="es-ES_tradnl"/>
        </w:rPr>
        <w:t>.</w:t>
      </w:r>
    </w:p>
    <w:p w14:paraId="73FBF69D" w14:textId="77777777" w:rsidR="00585EFC" w:rsidRPr="00575208" w:rsidRDefault="00585EFC" w:rsidP="00957972">
      <w:pPr>
        <w:keepNext/>
        <w:keepLines/>
        <w:rPr>
          <w:b/>
          <w:bCs/>
          <w:lang w:val="es-ES_tradnl"/>
        </w:rPr>
      </w:pPr>
    </w:p>
    <w:p w14:paraId="2430C7B8" w14:textId="77777777" w:rsidR="00585EFC" w:rsidRPr="00575208" w:rsidRDefault="00585EFC" w:rsidP="00957972">
      <w:pPr>
        <w:keepNext/>
        <w:keepLines/>
        <w:rPr>
          <w:b/>
          <w:bCs/>
          <w:lang w:val="es-ES_tradnl"/>
        </w:rPr>
      </w:pPr>
      <w:r w:rsidRPr="00575208">
        <w:rPr>
          <w:b/>
          <w:bCs/>
          <w:lang w:val="es-ES_tradnl"/>
        </w:rPr>
        <w:t>Titular de la autorización de comercialización y responsable de la fabricación</w:t>
      </w:r>
    </w:p>
    <w:p w14:paraId="7E6A99DC" w14:textId="77777777" w:rsidR="00CC09AC" w:rsidRPr="00EF2448" w:rsidRDefault="00CC09AC" w:rsidP="00957972">
      <w:pPr>
        <w:keepNext/>
        <w:keepLines/>
        <w:rPr>
          <w:noProof/>
          <w:lang w:val="de-DE"/>
        </w:rPr>
      </w:pPr>
      <w:r w:rsidRPr="00EF2448">
        <w:rPr>
          <w:noProof/>
          <w:lang w:val="de-DE"/>
        </w:rPr>
        <w:t xml:space="preserve">Roche Registration GmbH </w:t>
      </w:r>
    </w:p>
    <w:p w14:paraId="5A9D79B7" w14:textId="77777777" w:rsidR="00CC09AC" w:rsidRPr="00EF2448" w:rsidRDefault="00CC09AC" w:rsidP="00957972">
      <w:pPr>
        <w:keepNext/>
        <w:keepLines/>
        <w:rPr>
          <w:noProof/>
          <w:lang w:val="de-DE"/>
        </w:rPr>
      </w:pPr>
      <w:r w:rsidRPr="00EF2448">
        <w:rPr>
          <w:noProof/>
          <w:lang w:val="de-DE"/>
        </w:rPr>
        <w:t>Emil-Barell-Strasse 1</w:t>
      </w:r>
    </w:p>
    <w:p w14:paraId="665357CA" w14:textId="77777777" w:rsidR="00CC09AC" w:rsidRPr="00F30AB8" w:rsidRDefault="00CC09AC" w:rsidP="00957972">
      <w:pPr>
        <w:keepNext/>
        <w:keepLines/>
        <w:rPr>
          <w:noProof/>
          <w:lang w:val="pt-PT"/>
        </w:rPr>
      </w:pPr>
      <w:r w:rsidRPr="00F30AB8">
        <w:rPr>
          <w:noProof/>
          <w:lang w:val="pt-PT"/>
        </w:rPr>
        <w:t>79639 Grenzach-Wyhlen</w:t>
      </w:r>
    </w:p>
    <w:p w14:paraId="265BD952" w14:textId="77777777" w:rsidR="00585EFC" w:rsidRPr="00EF2448" w:rsidRDefault="00CC09AC" w:rsidP="00957972">
      <w:pPr>
        <w:keepNext/>
        <w:keepLines/>
        <w:rPr>
          <w:noProof/>
          <w:lang w:val="es-ES"/>
        </w:rPr>
      </w:pPr>
      <w:r w:rsidRPr="00EF2448">
        <w:rPr>
          <w:noProof/>
          <w:lang w:val="es-ES"/>
        </w:rPr>
        <w:t>Alemania</w:t>
      </w:r>
    </w:p>
    <w:p w14:paraId="2CACD8B6" w14:textId="77777777" w:rsidR="00E92D5F" w:rsidRPr="00575208" w:rsidRDefault="00E92D5F" w:rsidP="00957972">
      <w:pPr>
        <w:keepNext/>
        <w:keepLines/>
        <w:rPr>
          <w:b/>
          <w:bCs/>
          <w:lang w:val="es-ES_tradnl"/>
        </w:rPr>
      </w:pPr>
    </w:p>
    <w:p w14:paraId="7E028140" w14:textId="77777777" w:rsidR="00585EFC" w:rsidRPr="00575208" w:rsidRDefault="00585EFC" w:rsidP="005379D9">
      <w:pPr>
        <w:keepNext/>
        <w:keepLines/>
        <w:rPr>
          <w:b/>
          <w:bCs/>
          <w:lang w:val="es-ES_tradnl"/>
        </w:rPr>
      </w:pPr>
      <w:r w:rsidRPr="00575208">
        <w:rPr>
          <w:b/>
          <w:bCs/>
          <w:lang w:val="es-ES_tradnl"/>
        </w:rPr>
        <w:t>Responsable de la fabricación</w:t>
      </w:r>
    </w:p>
    <w:p w14:paraId="41256ADD" w14:textId="77777777" w:rsidR="00585EFC" w:rsidRPr="005E6BE8" w:rsidRDefault="00585EFC" w:rsidP="005379D9">
      <w:pPr>
        <w:keepNext/>
        <w:keepLines/>
      </w:pPr>
      <w:r w:rsidRPr="005E6BE8">
        <w:t>Roche Pharma AG</w:t>
      </w:r>
    </w:p>
    <w:p w14:paraId="53816871" w14:textId="77777777" w:rsidR="00585EFC" w:rsidRPr="00C555F2" w:rsidRDefault="00585EFC" w:rsidP="005379D9">
      <w:pPr>
        <w:keepNext/>
        <w:keepLines/>
        <w:rPr>
          <w:lang w:val="es-ES"/>
        </w:rPr>
      </w:pPr>
      <w:r w:rsidRPr="00F30AB8">
        <w:rPr>
          <w:lang w:val="de-DE"/>
        </w:rPr>
        <w:t xml:space="preserve">Emil-Barell-Str. </w:t>
      </w:r>
      <w:r w:rsidRPr="00C555F2">
        <w:rPr>
          <w:lang w:val="es-ES"/>
        </w:rPr>
        <w:t>1</w:t>
      </w:r>
    </w:p>
    <w:p w14:paraId="26908DD2" w14:textId="6949E8A9" w:rsidR="00585EFC" w:rsidRPr="00C555F2" w:rsidRDefault="00585EFC" w:rsidP="005379D9">
      <w:pPr>
        <w:keepNext/>
        <w:keepLines/>
        <w:rPr>
          <w:lang w:val="es-ES"/>
        </w:rPr>
      </w:pPr>
      <w:r w:rsidRPr="00C555F2">
        <w:rPr>
          <w:lang w:val="es-ES"/>
        </w:rPr>
        <w:t>79639 Grenzach-Wyhlen</w:t>
      </w:r>
    </w:p>
    <w:p w14:paraId="129D71CE" w14:textId="77777777" w:rsidR="00585EFC" w:rsidRPr="00575208" w:rsidRDefault="00585EFC" w:rsidP="00EF2448">
      <w:pPr>
        <w:keepNext/>
        <w:keepLines/>
        <w:rPr>
          <w:lang w:val="es-ES"/>
        </w:rPr>
      </w:pPr>
      <w:r w:rsidRPr="00575208">
        <w:rPr>
          <w:lang w:val="es-ES_tradnl"/>
        </w:rPr>
        <w:t>Alemania</w:t>
      </w:r>
    </w:p>
    <w:p w14:paraId="3D23AE5F" w14:textId="77777777" w:rsidR="00585EFC" w:rsidRPr="00575208" w:rsidRDefault="00585EFC" w:rsidP="00EF2448">
      <w:pPr>
        <w:keepNext/>
        <w:keepLines/>
        <w:rPr>
          <w:lang w:val="es-ES"/>
        </w:rPr>
      </w:pPr>
    </w:p>
    <w:p w14:paraId="1CE557BE" w14:textId="77777777" w:rsidR="00585EFC" w:rsidRPr="00575208" w:rsidRDefault="00585EFC" w:rsidP="0078290D">
      <w:pPr>
        <w:keepNext/>
        <w:rPr>
          <w:lang w:val="es-ES"/>
        </w:rPr>
      </w:pPr>
      <w:r w:rsidRPr="00575208">
        <w:rPr>
          <w:lang w:val="es-ES_tradnl"/>
        </w:rPr>
        <w:t>Pueden solicitar más información respecto a este medicamento dirigiéndose al representante local del titular de la autorización de comercialización:</w:t>
      </w:r>
    </w:p>
    <w:p w14:paraId="2563D6B6" w14:textId="77777777" w:rsidR="00585EFC" w:rsidRPr="00575208" w:rsidRDefault="00585EFC" w:rsidP="0078290D">
      <w:pPr>
        <w:keepNext/>
        <w:rPr>
          <w:lang w:val="es-ES"/>
        </w:rPr>
      </w:pPr>
    </w:p>
    <w:tbl>
      <w:tblPr>
        <w:tblW w:w="9180" w:type="dxa"/>
        <w:tblLayout w:type="fixed"/>
        <w:tblLook w:val="0000" w:firstRow="0" w:lastRow="0" w:firstColumn="0" w:lastColumn="0" w:noHBand="0" w:noVBand="0"/>
        <w:tblPrChange w:id="2781" w:author="AUTHOR">
          <w:tblPr>
            <w:tblW w:w="0" w:type="auto"/>
            <w:tblLayout w:type="fixed"/>
            <w:tblLook w:val="0000" w:firstRow="0" w:lastRow="0" w:firstColumn="0" w:lastColumn="0" w:noHBand="0" w:noVBand="0"/>
          </w:tblPr>
        </w:tblPrChange>
      </w:tblPr>
      <w:tblGrid>
        <w:gridCol w:w="4590"/>
        <w:gridCol w:w="4590"/>
        <w:tblGridChange w:id="2782">
          <w:tblGrid>
            <w:gridCol w:w="5"/>
            <w:gridCol w:w="4585"/>
            <w:gridCol w:w="5"/>
            <w:gridCol w:w="4585"/>
            <w:gridCol w:w="5"/>
          </w:tblGrid>
        </w:tblGridChange>
      </w:tblGrid>
      <w:tr w:rsidR="00585EFC" w:rsidRPr="00541248" w14:paraId="5F022D8A" w14:textId="77777777" w:rsidTr="00467FFD">
        <w:trPr>
          <w:cantSplit/>
          <w:trPrChange w:id="2783" w:author="AUTHOR">
            <w:trPr>
              <w:gridAfter w:val="0"/>
              <w:cantSplit/>
            </w:trPr>
          </w:trPrChange>
        </w:trPr>
        <w:tc>
          <w:tcPr>
            <w:tcW w:w="4590" w:type="dxa"/>
            <w:tcPrChange w:id="2784" w:author="AUTHOR">
              <w:tcPr>
                <w:tcW w:w="4590" w:type="dxa"/>
                <w:gridSpan w:val="2"/>
              </w:tcPr>
            </w:tcPrChange>
          </w:tcPr>
          <w:p w14:paraId="0230D0EC" w14:textId="77777777" w:rsidR="00585EFC" w:rsidRPr="00575208" w:rsidRDefault="00585EFC" w:rsidP="0078290D">
            <w:pPr>
              <w:keepNext/>
              <w:rPr>
                <w:lang w:val="fr-FR"/>
              </w:rPr>
            </w:pPr>
            <w:r w:rsidRPr="00575208">
              <w:rPr>
                <w:b/>
                <w:bCs/>
                <w:lang w:val="fr-FR"/>
              </w:rPr>
              <w:t>België/Belgique/Belgien</w:t>
            </w:r>
          </w:p>
          <w:p w14:paraId="0CAD5240" w14:textId="77777777" w:rsidR="009E5301" w:rsidRPr="00575208" w:rsidRDefault="009E5301" w:rsidP="009E5301">
            <w:pPr>
              <w:keepNext/>
              <w:rPr>
                <w:ins w:id="2785" w:author="AUTHOR"/>
                <w:lang w:val="de-DE"/>
              </w:rPr>
            </w:pPr>
            <w:ins w:id="2786" w:author="AUTHOR">
              <w:r w:rsidRPr="00575208">
                <w:rPr>
                  <w:b/>
                  <w:bCs/>
                  <w:lang w:val="de-DE"/>
                </w:rPr>
                <w:t>Luxembourg/Luxemburg</w:t>
              </w:r>
            </w:ins>
          </w:p>
          <w:p w14:paraId="25CBA82E" w14:textId="77777777" w:rsidR="00585EFC" w:rsidRPr="00575208" w:rsidRDefault="00585EFC" w:rsidP="0078290D">
            <w:pPr>
              <w:keepNext/>
              <w:rPr>
                <w:lang w:val="fr-FR"/>
              </w:rPr>
            </w:pPr>
            <w:r w:rsidRPr="00575208">
              <w:rPr>
                <w:lang w:val="fr-FR"/>
              </w:rPr>
              <w:t>N.V. Roche S.A.</w:t>
            </w:r>
          </w:p>
          <w:p w14:paraId="54BD9C1B" w14:textId="77777777" w:rsidR="009E5301" w:rsidRPr="009E5301" w:rsidRDefault="009E5301" w:rsidP="009E5301">
            <w:pPr>
              <w:rPr>
                <w:ins w:id="2787" w:author="AUTHOR"/>
                <w:szCs w:val="22"/>
                <w:lang w:val="en-GB"/>
              </w:rPr>
            </w:pPr>
            <w:ins w:id="2788" w:author="AUTHOR">
              <w:r w:rsidRPr="009E5301">
                <w:rPr>
                  <w:bCs/>
                  <w:noProof/>
                  <w:szCs w:val="22"/>
                  <w:lang w:val="fr-FR"/>
                </w:rPr>
                <w:t>België/Belgique/Belgien</w:t>
              </w:r>
            </w:ins>
          </w:p>
          <w:p w14:paraId="10FFBA44" w14:textId="77777777" w:rsidR="00585EFC" w:rsidRPr="00575208" w:rsidRDefault="00585EFC" w:rsidP="0078290D">
            <w:pPr>
              <w:keepNext/>
              <w:rPr>
                <w:b/>
                <w:lang w:val="fr-FR"/>
              </w:rPr>
            </w:pPr>
            <w:r w:rsidRPr="00575208">
              <w:rPr>
                <w:lang w:val="fr-FR"/>
              </w:rPr>
              <w:t>Tél/Tel: +32 (0) 2 525 82 11</w:t>
            </w:r>
          </w:p>
        </w:tc>
        <w:tc>
          <w:tcPr>
            <w:tcW w:w="4590" w:type="dxa"/>
            <w:tcPrChange w:id="2789" w:author="AUTHOR">
              <w:tcPr>
                <w:tcW w:w="4590" w:type="dxa"/>
                <w:gridSpan w:val="2"/>
              </w:tcPr>
            </w:tcPrChange>
          </w:tcPr>
          <w:p w14:paraId="535E9EEE" w14:textId="77777777" w:rsidR="009E5301" w:rsidRPr="009E5301" w:rsidRDefault="009E5301" w:rsidP="009E5301">
            <w:pPr>
              <w:rPr>
                <w:ins w:id="2790" w:author="AUTHOR"/>
                <w:b/>
                <w:noProof/>
                <w:szCs w:val="22"/>
                <w:lang w:val="it-IT"/>
              </w:rPr>
            </w:pPr>
            <w:ins w:id="2791" w:author="AUTHOR">
              <w:r w:rsidRPr="009E5301">
                <w:rPr>
                  <w:b/>
                  <w:noProof/>
                  <w:szCs w:val="22"/>
                  <w:lang w:val="it-IT"/>
                </w:rPr>
                <w:t>Latvija</w:t>
              </w:r>
            </w:ins>
          </w:p>
          <w:p w14:paraId="7003DFCF" w14:textId="77777777" w:rsidR="009E5301" w:rsidRPr="009E5301" w:rsidRDefault="009E5301" w:rsidP="009E5301">
            <w:pPr>
              <w:rPr>
                <w:ins w:id="2792" w:author="AUTHOR"/>
                <w:noProof/>
                <w:szCs w:val="22"/>
                <w:lang w:val="it-IT"/>
              </w:rPr>
            </w:pPr>
            <w:ins w:id="2793" w:author="AUTHOR">
              <w:r w:rsidRPr="009E5301">
                <w:rPr>
                  <w:bCs/>
                  <w:noProof/>
                  <w:szCs w:val="22"/>
                  <w:lang w:val="it-IT"/>
                </w:rPr>
                <w:t>Roche Latvija SIA</w:t>
              </w:r>
            </w:ins>
          </w:p>
          <w:p w14:paraId="5FADEFC0" w14:textId="77777777" w:rsidR="009E5301" w:rsidRPr="009E5301" w:rsidRDefault="009E5301" w:rsidP="009E5301">
            <w:pPr>
              <w:rPr>
                <w:ins w:id="2794" w:author="AUTHOR"/>
                <w:noProof/>
                <w:szCs w:val="22"/>
                <w:lang w:val="it-IT"/>
              </w:rPr>
            </w:pPr>
            <w:ins w:id="2795" w:author="AUTHOR">
              <w:r w:rsidRPr="009E5301">
                <w:rPr>
                  <w:noProof/>
                  <w:szCs w:val="22"/>
                  <w:lang w:val="it-IT"/>
                </w:rPr>
                <w:t>Tel: +371 - 6 7039831</w:t>
              </w:r>
            </w:ins>
          </w:p>
          <w:p w14:paraId="3D998D1B" w14:textId="77D8BA42" w:rsidR="00585EFC" w:rsidRPr="00C555F2" w:rsidDel="009E5301" w:rsidRDefault="00585EFC" w:rsidP="0078290D">
            <w:pPr>
              <w:keepNext/>
              <w:rPr>
                <w:del w:id="2796" w:author="AUTHOR"/>
                <w:lang w:val="de-DE"/>
              </w:rPr>
            </w:pPr>
            <w:del w:id="2797" w:author="AUTHOR">
              <w:r w:rsidRPr="00C555F2" w:rsidDel="009E5301">
                <w:rPr>
                  <w:b/>
                  <w:lang w:val="de-DE"/>
                </w:rPr>
                <w:delText>Lietuva</w:delText>
              </w:r>
            </w:del>
          </w:p>
          <w:p w14:paraId="46C72CCF" w14:textId="166F80AC" w:rsidR="00585EFC" w:rsidRPr="00575208" w:rsidDel="009E5301" w:rsidRDefault="00585EFC" w:rsidP="0078290D">
            <w:pPr>
              <w:keepNext/>
              <w:rPr>
                <w:del w:id="2798" w:author="AUTHOR"/>
                <w:lang w:val="fi-FI"/>
              </w:rPr>
            </w:pPr>
            <w:del w:id="2799" w:author="AUTHOR">
              <w:r w:rsidRPr="00C555F2" w:rsidDel="009E5301">
                <w:rPr>
                  <w:lang w:val="de-DE"/>
                </w:rPr>
                <w:delText>UAB “Roche Lietuva”</w:delText>
              </w:r>
            </w:del>
          </w:p>
          <w:p w14:paraId="620EDF88" w14:textId="302D24F7" w:rsidR="00585EFC" w:rsidRPr="00C555F2" w:rsidDel="009E5301" w:rsidRDefault="00585EFC" w:rsidP="0078290D">
            <w:pPr>
              <w:keepNext/>
              <w:rPr>
                <w:del w:id="2800" w:author="AUTHOR"/>
                <w:lang w:val="de-DE"/>
              </w:rPr>
            </w:pPr>
            <w:del w:id="2801" w:author="AUTHOR">
              <w:r w:rsidRPr="00C555F2" w:rsidDel="009E5301">
                <w:rPr>
                  <w:lang w:val="de-DE"/>
                </w:rPr>
                <w:delText>Tel: +370</w:delText>
              </w:r>
              <w:r w:rsidRPr="00575208" w:rsidDel="009E5301">
                <w:rPr>
                  <w:lang w:val="fi-FI"/>
                </w:rPr>
                <w:delText xml:space="preserve"> 5 </w:delText>
              </w:r>
              <w:r w:rsidRPr="00C555F2" w:rsidDel="009E5301">
                <w:rPr>
                  <w:lang w:val="de-DE"/>
                </w:rPr>
                <w:delText>2546799</w:delText>
              </w:r>
            </w:del>
          </w:p>
          <w:p w14:paraId="6FA2588B" w14:textId="7F829FDA" w:rsidR="00585EFC" w:rsidRPr="00575208" w:rsidDel="009E5301" w:rsidRDefault="00585EFC" w:rsidP="0078290D">
            <w:pPr>
              <w:keepNext/>
              <w:rPr>
                <w:del w:id="2802" w:author="AUTHOR"/>
                <w:b/>
                <w:bCs/>
                <w:lang w:val="de-DE"/>
              </w:rPr>
            </w:pPr>
          </w:p>
          <w:p w14:paraId="422BBB2A" w14:textId="2B2E6453" w:rsidR="00585EFC" w:rsidRPr="00575208" w:rsidDel="009E5301" w:rsidRDefault="00585EFC" w:rsidP="0078290D">
            <w:pPr>
              <w:keepNext/>
              <w:rPr>
                <w:del w:id="2803" w:author="AUTHOR"/>
                <w:lang w:val="de-DE"/>
              </w:rPr>
            </w:pPr>
            <w:del w:id="2804" w:author="AUTHOR">
              <w:r w:rsidRPr="00575208" w:rsidDel="009E5301">
                <w:rPr>
                  <w:b/>
                  <w:bCs/>
                  <w:lang w:val="de-DE"/>
                </w:rPr>
                <w:delText>Luxembourg/Luxemburg</w:delText>
              </w:r>
            </w:del>
          </w:p>
          <w:p w14:paraId="22B81F0A" w14:textId="75F1FC88" w:rsidR="00585EFC" w:rsidRPr="00575208" w:rsidDel="009E5301" w:rsidRDefault="00585EFC" w:rsidP="0078290D">
            <w:pPr>
              <w:keepNext/>
              <w:rPr>
                <w:del w:id="2805" w:author="AUTHOR"/>
                <w:lang w:val="de-DE"/>
              </w:rPr>
            </w:pPr>
            <w:del w:id="2806" w:author="AUTHOR">
              <w:r w:rsidRPr="00575208" w:rsidDel="009E5301">
                <w:rPr>
                  <w:lang w:val="de-DE"/>
                </w:rPr>
                <w:delText>(Voir/siehe Belgique/Belgien)</w:delText>
              </w:r>
            </w:del>
          </w:p>
          <w:p w14:paraId="0C8B81E0" w14:textId="77777777" w:rsidR="00585EFC" w:rsidRPr="00575208" w:rsidRDefault="00585EFC" w:rsidP="009E5301">
            <w:pPr>
              <w:keepNext/>
              <w:rPr>
                <w:b/>
                <w:lang w:val="de-CH"/>
              </w:rPr>
            </w:pPr>
          </w:p>
        </w:tc>
      </w:tr>
      <w:tr w:rsidR="00585EFC" w:rsidRPr="00575208" w14:paraId="0D25B1E8" w14:textId="77777777" w:rsidTr="00467FFD">
        <w:trPr>
          <w:cantSplit/>
          <w:trPrChange w:id="2807" w:author="AUTHOR">
            <w:trPr>
              <w:gridAfter w:val="0"/>
              <w:cantSplit/>
            </w:trPr>
          </w:trPrChange>
        </w:trPr>
        <w:tc>
          <w:tcPr>
            <w:tcW w:w="4590" w:type="dxa"/>
            <w:tcPrChange w:id="2808" w:author="AUTHOR">
              <w:tcPr>
                <w:tcW w:w="4590" w:type="dxa"/>
                <w:gridSpan w:val="2"/>
              </w:tcPr>
            </w:tcPrChange>
          </w:tcPr>
          <w:p w14:paraId="7199E5B1" w14:textId="77777777" w:rsidR="00585EFC" w:rsidRPr="00575208" w:rsidRDefault="00585EFC" w:rsidP="0072377D">
            <w:pPr>
              <w:rPr>
                <w:b/>
                <w:bCs/>
                <w:lang w:val="bg-BG"/>
              </w:rPr>
            </w:pPr>
            <w:r w:rsidRPr="00575208">
              <w:rPr>
                <w:b/>
                <w:bCs/>
                <w:lang w:val="es-ES_tradnl"/>
              </w:rPr>
              <w:t>България</w:t>
            </w:r>
          </w:p>
          <w:p w14:paraId="380D99FB" w14:textId="77777777" w:rsidR="00585EFC" w:rsidRPr="00575208" w:rsidRDefault="00585EFC" w:rsidP="0072377D">
            <w:pPr>
              <w:rPr>
                <w:lang w:val="de-CH"/>
              </w:rPr>
            </w:pPr>
            <w:r w:rsidRPr="00575208">
              <w:rPr>
                <w:lang w:val="es-ES_tradnl"/>
              </w:rPr>
              <w:t>Рош</w:t>
            </w:r>
            <w:r w:rsidRPr="00575208">
              <w:rPr>
                <w:lang w:val="de-CH"/>
              </w:rPr>
              <w:t xml:space="preserve"> </w:t>
            </w:r>
            <w:r w:rsidRPr="00575208">
              <w:rPr>
                <w:lang w:val="es-ES_tradnl"/>
              </w:rPr>
              <w:t>България</w:t>
            </w:r>
            <w:r w:rsidRPr="00575208">
              <w:rPr>
                <w:lang w:val="de-CH"/>
              </w:rPr>
              <w:t xml:space="preserve"> </w:t>
            </w:r>
            <w:r w:rsidRPr="00575208">
              <w:rPr>
                <w:lang w:val="es-ES_tradnl"/>
              </w:rPr>
              <w:t>ЕООД</w:t>
            </w:r>
          </w:p>
          <w:p w14:paraId="7CD91490" w14:textId="7869B404" w:rsidR="00585EFC" w:rsidRPr="00575208" w:rsidRDefault="00616541" w:rsidP="0072377D">
            <w:pPr>
              <w:rPr>
                <w:lang w:val="de-CH"/>
              </w:rPr>
            </w:pPr>
            <w:r w:rsidRPr="00B0061A">
              <w:rPr>
                <w:noProof/>
                <w:szCs w:val="22"/>
                <w:lang w:val="en-GB"/>
              </w:rPr>
              <w:t>Тел</w:t>
            </w:r>
            <w:r w:rsidRPr="00467FFD">
              <w:rPr>
                <w:noProof/>
                <w:szCs w:val="22"/>
                <w:lang w:val="es-ES"/>
                <w:rPrChange w:id="2809" w:author="AUTHOR">
                  <w:rPr>
                    <w:noProof/>
                    <w:szCs w:val="22"/>
                  </w:rPr>
                </w:rPrChange>
              </w:rPr>
              <w:t>: +359 2 474 5444</w:t>
            </w:r>
          </w:p>
          <w:p w14:paraId="2EF6C51C" w14:textId="77777777" w:rsidR="00585EFC" w:rsidRPr="00575208" w:rsidRDefault="00585EFC" w:rsidP="0072377D">
            <w:pPr>
              <w:rPr>
                <w:lang w:val="bg-BG"/>
              </w:rPr>
            </w:pPr>
          </w:p>
        </w:tc>
        <w:tc>
          <w:tcPr>
            <w:tcW w:w="4590" w:type="dxa"/>
            <w:tcPrChange w:id="2810" w:author="AUTHOR">
              <w:tcPr>
                <w:tcW w:w="4590" w:type="dxa"/>
                <w:gridSpan w:val="2"/>
              </w:tcPr>
            </w:tcPrChange>
          </w:tcPr>
          <w:p w14:paraId="211924CF" w14:textId="77777777" w:rsidR="009E5301" w:rsidRPr="00C555F2" w:rsidRDefault="009E5301" w:rsidP="009E5301">
            <w:pPr>
              <w:keepNext/>
              <w:rPr>
                <w:ins w:id="2811" w:author="AUTHOR"/>
                <w:lang w:val="de-DE"/>
              </w:rPr>
            </w:pPr>
            <w:ins w:id="2812" w:author="AUTHOR">
              <w:r w:rsidRPr="00C555F2">
                <w:rPr>
                  <w:b/>
                  <w:lang w:val="de-DE"/>
                </w:rPr>
                <w:t>Lietuva</w:t>
              </w:r>
            </w:ins>
          </w:p>
          <w:p w14:paraId="5CA5EBFE" w14:textId="77777777" w:rsidR="009E5301" w:rsidRPr="00575208" w:rsidRDefault="009E5301" w:rsidP="009E5301">
            <w:pPr>
              <w:keepNext/>
              <w:rPr>
                <w:ins w:id="2813" w:author="AUTHOR"/>
                <w:lang w:val="fi-FI"/>
              </w:rPr>
            </w:pPr>
            <w:ins w:id="2814" w:author="AUTHOR">
              <w:r w:rsidRPr="00C555F2">
                <w:rPr>
                  <w:lang w:val="de-DE"/>
                </w:rPr>
                <w:t>UAB “Roche Lietuva”</w:t>
              </w:r>
            </w:ins>
          </w:p>
          <w:p w14:paraId="645B6476" w14:textId="77777777" w:rsidR="009E5301" w:rsidRPr="00C555F2" w:rsidRDefault="009E5301" w:rsidP="009E5301">
            <w:pPr>
              <w:keepNext/>
              <w:rPr>
                <w:ins w:id="2815" w:author="AUTHOR"/>
                <w:lang w:val="de-DE"/>
              </w:rPr>
            </w:pPr>
            <w:ins w:id="2816" w:author="AUTHOR">
              <w:r w:rsidRPr="00C555F2">
                <w:rPr>
                  <w:lang w:val="de-DE"/>
                </w:rPr>
                <w:t>Tel: +370</w:t>
              </w:r>
              <w:r w:rsidRPr="00575208">
                <w:rPr>
                  <w:lang w:val="fi-FI"/>
                </w:rPr>
                <w:t xml:space="preserve"> 5 </w:t>
              </w:r>
              <w:r w:rsidRPr="00C555F2">
                <w:rPr>
                  <w:lang w:val="de-DE"/>
                </w:rPr>
                <w:t>2546799</w:t>
              </w:r>
            </w:ins>
          </w:p>
          <w:p w14:paraId="4BF4931F" w14:textId="60102606" w:rsidR="00585EFC" w:rsidRPr="00575208" w:rsidDel="009E5301" w:rsidRDefault="00585EFC" w:rsidP="0072377D">
            <w:pPr>
              <w:rPr>
                <w:del w:id="2817" w:author="AUTHOR"/>
                <w:b/>
                <w:bCs/>
                <w:lang w:val="bg-BG"/>
              </w:rPr>
            </w:pPr>
            <w:del w:id="2818" w:author="AUTHOR">
              <w:r w:rsidRPr="00575208" w:rsidDel="009E5301">
                <w:rPr>
                  <w:b/>
                  <w:bCs/>
                </w:rPr>
                <w:delText>Magyarorsz</w:delText>
              </w:r>
              <w:r w:rsidRPr="00575208" w:rsidDel="009E5301">
                <w:rPr>
                  <w:b/>
                  <w:bCs/>
                  <w:lang w:val="bg-BG"/>
                </w:rPr>
                <w:delText>á</w:delText>
              </w:r>
              <w:r w:rsidRPr="00575208" w:rsidDel="009E5301">
                <w:rPr>
                  <w:b/>
                  <w:bCs/>
                </w:rPr>
                <w:delText>g</w:delText>
              </w:r>
            </w:del>
          </w:p>
          <w:p w14:paraId="00BCDED6" w14:textId="234411AE" w:rsidR="00585EFC" w:rsidRPr="00575208" w:rsidDel="009E5301" w:rsidRDefault="00585EFC" w:rsidP="0072377D">
            <w:pPr>
              <w:rPr>
                <w:del w:id="2819" w:author="AUTHOR"/>
                <w:lang w:val="bg-BG"/>
              </w:rPr>
            </w:pPr>
            <w:del w:id="2820" w:author="AUTHOR">
              <w:r w:rsidRPr="00575208" w:rsidDel="009E5301">
                <w:delText>Roche</w:delText>
              </w:r>
              <w:r w:rsidRPr="00575208" w:rsidDel="009E5301">
                <w:rPr>
                  <w:lang w:val="bg-BG"/>
                </w:rPr>
                <w:delText xml:space="preserve"> (</w:delText>
              </w:r>
              <w:r w:rsidRPr="00575208" w:rsidDel="009E5301">
                <w:delText>Magyarorsz</w:delText>
              </w:r>
              <w:r w:rsidRPr="00575208" w:rsidDel="009E5301">
                <w:rPr>
                  <w:lang w:val="bg-BG"/>
                </w:rPr>
                <w:delText>á</w:delText>
              </w:r>
              <w:r w:rsidRPr="00575208" w:rsidDel="009E5301">
                <w:delText>g</w:delText>
              </w:r>
              <w:r w:rsidRPr="00575208" w:rsidDel="009E5301">
                <w:rPr>
                  <w:lang w:val="bg-BG"/>
                </w:rPr>
                <w:delText xml:space="preserve">) </w:delText>
              </w:r>
              <w:r w:rsidRPr="00575208" w:rsidDel="009E5301">
                <w:delText>Kft</w:delText>
              </w:r>
              <w:r w:rsidRPr="00575208" w:rsidDel="009E5301">
                <w:rPr>
                  <w:lang w:val="bg-BG"/>
                </w:rPr>
                <w:delText>.</w:delText>
              </w:r>
            </w:del>
          </w:p>
          <w:p w14:paraId="68BD71A9" w14:textId="3B97C218" w:rsidR="00585EFC" w:rsidRPr="00575208" w:rsidDel="009E5301" w:rsidRDefault="00585EFC" w:rsidP="0072377D">
            <w:pPr>
              <w:rPr>
                <w:del w:id="2821" w:author="AUTHOR"/>
                <w:lang w:val="bg-BG"/>
              </w:rPr>
            </w:pPr>
            <w:del w:id="2822" w:author="AUTHOR">
              <w:r w:rsidRPr="00575208" w:rsidDel="009E5301">
                <w:delText>Tel</w:delText>
              </w:r>
              <w:r w:rsidRPr="00575208" w:rsidDel="009E5301">
                <w:rPr>
                  <w:lang w:val="bg-BG"/>
                </w:rPr>
                <w:delText xml:space="preserve">: +36 - </w:delText>
              </w:r>
              <w:r w:rsidR="0085789E" w:rsidRPr="000C4151" w:rsidDel="009E5301">
                <w:rPr>
                  <w:noProof/>
                  <w:szCs w:val="22"/>
                  <w:lang w:val="cs-CZ"/>
                </w:rPr>
                <w:delText>1 279 4500</w:delText>
              </w:r>
            </w:del>
          </w:p>
          <w:p w14:paraId="46BE49E5" w14:textId="77777777" w:rsidR="00585EFC" w:rsidRPr="00575208" w:rsidRDefault="00585EFC" w:rsidP="009E5301">
            <w:pPr>
              <w:rPr>
                <w:lang w:val="bg-BG"/>
              </w:rPr>
            </w:pPr>
          </w:p>
        </w:tc>
      </w:tr>
      <w:tr w:rsidR="00585EFC" w:rsidRPr="00575208" w14:paraId="3D2687C0" w14:textId="77777777" w:rsidTr="00467FFD">
        <w:trPr>
          <w:cantSplit/>
          <w:trPrChange w:id="2823" w:author="AUTHOR">
            <w:trPr>
              <w:gridAfter w:val="0"/>
              <w:cantSplit/>
            </w:trPr>
          </w:trPrChange>
        </w:trPr>
        <w:tc>
          <w:tcPr>
            <w:tcW w:w="4590" w:type="dxa"/>
            <w:tcPrChange w:id="2824" w:author="AUTHOR">
              <w:tcPr>
                <w:tcW w:w="4590" w:type="dxa"/>
                <w:gridSpan w:val="2"/>
              </w:tcPr>
            </w:tcPrChange>
          </w:tcPr>
          <w:p w14:paraId="7A26D157" w14:textId="77777777" w:rsidR="00585EFC" w:rsidRPr="00575208" w:rsidRDefault="00585EFC" w:rsidP="0072377D">
            <w:pPr>
              <w:rPr>
                <w:b/>
                <w:bCs/>
                <w:lang w:val="de-DE"/>
              </w:rPr>
            </w:pPr>
            <w:r w:rsidRPr="00575208">
              <w:rPr>
                <w:b/>
                <w:bCs/>
                <w:lang w:val="de-DE"/>
              </w:rPr>
              <w:t>Česká republika</w:t>
            </w:r>
          </w:p>
          <w:p w14:paraId="3E3A026C" w14:textId="77777777" w:rsidR="00585EFC" w:rsidRPr="00575208" w:rsidRDefault="00585EFC" w:rsidP="0072377D">
            <w:pPr>
              <w:rPr>
                <w:lang w:val="de-DE"/>
              </w:rPr>
            </w:pPr>
            <w:r w:rsidRPr="00575208">
              <w:rPr>
                <w:lang w:val="de-DE"/>
              </w:rPr>
              <w:t>Roche s. r. o.</w:t>
            </w:r>
          </w:p>
          <w:p w14:paraId="527BC0F9" w14:textId="77777777" w:rsidR="00585EFC" w:rsidRDefault="00585EFC" w:rsidP="0072377D">
            <w:pPr>
              <w:rPr>
                <w:lang w:val="de-DE"/>
              </w:rPr>
            </w:pPr>
            <w:r w:rsidRPr="00575208">
              <w:rPr>
                <w:lang w:val="de-DE"/>
              </w:rPr>
              <w:t>Tel: +420 - 2 20382111</w:t>
            </w:r>
          </w:p>
          <w:p w14:paraId="70A70531" w14:textId="77777777" w:rsidR="00435911" w:rsidRPr="00575208" w:rsidRDefault="00435911" w:rsidP="0072377D">
            <w:pPr>
              <w:rPr>
                <w:lang w:val="de-DE"/>
              </w:rPr>
            </w:pPr>
          </w:p>
        </w:tc>
        <w:tc>
          <w:tcPr>
            <w:tcW w:w="4590" w:type="dxa"/>
            <w:tcPrChange w:id="2825" w:author="AUTHOR">
              <w:tcPr>
                <w:tcW w:w="4590" w:type="dxa"/>
                <w:gridSpan w:val="2"/>
              </w:tcPr>
            </w:tcPrChange>
          </w:tcPr>
          <w:p w14:paraId="2A638AE8" w14:textId="77777777" w:rsidR="009E5301" w:rsidRPr="00575208" w:rsidRDefault="009E5301" w:rsidP="009E5301">
            <w:pPr>
              <w:rPr>
                <w:ins w:id="2826" w:author="AUTHOR"/>
                <w:b/>
                <w:bCs/>
                <w:lang w:val="bg-BG"/>
              </w:rPr>
            </w:pPr>
            <w:ins w:id="2827" w:author="AUTHOR">
              <w:r w:rsidRPr="00575208">
                <w:rPr>
                  <w:b/>
                  <w:bCs/>
                </w:rPr>
                <w:t>Magyarorsz</w:t>
              </w:r>
              <w:r w:rsidRPr="00575208">
                <w:rPr>
                  <w:b/>
                  <w:bCs/>
                  <w:lang w:val="bg-BG"/>
                </w:rPr>
                <w:t>á</w:t>
              </w:r>
              <w:r w:rsidRPr="00575208">
                <w:rPr>
                  <w:b/>
                  <w:bCs/>
                </w:rPr>
                <w:t>g</w:t>
              </w:r>
            </w:ins>
          </w:p>
          <w:p w14:paraId="47D4B7BA" w14:textId="77777777" w:rsidR="009E5301" w:rsidRPr="00575208" w:rsidRDefault="009E5301" w:rsidP="009E5301">
            <w:pPr>
              <w:rPr>
                <w:ins w:id="2828" w:author="AUTHOR"/>
                <w:lang w:val="bg-BG"/>
              </w:rPr>
            </w:pPr>
            <w:ins w:id="2829" w:author="AUTHOR">
              <w:r w:rsidRPr="00575208">
                <w:t>Roche</w:t>
              </w:r>
              <w:r w:rsidRPr="00575208">
                <w:rPr>
                  <w:lang w:val="bg-BG"/>
                </w:rPr>
                <w:t xml:space="preserve"> (</w:t>
              </w:r>
              <w:r w:rsidRPr="00575208">
                <w:t>Magyarorsz</w:t>
              </w:r>
              <w:r w:rsidRPr="00575208">
                <w:rPr>
                  <w:lang w:val="bg-BG"/>
                </w:rPr>
                <w:t>á</w:t>
              </w:r>
              <w:r w:rsidRPr="00575208">
                <w:t>g</w:t>
              </w:r>
              <w:r w:rsidRPr="00575208">
                <w:rPr>
                  <w:lang w:val="bg-BG"/>
                </w:rPr>
                <w:t xml:space="preserve">) </w:t>
              </w:r>
              <w:r w:rsidRPr="00575208">
                <w:t>Kft</w:t>
              </w:r>
              <w:r w:rsidRPr="00575208">
                <w:rPr>
                  <w:lang w:val="bg-BG"/>
                </w:rPr>
                <w:t>.</w:t>
              </w:r>
            </w:ins>
          </w:p>
          <w:p w14:paraId="4699456B" w14:textId="77777777" w:rsidR="009E5301" w:rsidRPr="00575208" w:rsidRDefault="009E5301" w:rsidP="009E5301">
            <w:pPr>
              <w:rPr>
                <w:ins w:id="2830" w:author="AUTHOR"/>
                <w:lang w:val="bg-BG"/>
              </w:rPr>
            </w:pPr>
            <w:ins w:id="2831" w:author="AUTHOR">
              <w:r w:rsidRPr="00575208">
                <w:t>Tel</w:t>
              </w:r>
              <w:r w:rsidRPr="00575208">
                <w:rPr>
                  <w:lang w:val="bg-BG"/>
                </w:rPr>
                <w:t xml:space="preserve">: +36 - </w:t>
              </w:r>
              <w:r w:rsidRPr="000C4151">
                <w:rPr>
                  <w:noProof/>
                  <w:szCs w:val="22"/>
                  <w:lang w:val="cs-CZ"/>
                </w:rPr>
                <w:t>1 279 4500</w:t>
              </w:r>
            </w:ins>
          </w:p>
          <w:p w14:paraId="527F28DA" w14:textId="1B84179B" w:rsidR="00585EFC" w:rsidRPr="00575208" w:rsidDel="009E5301" w:rsidRDefault="00585EFC" w:rsidP="0072377D">
            <w:pPr>
              <w:rPr>
                <w:del w:id="2832" w:author="AUTHOR"/>
                <w:b/>
                <w:lang w:val="en-GB"/>
              </w:rPr>
            </w:pPr>
            <w:del w:id="2833" w:author="AUTHOR">
              <w:r w:rsidRPr="00575208" w:rsidDel="009E5301">
                <w:rPr>
                  <w:b/>
                  <w:lang w:val="en-GB"/>
                </w:rPr>
                <w:delText>Malta</w:delText>
              </w:r>
            </w:del>
          </w:p>
          <w:p w14:paraId="734F1D5E" w14:textId="358A48EF" w:rsidR="00585EFC" w:rsidRPr="00575208" w:rsidRDefault="00E155F7" w:rsidP="0072377D">
            <w:del w:id="2834" w:author="AUTHOR">
              <w:r w:rsidDel="009E5301">
                <w:rPr>
                  <w:noProof/>
                </w:rPr>
                <w:delText>(See Ireland)</w:delText>
              </w:r>
            </w:del>
          </w:p>
        </w:tc>
      </w:tr>
      <w:tr w:rsidR="00585EFC" w:rsidRPr="00575208" w14:paraId="42CD4A12" w14:textId="77777777" w:rsidTr="00467FFD">
        <w:trPr>
          <w:cantSplit/>
          <w:trPrChange w:id="2835" w:author="AUTHOR">
            <w:trPr>
              <w:gridAfter w:val="0"/>
              <w:cantSplit/>
            </w:trPr>
          </w:trPrChange>
        </w:trPr>
        <w:tc>
          <w:tcPr>
            <w:tcW w:w="4590" w:type="dxa"/>
            <w:tcPrChange w:id="2836" w:author="AUTHOR">
              <w:tcPr>
                <w:tcW w:w="4590" w:type="dxa"/>
                <w:gridSpan w:val="2"/>
              </w:tcPr>
            </w:tcPrChange>
          </w:tcPr>
          <w:p w14:paraId="0A329A1C" w14:textId="77777777" w:rsidR="00585EFC" w:rsidRPr="00575208" w:rsidRDefault="00585EFC" w:rsidP="0072377D">
            <w:r w:rsidRPr="00575208">
              <w:rPr>
                <w:b/>
                <w:bCs/>
              </w:rPr>
              <w:t>Danmark</w:t>
            </w:r>
          </w:p>
          <w:p w14:paraId="524ED0FA" w14:textId="77777777" w:rsidR="00585EFC" w:rsidRPr="00575208" w:rsidRDefault="00585EFC" w:rsidP="0072377D">
            <w:r w:rsidRPr="00575208">
              <w:t xml:space="preserve">Roche </w:t>
            </w:r>
            <w:r w:rsidR="00435911">
              <w:rPr>
                <w:noProof/>
              </w:rPr>
              <w:t>Pharmaceuticals A/S</w:t>
            </w:r>
          </w:p>
          <w:p w14:paraId="34B3F87D" w14:textId="77777777" w:rsidR="00585EFC" w:rsidRPr="00575208" w:rsidRDefault="00585EFC" w:rsidP="0072377D">
            <w:r w:rsidRPr="00575208">
              <w:t>Tlf: +45 - 36 39 99 99</w:t>
            </w:r>
          </w:p>
          <w:p w14:paraId="77509BF0" w14:textId="77777777" w:rsidR="00585EFC" w:rsidRPr="00575208" w:rsidRDefault="00585EFC" w:rsidP="0072377D">
            <w:pPr>
              <w:rPr>
                <w:b/>
                <w:lang w:val="en-GB"/>
              </w:rPr>
            </w:pPr>
          </w:p>
        </w:tc>
        <w:tc>
          <w:tcPr>
            <w:tcW w:w="4590" w:type="dxa"/>
            <w:tcPrChange w:id="2837" w:author="AUTHOR">
              <w:tcPr>
                <w:tcW w:w="4590" w:type="dxa"/>
                <w:gridSpan w:val="2"/>
              </w:tcPr>
            </w:tcPrChange>
          </w:tcPr>
          <w:p w14:paraId="6A7B3FCB" w14:textId="77777777" w:rsidR="00585EFC" w:rsidRPr="00575208" w:rsidRDefault="00585EFC" w:rsidP="0072377D">
            <w:pPr>
              <w:rPr>
                <w:lang w:val="nl-NL"/>
              </w:rPr>
            </w:pPr>
            <w:r w:rsidRPr="00575208">
              <w:rPr>
                <w:b/>
                <w:bCs/>
                <w:lang w:val="nl-NL"/>
              </w:rPr>
              <w:t>Nederland</w:t>
            </w:r>
          </w:p>
          <w:p w14:paraId="154B4775" w14:textId="77777777" w:rsidR="00585EFC" w:rsidRPr="00575208" w:rsidRDefault="00585EFC" w:rsidP="0072377D">
            <w:pPr>
              <w:rPr>
                <w:lang w:val="nl-NL"/>
              </w:rPr>
            </w:pPr>
            <w:r w:rsidRPr="00575208">
              <w:rPr>
                <w:lang w:val="nl-NL"/>
              </w:rPr>
              <w:t>Roche Nederland B.V.</w:t>
            </w:r>
          </w:p>
          <w:p w14:paraId="04011EE3" w14:textId="77777777" w:rsidR="00585EFC" w:rsidRPr="00575208" w:rsidRDefault="00585EFC" w:rsidP="0072377D">
            <w:pPr>
              <w:rPr>
                <w:lang w:val="es-ES"/>
              </w:rPr>
            </w:pPr>
            <w:r w:rsidRPr="00575208">
              <w:rPr>
                <w:lang w:val="es-ES_tradnl"/>
              </w:rPr>
              <w:t>Tel:</w:t>
            </w:r>
            <w:r w:rsidRPr="00575208">
              <w:rPr>
                <w:lang w:val="es-ES"/>
              </w:rPr>
              <w:t xml:space="preserve"> +31 (0) 348 438050</w:t>
            </w:r>
          </w:p>
          <w:p w14:paraId="3A0A939A" w14:textId="77777777" w:rsidR="00585EFC" w:rsidRPr="00575208" w:rsidRDefault="00585EFC" w:rsidP="0072377D">
            <w:pPr>
              <w:rPr>
                <w:lang w:val="en-GB"/>
              </w:rPr>
            </w:pPr>
          </w:p>
        </w:tc>
      </w:tr>
      <w:tr w:rsidR="00585EFC" w:rsidRPr="00575208" w14:paraId="6C542943" w14:textId="77777777" w:rsidTr="00467FFD">
        <w:trPr>
          <w:cantSplit/>
          <w:trPrChange w:id="2838" w:author="AUTHOR">
            <w:trPr>
              <w:gridAfter w:val="0"/>
              <w:cantSplit/>
            </w:trPr>
          </w:trPrChange>
        </w:trPr>
        <w:tc>
          <w:tcPr>
            <w:tcW w:w="4590" w:type="dxa"/>
            <w:tcPrChange w:id="2839" w:author="AUTHOR">
              <w:tcPr>
                <w:tcW w:w="4590" w:type="dxa"/>
                <w:gridSpan w:val="2"/>
              </w:tcPr>
            </w:tcPrChange>
          </w:tcPr>
          <w:p w14:paraId="589F672F" w14:textId="77777777" w:rsidR="00585EFC" w:rsidRPr="00575208" w:rsidRDefault="00585EFC" w:rsidP="0072377D">
            <w:pPr>
              <w:rPr>
                <w:lang w:val="de-DE"/>
              </w:rPr>
            </w:pPr>
            <w:r w:rsidRPr="00575208">
              <w:rPr>
                <w:b/>
                <w:lang w:val="de-DE"/>
              </w:rPr>
              <w:t>Deutschland</w:t>
            </w:r>
          </w:p>
          <w:p w14:paraId="76465D53" w14:textId="77777777" w:rsidR="00585EFC" w:rsidRPr="00575208" w:rsidRDefault="00585EFC" w:rsidP="0072377D">
            <w:pPr>
              <w:rPr>
                <w:lang w:val="de-CH"/>
              </w:rPr>
            </w:pPr>
            <w:r w:rsidRPr="00575208">
              <w:rPr>
                <w:lang w:val="de-CH"/>
              </w:rPr>
              <w:t>Roche Pharma AG</w:t>
            </w:r>
          </w:p>
          <w:p w14:paraId="04771E89" w14:textId="77777777" w:rsidR="00585EFC" w:rsidRPr="00575208" w:rsidRDefault="00585EFC" w:rsidP="0072377D">
            <w:pPr>
              <w:rPr>
                <w:lang w:val="de-CH"/>
              </w:rPr>
            </w:pPr>
            <w:r w:rsidRPr="00575208">
              <w:rPr>
                <w:lang w:val="de-CH"/>
              </w:rPr>
              <w:t>Tel: +49 (0) 7624 140</w:t>
            </w:r>
          </w:p>
          <w:p w14:paraId="68DB181A" w14:textId="77777777" w:rsidR="00585EFC" w:rsidRPr="00575208" w:rsidRDefault="00585EFC" w:rsidP="00293699">
            <w:pPr>
              <w:rPr>
                <w:b/>
                <w:lang w:val="de-DE"/>
              </w:rPr>
            </w:pPr>
          </w:p>
        </w:tc>
        <w:tc>
          <w:tcPr>
            <w:tcW w:w="4590" w:type="dxa"/>
            <w:tcPrChange w:id="2840" w:author="AUTHOR">
              <w:tcPr>
                <w:tcW w:w="4590" w:type="dxa"/>
                <w:gridSpan w:val="2"/>
              </w:tcPr>
            </w:tcPrChange>
          </w:tcPr>
          <w:p w14:paraId="38388F56" w14:textId="77777777" w:rsidR="00585EFC" w:rsidRPr="00575208" w:rsidRDefault="00585EFC" w:rsidP="0072377D">
            <w:pPr>
              <w:rPr>
                <w:b/>
                <w:bCs/>
              </w:rPr>
            </w:pPr>
            <w:r w:rsidRPr="00575208">
              <w:rPr>
                <w:b/>
                <w:bCs/>
              </w:rPr>
              <w:t>Norge</w:t>
            </w:r>
          </w:p>
          <w:p w14:paraId="6CDFB3AD" w14:textId="77777777" w:rsidR="00585EFC" w:rsidRPr="00575208" w:rsidRDefault="00585EFC" w:rsidP="0072377D">
            <w:r w:rsidRPr="00575208">
              <w:t>Roche Norge AS</w:t>
            </w:r>
          </w:p>
          <w:p w14:paraId="5CFCE117" w14:textId="77777777" w:rsidR="00585EFC" w:rsidRPr="00575208" w:rsidRDefault="00585EFC" w:rsidP="0072377D">
            <w:pPr>
              <w:rPr>
                <w:lang w:val="en-GB"/>
              </w:rPr>
            </w:pPr>
            <w:r w:rsidRPr="00575208">
              <w:t>Tlf: +47 - 22 78 90 00</w:t>
            </w:r>
          </w:p>
        </w:tc>
      </w:tr>
      <w:tr w:rsidR="00585EFC" w:rsidRPr="001335A4" w14:paraId="69F3576F" w14:textId="77777777" w:rsidTr="00467FFD">
        <w:trPr>
          <w:cantSplit/>
          <w:trPrChange w:id="2841" w:author="AUTHOR">
            <w:trPr>
              <w:gridAfter w:val="0"/>
              <w:cantSplit/>
            </w:trPr>
          </w:trPrChange>
        </w:trPr>
        <w:tc>
          <w:tcPr>
            <w:tcW w:w="4590" w:type="dxa"/>
            <w:tcPrChange w:id="2842" w:author="AUTHOR">
              <w:tcPr>
                <w:tcW w:w="4590" w:type="dxa"/>
                <w:gridSpan w:val="2"/>
              </w:tcPr>
            </w:tcPrChange>
          </w:tcPr>
          <w:p w14:paraId="73BFDD7B" w14:textId="206A9733" w:rsidR="00585EFC" w:rsidRPr="00575208" w:rsidRDefault="00585EFC" w:rsidP="0072377D">
            <w:pPr>
              <w:rPr>
                <w:b/>
                <w:bCs/>
                <w:lang w:val="it-IT"/>
              </w:rPr>
            </w:pPr>
            <w:r w:rsidRPr="00575208">
              <w:rPr>
                <w:b/>
                <w:bCs/>
                <w:lang w:val="it-IT"/>
              </w:rPr>
              <w:t>Eesti</w:t>
            </w:r>
          </w:p>
          <w:p w14:paraId="22A0B87D" w14:textId="77777777" w:rsidR="00585EFC" w:rsidRPr="00575208" w:rsidRDefault="00585EFC" w:rsidP="0072377D">
            <w:pPr>
              <w:rPr>
                <w:lang w:val="it-IT"/>
              </w:rPr>
            </w:pPr>
            <w:r w:rsidRPr="00575208">
              <w:rPr>
                <w:lang w:val="it-IT"/>
              </w:rPr>
              <w:t>Roche Eesti OÜ</w:t>
            </w:r>
          </w:p>
          <w:p w14:paraId="0AD2502E" w14:textId="77777777" w:rsidR="00585EFC" w:rsidRPr="00575208" w:rsidRDefault="00585EFC" w:rsidP="0072377D">
            <w:pPr>
              <w:rPr>
                <w:lang w:val="it-IT"/>
              </w:rPr>
            </w:pPr>
            <w:r w:rsidRPr="00575208">
              <w:rPr>
                <w:lang w:val="it-IT"/>
              </w:rPr>
              <w:t>Tel: + 372 - 6 177 380</w:t>
            </w:r>
          </w:p>
          <w:p w14:paraId="415AB41A" w14:textId="77777777" w:rsidR="00585EFC" w:rsidRPr="00575208" w:rsidRDefault="00585EFC" w:rsidP="0072377D">
            <w:pPr>
              <w:rPr>
                <w:lang w:val="it-IT"/>
              </w:rPr>
            </w:pPr>
          </w:p>
        </w:tc>
        <w:tc>
          <w:tcPr>
            <w:tcW w:w="4590" w:type="dxa"/>
            <w:tcPrChange w:id="2843" w:author="AUTHOR">
              <w:tcPr>
                <w:tcW w:w="4590" w:type="dxa"/>
                <w:gridSpan w:val="2"/>
              </w:tcPr>
            </w:tcPrChange>
          </w:tcPr>
          <w:p w14:paraId="4FBC168C" w14:textId="77777777" w:rsidR="00585EFC" w:rsidRPr="00575208" w:rsidRDefault="00585EFC" w:rsidP="0072377D">
            <w:pPr>
              <w:rPr>
                <w:lang w:val="de-DE"/>
              </w:rPr>
            </w:pPr>
            <w:r w:rsidRPr="00575208">
              <w:rPr>
                <w:b/>
                <w:bCs/>
                <w:lang w:val="de-DE"/>
              </w:rPr>
              <w:t>Österreich</w:t>
            </w:r>
          </w:p>
          <w:p w14:paraId="7DB9CF2C" w14:textId="77777777" w:rsidR="00585EFC" w:rsidRPr="00575208" w:rsidRDefault="00585EFC" w:rsidP="0072377D">
            <w:pPr>
              <w:rPr>
                <w:lang w:val="de-DE"/>
              </w:rPr>
            </w:pPr>
            <w:r w:rsidRPr="00575208">
              <w:rPr>
                <w:lang w:val="de-DE"/>
              </w:rPr>
              <w:t>Roche Austria GmbH</w:t>
            </w:r>
          </w:p>
          <w:p w14:paraId="5C4DD4C7" w14:textId="77777777" w:rsidR="00585EFC" w:rsidRPr="00575208" w:rsidRDefault="00585EFC" w:rsidP="0072377D">
            <w:pPr>
              <w:rPr>
                <w:lang w:val="de-DE"/>
              </w:rPr>
            </w:pPr>
            <w:r w:rsidRPr="00575208">
              <w:rPr>
                <w:lang w:val="de-DE"/>
              </w:rPr>
              <w:t>Tel: +43 (0) 1 27739</w:t>
            </w:r>
          </w:p>
          <w:p w14:paraId="30E8B1A2" w14:textId="77777777" w:rsidR="00585EFC" w:rsidRPr="00575208" w:rsidRDefault="00585EFC" w:rsidP="0072377D">
            <w:pPr>
              <w:rPr>
                <w:lang w:val="de-DE"/>
              </w:rPr>
            </w:pPr>
          </w:p>
        </w:tc>
      </w:tr>
      <w:tr w:rsidR="00585EFC" w:rsidRPr="00575208" w14:paraId="4AB871A4" w14:textId="77777777" w:rsidTr="00467FFD">
        <w:trPr>
          <w:cantSplit/>
          <w:trPrChange w:id="2844" w:author="AUTHOR">
            <w:trPr>
              <w:gridAfter w:val="0"/>
              <w:cantSplit/>
            </w:trPr>
          </w:trPrChange>
        </w:trPr>
        <w:tc>
          <w:tcPr>
            <w:tcW w:w="4590" w:type="dxa"/>
            <w:tcPrChange w:id="2845" w:author="AUTHOR">
              <w:tcPr>
                <w:tcW w:w="4590" w:type="dxa"/>
                <w:gridSpan w:val="2"/>
              </w:tcPr>
            </w:tcPrChange>
          </w:tcPr>
          <w:p w14:paraId="376E3762" w14:textId="2F294258" w:rsidR="00585EFC" w:rsidRPr="00575208" w:rsidRDefault="00585EFC" w:rsidP="0072377D">
            <w:r w:rsidRPr="00575208">
              <w:rPr>
                <w:b/>
                <w:bCs/>
                <w:lang w:val="es-ES_tradnl"/>
              </w:rPr>
              <w:t>Ελλάδα</w:t>
            </w:r>
            <w:ins w:id="2846" w:author="AUTHOR">
              <w:r w:rsidR="009E5301" w:rsidRPr="009E5301">
                <w:rPr>
                  <w:b/>
                  <w:szCs w:val="22"/>
                  <w:lang w:val="en-GB"/>
                </w:rPr>
                <w:t>, K</w:t>
              </w:r>
              <w:r w:rsidR="009E5301" w:rsidRPr="009E5301">
                <w:rPr>
                  <w:b/>
                  <w:noProof/>
                  <w:szCs w:val="22"/>
                  <w:lang w:val="en-GB"/>
                </w:rPr>
                <w:t>ύπρος</w:t>
              </w:r>
            </w:ins>
          </w:p>
          <w:p w14:paraId="02D72DDB" w14:textId="77777777" w:rsidR="009E5301" w:rsidRDefault="00585EFC" w:rsidP="009E5301">
            <w:pPr>
              <w:rPr>
                <w:ins w:id="2847" w:author="AUTHOR"/>
              </w:rPr>
            </w:pPr>
            <w:r w:rsidRPr="00575208">
              <w:t xml:space="preserve">Roche (Hellas) A.E. </w:t>
            </w:r>
          </w:p>
          <w:p w14:paraId="1A4F8052" w14:textId="7C24F771" w:rsidR="00585EFC" w:rsidRPr="00467FFD" w:rsidRDefault="009E5301" w:rsidP="0072377D">
            <w:pPr>
              <w:rPr>
                <w:bCs/>
                <w:noProof/>
                <w:szCs w:val="22"/>
                <w:lang w:val="en-GB"/>
                <w:rPrChange w:id="2848" w:author="AUTHOR">
                  <w:rPr/>
                </w:rPrChange>
              </w:rPr>
            </w:pPr>
            <w:ins w:id="2849" w:author="AUTHOR">
              <w:r w:rsidRPr="009E5301">
                <w:rPr>
                  <w:bCs/>
                  <w:noProof/>
                  <w:szCs w:val="22"/>
                  <w:lang w:val="en-GB"/>
                </w:rPr>
                <w:t>Ελλάδα</w:t>
              </w:r>
            </w:ins>
          </w:p>
          <w:p w14:paraId="76FA9BD5" w14:textId="77777777" w:rsidR="00585EFC" w:rsidRPr="00575208" w:rsidRDefault="00585EFC" w:rsidP="0072377D">
            <w:pPr>
              <w:rPr>
                <w:lang w:val="es-ES"/>
              </w:rPr>
            </w:pPr>
            <w:r w:rsidRPr="00575208">
              <w:rPr>
                <w:lang w:val="es-ES_tradnl"/>
              </w:rPr>
              <w:t>Τηλ:</w:t>
            </w:r>
            <w:r w:rsidRPr="00575208">
              <w:rPr>
                <w:lang w:val="es-ES"/>
              </w:rPr>
              <w:t xml:space="preserve"> +30 210 61 66 100</w:t>
            </w:r>
          </w:p>
          <w:p w14:paraId="0739369D" w14:textId="77777777" w:rsidR="00585EFC" w:rsidRPr="00575208" w:rsidRDefault="00585EFC" w:rsidP="0072377D">
            <w:pPr>
              <w:rPr>
                <w:lang w:val="de-CH"/>
              </w:rPr>
            </w:pPr>
          </w:p>
        </w:tc>
        <w:tc>
          <w:tcPr>
            <w:tcW w:w="4590" w:type="dxa"/>
            <w:tcPrChange w:id="2850" w:author="AUTHOR">
              <w:tcPr>
                <w:tcW w:w="4590" w:type="dxa"/>
                <w:gridSpan w:val="2"/>
              </w:tcPr>
            </w:tcPrChange>
          </w:tcPr>
          <w:p w14:paraId="38F0DECE" w14:textId="77777777" w:rsidR="00585EFC" w:rsidRPr="00575208" w:rsidRDefault="00585EFC" w:rsidP="0072377D">
            <w:pPr>
              <w:rPr>
                <w:b/>
                <w:bCs/>
                <w:lang w:val="pl-PL"/>
              </w:rPr>
            </w:pPr>
            <w:r w:rsidRPr="00575208">
              <w:rPr>
                <w:b/>
                <w:bCs/>
                <w:lang w:val="pl-PL"/>
              </w:rPr>
              <w:t>Polska</w:t>
            </w:r>
          </w:p>
          <w:p w14:paraId="0BA06067" w14:textId="77777777" w:rsidR="00585EFC" w:rsidRPr="00575208" w:rsidRDefault="00585EFC" w:rsidP="0072377D">
            <w:pPr>
              <w:rPr>
                <w:lang w:val="pl-PL"/>
              </w:rPr>
            </w:pPr>
            <w:r w:rsidRPr="00575208">
              <w:rPr>
                <w:lang w:val="pl-PL"/>
              </w:rPr>
              <w:t>Roche Polska Sp.z o.o.</w:t>
            </w:r>
          </w:p>
          <w:p w14:paraId="229F018C" w14:textId="77777777" w:rsidR="00585EFC" w:rsidRPr="00575208" w:rsidRDefault="00585EFC" w:rsidP="0072377D">
            <w:pPr>
              <w:rPr>
                <w:lang w:val="es-ES"/>
              </w:rPr>
            </w:pPr>
            <w:r w:rsidRPr="00575208">
              <w:rPr>
                <w:lang w:val="es-ES_tradnl"/>
              </w:rPr>
              <w:t>Tel:</w:t>
            </w:r>
            <w:r w:rsidRPr="00575208">
              <w:rPr>
                <w:lang w:val="es-ES"/>
              </w:rPr>
              <w:t xml:space="preserve"> +48 - 22 345 18 88</w:t>
            </w:r>
          </w:p>
          <w:p w14:paraId="490B1F31" w14:textId="77777777" w:rsidR="00585EFC" w:rsidRPr="00575208" w:rsidRDefault="00585EFC" w:rsidP="0072377D">
            <w:pPr>
              <w:rPr>
                <w:lang w:val="de-CH"/>
              </w:rPr>
            </w:pPr>
          </w:p>
        </w:tc>
      </w:tr>
      <w:tr w:rsidR="00585EFC" w:rsidRPr="00541248" w14:paraId="1724B5BE" w14:textId="77777777" w:rsidTr="00467FFD">
        <w:trPr>
          <w:cantSplit/>
          <w:trPrChange w:id="2851" w:author="AUTHOR">
            <w:trPr>
              <w:gridAfter w:val="0"/>
              <w:cantSplit/>
            </w:trPr>
          </w:trPrChange>
        </w:trPr>
        <w:tc>
          <w:tcPr>
            <w:tcW w:w="4590" w:type="dxa"/>
            <w:tcPrChange w:id="2852" w:author="AUTHOR">
              <w:tcPr>
                <w:tcW w:w="4590" w:type="dxa"/>
                <w:gridSpan w:val="2"/>
              </w:tcPr>
            </w:tcPrChange>
          </w:tcPr>
          <w:p w14:paraId="20EC8E6D" w14:textId="77777777" w:rsidR="00585EFC" w:rsidRPr="00575208" w:rsidRDefault="00585EFC" w:rsidP="0072377D">
            <w:pPr>
              <w:rPr>
                <w:b/>
                <w:lang w:val="es-ES"/>
              </w:rPr>
            </w:pPr>
            <w:r w:rsidRPr="00575208">
              <w:rPr>
                <w:b/>
                <w:lang w:val="es-ES"/>
              </w:rPr>
              <w:lastRenderedPageBreak/>
              <w:t>España</w:t>
            </w:r>
          </w:p>
          <w:p w14:paraId="2E20AA04" w14:textId="77777777" w:rsidR="00585EFC" w:rsidRPr="00575208" w:rsidRDefault="00585EFC" w:rsidP="0072377D">
            <w:pPr>
              <w:rPr>
                <w:lang w:val="es-ES"/>
              </w:rPr>
            </w:pPr>
            <w:r w:rsidRPr="00575208">
              <w:rPr>
                <w:lang w:val="es-ES"/>
              </w:rPr>
              <w:t>Roche Farma S.A.</w:t>
            </w:r>
          </w:p>
          <w:p w14:paraId="36271AB2" w14:textId="77777777" w:rsidR="00585EFC" w:rsidRPr="00575208" w:rsidRDefault="00585EFC" w:rsidP="0072377D">
            <w:pPr>
              <w:rPr>
                <w:lang w:val="en-GB"/>
              </w:rPr>
            </w:pPr>
            <w:r w:rsidRPr="00575208">
              <w:rPr>
                <w:lang w:val="en-GB"/>
              </w:rPr>
              <w:t>Tel: +34 - 91 324 81 00</w:t>
            </w:r>
          </w:p>
          <w:p w14:paraId="1537DDD5" w14:textId="77777777" w:rsidR="00585EFC" w:rsidRPr="00575208" w:rsidRDefault="00585EFC" w:rsidP="0072377D">
            <w:pPr>
              <w:rPr>
                <w:lang w:val="en-GB"/>
              </w:rPr>
            </w:pPr>
          </w:p>
        </w:tc>
        <w:tc>
          <w:tcPr>
            <w:tcW w:w="4590" w:type="dxa"/>
            <w:tcPrChange w:id="2853" w:author="AUTHOR">
              <w:tcPr>
                <w:tcW w:w="4590" w:type="dxa"/>
                <w:gridSpan w:val="2"/>
              </w:tcPr>
            </w:tcPrChange>
          </w:tcPr>
          <w:p w14:paraId="1B45EC94" w14:textId="77777777" w:rsidR="00585EFC" w:rsidRPr="00575208" w:rsidRDefault="00585EFC" w:rsidP="0072377D">
            <w:pPr>
              <w:rPr>
                <w:lang w:val="pt-PT"/>
              </w:rPr>
            </w:pPr>
            <w:r w:rsidRPr="00575208">
              <w:rPr>
                <w:b/>
                <w:lang w:val="pt-PT"/>
              </w:rPr>
              <w:t>Portugal</w:t>
            </w:r>
          </w:p>
          <w:p w14:paraId="6491A615" w14:textId="77777777" w:rsidR="00585EFC" w:rsidRPr="00575208" w:rsidRDefault="00585EFC" w:rsidP="0072377D">
            <w:pPr>
              <w:rPr>
                <w:lang w:val="pt-PT"/>
              </w:rPr>
            </w:pPr>
            <w:r w:rsidRPr="00575208">
              <w:rPr>
                <w:lang w:val="pt-PT"/>
              </w:rPr>
              <w:t>Roche Farmacêutica Química, Lda</w:t>
            </w:r>
          </w:p>
          <w:p w14:paraId="429D55EF" w14:textId="77777777" w:rsidR="00585EFC" w:rsidRPr="00575208" w:rsidRDefault="00585EFC" w:rsidP="0072377D">
            <w:pPr>
              <w:rPr>
                <w:lang w:val="pt-PT"/>
              </w:rPr>
            </w:pPr>
            <w:r w:rsidRPr="00575208">
              <w:rPr>
                <w:lang w:val="pt-PT"/>
              </w:rPr>
              <w:t>Tel: +351 - 21 425 70 00</w:t>
            </w:r>
          </w:p>
          <w:p w14:paraId="28F697A7" w14:textId="77777777" w:rsidR="00585EFC" w:rsidRPr="00575208" w:rsidRDefault="00585EFC" w:rsidP="0072377D">
            <w:pPr>
              <w:rPr>
                <w:lang w:val="pt-PT"/>
              </w:rPr>
            </w:pPr>
          </w:p>
        </w:tc>
      </w:tr>
      <w:tr w:rsidR="00585EFC" w:rsidRPr="00B76460" w14:paraId="780A5F49" w14:textId="77777777" w:rsidTr="00467FFD">
        <w:trPr>
          <w:cantSplit/>
          <w:trPrChange w:id="2854" w:author="AUTHOR">
            <w:trPr>
              <w:gridAfter w:val="0"/>
              <w:cantSplit/>
            </w:trPr>
          </w:trPrChange>
        </w:trPr>
        <w:tc>
          <w:tcPr>
            <w:tcW w:w="4590" w:type="dxa"/>
            <w:tcPrChange w:id="2855" w:author="AUTHOR">
              <w:tcPr>
                <w:tcW w:w="4590" w:type="dxa"/>
                <w:gridSpan w:val="2"/>
              </w:tcPr>
            </w:tcPrChange>
          </w:tcPr>
          <w:p w14:paraId="765CE5DA" w14:textId="77777777" w:rsidR="00585EFC" w:rsidRPr="00575208" w:rsidRDefault="00585EFC" w:rsidP="0072377D">
            <w:pPr>
              <w:rPr>
                <w:lang w:val="fr-FR"/>
              </w:rPr>
            </w:pPr>
            <w:r w:rsidRPr="00575208">
              <w:rPr>
                <w:b/>
                <w:lang w:val="fr-FR"/>
              </w:rPr>
              <w:t>France</w:t>
            </w:r>
          </w:p>
          <w:p w14:paraId="64EAE65C" w14:textId="77777777" w:rsidR="00585EFC" w:rsidRPr="00575208" w:rsidRDefault="00585EFC" w:rsidP="0072377D">
            <w:pPr>
              <w:rPr>
                <w:lang w:val="fr-FR"/>
              </w:rPr>
            </w:pPr>
            <w:r w:rsidRPr="00575208">
              <w:rPr>
                <w:lang w:val="fr-FR"/>
              </w:rPr>
              <w:t>Roche</w:t>
            </w:r>
          </w:p>
          <w:p w14:paraId="22945587" w14:textId="77777777" w:rsidR="00585EFC" w:rsidRPr="00575208" w:rsidDel="009E5301" w:rsidRDefault="00585EFC" w:rsidP="0072377D">
            <w:pPr>
              <w:rPr>
                <w:del w:id="2856" w:author="AUTHOR"/>
                <w:lang w:val="fr-FR"/>
              </w:rPr>
            </w:pPr>
            <w:r w:rsidRPr="00575208">
              <w:rPr>
                <w:lang w:val="fr-FR"/>
              </w:rPr>
              <w:t>Tél: +33 (0) 1 47 61 40 00</w:t>
            </w:r>
          </w:p>
          <w:p w14:paraId="2FA1EA6B" w14:textId="77777777" w:rsidR="00585EFC" w:rsidRPr="00C555F2" w:rsidRDefault="00585EFC" w:rsidP="0072377D">
            <w:pPr>
              <w:rPr>
                <w:b/>
                <w:lang w:val="fr-FR"/>
              </w:rPr>
            </w:pPr>
          </w:p>
          <w:p w14:paraId="71AAE48F" w14:textId="5A50C586" w:rsidR="00585EFC" w:rsidRPr="00C555F2" w:rsidDel="009E5301" w:rsidRDefault="00585EFC" w:rsidP="0072377D">
            <w:pPr>
              <w:rPr>
                <w:del w:id="2857" w:author="AUTHOR"/>
                <w:b/>
                <w:lang w:val="fr-FR"/>
              </w:rPr>
            </w:pPr>
            <w:del w:id="2858" w:author="AUTHOR">
              <w:r w:rsidRPr="00C555F2" w:rsidDel="009E5301">
                <w:rPr>
                  <w:b/>
                  <w:lang w:val="fr-FR"/>
                </w:rPr>
                <w:delText>Hrvatska</w:delText>
              </w:r>
            </w:del>
          </w:p>
          <w:p w14:paraId="440F2C0C" w14:textId="6043D79B" w:rsidR="00585EFC" w:rsidRPr="00C555F2" w:rsidDel="009E5301" w:rsidRDefault="00585EFC" w:rsidP="0072377D">
            <w:pPr>
              <w:rPr>
                <w:del w:id="2859" w:author="AUTHOR"/>
                <w:lang w:val="fr-FR"/>
              </w:rPr>
            </w:pPr>
            <w:del w:id="2860" w:author="AUTHOR">
              <w:r w:rsidRPr="00C555F2" w:rsidDel="009E5301">
                <w:rPr>
                  <w:lang w:val="fr-FR"/>
                </w:rPr>
                <w:delText>Roche d.o.o</w:delText>
              </w:r>
            </w:del>
          </w:p>
          <w:p w14:paraId="1519A9FE" w14:textId="6938330A" w:rsidR="00585EFC" w:rsidRPr="00575208" w:rsidDel="009E5301" w:rsidRDefault="00585EFC" w:rsidP="0072377D">
            <w:pPr>
              <w:rPr>
                <w:del w:id="2861" w:author="AUTHOR"/>
                <w:lang w:val="de-CH"/>
              </w:rPr>
            </w:pPr>
            <w:del w:id="2862" w:author="AUTHOR">
              <w:r w:rsidRPr="00575208" w:rsidDel="009E5301">
                <w:rPr>
                  <w:lang w:val="de-CH"/>
                </w:rPr>
                <w:delText>Tel: +385 1 47 22 333</w:delText>
              </w:r>
            </w:del>
          </w:p>
          <w:p w14:paraId="149B42C1" w14:textId="77777777" w:rsidR="00585EFC" w:rsidRPr="00575208" w:rsidRDefault="00585EFC" w:rsidP="009E5301">
            <w:pPr>
              <w:rPr>
                <w:b/>
                <w:lang w:val="de-CH"/>
              </w:rPr>
            </w:pPr>
          </w:p>
        </w:tc>
        <w:tc>
          <w:tcPr>
            <w:tcW w:w="4590" w:type="dxa"/>
            <w:tcPrChange w:id="2863" w:author="AUTHOR">
              <w:tcPr>
                <w:tcW w:w="4590" w:type="dxa"/>
                <w:gridSpan w:val="2"/>
              </w:tcPr>
            </w:tcPrChange>
          </w:tcPr>
          <w:p w14:paraId="235C928C" w14:textId="77777777" w:rsidR="00585EFC" w:rsidRPr="00575208" w:rsidRDefault="00585EFC" w:rsidP="0072377D">
            <w:pPr>
              <w:rPr>
                <w:b/>
                <w:lang w:val="it-IT"/>
              </w:rPr>
            </w:pPr>
            <w:r w:rsidRPr="00575208">
              <w:rPr>
                <w:b/>
                <w:lang w:val="it-IT"/>
              </w:rPr>
              <w:t>România</w:t>
            </w:r>
          </w:p>
          <w:p w14:paraId="316ED3AF" w14:textId="77777777" w:rsidR="00585EFC" w:rsidRPr="00575208" w:rsidRDefault="00585EFC" w:rsidP="0072377D">
            <w:pPr>
              <w:rPr>
                <w:lang w:val="ro-RO"/>
              </w:rPr>
            </w:pPr>
            <w:r w:rsidRPr="00575208">
              <w:rPr>
                <w:lang w:val="it-IT"/>
              </w:rPr>
              <w:t>Roche Rom</w:t>
            </w:r>
            <w:r w:rsidRPr="00575208">
              <w:rPr>
                <w:lang w:val="ro-RO"/>
              </w:rPr>
              <w:t>ânia S.R.L.</w:t>
            </w:r>
          </w:p>
          <w:p w14:paraId="03BBBDB7" w14:textId="77777777" w:rsidR="00585EFC" w:rsidRPr="00575208" w:rsidRDefault="00585EFC" w:rsidP="0072377D">
            <w:pPr>
              <w:rPr>
                <w:lang w:val="pl-PL"/>
              </w:rPr>
            </w:pPr>
            <w:r w:rsidRPr="00575208">
              <w:rPr>
                <w:lang w:val="pl-PL"/>
              </w:rPr>
              <w:t>Tel: +40 21 206 47 01</w:t>
            </w:r>
          </w:p>
          <w:p w14:paraId="5469C07D" w14:textId="77777777" w:rsidR="00585EFC" w:rsidRPr="00575208" w:rsidRDefault="00585EFC" w:rsidP="0072377D">
            <w:pPr>
              <w:rPr>
                <w:lang w:val="it-IT"/>
              </w:rPr>
            </w:pPr>
          </w:p>
        </w:tc>
      </w:tr>
      <w:tr w:rsidR="009E5301" w:rsidRPr="00B76460" w14:paraId="4FA61EF8" w14:textId="77777777" w:rsidTr="00467FFD">
        <w:tblPrEx>
          <w:tblPrExChange w:id="2864" w:author="AUTHOR">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cantSplit/>
          <w:ins w:id="2865" w:author="AUTHOR"/>
          <w:trPrChange w:id="2866" w:author="AUTHOR">
            <w:trPr>
              <w:gridBefore w:val="1"/>
              <w:cantSplit/>
            </w:trPr>
          </w:trPrChange>
        </w:trPr>
        <w:tc>
          <w:tcPr>
            <w:tcW w:w="4590" w:type="dxa"/>
            <w:tcPrChange w:id="2867" w:author="AUTHOR">
              <w:tcPr>
                <w:tcW w:w="4590" w:type="dxa"/>
                <w:gridSpan w:val="2"/>
              </w:tcPr>
            </w:tcPrChange>
          </w:tcPr>
          <w:p w14:paraId="597F9471" w14:textId="77777777" w:rsidR="009E5301" w:rsidRPr="00C555F2" w:rsidRDefault="009E5301" w:rsidP="009E5301">
            <w:pPr>
              <w:rPr>
                <w:ins w:id="2868" w:author="AUTHOR"/>
                <w:b/>
                <w:lang w:val="fr-FR"/>
              </w:rPr>
            </w:pPr>
            <w:ins w:id="2869" w:author="AUTHOR">
              <w:r w:rsidRPr="00C555F2">
                <w:rPr>
                  <w:b/>
                  <w:lang w:val="fr-FR"/>
                </w:rPr>
                <w:t>Hrvatska</w:t>
              </w:r>
            </w:ins>
          </w:p>
          <w:p w14:paraId="0E6E8FE4" w14:textId="77777777" w:rsidR="009E5301" w:rsidRPr="00C555F2" w:rsidRDefault="009E5301" w:rsidP="009E5301">
            <w:pPr>
              <w:rPr>
                <w:ins w:id="2870" w:author="AUTHOR"/>
                <w:lang w:val="fr-FR"/>
              </w:rPr>
            </w:pPr>
            <w:ins w:id="2871" w:author="AUTHOR">
              <w:r w:rsidRPr="00C555F2">
                <w:rPr>
                  <w:lang w:val="fr-FR"/>
                </w:rPr>
                <w:t>Roche d.o.o</w:t>
              </w:r>
            </w:ins>
          </w:p>
          <w:p w14:paraId="4292D354" w14:textId="77777777" w:rsidR="009E5301" w:rsidRPr="00575208" w:rsidRDefault="009E5301" w:rsidP="009E5301">
            <w:pPr>
              <w:rPr>
                <w:ins w:id="2872" w:author="AUTHOR"/>
                <w:lang w:val="de-CH"/>
              </w:rPr>
            </w:pPr>
            <w:ins w:id="2873" w:author="AUTHOR">
              <w:r w:rsidRPr="00575208">
                <w:rPr>
                  <w:lang w:val="de-CH"/>
                </w:rPr>
                <w:t>Tel: +385 1 47 22 333</w:t>
              </w:r>
            </w:ins>
          </w:p>
          <w:p w14:paraId="6FBA70E0" w14:textId="77777777" w:rsidR="009E5301" w:rsidRPr="00575208" w:rsidRDefault="009E5301" w:rsidP="0072377D">
            <w:pPr>
              <w:rPr>
                <w:ins w:id="2874" w:author="AUTHOR"/>
                <w:b/>
                <w:lang w:val="fr-FR"/>
              </w:rPr>
            </w:pPr>
          </w:p>
        </w:tc>
        <w:tc>
          <w:tcPr>
            <w:tcW w:w="4590" w:type="dxa"/>
            <w:tcPrChange w:id="2875" w:author="AUTHOR">
              <w:tcPr>
                <w:tcW w:w="4590" w:type="dxa"/>
                <w:gridSpan w:val="2"/>
              </w:tcPr>
            </w:tcPrChange>
          </w:tcPr>
          <w:p w14:paraId="3DA11FDB" w14:textId="77777777" w:rsidR="009E5301" w:rsidRPr="009E5301" w:rsidRDefault="009E5301" w:rsidP="009E5301">
            <w:pPr>
              <w:rPr>
                <w:ins w:id="2876" w:author="AUTHOR"/>
                <w:b/>
                <w:noProof/>
                <w:szCs w:val="22"/>
                <w:lang w:val="en-GB"/>
              </w:rPr>
            </w:pPr>
            <w:ins w:id="2877" w:author="AUTHOR">
              <w:r w:rsidRPr="009E5301">
                <w:rPr>
                  <w:b/>
                  <w:noProof/>
                  <w:szCs w:val="22"/>
                  <w:lang w:val="en-GB"/>
                </w:rPr>
                <w:t>Slovenija</w:t>
              </w:r>
            </w:ins>
          </w:p>
          <w:p w14:paraId="694FDA04" w14:textId="77777777" w:rsidR="009E5301" w:rsidRPr="009E5301" w:rsidRDefault="009E5301" w:rsidP="009E5301">
            <w:pPr>
              <w:rPr>
                <w:ins w:id="2878" w:author="AUTHOR"/>
                <w:noProof/>
                <w:szCs w:val="22"/>
                <w:lang w:val="en-GB"/>
              </w:rPr>
            </w:pPr>
            <w:ins w:id="2879" w:author="AUTHOR">
              <w:r w:rsidRPr="009E5301">
                <w:rPr>
                  <w:noProof/>
                  <w:szCs w:val="22"/>
                  <w:lang w:val="en-GB"/>
                </w:rPr>
                <w:t>Roche farmacevtska družba d.o.o.</w:t>
              </w:r>
            </w:ins>
          </w:p>
          <w:p w14:paraId="376BB3E7" w14:textId="77777777" w:rsidR="009E5301" w:rsidRPr="009E5301" w:rsidRDefault="009E5301" w:rsidP="009E5301">
            <w:pPr>
              <w:rPr>
                <w:ins w:id="2880" w:author="AUTHOR"/>
                <w:rFonts w:eastAsia="MS Mincho"/>
                <w:noProof/>
                <w:szCs w:val="22"/>
                <w:lang w:val="en-GB"/>
              </w:rPr>
            </w:pPr>
            <w:ins w:id="2881" w:author="AUTHOR">
              <w:r w:rsidRPr="009E5301">
                <w:rPr>
                  <w:rFonts w:eastAsia="MS Mincho"/>
                  <w:noProof/>
                  <w:szCs w:val="22"/>
                  <w:lang w:val="en-GB"/>
                </w:rPr>
                <w:t>Tel: +386 - 1 360 26 00</w:t>
              </w:r>
            </w:ins>
          </w:p>
          <w:p w14:paraId="5E892D92" w14:textId="77777777" w:rsidR="009E5301" w:rsidRPr="00575208" w:rsidRDefault="009E5301" w:rsidP="0072377D">
            <w:pPr>
              <w:rPr>
                <w:ins w:id="2882" w:author="AUTHOR"/>
                <w:b/>
                <w:lang w:val="it-IT"/>
              </w:rPr>
            </w:pPr>
          </w:p>
        </w:tc>
      </w:tr>
      <w:tr w:rsidR="00585EFC" w:rsidRPr="00575208" w14:paraId="0C950823" w14:textId="77777777" w:rsidTr="00467FFD">
        <w:trPr>
          <w:cantSplit/>
          <w:trPrChange w:id="2883" w:author="AUTHOR">
            <w:trPr>
              <w:gridAfter w:val="0"/>
              <w:cantSplit/>
            </w:trPr>
          </w:trPrChange>
        </w:trPr>
        <w:tc>
          <w:tcPr>
            <w:tcW w:w="4590" w:type="dxa"/>
            <w:tcPrChange w:id="2884" w:author="AUTHOR">
              <w:tcPr>
                <w:tcW w:w="4590" w:type="dxa"/>
                <w:gridSpan w:val="2"/>
              </w:tcPr>
            </w:tcPrChange>
          </w:tcPr>
          <w:p w14:paraId="40F67898" w14:textId="12C523F3" w:rsidR="00585EFC" w:rsidRPr="00575208" w:rsidRDefault="00585EFC" w:rsidP="0072377D">
            <w:pPr>
              <w:rPr>
                <w:b/>
                <w:lang w:val="en-GB"/>
              </w:rPr>
            </w:pPr>
            <w:r w:rsidRPr="00575208">
              <w:rPr>
                <w:b/>
                <w:lang w:val="en-GB"/>
              </w:rPr>
              <w:t>Ireland</w:t>
            </w:r>
            <w:ins w:id="2885" w:author="AUTHOR">
              <w:r w:rsidR="009E5301">
                <w:rPr>
                  <w:b/>
                  <w:lang w:val="en-GB"/>
                </w:rPr>
                <w:t>, Malta</w:t>
              </w:r>
            </w:ins>
          </w:p>
          <w:p w14:paraId="0D61B760" w14:textId="77777777" w:rsidR="009E5301" w:rsidRDefault="00585EFC" w:rsidP="009E5301">
            <w:pPr>
              <w:rPr>
                <w:ins w:id="2886" w:author="AUTHOR"/>
                <w:noProof/>
                <w:szCs w:val="22"/>
                <w:lang w:val="en-GB"/>
              </w:rPr>
            </w:pPr>
            <w:r w:rsidRPr="00575208">
              <w:rPr>
                <w:lang w:val="en-GB"/>
              </w:rPr>
              <w:t>Roche Products (Ireland) Ltd.</w:t>
            </w:r>
            <w:ins w:id="2887" w:author="AUTHOR">
              <w:r w:rsidR="009E5301" w:rsidRPr="009E5301">
                <w:rPr>
                  <w:noProof/>
                  <w:szCs w:val="22"/>
                  <w:lang w:val="en-GB"/>
                </w:rPr>
                <w:t xml:space="preserve"> </w:t>
              </w:r>
            </w:ins>
          </w:p>
          <w:p w14:paraId="4A7D2979" w14:textId="6FA7D6AD" w:rsidR="00585EFC" w:rsidRPr="00575208" w:rsidRDefault="009E5301" w:rsidP="0072377D">
            <w:pPr>
              <w:rPr>
                <w:lang w:val="en-GB"/>
              </w:rPr>
            </w:pPr>
            <w:ins w:id="2888" w:author="AUTHOR">
              <w:r w:rsidRPr="009E5301">
                <w:rPr>
                  <w:noProof/>
                  <w:szCs w:val="22"/>
                  <w:lang w:val="en-GB"/>
                </w:rPr>
                <w:t>Ireland/L-Irlanda</w:t>
              </w:r>
            </w:ins>
          </w:p>
          <w:p w14:paraId="3EACE105" w14:textId="77777777" w:rsidR="00585EFC" w:rsidRPr="00575208" w:rsidRDefault="00585EFC" w:rsidP="0072377D">
            <w:pPr>
              <w:rPr>
                <w:lang w:val="en-GB"/>
              </w:rPr>
            </w:pPr>
            <w:r w:rsidRPr="00575208">
              <w:rPr>
                <w:lang w:val="en-GB"/>
              </w:rPr>
              <w:t>Tel: +353 (0) 1 469 0700</w:t>
            </w:r>
          </w:p>
          <w:p w14:paraId="09416366" w14:textId="77777777" w:rsidR="00585EFC" w:rsidRPr="00575208" w:rsidRDefault="00585EFC" w:rsidP="0072377D">
            <w:pPr>
              <w:rPr>
                <w:lang w:val="en-GB"/>
              </w:rPr>
            </w:pPr>
          </w:p>
        </w:tc>
        <w:tc>
          <w:tcPr>
            <w:tcW w:w="4590" w:type="dxa"/>
            <w:tcPrChange w:id="2889" w:author="AUTHOR">
              <w:tcPr>
                <w:tcW w:w="4590" w:type="dxa"/>
                <w:gridSpan w:val="2"/>
              </w:tcPr>
            </w:tcPrChange>
          </w:tcPr>
          <w:p w14:paraId="4D0E9950" w14:textId="77777777" w:rsidR="009E5301" w:rsidRPr="009E5301" w:rsidRDefault="009E5301" w:rsidP="009E5301">
            <w:pPr>
              <w:rPr>
                <w:ins w:id="2890" w:author="AUTHOR"/>
                <w:b/>
                <w:szCs w:val="22"/>
                <w:lang w:val="it-IT"/>
              </w:rPr>
            </w:pPr>
            <w:ins w:id="2891" w:author="AUTHOR">
              <w:r w:rsidRPr="009E5301">
                <w:rPr>
                  <w:b/>
                  <w:szCs w:val="22"/>
                  <w:lang w:val="it-IT"/>
                </w:rPr>
                <w:t xml:space="preserve">Slovenská republika </w:t>
              </w:r>
            </w:ins>
          </w:p>
          <w:p w14:paraId="441C8142" w14:textId="77777777" w:rsidR="009E5301" w:rsidRPr="009E5301" w:rsidRDefault="009E5301" w:rsidP="009E5301">
            <w:pPr>
              <w:rPr>
                <w:ins w:id="2892" w:author="AUTHOR"/>
                <w:szCs w:val="22"/>
                <w:lang w:val="it-IT"/>
              </w:rPr>
            </w:pPr>
            <w:ins w:id="2893" w:author="AUTHOR">
              <w:r w:rsidRPr="009E5301">
                <w:rPr>
                  <w:noProof/>
                  <w:szCs w:val="22"/>
                  <w:lang w:val="it-IT"/>
                </w:rPr>
                <w:t>Roche Slovensko, s.r.o.</w:t>
              </w:r>
            </w:ins>
          </w:p>
          <w:p w14:paraId="14979533" w14:textId="77777777" w:rsidR="009E5301" w:rsidRPr="009E5301" w:rsidRDefault="009E5301" w:rsidP="009E5301">
            <w:pPr>
              <w:rPr>
                <w:ins w:id="2894" w:author="AUTHOR"/>
                <w:noProof/>
                <w:szCs w:val="22"/>
                <w:lang w:val="en-GB"/>
              </w:rPr>
            </w:pPr>
            <w:ins w:id="2895" w:author="AUTHOR">
              <w:r w:rsidRPr="009E5301">
                <w:rPr>
                  <w:noProof/>
                  <w:szCs w:val="22"/>
                  <w:lang w:val="en-GB"/>
                </w:rPr>
                <w:t>Tel: +421 - 2 52638201</w:t>
              </w:r>
            </w:ins>
          </w:p>
          <w:p w14:paraId="2C8EE6B8" w14:textId="388B4BCD" w:rsidR="00585EFC" w:rsidRPr="00F30AB8" w:rsidDel="009E5301" w:rsidRDefault="00585EFC" w:rsidP="0072377D">
            <w:pPr>
              <w:rPr>
                <w:del w:id="2896" w:author="AUTHOR"/>
                <w:b/>
                <w:lang w:val="it-IT"/>
              </w:rPr>
            </w:pPr>
            <w:del w:id="2897" w:author="AUTHOR">
              <w:r w:rsidRPr="00F30AB8" w:rsidDel="009E5301">
                <w:rPr>
                  <w:b/>
                  <w:lang w:val="it-IT"/>
                </w:rPr>
                <w:delText>Slovenija</w:delText>
              </w:r>
            </w:del>
          </w:p>
          <w:p w14:paraId="0135F032" w14:textId="4CA5850D" w:rsidR="00585EFC" w:rsidRPr="00F30AB8" w:rsidDel="009E5301" w:rsidRDefault="00585EFC" w:rsidP="0072377D">
            <w:pPr>
              <w:rPr>
                <w:del w:id="2898" w:author="AUTHOR"/>
                <w:lang w:val="it-IT"/>
              </w:rPr>
            </w:pPr>
            <w:del w:id="2899" w:author="AUTHOR">
              <w:r w:rsidRPr="00F30AB8" w:rsidDel="009E5301">
                <w:rPr>
                  <w:lang w:val="it-IT"/>
                </w:rPr>
                <w:delText>Roche farmacevtska družba d.o.o.</w:delText>
              </w:r>
            </w:del>
          </w:p>
          <w:p w14:paraId="0D4C6F5B" w14:textId="3CD45BCA" w:rsidR="00585EFC" w:rsidRPr="00575208" w:rsidDel="009E5301" w:rsidRDefault="00585EFC" w:rsidP="0072377D">
            <w:pPr>
              <w:rPr>
                <w:del w:id="2900" w:author="AUTHOR"/>
                <w:lang w:val="it-IT"/>
              </w:rPr>
            </w:pPr>
            <w:del w:id="2901" w:author="AUTHOR">
              <w:r w:rsidRPr="00575208" w:rsidDel="009E5301">
                <w:rPr>
                  <w:lang w:val="it-IT"/>
                </w:rPr>
                <w:delText>Tel: +386 - 1 360 26 00</w:delText>
              </w:r>
            </w:del>
          </w:p>
          <w:p w14:paraId="4858AA96" w14:textId="77777777" w:rsidR="00585EFC" w:rsidRPr="00575208" w:rsidRDefault="00585EFC" w:rsidP="009E5301">
            <w:pPr>
              <w:rPr>
                <w:lang w:val="it-IT"/>
              </w:rPr>
            </w:pPr>
          </w:p>
        </w:tc>
      </w:tr>
      <w:tr w:rsidR="00585EFC" w:rsidRPr="00575208" w14:paraId="3903D9CD" w14:textId="77777777" w:rsidTr="00467FFD">
        <w:trPr>
          <w:cantSplit/>
          <w:trPrChange w:id="2902" w:author="AUTHOR">
            <w:trPr>
              <w:gridAfter w:val="0"/>
              <w:cantSplit/>
            </w:trPr>
          </w:trPrChange>
        </w:trPr>
        <w:tc>
          <w:tcPr>
            <w:tcW w:w="4590" w:type="dxa"/>
            <w:tcPrChange w:id="2903" w:author="AUTHOR">
              <w:tcPr>
                <w:tcW w:w="4590" w:type="dxa"/>
                <w:gridSpan w:val="2"/>
              </w:tcPr>
            </w:tcPrChange>
          </w:tcPr>
          <w:p w14:paraId="4C65D505" w14:textId="77777777" w:rsidR="00585EFC" w:rsidRPr="00575208" w:rsidRDefault="00585EFC" w:rsidP="0072377D">
            <w:pPr>
              <w:rPr>
                <w:b/>
                <w:lang w:val="pt-BR"/>
              </w:rPr>
            </w:pPr>
            <w:r w:rsidRPr="00575208">
              <w:rPr>
                <w:b/>
                <w:lang w:val="pt-BR"/>
              </w:rPr>
              <w:t xml:space="preserve">Ísland </w:t>
            </w:r>
          </w:p>
          <w:p w14:paraId="79AA0465" w14:textId="77777777" w:rsidR="00585EFC" w:rsidRPr="00575208" w:rsidRDefault="00585EFC" w:rsidP="0072377D">
            <w:pPr>
              <w:rPr>
                <w:lang w:val="pt-BR"/>
              </w:rPr>
            </w:pPr>
            <w:r w:rsidRPr="00575208">
              <w:rPr>
                <w:lang w:val="pt-BR"/>
              </w:rPr>
              <w:t xml:space="preserve">Roche </w:t>
            </w:r>
            <w:r w:rsidR="00435911">
              <w:rPr>
                <w:noProof/>
              </w:rPr>
              <w:t>Pharmaceuticals A/S</w:t>
            </w:r>
          </w:p>
          <w:p w14:paraId="0A777FE5" w14:textId="77777777" w:rsidR="00585EFC" w:rsidRPr="00575208" w:rsidRDefault="00585EFC" w:rsidP="0072377D">
            <w:pPr>
              <w:rPr>
                <w:lang w:val="pt-PT"/>
              </w:rPr>
            </w:pPr>
            <w:r w:rsidRPr="00575208">
              <w:rPr>
                <w:lang w:val="pt-PT"/>
              </w:rPr>
              <w:t>c/o Icepharma hf</w:t>
            </w:r>
          </w:p>
          <w:p w14:paraId="25722891" w14:textId="77777777" w:rsidR="00585EFC" w:rsidRPr="00575208" w:rsidRDefault="00585EFC" w:rsidP="0072377D">
            <w:pPr>
              <w:rPr>
                <w:lang w:val="pt-PT"/>
              </w:rPr>
            </w:pPr>
            <w:r w:rsidRPr="00575208">
              <w:rPr>
                <w:lang w:val="pt-BR"/>
              </w:rPr>
              <w:t>S</w:t>
            </w:r>
            <w:r w:rsidRPr="00575208">
              <w:rPr>
                <w:lang w:val="cs-CZ"/>
              </w:rPr>
              <w:t>í</w:t>
            </w:r>
            <w:r w:rsidRPr="00575208">
              <w:rPr>
                <w:lang w:val="pt-BR"/>
              </w:rPr>
              <w:t>mi</w:t>
            </w:r>
            <w:r w:rsidRPr="00575208">
              <w:rPr>
                <w:lang w:val="pt-PT"/>
              </w:rPr>
              <w:t>: +354 540 8000</w:t>
            </w:r>
          </w:p>
          <w:p w14:paraId="278B1B3E" w14:textId="77777777" w:rsidR="00585EFC" w:rsidRPr="00575208" w:rsidRDefault="00585EFC" w:rsidP="0072377D">
            <w:pPr>
              <w:rPr>
                <w:b/>
                <w:lang w:val="pt-PT"/>
              </w:rPr>
            </w:pPr>
          </w:p>
        </w:tc>
        <w:tc>
          <w:tcPr>
            <w:tcW w:w="4590" w:type="dxa"/>
            <w:tcPrChange w:id="2904" w:author="AUTHOR">
              <w:tcPr>
                <w:tcW w:w="4590" w:type="dxa"/>
                <w:gridSpan w:val="2"/>
              </w:tcPr>
            </w:tcPrChange>
          </w:tcPr>
          <w:p w14:paraId="2BEF6DFD" w14:textId="77777777" w:rsidR="009E5301" w:rsidRPr="00575208" w:rsidRDefault="009E5301" w:rsidP="009E5301">
            <w:pPr>
              <w:rPr>
                <w:ins w:id="2905" w:author="AUTHOR"/>
                <w:b/>
                <w:lang w:val="de-CH"/>
              </w:rPr>
            </w:pPr>
            <w:ins w:id="2906" w:author="AUTHOR">
              <w:r w:rsidRPr="00575208">
                <w:rPr>
                  <w:b/>
                  <w:lang w:val="de-CH"/>
                </w:rPr>
                <w:t>Suomi/Finland</w:t>
              </w:r>
            </w:ins>
          </w:p>
          <w:p w14:paraId="1B5B5230" w14:textId="77777777" w:rsidR="009E5301" w:rsidRPr="00575208" w:rsidRDefault="009E5301" w:rsidP="009E5301">
            <w:pPr>
              <w:rPr>
                <w:ins w:id="2907" w:author="AUTHOR"/>
                <w:lang w:val="de-CH"/>
              </w:rPr>
            </w:pPr>
            <w:ins w:id="2908" w:author="AUTHOR">
              <w:r w:rsidRPr="00575208">
                <w:rPr>
                  <w:lang w:val="de-CH"/>
                </w:rPr>
                <w:t xml:space="preserve">Roche Oy </w:t>
              </w:r>
            </w:ins>
          </w:p>
          <w:p w14:paraId="196CB5A9" w14:textId="77777777" w:rsidR="009E5301" w:rsidRPr="00575208" w:rsidRDefault="009E5301" w:rsidP="009E5301">
            <w:pPr>
              <w:rPr>
                <w:ins w:id="2909" w:author="AUTHOR"/>
                <w:lang w:val="de-CH"/>
              </w:rPr>
            </w:pPr>
            <w:ins w:id="2910" w:author="AUTHOR">
              <w:r w:rsidRPr="00575208">
                <w:rPr>
                  <w:lang w:val="de-CH"/>
                </w:rPr>
                <w:t xml:space="preserve">Puh/Tel: +358 (0) </w:t>
              </w:r>
              <w:r w:rsidRPr="00575208">
                <w:rPr>
                  <w:lang w:val="de-DE"/>
                </w:rPr>
                <w:t>10 554 500</w:t>
              </w:r>
            </w:ins>
          </w:p>
          <w:p w14:paraId="1EA0E7D3" w14:textId="68D113D2" w:rsidR="00585EFC" w:rsidRPr="00575208" w:rsidDel="009E5301" w:rsidRDefault="00585EFC" w:rsidP="0072377D">
            <w:pPr>
              <w:rPr>
                <w:del w:id="2911" w:author="AUTHOR"/>
                <w:b/>
                <w:lang w:val="it-IT"/>
              </w:rPr>
            </w:pPr>
            <w:del w:id="2912" w:author="AUTHOR">
              <w:r w:rsidRPr="00575208" w:rsidDel="009E5301">
                <w:rPr>
                  <w:b/>
                  <w:lang w:val="it-IT"/>
                </w:rPr>
                <w:delText xml:space="preserve">Slovenská republika </w:delText>
              </w:r>
            </w:del>
          </w:p>
          <w:p w14:paraId="1DEA5C60" w14:textId="6418E68D" w:rsidR="00585EFC" w:rsidRPr="00575208" w:rsidDel="009E5301" w:rsidRDefault="00585EFC" w:rsidP="0072377D">
            <w:pPr>
              <w:rPr>
                <w:del w:id="2913" w:author="AUTHOR"/>
                <w:lang w:val="it-IT"/>
              </w:rPr>
            </w:pPr>
            <w:del w:id="2914" w:author="AUTHOR">
              <w:r w:rsidRPr="00575208" w:rsidDel="009E5301">
                <w:rPr>
                  <w:lang w:val="sk-SK"/>
                </w:rPr>
                <w:delText>Roche Slovensko, s.r.o.</w:delText>
              </w:r>
            </w:del>
          </w:p>
          <w:p w14:paraId="42E696BB" w14:textId="1A78FDA2" w:rsidR="00585EFC" w:rsidRPr="00575208" w:rsidDel="009E5301" w:rsidRDefault="00585EFC" w:rsidP="0072377D">
            <w:pPr>
              <w:rPr>
                <w:del w:id="2915" w:author="AUTHOR"/>
                <w:lang w:val="pt-PT"/>
              </w:rPr>
            </w:pPr>
            <w:del w:id="2916" w:author="AUTHOR">
              <w:r w:rsidRPr="00575208" w:rsidDel="009E5301">
                <w:rPr>
                  <w:lang w:val="pt-PT"/>
                </w:rPr>
                <w:delText>Tel: +421 - 2 52638201</w:delText>
              </w:r>
            </w:del>
          </w:p>
          <w:p w14:paraId="23316531" w14:textId="77777777" w:rsidR="00585EFC" w:rsidRPr="00575208" w:rsidRDefault="00585EFC" w:rsidP="009E5301">
            <w:pPr>
              <w:rPr>
                <w:b/>
                <w:lang w:val="pt-PT"/>
              </w:rPr>
            </w:pPr>
          </w:p>
        </w:tc>
      </w:tr>
      <w:tr w:rsidR="00585EFC" w:rsidRPr="001335A4" w14:paraId="0D76C071" w14:textId="77777777" w:rsidTr="00467FFD">
        <w:trPr>
          <w:cantSplit/>
          <w:trPrChange w:id="2917" w:author="AUTHOR">
            <w:trPr>
              <w:gridAfter w:val="0"/>
              <w:cantSplit/>
            </w:trPr>
          </w:trPrChange>
        </w:trPr>
        <w:tc>
          <w:tcPr>
            <w:tcW w:w="4590" w:type="dxa"/>
            <w:tcPrChange w:id="2918" w:author="AUTHOR">
              <w:tcPr>
                <w:tcW w:w="4590" w:type="dxa"/>
                <w:gridSpan w:val="2"/>
              </w:tcPr>
            </w:tcPrChange>
          </w:tcPr>
          <w:p w14:paraId="63C74E82" w14:textId="77777777" w:rsidR="00585EFC" w:rsidRPr="00575208" w:rsidRDefault="00585EFC" w:rsidP="0072377D">
            <w:pPr>
              <w:rPr>
                <w:lang w:val="it-IT"/>
              </w:rPr>
            </w:pPr>
            <w:r w:rsidRPr="00575208">
              <w:rPr>
                <w:b/>
                <w:lang w:val="it-IT"/>
              </w:rPr>
              <w:t>Italia</w:t>
            </w:r>
          </w:p>
          <w:p w14:paraId="701BC48A" w14:textId="77777777" w:rsidR="00585EFC" w:rsidRPr="00575208" w:rsidRDefault="00585EFC" w:rsidP="0072377D">
            <w:pPr>
              <w:rPr>
                <w:lang w:val="it-IT"/>
              </w:rPr>
            </w:pPr>
            <w:r w:rsidRPr="00575208">
              <w:rPr>
                <w:lang w:val="it-IT"/>
              </w:rPr>
              <w:t>Roche S.p.A.</w:t>
            </w:r>
          </w:p>
          <w:p w14:paraId="744FD0E0" w14:textId="77777777" w:rsidR="00585EFC" w:rsidRPr="00575208" w:rsidRDefault="00585EFC" w:rsidP="0072377D">
            <w:pPr>
              <w:rPr>
                <w:b/>
                <w:lang w:val="de-CH"/>
              </w:rPr>
            </w:pPr>
            <w:r w:rsidRPr="00575208">
              <w:rPr>
                <w:lang w:val="de-CH"/>
              </w:rPr>
              <w:t>Tel: +39 - 039 2471</w:t>
            </w:r>
          </w:p>
        </w:tc>
        <w:tc>
          <w:tcPr>
            <w:tcW w:w="4590" w:type="dxa"/>
            <w:tcPrChange w:id="2919" w:author="AUTHOR">
              <w:tcPr>
                <w:tcW w:w="4590" w:type="dxa"/>
                <w:gridSpan w:val="2"/>
              </w:tcPr>
            </w:tcPrChange>
          </w:tcPr>
          <w:p w14:paraId="32903A50" w14:textId="77777777" w:rsidR="009E5301" w:rsidRPr="009E5301" w:rsidRDefault="009E5301" w:rsidP="009E5301">
            <w:pPr>
              <w:rPr>
                <w:ins w:id="2920" w:author="AUTHOR"/>
                <w:noProof/>
                <w:szCs w:val="22"/>
                <w:lang w:val="en-GB"/>
              </w:rPr>
            </w:pPr>
            <w:ins w:id="2921" w:author="AUTHOR">
              <w:r w:rsidRPr="009E5301">
                <w:rPr>
                  <w:b/>
                  <w:noProof/>
                  <w:szCs w:val="22"/>
                  <w:lang w:val="en-GB"/>
                </w:rPr>
                <w:t>Sverige</w:t>
              </w:r>
            </w:ins>
          </w:p>
          <w:p w14:paraId="6219EEBF" w14:textId="77777777" w:rsidR="009E5301" w:rsidRPr="009E5301" w:rsidRDefault="009E5301" w:rsidP="009E5301">
            <w:pPr>
              <w:rPr>
                <w:ins w:id="2922" w:author="AUTHOR"/>
                <w:noProof/>
                <w:szCs w:val="22"/>
                <w:lang w:val="en-GB"/>
              </w:rPr>
            </w:pPr>
            <w:ins w:id="2923" w:author="AUTHOR">
              <w:r w:rsidRPr="009E5301">
                <w:rPr>
                  <w:noProof/>
                  <w:szCs w:val="22"/>
                  <w:lang w:val="en-GB"/>
                </w:rPr>
                <w:t>Roche AB</w:t>
              </w:r>
            </w:ins>
          </w:p>
          <w:p w14:paraId="17E8ED81" w14:textId="77777777" w:rsidR="009E5301" w:rsidRPr="009E5301" w:rsidRDefault="009E5301" w:rsidP="009E5301">
            <w:pPr>
              <w:suppressAutoHyphens/>
              <w:rPr>
                <w:ins w:id="2924" w:author="AUTHOR"/>
                <w:noProof/>
                <w:szCs w:val="22"/>
                <w:lang w:val="en-GB"/>
              </w:rPr>
            </w:pPr>
            <w:ins w:id="2925" w:author="AUTHOR">
              <w:r w:rsidRPr="009E5301">
                <w:rPr>
                  <w:noProof/>
                  <w:szCs w:val="22"/>
                  <w:lang w:val="en-GB"/>
                </w:rPr>
                <w:t>Tel: +46 (0) 8 726 1200</w:t>
              </w:r>
            </w:ins>
          </w:p>
          <w:p w14:paraId="350D0D33" w14:textId="3601144C" w:rsidR="00585EFC" w:rsidRPr="00575208" w:rsidDel="009E5301" w:rsidRDefault="00585EFC" w:rsidP="0072377D">
            <w:pPr>
              <w:rPr>
                <w:del w:id="2926" w:author="AUTHOR"/>
                <w:b/>
                <w:lang w:val="de-CH"/>
              </w:rPr>
            </w:pPr>
            <w:del w:id="2927" w:author="AUTHOR">
              <w:r w:rsidRPr="00575208" w:rsidDel="009E5301">
                <w:rPr>
                  <w:b/>
                  <w:lang w:val="de-CH"/>
                </w:rPr>
                <w:delText>Suomi/Finland</w:delText>
              </w:r>
            </w:del>
          </w:p>
          <w:p w14:paraId="50C01FB0" w14:textId="2691D8C0" w:rsidR="00585EFC" w:rsidRPr="00575208" w:rsidDel="009E5301" w:rsidRDefault="00585EFC" w:rsidP="0072377D">
            <w:pPr>
              <w:rPr>
                <w:del w:id="2928" w:author="AUTHOR"/>
                <w:lang w:val="de-CH"/>
              </w:rPr>
            </w:pPr>
            <w:del w:id="2929" w:author="AUTHOR">
              <w:r w:rsidRPr="00575208" w:rsidDel="009E5301">
                <w:rPr>
                  <w:lang w:val="de-CH"/>
                </w:rPr>
                <w:delText xml:space="preserve">Roche Oy </w:delText>
              </w:r>
            </w:del>
          </w:p>
          <w:p w14:paraId="758C8BAF" w14:textId="4C7A147C" w:rsidR="00585EFC" w:rsidRPr="00575208" w:rsidDel="009E5301" w:rsidRDefault="00585EFC" w:rsidP="0072377D">
            <w:pPr>
              <w:rPr>
                <w:del w:id="2930" w:author="AUTHOR"/>
                <w:lang w:val="de-CH"/>
              </w:rPr>
            </w:pPr>
            <w:del w:id="2931" w:author="AUTHOR">
              <w:r w:rsidRPr="00575208" w:rsidDel="009E5301">
                <w:rPr>
                  <w:lang w:val="de-CH"/>
                </w:rPr>
                <w:delText xml:space="preserve">Puh/Tel: +358 (0) </w:delText>
              </w:r>
              <w:r w:rsidRPr="00575208" w:rsidDel="009E5301">
                <w:rPr>
                  <w:lang w:val="de-DE"/>
                </w:rPr>
                <w:delText>10 554 500</w:delText>
              </w:r>
            </w:del>
          </w:p>
          <w:p w14:paraId="2BD7B63B" w14:textId="77777777" w:rsidR="00585EFC" w:rsidRPr="00575208" w:rsidRDefault="00585EFC" w:rsidP="009E5301">
            <w:pPr>
              <w:rPr>
                <w:lang w:val="de-CH"/>
              </w:rPr>
            </w:pPr>
          </w:p>
        </w:tc>
      </w:tr>
      <w:tr w:rsidR="00585EFC" w:rsidRPr="00575208" w:rsidDel="009E5301" w14:paraId="3B5D2C3D" w14:textId="77000A2E" w:rsidTr="00467FFD">
        <w:trPr>
          <w:cantSplit/>
          <w:del w:id="2932" w:author="AUTHOR"/>
          <w:trPrChange w:id="2933" w:author="AUTHOR">
            <w:trPr>
              <w:gridAfter w:val="0"/>
              <w:cantSplit/>
            </w:trPr>
          </w:trPrChange>
        </w:trPr>
        <w:tc>
          <w:tcPr>
            <w:tcW w:w="4590" w:type="dxa"/>
            <w:tcPrChange w:id="2934" w:author="AUTHOR">
              <w:tcPr>
                <w:tcW w:w="4590" w:type="dxa"/>
                <w:gridSpan w:val="2"/>
              </w:tcPr>
            </w:tcPrChange>
          </w:tcPr>
          <w:p w14:paraId="1FC15BB6" w14:textId="492C8177" w:rsidR="00585EFC" w:rsidRPr="00F30AB8" w:rsidDel="009E5301" w:rsidRDefault="00585EFC" w:rsidP="0072377D">
            <w:pPr>
              <w:rPr>
                <w:del w:id="2935" w:author="AUTHOR"/>
              </w:rPr>
            </w:pPr>
            <w:del w:id="2936" w:author="AUTHOR">
              <w:r w:rsidRPr="00F30AB8" w:rsidDel="009E5301">
                <w:rPr>
                  <w:b/>
                </w:rPr>
                <w:delText>K</w:delText>
              </w:r>
              <w:r w:rsidRPr="00575208" w:rsidDel="009E5301">
                <w:rPr>
                  <w:b/>
                  <w:lang w:val="el-GR"/>
                </w:rPr>
                <w:delText>ύπρος</w:delText>
              </w:r>
              <w:r w:rsidRPr="00F30AB8" w:rsidDel="009E5301">
                <w:delText xml:space="preserve"> </w:delText>
              </w:r>
            </w:del>
          </w:p>
          <w:p w14:paraId="57E8127B" w14:textId="0F0A5AFC" w:rsidR="00616541" w:rsidRPr="00F30AB8" w:rsidDel="009E5301" w:rsidRDefault="00616541" w:rsidP="00616541">
            <w:pPr>
              <w:rPr>
                <w:del w:id="2937" w:author="AUTHOR"/>
              </w:rPr>
            </w:pPr>
            <w:del w:id="2938" w:author="AUTHOR">
              <w:r w:rsidRPr="00F30AB8" w:rsidDel="009E5301">
                <w:delText>Roche (Hellas) A.E.</w:delText>
              </w:r>
            </w:del>
          </w:p>
          <w:p w14:paraId="3D0D8169" w14:textId="14EA2DFB" w:rsidR="00585EFC" w:rsidRPr="00575208" w:rsidDel="009E5301" w:rsidRDefault="00616541" w:rsidP="00616541">
            <w:pPr>
              <w:rPr>
                <w:del w:id="2939" w:author="AUTHOR"/>
              </w:rPr>
            </w:pPr>
            <w:del w:id="2940" w:author="AUTHOR">
              <w:r w:rsidRPr="00616541" w:rsidDel="009E5301">
                <w:rPr>
                  <w:lang w:val="el-GR"/>
                </w:rPr>
                <w:delText>Τηλ: +30 210 61 66 100</w:delText>
              </w:r>
            </w:del>
          </w:p>
        </w:tc>
        <w:tc>
          <w:tcPr>
            <w:tcW w:w="4590" w:type="dxa"/>
            <w:tcPrChange w:id="2941" w:author="AUTHOR">
              <w:tcPr>
                <w:tcW w:w="4590" w:type="dxa"/>
                <w:gridSpan w:val="2"/>
              </w:tcPr>
            </w:tcPrChange>
          </w:tcPr>
          <w:p w14:paraId="4A2A675F" w14:textId="5A09C009" w:rsidR="00585EFC" w:rsidRPr="00575208" w:rsidDel="009E5301" w:rsidRDefault="00585EFC" w:rsidP="0072377D">
            <w:pPr>
              <w:rPr>
                <w:del w:id="2942" w:author="AUTHOR"/>
                <w:lang w:val="en-GB"/>
              </w:rPr>
            </w:pPr>
            <w:del w:id="2943" w:author="AUTHOR">
              <w:r w:rsidRPr="00575208" w:rsidDel="009E5301">
                <w:rPr>
                  <w:b/>
                  <w:lang w:val="en-GB"/>
                </w:rPr>
                <w:delText>Sverige</w:delText>
              </w:r>
            </w:del>
          </w:p>
          <w:p w14:paraId="57CC7343" w14:textId="2FA645AC" w:rsidR="00585EFC" w:rsidRPr="00575208" w:rsidDel="009E5301" w:rsidRDefault="00585EFC" w:rsidP="0072377D">
            <w:pPr>
              <w:rPr>
                <w:del w:id="2944" w:author="AUTHOR"/>
                <w:lang w:val="en-GB"/>
              </w:rPr>
            </w:pPr>
            <w:del w:id="2945" w:author="AUTHOR">
              <w:r w:rsidRPr="00575208" w:rsidDel="009E5301">
                <w:rPr>
                  <w:lang w:val="en-GB"/>
                </w:rPr>
                <w:delText>Roche AB</w:delText>
              </w:r>
            </w:del>
          </w:p>
          <w:p w14:paraId="596EC3AE" w14:textId="57986342" w:rsidR="00585EFC" w:rsidRPr="00575208" w:rsidDel="009E5301" w:rsidRDefault="00585EFC" w:rsidP="0072377D">
            <w:pPr>
              <w:rPr>
                <w:del w:id="2946" w:author="AUTHOR"/>
                <w:lang w:val="en-GB"/>
              </w:rPr>
            </w:pPr>
            <w:del w:id="2947" w:author="AUTHOR">
              <w:r w:rsidRPr="00575208" w:rsidDel="009E5301">
                <w:rPr>
                  <w:lang w:val="en-GB"/>
                </w:rPr>
                <w:delText>Tel: +46 (0) 8 726 1200</w:delText>
              </w:r>
            </w:del>
          </w:p>
          <w:p w14:paraId="0955CB19" w14:textId="0C24B352" w:rsidR="00585EFC" w:rsidRPr="00575208" w:rsidDel="009E5301" w:rsidRDefault="00585EFC" w:rsidP="0072377D">
            <w:pPr>
              <w:rPr>
                <w:del w:id="2948" w:author="AUTHOR"/>
              </w:rPr>
            </w:pPr>
          </w:p>
        </w:tc>
      </w:tr>
      <w:tr w:rsidR="00585EFC" w:rsidRPr="000C7D20" w:rsidDel="009E5301" w14:paraId="0E07139E" w14:textId="2D78905C" w:rsidTr="00467FFD">
        <w:trPr>
          <w:cantSplit/>
          <w:del w:id="2949" w:author="AUTHOR"/>
          <w:trPrChange w:id="2950" w:author="AUTHOR">
            <w:trPr>
              <w:gridAfter w:val="0"/>
              <w:cantSplit/>
            </w:trPr>
          </w:trPrChange>
        </w:trPr>
        <w:tc>
          <w:tcPr>
            <w:tcW w:w="4590" w:type="dxa"/>
            <w:tcPrChange w:id="2951" w:author="AUTHOR">
              <w:tcPr>
                <w:tcW w:w="4590" w:type="dxa"/>
                <w:gridSpan w:val="2"/>
              </w:tcPr>
            </w:tcPrChange>
          </w:tcPr>
          <w:p w14:paraId="0076F5CF" w14:textId="5274C7B3" w:rsidR="00585EFC" w:rsidRPr="00575208" w:rsidDel="009E5301" w:rsidRDefault="00585EFC" w:rsidP="0072377D">
            <w:pPr>
              <w:rPr>
                <w:del w:id="2952" w:author="AUTHOR"/>
                <w:b/>
                <w:lang w:val="it-IT"/>
              </w:rPr>
            </w:pPr>
            <w:del w:id="2953" w:author="AUTHOR">
              <w:r w:rsidRPr="00575208" w:rsidDel="009E5301">
                <w:rPr>
                  <w:b/>
                  <w:lang w:val="it-IT"/>
                </w:rPr>
                <w:delText>Latvija</w:delText>
              </w:r>
            </w:del>
          </w:p>
          <w:p w14:paraId="6EC0AAE9" w14:textId="4D780641" w:rsidR="00585EFC" w:rsidRPr="00575208" w:rsidDel="009E5301" w:rsidRDefault="00585EFC" w:rsidP="0072377D">
            <w:pPr>
              <w:rPr>
                <w:del w:id="2954" w:author="AUTHOR"/>
                <w:lang w:val="it-IT"/>
              </w:rPr>
            </w:pPr>
            <w:del w:id="2955" w:author="AUTHOR">
              <w:r w:rsidRPr="00575208" w:rsidDel="009E5301">
                <w:rPr>
                  <w:bCs/>
                  <w:lang w:val="lv-LV"/>
                </w:rPr>
                <w:delText>Roche Latvija SIA</w:delText>
              </w:r>
            </w:del>
          </w:p>
          <w:p w14:paraId="7069ACFF" w14:textId="37A6D675" w:rsidR="00585EFC" w:rsidRPr="00575208" w:rsidDel="009E5301" w:rsidRDefault="00585EFC" w:rsidP="0072377D">
            <w:pPr>
              <w:rPr>
                <w:del w:id="2956" w:author="AUTHOR"/>
                <w:lang w:val="it-IT"/>
              </w:rPr>
            </w:pPr>
            <w:del w:id="2957" w:author="AUTHOR">
              <w:r w:rsidRPr="00575208" w:rsidDel="009E5301">
                <w:rPr>
                  <w:lang w:val="it-IT"/>
                </w:rPr>
                <w:delText>Tel: +371 - 6 7039831</w:delText>
              </w:r>
            </w:del>
          </w:p>
          <w:p w14:paraId="211E9DDC" w14:textId="167E22D2" w:rsidR="00585EFC" w:rsidRPr="00575208" w:rsidDel="009E5301" w:rsidRDefault="00585EFC" w:rsidP="0072377D">
            <w:pPr>
              <w:rPr>
                <w:del w:id="2958" w:author="AUTHOR"/>
                <w:b/>
                <w:lang w:val="it-IT"/>
              </w:rPr>
            </w:pPr>
          </w:p>
        </w:tc>
        <w:tc>
          <w:tcPr>
            <w:tcW w:w="4590" w:type="dxa"/>
            <w:tcPrChange w:id="2959" w:author="AUTHOR">
              <w:tcPr>
                <w:tcW w:w="4590" w:type="dxa"/>
                <w:gridSpan w:val="2"/>
              </w:tcPr>
            </w:tcPrChange>
          </w:tcPr>
          <w:p w14:paraId="3619921C" w14:textId="000A7D61" w:rsidR="00585EFC" w:rsidRPr="00F30AB8" w:rsidDel="009E5301" w:rsidRDefault="00585EFC">
            <w:pPr>
              <w:rPr>
                <w:del w:id="2960" w:author="AUTHOR"/>
                <w:lang w:val="es-ES"/>
              </w:rPr>
            </w:pPr>
          </w:p>
        </w:tc>
      </w:tr>
      <w:tr w:rsidR="00585EFC" w:rsidRPr="000C7D20" w:rsidDel="009E5301" w14:paraId="0471FB2D" w14:textId="7AEA4ED8" w:rsidTr="00467FFD">
        <w:trPr>
          <w:cantSplit/>
          <w:del w:id="2961" w:author="AUTHOR"/>
          <w:trPrChange w:id="2962" w:author="AUTHOR">
            <w:trPr>
              <w:gridAfter w:val="0"/>
              <w:cantSplit/>
            </w:trPr>
          </w:trPrChange>
        </w:trPr>
        <w:tc>
          <w:tcPr>
            <w:tcW w:w="4590" w:type="dxa"/>
            <w:tcPrChange w:id="2963" w:author="AUTHOR">
              <w:tcPr>
                <w:tcW w:w="4590" w:type="dxa"/>
                <w:gridSpan w:val="2"/>
              </w:tcPr>
            </w:tcPrChange>
          </w:tcPr>
          <w:p w14:paraId="408846E7" w14:textId="0546F404" w:rsidR="00585EFC" w:rsidRPr="00575208" w:rsidDel="009E5301" w:rsidRDefault="00585EFC" w:rsidP="0072377D">
            <w:pPr>
              <w:rPr>
                <w:del w:id="2964" w:author="AUTHOR"/>
                <w:lang w:val="fi-FI"/>
              </w:rPr>
            </w:pPr>
          </w:p>
        </w:tc>
        <w:tc>
          <w:tcPr>
            <w:tcW w:w="4590" w:type="dxa"/>
            <w:tcPrChange w:id="2965" w:author="AUTHOR">
              <w:tcPr>
                <w:tcW w:w="4590" w:type="dxa"/>
                <w:gridSpan w:val="2"/>
              </w:tcPr>
            </w:tcPrChange>
          </w:tcPr>
          <w:p w14:paraId="4714CFBA" w14:textId="0E0BEF5C" w:rsidR="00585EFC" w:rsidRPr="00575208" w:rsidDel="009E5301" w:rsidRDefault="00585EFC" w:rsidP="0072377D">
            <w:pPr>
              <w:rPr>
                <w:del w:id="2966" w:author="AUTHOR"/>
                <w:lang w:val="fi-FI"/>
              </w:rPr>
            </w:pPr>
          </w:p>
        </w:tc>
      </w:tr>
    </w:tbl>
    <w:p w14:paraId="23BD9057" w14:textId="77777777" w:rsidR="00585EFC" w:rsidRPr="00575208" w:rsidRDefault="00585EFC" w:rsidP="00585EFC">
      <w:pPr>
        <w:rPr>
          <w:lang w:val="fi-FI"/>
        </w:rPr>
      </w:pPr>
    </w:p>
    <w:p w14:paraId="3A572CC7" w14:textId="77777777" w:rsidR="00585EFC" w:rsidRPr="00575208" w:rsidRDefault="00585EFC" w:rsidP="00585EFC">
      <w:pPr>
        <w:rPr>
          <w:b/>
          <w:bCs/>
          <w:lang w:val="es-ES"/>
        </w:rPr>
      </w:pPr>
      <w:r w:rsidRPr="00575208">
        <w:rPr>
          <w:b/>
          <w:bCs/>
          <w:lang w:val="es-ES_tradnl"/>
        </w:rPr>
        <w:t xml:space="preserve">Fecha de la última revisión de este prospecto </w:t>
      </w:r>
    </w:p>
    <w:p w14:paraId="3D5D9999" w14:textId="77777777" w:rsidR="00585EFC" w:rsidRPr="00575208" w:rsidRDefault="00585EFC" w:rsidP="00585EFC">
      <w:pPr>
        <w:rPr>
          <w:b/>
          <w:bCs/>
          <w:lang w:val="es-ES_tradnl"/>
        </w:rPr>
      </w:pPr>
    </w:p>
    <w:p w14:paraId="4ADA4B1D" w14:textId="77777777" w:rsidR="00585EFC" w:rsidRDefault="00585EFC" w:rsidP="00585EFC">
      <w:pPr>
        <w:rPr>
          <w:b/>
          <w:bCs/>
          <w:lang w:val="es-ES_tradnl"/>
        </w:rPr>
      </w:pPr>
      <w:r w:rsidRPr="00091E13">
        <w:rPr>
          <w:b/>
          <w:bCs/>
          <w:lang w:val="es-ES_tradnl"/>
        </w:rPr>
        <w:t>Otras fuentes de información</w:t>
      </w:r>
    </w:p>
    <w:p w14:paraId="33806AC8" w14:textId="77777777" w:rsidR="008656C7" w:rsidRPr="00575208" w:rsidRDefault="008656C7" w:rsidP="00585EFC">
      <w:pPr>
        <w:rPr>
          <w:b/>
          <w:bCs/>
          <w:lang w:val="es-ES_tradnl"/>
        </w:rPr>
      </w:pPr>
    </w:p>
    <w:p w14:paraId="608D4CED" w14:textId="04D29335" w:rsidR="00585EFC" w:rsidRPr="00575208" w:rsidRDefault="00585EFC" w:rsidP="00585EFC">
      <w:pPr>
        <w:rPr>
          <w:lang w:val="es-ES_tradnl"/>
        </w:rPr>
      </w:pPr>
      <w:r w:rsidRPr="00575208">
        <w:rPr>
          <w:bCs/>
          <w:lang w:val="es-ES_tradnl"/>
        </w:rPr>
        <w:t>La información detallada de este medicamento está disponible en la página web de la Agencia Europea de Medicamentos</w:t>
      </w:r>
      <w:r w:rsidRPr="00575208">
        <w:rPr>
          <w:bCs/>
          <w:lang w:val="es-ES"/>
        </w:rPr>
        <w:t xml:space="preserve"> </w:t>
      </w:r>
      <w:r w:rsidR="00616541">
        <w:fldChar w:fldCharType="begin"/>
      </w:r>
      <w:r w:rsidR="00616541" w:rsidRPr="00467FFD">
        <w:rPr>
          <w:lang w:val="es-ES"/>
          <w:rPrChange w:id="2967" w:author="AUTHOR">
            <w:rPr/>
          </w:rPrChange>
        </w:rPr>
        <w:instrText>HYPERLINK "https://www.ema.europa.eu"</w:instrText>
      </w:r>
      <w:r w:rsidR="00616541">
        <w:fldChar w:fldCharType="separate"/>
      </w:r>
      <w:r w:rsidR="00616541" w:rsidRPr="00A549AC">
        <w:rPr>
          <w:rStyle w:val="Hyperlink"/>
          <w:bCs/>
          <w:lang w:val="es-ES"/>
        </w:rPr>
        <w:t>https://www.ema.europa.eu</w:t>
      </w:r>
      <w:r w:rsidR="00616541">
        <w:fldChar w:fldCharType="end"/>
      </w:r>
      <w:r w:rsidRPr="00575208">
        <w:rPr>
          <w:bCs/>
          <w:lang w:val="es-ES_tradnl"/>
        </w:rPr>
        <w:t>.</w:t>
      </w:r>
      <w:r w:rsidRPr="00575208">
        <w:rPr>
          <w:lang w:val="es-ES_tradnl"/>
        </w:rPr>
        <w:t xml:space="preserve"> </w:t>
      </w:r>
    </w:p>
    <w:p w14:paraId="27CD0ADF" w14:textId="77777777" w:rsidR="00585EFC" w:rsidRPr="002637DB" w:rsidRDefault="00585EFC" w:rsidP="00585EFC">
      <w:pPr>
        <w:rPr>
          <w:b/>
          <w:bCs/>
          <w:lang w:val="es-ES"/>
        </w:rPr>
      </w:pPr>
      <w:r w:rsidRPr="00575208">
        <w:rPr>
          <w:bCs/>
          <w:lang w:val="es-ES_tradnl"/>
        </w:rPr>
        <w:br w:type="page"/>
      </w:r>
      <w:r w:rsidRPr="002637DB">
        <w:rPr>
          <w:b/>
          <w:bCs/>
          <w:lang w:val="es-ES"/>
        </w:rPr>
        <w:lastRenderedPageBreak/>
        <w:t xml:space="preserve">¿Qué necesito saber para utilizar de forma segura mi </w:t>
      </w:r>
      <w:r>
        <w:rPr>
          <w:b/>
          <w:bCs/>
          <w:lang w:val="es-ES"/>
        </w:rPr>
        <w:t>plum</w:t>
      </w:r>
      <w:r w:rsidRPr="002637DB">
        <w:rPr>
          <w:b/>
          <w:bCs/>
          <w:lang w:val="es-ES"/>
        </w:rPr>
        <w:t xml:space="preserve">a precargada </w:t>
      </w:r>
      <w:r w:rsidRPr="00C555F2">
        <w:rPr>
          <w:b/>
          <w:color w:val="231F20"/>
          <w:szCs w:val="22"/>
          <w:lang w:val="es-ES"/>
        </w:rPr>
        <w:t xml:space="preserve">(ACTPluma) </w:t>
      </w:r>
      <w:r w:rsidRPr="002637DB">
        <w:rPr>
          <w:b/>
          <w:bCs/>
          <w:lang w:val="es-ES"/>
        </w:rPr>
        <w:t>de RoActemra?</w:t>
      </w:r>
    </w:p>
    <w:p w14:paraId="0026E0A3" w14:textId="77777777" w:rsidR="00585EFC" w:rsidRPr="002637DB" w:rsidRDefault="00585EFC" w:rsidP="00585EFC">
      <w:pPr>
        <w:rPr>
          <w:bCs/>
          <w:lang w:val="es-ES"/>
        </w:rPr>
      </w:pPr>
    </w:p>
    <w:p w14:paraId="6E847599" w14:textId="77777777" w:rsidR="00585EFC" w:rsidRDefault="00585EFC" w:rsidP="00585EFC">
      <w:pPr>
        <w:rPr>
          <w:bCs/>
          <w:lang w:val="es-ES"/>
        </w:rPr>
      </w:pPr>
      <w:r w:rsidRPr="002637DB">
        <w:rPr>
          <w:bCs/>
          <w:lang w:val="es-ES"/>
        </w:rPr>
        <w:t xml:space="preserve">Es importante </w:t>
      </w:r>
      <w:r>
        <w:rPr>
          <w:bCs/>
          <w:lang w:val="es-ES"/>
        </w:rPr>
        <w:t xml:space="preserve">leer y seguir las instrucciones de uso que se adjuntan con la pluma precargada de RoActemra antes de que utilice la pluma precargada y cada vez que su médico le vuelva a prescribir esta medicación. </w:t>
      </w:r>
      <w:r w:rsidRPr="00F16F15">
        <w:rPr>
          <w:bCs/>
          <w:lang w:val="es-ES"/>
        </w:rPr>
        <w:t xml:space="preserve">Su profesional sanitario le mostrará cómo </w:t>
      </w:r>
      <w:r>
        <w:rPr>
          <w:bCs/>
          <w:lang w:val="es-ES"/>
        </w:rPr>
        <w:t>us</w:t>
      </w:r>
      <w:r w:rsidRPr="00F16F15">
        <w:rPr>
          <w:bCs/>
          <w:lang w:val="es-ES"/>
        </w:rPr>
        <w:t xml:space="preserve">ar adecuadamente la </w:t>
      </w:r>
      <w:r>
        <w:rPr>
          <w:bCs/>
          <w:lang w:val="es-ES"/>
        </w:rPr>
        <w:t>plum</w:t>
      </w:r>
      <w:r w:rsidRPr="00F16F15">
        <w:rPr>
          <w:bCs/>
          <w:lang w:val="es-ES"/>
        </w:rPr>
        <w:t xml:space="preserve">a </w:t>
      </w:r>
      <w:r>
        <w:rPr>
          <w:bCs/>
          <w:lang w:val="es-ES"/>
        </w:rPr>
        <w:t xml:space="preserve">precargada </w:t>
      </w:r>
      <w:r w:rsidRPr="00F16F15">
        <w:rPr>
          <w:bCs/>
          <w:lang w:val="es-ES"/>
        </w:rPr>
        <w:t xml:space="preserve">de RoActemra antes de que </w:t>
      </w:r>
      <w:r>
        <w:rPr>
          <w:bCs/>
          <w:lang w:val="es-ES"/>
        </w:rPr>
        <w:t xml:space="preserve">la </w:t>
      </w:r>
      <w:r w:rsidRPr="00F16F15">
        <w:rPr>
          <w:bCs/>
          <w:lang w:val="es-ES"/>
        </w:rPr>
        <w:t xml:space="preserve">utilice </w:t>
      </w:r>
      <w:r>
        <w:rPr>
          <w:bCs/>
          <w:lang w:val="es-ES"/>
        </w:rPr>
        <w:t>por primera vez.</w:t>
      </w:r>
    </w:p>
    <w:p w14:paraId="6AA06B1D" w14:textId="77777777" w:rsidR="00585EFC" w:rsidRDefault="00585EFC" w:rsidP="00585EFC">
      <w:pPr>
        <w:rPr>
          <w:bCs/>
          <w:lang w:val="es-ES"/>
        </w:rPr>
      </w:pPr>
    </w:p>
    <w:p w14:paraId="273A1B6B" w14:textId="6D58C810" w:rsidR="00585EFC" w:rsidRDefault="00585EFC" w:rsidP="00585EFC">
      <w:pPr>
        <w:rPr>
          <w:b/>
          <w:bCs/>
          <w:lang w:val="es-ES"/>
        </w:rPr>
      </w:pPr>
      <w:r>
        <w:rPr>
          <w:bCs/>
          <w:lang w:val="es-ES"/>
        </w:rPr>
        <w:t>Información importante: Conservar las plumas precargadas no utilizadas en el embalaje original y en la nevera a una temperatura de entre 2</w:t>
      </w:r>
      <w:r w:rsidR="00616541" w:rsidRPr="00F30AB8">
        <w:rPr>
          <w:lang w:val="es-ES"/>
        </w:rPr>
        <w:t> </w:t>
      </w:r>
      <w:r w:rsidR="00616541" w:rsidRPr="00F30AB8">
        <w:rPr>
          <w:szCs w:val="22"/>
          <w:lang w:val="es-ES"/>
        </w:rPr>
        <w:t>°</w:t>
      </w:r>
      <w:r w:rsidR="00616541" w:rsidDel="00616541">
        <w:rPr>
          <w:bCs/>
          <w:lang w:val="es-ES"/>
        </w:rPr>
        <w:t xml:space="preserve"> </w:t>
      </w:r>
      <w:r>
        <w:rPr>
          <w:bCs/>
          <w:lang w:val="es-ES"/>
        </w:rPr>
        <w:t>C y 8</w:t>
      </w:r>
      <w:r w:rsidR="00616541" w:rsidRPr="00F30AB8">
        <w:rPr>
          <w:lang w:val="es-ES"/>
        </w:rPr>
        <w:t> </w:t>
      </w:r>
      <w:r w:rsidR="00616541" w:rsidRPr="00F30AB8">
        <w:rPr>
          <w:szCs w:val="22"/>
          <w:lang w:val="es-ES"/>
        </w:rPr>
        <w:t>°</w:t>
      </w:r>
      <w:r w:rsidR="00616541" w:rsidDel="00616541">
        <w:rPr>
          <w:bCs/>
          <w:lang w:val="es-ES"/>
        </w:rPr>
        <w:t xml:space="preserve"> </w:t>
      </w:r>
      <w:r>
        <w:rPr>
          <w:bCs/>
          <w:lang w:val="es-ES"/>
        </w:rPr>
        <w:t xml:space="preserve">C. </w:t>
      </w:r>
      <w:r w:rsidRPr="00C555F2">
        <w:rPr>
          <w:b/>
          <w:bCs/>
          <w:lang w:val="es-ES"/>
        </w:rPr>
        <w:t>No congelar.</w:t>
      </w:r>
    </w:p>
    <w:p w14:paraId="7B3A9037" w14:textId="77777777" w:rsidR="001B798C" w:rsidRDefault="001B798C" w:rsidP="00585EFC">
      <w:pPr>
        <w:rPr>
          <w:b/>
          <w:bCs/>
          <w:lang w:val="es-ES"/>
        </w:rPr>
      </w:pPr>
    </w:p>
    <w:p w14:paraId="10BB7E9A" w14:textId="17C4D8FD" w:rsidR="00004756" w:rsidRPr="00883E95" w:rsidRDefault="00004756" w:rsidP="00004756">
      <w:pPr>
        <w:rPr>
          <w:szCs w:val="22"/>
          <w:lang w:val="es-ES"/>
        </w:rPr>
      </w:pPr>
      <w:r w:rsidRPr="00004756">
        <w:rPr>
          <w:lang w:val="es-ES_tradnl"/>
        </w:rPr>
        <w:t xml:space="preserve"> </w:t>
      </w:r>
      <w:r w:rsidRPr="00363FFA">
        <w:rPr>
          <w:lang w:val="es-ES_tradnl"/>
        </w:rPr>
        <w:t xml:space="preserve">Una vez fuera de la nevera, </w:t>
      </w:r>
      <w:r>
        <w:rPr>
          <w:lang w:val="es-ES_tradnl"/>
        </w:rPr>
        <w:t>la pluma precargada</w:t>
      </w:r>
      <w:r w:rsidRPr="00363FFA">
        <w:rPr>
          <w:lang w:val="es-ES_tradnl"/>
        </w:rPr>
        <w:t xml:space="preserve"> </w:t>
      </w:r>
      <w:r>
        <w:rPr>
          <w:lang w:val="es-ES_tradnl"/>
        </w:rPr>
        <w:t xml:space="preserve">se puede conservar hasta </w:t>
      </w:r>
      <w:r w:rsidR="00250816">
        <w:rPr>
          <w:lang w:val="es-ES_tradnl"/>
        </w:rPr>
        <w:t xml:space="preserve">un tiempo total de </w:t>
      </w:r>
      <w:r>
        <w:rPr>
          <w:lang w:val="es-ES_tradnl"/>
        </w:rPr>
        <w:t>2 semanas a una temperatura igual o inferior</w:t>
      </w:r>
      <w:r w:rsidRPr="00363FFA">
        <w:rPr>
          <w:lang w:val="es-ES_tradnl"/>
        </w:rPr>
        <w:t xml:space="preserve"> </w:t>
      </w:r>
      <w:r>
        <w:rPr>
          <w:lang w:val="es-ES_tradnl"/>
        </w:rPr>
        <w:t xml:space="preserve">a </w:t>
      </w:r>
      <w:r w:rsidRPr="00363FFA">
        <w:rPr>
          <w:lang w:val="es-ES_tradnl"/>
        </w:rPr>
        <w:t>30ºC</w:t>
      </w:r>
      <w:r w:rsidR="002F662E">
        <w:rPr>
          <w:lang w:val="es-ES_tradnl"/>
        </w:rPr>
        <w:t xml:space="preserve">, </w:t>
      </w:r>
      <w:r w:rsidR="002F662E" w:rsidRPr="002F662E">
        <w:rPr>
          <w:lang w:val="es-ES_tradnl"/>
        </w:rPr>
        <w:t>pero sin exceder la fecha de caducidad original (EXP). Marque la fe</w:t>
      </w:r>
      <w:r w:rsidR="002F662E">
        <w:rPr>
          <w:lang w:val="es-ES_tradnl"/>
        </w:rPr>
        <w:t>cha correspondiente en la caja</w:t>
      </w:r>
      <w:r w:rsidRPr="00363FFA">
        <w:rPr>
          <w:lang w:val="es-ES_tradnl"/>
        </w:rPr>
        <w:t>.</w:t>
      </w:r>
      <w:r>
        <w:rPr>
          <w:lang w:val="es-ES_tradnl"/>
        </w:rPr>
        <w:t xml:space="preserve"> </w:t>
      </w:r>
      <w:r w:rsidRPr="00004756">
        <w:rPr>
          <w:lang w:val="es-ES_tradnl"/>
        </w:rPr>
        <w:t>Mantenga siempre las plumas precargadas en el embalaje exterior para protegerlas de la luz y la humedad.</w:t>
      </w:r>
    </w:p>
    <w:p w14:paraId="03F48DBA" w14:textId="77777777" w:rsidR="001B798C" w:rsidRDefault="001B798C" w:rsidP="00585EFC">
      <w:pPr>
        <w:rPr>
          <w:bCs/>
          <w:lang w:val="es-ES"/>
        </w:rPr>
      </w:pPr>
    </w:p>
    <w:p w14:paraId="57EDB963" w14:textId="77777777" w:rsidR="00585EFC" w:rsidRPr="00F30AB8" w:rsidRDefault="00585EFC" w:rsidP="00F30AB8">
      <w:pPr>
        <w:ind w:left="851" w:hanging="494"/>
        <w:rPr>
          <w:lang w:val="es-ES"/>
        </w:rPr>
      </w:pPr>
      <w:r w:rsidRPr="00616541">
        <w:rPr>
          <w:lang w:val="es-ES"/>
        </w:rPr>
        <w:sym w:font="Symbol" w:char="F0B7"/>
      </w:r>
      <w:r w:rsidRPr="00616541">
        <w:rPr>
          <w:noProof/>
          <w:lang w:val="es-ES"/>
        </w:rPr>
        <w:tab/>
      </w:r>
      <w:r w:rsidRPr="00F30AB8">
        <w:rPr>
          <w:lang w:val="es-ES"/>
        </w:rPr>
        <w:t>No retire el tapón de la pluma precargada hasta que esté preparado para la inyección de RoActemra.</w:t>
      </w:r>
    </w:p>
    <w:p w14:paraId="55EDFA3B" w14:textId="77777777" w:rsidR="00585EFC" w:rsidRPr="00F30AB8" w:rsidRDefault="00585EFC" w:rsidP="00F30AB8">
      <w:pPr>
        <w:ind w:left="851" w:hanging="494"/>
        <w:rPr>
          <w:lang w:val="es-ES"/>
        </w:rPr>
      </w:pPr>
      <w:r w:rsidRPr="00616541">
        <w:rPr>
          <w:lang w:val="es-ES"/>
        </w:rPr>
        <w:sym w:font="Symbol" w:char="F0B7"/>
      </w:r>
      <w:r w:rsidRPr="00616541">
        <w:rPr>
          <w:noProof/>
          <w:lang w:val="es-ES"/>
        </w:rPr>
        <w:tab/>
      </w:r>
      <w:r w:rsidRPr="00F30AB8">
        <w:rPr>
          <w:lang w:val="es-ES"/>
        </w:rPr>
        <w:t>No intente desmontar la pluma en ningún momento.</w:t>
      </w:r>
    </w:p>
    <w:p w14:paraId="25A59F86" w14:textId="77777777" w:rsidR="00585EFC" w:rsidRPr="00F30AB8" w:rsidRDefault="00585EFC" w:rsidP="00F30AB8">
      <w:pPr>
        <w:ind w:left="851" w:hanging="494"/>
        <w:rPr>
          <w:lang w:val="es-ES"/>
        </w:rPr>
      </w:pPr>
      <w:r w:rsidRPr="00616541">
        <w:rPr>
          <w:lang w:val="es-ES"/>
        </w:rPr>
        <w:sym w:font="Symbol" w:char="F0B7"/>
      </w:r>
      <w:r w:rsidRPr="00616541">
        <w:rPr>
          <w:noProof/>
          <w:lang w:val="es-ES"/>
        </w:rPr>
        <w:tab/>
      </w:r>
      <w:r w:rsidRPr="00F30AB8">
        <w:rPr>
          <w:lang w:val="es-ES"/>
        </w:rPr>
        <w:t>No reutilice la misma pluma precargada.</w:t>
      </w:r>
    </w:p>
    <w:p w14:paraId="5DE59558" w14:textId="77777777" w:rsidR="00585EFC" w:rsidRPr="00F30AB8" w:rsidRDefault="00585EFC" w:rsidP="00F30AB8">
      <w:pPr>
        <w:ind w:left="851" w:hanging="494"/>
        <w:rPr>
          <w:lang w:val="es-ES"/>
        </w:rPr>
      </w:pPr>
      <w:r w:rsidRPr="00616541">
        <w:rPr>
          <w:lang w:val="es-ES"/>
        </w:rPr>
        <w:sym w:font="Symbol" w:char="F0B7"/>
      </w:r>
      <w:r w:rsidRPr="00616541">
        <w:rPr>
          <w:noProof/>
          <w:lang w:val="es-ES"/>
        </w:rPr>
        <w:tab/>
      </w:r>
      <w:r w:rsidRPr="00F30AB8">
        <w:rPr>
          <w:lang w:val="es-ES"/>
        </w:rPr>
        <w:t>No inyecte la pluma precargada a través de ropa que cubra su piel.</w:t>
      </w:r>
    </w:p>
    <w:p w14:paraId="4B9F3D9D" w14:textId="77777777" w:rsidR="00585EFC" w:rsidRPr="00F30AB8" w:rsidRDefault="00585EFC" w:rsidP="00F30AB8">
      <w:pPr>
        <w:ind w:left="851" w:hanging="494"/>
        <w:rPr>
          <w:lang w:val="es-ES"/>
        </w:rPr>
      </w:pPr>
      <w:r w:rsidRPr="00616541">
        <w:rPr>
          <w:lang w:val="es-ES"/>
        </w:rPr>
        <w:sym w:font="Symbol" w:char="F0B7"/>
      </w:r>
      <w:r w:rsidRPr="00616541">
        <w:rPr>
          <w:noProof/>
          <w:lang w:val="es-ES"/>
        </w:rPr>
        <w:tab/>
      </w:r>
      <w:r w:rsidRPr="00F30AB8">
        <w:rPr>
          <w:lang w:val="es-ES"/>
        </w:rPr>
        <w:t>No deje la pluma precargada sin vigilancia.</w:t>
      </w:r>
    </w:p>
    <w:p w14:paraId="370B9869" w14:textId="77777777" w:rsidR="00585EFC" w:rsidRPr="00F30AB8" w:rsidRDefault="00585EFC" w:rsidP="00F30AB8">
      <w:pPr>
        <w:ind w:left="851" w:hanging="494"/>
        <w:rPr>
          <w:lang w:val="es-ES"/>
        </w:rPr>
      </w:pPr>
      <w:r w:rsidRPr="00616541">
        <w:rPr>
          <w:lang w:val="es-ES"/>
        </w:rPr>
        <w:sym w:font="Symbol" w:char="F0B7"/>
      </w:r>
      <w:r w:rsidRPr="00616541">
        <w:rPr>
          <w:noProof/>
          <w:lang w:val="es-ES"/>
        </w:rPr>
        <w:tab/>
      </w:r>
      <w:r w:rsidRPr="00F30AB8">
        <w:rPr>
          <w:lang w:val="es-ES"/>
        </w:rPr>
        <w:t>Mantenga la pluma fuera del alcance de los niños.</w:t>
      </w:r>
    </w:p>
    <w:p w14:paraId="52E2CEF5" w14:textId="77777777" w:rsidR="00585EFC" w:rsidRPr="00C555F2" w:rsidRDefault="00585EFC" w:rsidP="00585EFC">
      <w:pPr>
        <w:ind w:left="720"/>
        <w:rPr>
          <w:b/>
          <w:bCs/>
          <w:lang w:val="es-ES"/>
        </w:rPr>
      </w:pPr>
    </w:p>
    <w:p w14:paraId="622A6C89" w14:textId="77777777" w:rsidR="00585EFC" w:rsidRDefault="00585EFC" w:rsidP="00585EFC">
      <w:pPr>
        <w:rPr>
          <w:b/>
          <w:bCs/>
          <w:lang w:val="es-ES"/>
        </w:rPr>
      </w:pPr>
      <w:r w:rsidRPr="00E218E5">
        <w:rPr>
          <w:bCs/>
          <w:lang w:val="es-ES"/>
        </w:rPr>
        <w:t>Partes de la pluma precargada de Ro</w:t>
      </w:r>
      <w:r w:rsidRPr="003221F6">
        <w:rPr>
          <w:bCs/>
          <w:lang w:val="es-ES"/>
        </w:rPr>
        <w:t>Actemra</w:t>
      </w:r>
      <w:r>
        <w:rPr>
          <w:bCs/>
          <w:lang w:val="es-ES"/>
        </w:rPr>
        <w:t xml:space="preserve"> </w:t>
      </w:r>
      <w:r w:rsidRPr="00C555F2">
        <w:rPr>
          <w:b/>
          <w:bCs/>
          <w:lang w:val="es-ES"/>
        </w:rPr>
        <w:t>(ver Figura A).</w:t>
      </w:r>
    </w:p>
    <w:p w14:paraId="1092B451" w14:textId="07391B95" w:rsidR="00585EFC" w:rsidRDefault="008D4CEB" w:rsidP="00585EFC">
      <w:pPr>
        <w:rPr>
          <w:b/>
          <w:bCs/>
          <w:lang w:val="es-ES"/>
        </w:rPr>
      </w:pPr>
      <w:r w:rsidRPr="00092B43">
        <w:rPr>
          <w:noProof/>
          <w:lang w:eastAsia="en-US"/>
        </w:rPr>
        <w:drawing>
          <wp:inline distT="0" distB="0" distL="0" distR="0" wp14:anchorId="07DDD18E" wp14:editId="4A4D0156">
            <wp:extent cx="5610225" cy="4429125"/>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4429125"/>
                    </a:xfrm>
                    <a:prstGeom prst="rect">
                      <a:avLst/>
                    </a:prstGeom>
                    <a:noFill/>
                    <a:ln>
                      <a:noFill/>
                    </a:ln>
                  </pic:spPr>
                </pic:pic>
              </a:graphicData>
            </a:graphic>
          </wp:inline>
        </w:drawing>
      </w:r>
    </w:p>
    <w:p w14:paraId="671C3428" w14:textId="77777777" w:rsidR="00585EFC" w:rsidRDefault="00585EFC" w:rsidP="00585EFC">
      <w:pPr>
        <w:rPr>
          <w:noProof/>
          <w:lang w:val="es-ES" w:eastAsia="es-ES"/>
        </w:rPr>
      </w:pPr>
    </w:p>
    <w:p w14:paraId="4009CD3B" w14:textId="77777777" w:rsidR="00585EFC" w:rsidRPr="006757B0" w:rsidRDefault="00585EFC" w:rsidP="00585EFC">
      <w:pPr>
        <w:rPr>
          <w:b/>
          <w:bCs/>
          <w:lang w:val="es-ES"/>
        </w:rPr>
      </w:pP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t xml:space="preserve">    </w:t>
      </w:r>
      <w:r w:rsidRPr="00C555F2">
        <w:rPr>
          <w:b/>
          <w:noProof/>
          <w:lang w:val="es-ES" w:eastAsia="es-ES"/>
        </w:rPr>
        <w:t>Figura A</w:t>
      </w:r>
    </w:p>
    <w:p w14:paraId="53131D16" w14:textId="77777777" w:rsidR="00585EFC" w:rsidRDefault="00585EFC" w:rsidP="00585EFC">
      <w:pPr>
        <w:rPr>
          <w:b/>
          <w:bCs/>
          <w:lang w:val="es-ES"/>
        </w:rPr>
      </w:pPr>
    </w:p>
    <w:p w14:paraId="1F4FA7DD" w14:textId="77777777" w:rsidR="00585EFC" w:rsidRPr="00C555F2" w:rsidRDefault="00585EFC" w:rsidP="00585EFC">
      <w:pPr>
        <w:keepNext/>
        <w:rPr>
          <w:b/>
          <w:lang w:val="es-ES"/>
        </w:rPr>
      </w:pPr>
      <w:r w:rsidRPr="00C555F2">
        <w:rPr>
          <w:b/>
          <w:lang w:val="es-ES"/>
        </w:rPr>
        <w:lastRenderedPageBreak/>
        <w:t>Utensilios necesarios para prep</w:t>
      </w:r>
      <w:r w:rsidRPr="00436315">
        <w:rPr>
          <w:b/>
          <w:lang w:val="es-ES"/>
        </w:rPr>
        <w:t xml:space="preserve">arar la inyección con </w:t>
      </w:r>
      <w:r>
        <w:rPr>
          <w:b/>
          <w:lang w:val="es-ES"/>
        </w:rPr>
        <w:t>su</w:t>
      </w:r>
      <w:r w:rsidRPr="00C555F2">
        <w:rPr>
          <w:b/>
          <w:lang w:val="es-ES"/>
        </w:rPr>
        <w:t xml:space="preserve"> pluma precargada de RoActemra (ver Figura B):</w:t>
      </w:r>
    </w:p>
    <w:p w14:paraId="4DE79F14" w14:textId="77777777" w:rsidR="00585EFC" w:rsidRDefault="00585EFC" w:rsidP="00585EFC">
      <w:pPr>
        <w:keepNext/>
        <w:ind w:left="714" w:hanging="357"/>
        <w:rPr>
          <w:lang w:val="es-ES"/>
        </w:rPr>
      </w:pPr>
      <w:r w:rsidRPr="00F22672">
        <w:rPr>
          <w:lang w:val="es-ES"/>
        </w:rPr>
        <w:sym w:font="Symbol" w:char="F0B7"/>
      </w:r>
      <w:r w:rsidRPr="00F22672">
        <w:rPr>
          <w:noProof/>
          <w:lang w:val="es-ES"/>
        </w:rPr>
        <w:tab/>
      </w:r>
      <w:r>
        <w:rPr>
          <w:lang w:val="es-ES"/>
        </w:rPr>
        <w:t>1 pluma precargada de</w:t>
      </w:r>
      <w:r w:rsidRPr="003221F6">
        <w:rPr>
          <w:lang w:val="es-ES"/>
        </w:rPr>
        <w:t xml:space="preserve"> </w:t>
      </w:r>
      <w:r>
        <w:rPr>
          <w:lang w:val="es-ES"/>
        </w:rPr>
        <w:t>RoActemra</w:t>
      </w:r>
    </w:p>
    <w:p w14:paraId="49CE9B48" w14:textId="77777777" w:rsidR="00585EFC" w:rsidRDefault="00585EFC" w:rsidP="00585EFC">
      <w:pPr>
        <w:keepNext/>
        <w:ind w:left="714" w:hanging="357"/>
        <w:rPr>
          <w:lang w:val="es-ES"/>
        </w:rPr>
      </w:pPr>
      <w:r w:rsidRPr="00F22672">
        <w:rPr>
          <w:lang w:val="es-ES"/>
        </w:rPr>
        <w:sym w:font="Symbol" w:char="F0B7"/>
      </w:r>
      <w:r w:rsidRPr="00F22672">
        <w:rPr>
          <w:noProof/>
          <w:lang w:val="es-ES"/>
        </w:rPr>
        <w:tab/>
      </w:r>
      <w:r>
        <w:rPr>
          <w:lang w:val="es-ES"/>
        </w:rPr>
        <w:t xml:space="preserve">1 </w:t>
      </w:r>
      <w:r w:rsidRPr="003221F6">
        <w:rPr>
          <w:lang w:val="es-ES"/>
        </w:rPr>
        <w:t>toallita impregnada en alcohol</w:t>
      </w:r>
    </w:p>
    <w:p w14:paraId="1627EAE8" w14:textId="77777777" w:rsidR="00585EFC" w:rsidRDefault="00585EFC" w:rsidP="00585EFC">
      <w:pPr>
        <w:keepNext/>
        <w:ind w:left="714" w:hanging="357"/>
        <w:rPr>
          <w:lang w:val="es-ES"/>
        </w:rPr>
      </w:pPr>
      <w:r w:rsidRPr="00F22672">
        <w:rPr>
          <w:lang w:val="es-ES"/>
        </w:rPr>
        <w:sym w:font="Symbol" w:char="F0B7"/>
      </w:r>
      <w:r w:rsidRPr="00F22672">
        <w:rPr>
          <w:noProof/>
          <w:lang w:val="es-ES"/>
        </w:rPr>
        <w:tab/>
      </w:r>
      <w:r>
        <w:rPr>
          <w:lang w:val="es-ES"/>
        </w:rPr>
        <w:t xml:space="preserve">1 </w:t>
      </w:r>
      <w:r w:rsidRPr="003221F6">
        <w:rPr>
          <w:lang w:val="es-ES"/>
        </w:rPr>
        <w:t>algodón estéril o una gasa</w:t>
      </w:r>
    </w:p>
    <w:p w14:paraId="146B8047" w14:textId="77777777" w:rsidR="00585EFC" w:rsidRDefault="00585EFC" w:rsidP="00585EFC">
      <w:pPr>
        <w:ind w:left="714" w:hanging="357"/>
        <w:rPr>
          <w:lang w:val="es-ES"/>
        </w:rPr>
      </w:pPr>
      <w:r w:rsidRPr="00F22672">
        <w:rPr>
          <w:lang w:val="es-ES"/>
        </w:rPr>
        <w:sym w:font="Symbol" w:char="F0B7"/>
      </w:r>
      <w:r w:rsidRPr="00F22672">
        <w:rPr>
          <w:noProof/>
          <w:lang w:val="es-ES"/>
        </w:rPr>
        <w:tab/>
      </w:r>
      <w:r>
        <w:rPr>
          <w:lang w:val="es-ES"/>
        </w:rPr>
        <w:t xml:space="preserve">1 </w:t>
      </w:r>
      <w:r w:rsidRPr="003221F6">
        <w:rPr>
          <w:lang w:val="es-ES_tradnl"/>
        </w:rPr>
        <w:t>contenedor para objetos punzantes</w:t>
      </w:r>
      <w:r>
        <w:rPr>
          <w:lang w:val="es-ES_tradnl"/>
        </w:rPr>
        <w:t xml:space="preserve"> o</w:t>
      </w:r>
      <w:r w:rsidRPr="00C56AE9">
        <w:rPr>
          <w:lang w:val="es-ES"/>
        </w:rPr>
        <w:t xml:space="preserve"> recipiente resistente a pinchazos</w:t>
      </w:r>
      <w:r w:rsidRPr="00C56AE9">
        <w:rPr>
          <w:color w:val="231F20"/>
          <w:lang w:val="es-ES"/>
        </w:rPr>
        <w:t xml:space="preserve"> </w:t>
      </w:r>
      <w:r w:rsidRPr="00C56AE9">
        <w:rPr>
          <w:lang w:val="es-ES"/>
        </w:rPr>
        <w:t xml:space="preserve">para la eliminación segura del tapón de la </w:t>
      </w:r>
      <w:r>
        <w:rPr>
          <w:lang w:val="es-ES"/>
        </w:rPr>
        <w:t>plum</w:t>
      </w:r>
      <w:r w:rsidRPr="00C56AE9">
        <w:rPr>
          <w:lang w:val="es-ES"/>
        </w:rPr>
        <w:t>a</w:t>
      </w:r>
      <w:r>
        <w:rPr>
          <w:lang w:val="es-ES"/>
        </w:rPr>
        <w:t xml:space="preserve"> precargada</w:t>
      </w:r>
      <w:r w:rsidRPr="00C56AE9">
        <w:rPr>
          <w:lang w:val="es-ES"/>
        </w:rPr>
        <w:t xml:space="preserve"> y </w:t>
      </w:r>
      <w:r>
        <w:rPr>
          <w:lang w:val="es-ES"/>
        </w:rPr>
        <w:t xml:space="preserve">de </w:t>
      </w:r>
      <w:r w:rsidRPr="00C56AE9">
        <w:rPr>
          <w:lang w:val="es-ES"/>
        </w:rPr>
        <w:t xml:space="preserve">la </w:t>
      </w:r>
      <w:r>
        <w:rPr>
          <w:lang w:val="es-ES"/>
        </w:rPr>
        <w:t>plum</w:t>
      </w:r>
      <w:r w:rsidRPr="00C56AE9">
        <w:rPr>
          <w:lang w:val="es-ES"/>
        </w:rPr>
        <w:t>a</w:t>
      </w:r>
      <w:r>
        <w:rPr>
          <w:lang w:val="es-ES"/>
        </w:rPr>
        <w:t xml:space="preserve"> precargada</w:t>
      </w:r>
      <w:r w:rsidRPr="00C56AE9">
        <w:rPr>
          <w:lang w:val="es-ES"/>
        </w:rPr>
        <w:t xml:space="preserve"> utilizada</w:t>
      </w:r>
      <w:r>
        <w:rPr>
          <w:lang w:val="es-ES"/>
        </w:rPr>
        <w:t xml:space="preserve"> (ver </w:t>
      </w:r>
      <w:r w:rsidRPr="00C555F2">
        <w:rPr>
          <w:b/>
          <w:lang w:val="es-ES"/>
        </w:rPr>
        <w:t>Paso 4 “Eliminación de la pluma precargada”</w:t>
      </w:r>
      <w:r>
        <w:rPr>
          <w:lang w:val="es-ES"/>
        </w:rPr>
        <w:t>)</w:t>
      </w:r>
    </w:p>
    <w:p w14:paraId="7B24EDE5" w14:textId="77777777" w:rsidR="00585EFC" w:rsidRDefault="00585EFC" w:rsidP="00585EFC">
      <w:pPr>
        <w:rPr>
          <w:lang w:val="es-ES"/>
        </w:rPr>
      </w:pPr>
    </w:p>
    <w:p w14:paraId="52C75CAE" w14:textId="56F09835" w:rsidR="00585EFC" w:rsidRDefault="008D4CEB" w:rsidP="00585EFC">
      <w:pPr>
        <w:rPr>
          <w:noProof/>
          <w:lang w:val="es-ES" w:eastAsia="es-ES"/>
        </w:rPr>
      </w:pPr>
      <w:r w:rsidRPr="00EB55C0">
        <w:rPr>
          <w:noProof/>
          <w:lang w:eastAsia="en-US"/>
        </w:rPr>
        <w:drawing>
          <wp:inline distT="0" distB="0" distL="0" distR="0" wp14:anchorId="63BCEF67" wp14:editId="17E8BEE8">
            <wp:extent cx="5610225" cy="3152775"/>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453B6E08" w14:textId="77777777" w:rsidR="00585EFC" w:rsidRPr="00C555F2" w:rsidRDefault="00585EFC" w:rsidP="00585EFC">
      <w:pPr>
        <w:rPr>
          <w:b/>
          <w:lang w:val="es-ES"/>
        </w:rPr>
      </w:pP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t xml:space="preserve">      </w:t>
      </w:r>
      <w:r w:rsidRPr="00C555F2">
        <w:rPr>
          <w:b/>
          <w:noProof/>
          <w:lang w:val="es-ES" w:eastAsia="es-ES"/>
        </w:rPr>
        <w:t>Figura B</w:t>
      </w:r>
    </w:p>
    <w:p w14:paraId="13F8F530" w14:textId="77777777" w:rsidR="00585EFC" w:rsidRDefault="00585EFC" w:rsidP="00585EFC">
      <w:pPr>
        <w:ind w:left="567"/>
        <w:rPr>
          <w:lang w:val="es-ES"/>
        </w:rPr>
      </w:pPr>
    </w:p>
    <w:p w14:paraId="50E2E277" w14:textId="77777777" w:rsidR="00585EFC" w:rsidRDefault="00585EFC" w:rsidP="00585EFC">
      <w:pPr>
        <w:rPr>
          <w:b/>
          <w:lang w:val="es-ES"/>
        </w:rPr>
      </w:pPr>
      <w:r w:rsidRPr="00C555F2">
        <w:rPr>
          <w:b/>
          <w:lang w:val="es-ES"/>
        </w:rPr>
        <w:t>Paso 1. Preparación para una inyección de RoActemra</w:t>
      </w:r>
    </w:p>
    <w:p w14:paraId="2B16D9A1" w14:textId="77777777" w:rsidR="00585EFC" w:rsidRDefault="00585EFC" w:rsidP="00585EFC">
      <w:pPr>
        <w:rPr>
          <w:lang w:val="es-ES"/>
        </w:rPr>
      </w:pPr>
      <w:r>
        <w:rPr>
          <w:lang w:val="es-ES"/>
        </w:rPr>
        <w:t>Busque un lugar cómodo para trabajar con una superficie limpia y plana.</w:t>
      </w:r>
    </w:p>
    <w:p w14:paraId="26A7CCA2" w14:textId="77777777" w:rsidR="00585EFC" w:rsidRDefault="00585EFC" w:rsidP="00585EFC">
      <w:pPr>
        <w:ind w:left="714" w:hanging="357"/>
        <w:rPr>
          <w:lang w:val="es-ES"/>
        </w:rPr>
      </w:pPr>
      <w:r w:rsidRPr="00F22672">
        <w:rPr>
          <w:lang w:val="es-ES"/>
        </w:rPr>
        <w:sym w:font="Symbol" w:char="F0B7"/>
      </w:r>
      <w:r w:rsidRPr="00F22672">
        <w:rPr>
          <w:noProof/>
          <w:lang w:val="es-ES"/>
        </w:rPr>
        <w:tab/>
      </w:r>
      <w:r>
        <w:rPr>
          <w:lang w:val="es-ES"/>
        </w:rPr>
        <w:t>Saque de la nevera la caja con la plum</w:t>
      </w:r>
      <w:r w:rsidRPr="00634C2E">
        <w:rPr>
          <w:lang w:val="es-ES"/>
        </w:rPr>
        <w:t xml:space="preserve">a </w:t>
      </w:r>
      <w:r>
        <w:rPr>
          <w:lang w:val="es-ES"/>
        </w:rPr>
        <w:t>precargada.</w:t>
      </w:r>
    </w:p>
    <w:p w14:paraId="0E621FD9" w14:textId="77777777" w:rsidR="00585EFC" w:rsidRDefault="00585EFC" w:rsidP="00585EFC">
      <w:pPr>
        <w:ind w:left="714" w:hanging="357"/>
        <w:rPr>
          <w:lang w:val="es-ES"/>
        </w:rPr>
      </w:pPr>
      <w:r w:rsidRPr="00F22672">
        <w:rPr>
          <w:lang w:val="es-ES"/>
        </w:rPr>
        <w:sym w:font="Symbol" w:char="F0B7"/>
      </w:r>
      <w:r w:rsidRPr="00F22672">
        <w:rPr>
          <w:noProof/>
          <w:lang w:val="es-ES"/>
        </w:rPr>
        <w:tab/>
      </w:r>
      <w:r>
        <w:rPr>
          <w:lang w:val="es-ES"/>
        </w:rPr>
        <w:t xml:space="preserve">Si es la primera vez que abre la caja, asegurese que la caja está debidamente sellada. </w:t>
      </w:r>
      <w:r w:rsidRPr="00C555F2">
        <w:rPr>
          <w:b/>
          <w:lang w:val="es-ES"/>
        </w:rPr>
        <w:t xml:space="preserve">No </w:t>
      </w:r>
      <w:r w:rsidRPr="00FC58DF">
        <w:rPr>
          <w:lang w:val="es-ES"/>
        </w:rPr>
        <w:t xml:space="preserve">utilice </w:t>
      </w:r>
      <w:r>
        <w:rPr>
          <w:lang w:val="es-ES"/>
        </w:rPr>
        <w:t>la pluma precargada si la caja parece haber sido abierta.</w:t>
      </w:r>
    </w:p>
    <w:p w14:paraId="656C75C3" w14:textId="77777777" w:rsidR="00585EFC" w:rsidRDefault="00585EFC" w:rsidP="00585EFC">
      <w:pPr>
        <w:ind w:left="714" w:hanging="357"/>
        <w:rPr>
          <w:lang w:val="es-ES"/>
        </w:rPr>
      </w:pPr>
      <w:r w:rsidRPr="00F22672">
        <w:rPr>
          <w:lang w:val="es-ES"/>
        </w:rPr>
        <w:sym w:font="Symbol" w:char="F0B7"/>
      </w:r>
      <w:r w:rsidRPr="00F22672">
        <w:rPr>
          <w:noProof/>
          <w:lang w:val="es-ES"/>
        </w:rPr>
        <w:tab/>
      </w:r>
      <w:r>
        <w:rPr>
          <w:lang w:val="es-ES"/>
        </w:rPr>
        <w:t xml:space="preserve">Compruebe que la caja de la pluma precargada no está dañada. </w:t>
      </w:r>
      <w:r w:rsidRPr="00C555F2">
        <w:rPr>
          <w:b/>
          <w:lang w:val="es-ES"/>
        </w:rPr>
        <w:t xml:space="preserve">No </w:t>
      </w:r>
      <w:r w:rsidRPr="00FC58DF">
        <w:rPr>
          <w:lang w:val="es-ES"/>
        </w:rPr>
        <w:t xml:space="preserve">utilice </w:t>
      </w:r>
      <w:r>
        <w:rPr>
          <w:lang w:val="es-ES"/>
        </w:rPr>
        <w:t>la pluma precargada de RoActemra si la caja parece dañada.</w:t>
      </w:r>
    </w:p>
    <w:p w14:paraId="0CEEA0F2" w14:textId="77777777" w:rsidR="00585EFC" w:rsidRDefault="00585EFC" w:rsidP="00585EFC">
      <w:pPr>
        <w:ind w:left="714" w:hanging="357"/>
        <w:rPr>
          <w:lang w:val="es-ES"/>
        </w:rPr>
      </w:pPr>
      <w:r w:rsidRPr="00F22672">
        <w:rPr>
          <w:lang w:val="es-ES"/>
        </w:rPr>
        <w:sym w:font="Symbol" w:char="F0B7"/>
      </w:r>
      <w:r w:rsidRPr="00F22672">
        <w:rPr>
          <w:noProof/>
          <w:lang w:val="es-ES"/>
        </w:rPr>
        <w:tab/>
      </w:r>
      <w:r w:rsidRPr="00C555F2">
        <w:rPr>
          <w:b/>
          <w:lang w:val="es-ES"/>
        </w:rPr>
        <w:t>Co</w:t>
      </w:r>
      <w:r w:rsidRPr="00852F84">
        <w:rPr>
          <w:b/>
          <w:lang w:val="es-ES"/>
        </w:rPr>
        <w:t xml:space="preserve">mpruebe la fecha de caducidad </w:t>
      </w:r>
      <w:r>
        <w:rPr>
          <w:b/>
          <w:lang w:val="es-ES"/>
        </w:rPr>
        <w:t>de</w:t>
      </w:r>
      <w:r w:rsidRPr="00C555F2">
        <w:rPr>
          <w:b/>
          <w:lang w:val="es-ES"/>
        </w:rPr>
        <w:t xml:space="preserve"> la caja de la pluma precargada</w:t>
      </w:r>
      <w:r>
        <w:rPr>
          <w:lang w:val="es-ES"/>
        </w:rPr>
        <w:t xml:space="preserve">. </w:t>
      </w:r>
      <w:r w:rsidRPr="00C555F2">
        <w:rPr>
          <w:b/>
          <w:lang w:val="es-ES"/>
        </w:rPr>
        <w:t xml:space="preserve">No </w:t>
      </w:r>
      <w:r w:rsidRPr="00FC58DF">
        <w:rPr>
          <w:lang w:val="es-ES"/>
        </w:rPr>
        <w:t>utilice</w:t>
      </w:r>
      <w:r>
        <w:rPr>
          <w:lang w:val="es-ES"/>
        </w:rPr>
        <w:t xml:space="preserve"> la pluma </w:t>
      </w:r>
      <w:r w:rsidRPr="00852F84">
        <w:rPr>
          <w:lang w:val="es-ES"/>
        </w:rPr>
        <w:t xml:space="preserve">precargada si ha pasado la fecha de caducidad, ya que puede que </w:t>
      </w:r>
      <w:r w:rsidRPr="00C555F2">
        <w:rPr>
          <w:lang w:val="es-ES"/>
        </w:rPr>
        <w:t xml:space="preserve">su uso </w:t>
      </w:r>
      <w:r w:rsidRPr="00852F84">
        <w:rPr>
          <w:lang w:val="es-ES"/>
        </w:rPr>
        <w:t>no sea seguro.</w:t>
      </w:r>
    </w:p>
    <w:p w14:paraId="39A114FE" w14:textId="77777777" w:rsidR="00585EFC" w:rsidRDefault="00585EFC" w:rsidP="00585EFC">
      <w:pPr>
        <w:ind w:left="714" w:hanging="357"/>
        <w:rPr>
          <w:lang w:val="es-ES"/>
        </w:rPr>
      </w:pPr>
      <w:r w:rsidRPr="00F22672">
        <w:rPr>
          <w:lang w:val="es-ES"/>
        </w:rPr>
        <w:sym w:font="Symbol" w:char="F0B7"/>
      </w:r>
      <w:r w:rsidRPr="00F22672">
        <w:rPr>
          <w:noProof/>
          <w:lang w:val="es-ES"/>
        </w:rPr>
        <w:tab/>
      </w:r>
      <w:r>
        <w:rPr>
          <w:lang w:val="es-ES"/>
        </w:rPr>
        <w:t>Abra la caja, y saque de la caja 1 pluma precargada de RoActemra de un solo uso.</w:t>
      </w:r>
    </w:p>
    <w:p w14:paraId="73AF2D23" w14:textId="77777777" w:rsidR="00585EFC" w:rsidRDefault="00585EFC" w:rsidP="00585EFC">
      <w:pPr>
        <w:ind w:left="714" w:hanging="357"/>
        <w:rPr>
          <w:lang w:val="es-ES"/>
        </w:rPr>
      </w:pPr>
      <w:r w:rsidRPr="00F22672">
        <w:rPr>
          <w:lang w:val="es-ES"/>
        </w:rPr>
        <w:sym w:font="Symbol" w:char="F0B7"/>
      </w:r>
      <w:r w:rsidRPr="00F22672">
        <w:rPr>
          <w:noProof/>
          <w:lang w:val="es-ES"/>
        </w:rPr>
        <w:tab/>
      </w:r>
      <w:r>
        <w:rPr>
          <w:lang w:val="es-ES"/>
        </w:rPr>
        <w:t>V</w:t>
      </w:r>
      <w:r w:rsidRPr="00FA4410">
        <w:rPr>
          <w:lang w:val="es-ES"/>
        </w:rPr>
        <w:t xml:space="preserve">uelva </w:t>
      </w:r>
      <w:r>
        <w:rPr>
          <w:lang w:val="es-ES"/>
        </w:rPr>
        <w:t xml:space="preserve">a introducir en la nevera </w:t>
      </w:r>
      <w:r w:rsidRPr="00FA4410">
        <w:rPr>
          <w:lang w:val="es-ES"/>
        </w:rPr>
        <w:t xml:space="preserve">cualquier </w:t>
      </w:r>
      <w:r>
        <w:rPr>
          <w:lang w:val="es-ES"/>
        </w:rPr>
        <w:t>pluma precargada</w:t>
      </w:r>
      <w:r w:rsidRPr="00FA4410">
        <w:rPr>
          <w:lang w:val="es-ES"/>
        </w:rPr>
        <w:t xml:space="preserve"> </w:t>
      </w:r>
      <w:r>
        <w:rPr>
          <w:lang w:val="es-ES"/>
        </w:rPr>
        <w:t>sobrante.</w:t>
      </w:r>
    </w:p>
    <w:p w14:paraId="226381E4" w14:textId="77777777" w:rsidR="00585EFC" w:rsidRPr="00FC58DF" w:rsidRDefault="00585EFC" w:rsidP="00585EFC">
      <w:pPr>
        <w:ind w:left="714" w:hanging="357"/>
        <w:rPr>
          <w:lang w:val="es-ES"/>
        </w:rPr>
      </w:pPr>
      <w:r w:rsidRPr="00F22672">
        <w:rPr>
          <w:lang w:val="es-ES"/>
        </w:rPr>
        <w:sym w:font="Symbol" w:char="F0B7"/>
      </w:r>
      <w:r w:rsidRPr="00F22672">
        <w:rPr>
          <w:noProof/>
          <w:lang w:val="es-ES"/>
        </w:rPr>
        <w:tab/>
      </w:r>
      <w:r w:rsidRPr="00C555F2">
        <w:rPr>
          <w:b/>
          <w:lang w:val="es-ES"/>
        </w:rPr>
        <w:t xml:space="preserve">Compruebe la fecha de caducidad de la pluma precargada de RoActemra (ver Figura A). </w:t>
      </w:r>
      <w:r w:rsidRPr="00542E50">
        <w:rPr>
          <w:b/>
          <w:lang w:val="es-ES"/>
        </w:rPr>
        <w:t xml:space="preserve">No </w:t>
      </w:r>
      <w:r w:rsidRPr="00C555F2">
        <w:rPr>
          <w:lang w:val="es-ES"/>
        </w:rPr>
        <w:t>utilice la pluma precargada</w:t>
      </w:r>
      <w:r w:rsidRPr="00542E50">
        <w:rPr>
          <w:b/>
          <w:lang w:val="es-ES"/>
        </w:rPr>
        <w:t xml:space="preserve"> </w:t>
      </w:r>
      <w:r w:rsidRPr="00C555F2">
        <w:rPr>
          <w:lang w:val="es-ES"/>
        </w:rPr>
        <w:t>si</w:t>
      </w:r>
      <w:r>
        <w:rPr>
          <w:b/>
          <w:lang w:val="es-ES"/>
        </w:rPr>
        <w:t xml:space="preserve"> </w:t>
      </w:r>
      <w:r w:rsidRPr="00C555F2">
        <w:rPr>
          <w:lang w:val="es-ES"/>
        </w:rPr>
        <w:t xml:space="preserve">la fecha de caducidad </w:t>
      </w:r>
      <w:r>
        <w:rPr>
          <w:lang w:val="es-ES"/>
        </w:rPr>
        <w:t>ha pasado, ya que su uso puede no ser seguro.</w:t>
      </w:r>
      <w:r w:rsidRPr="00122A23">
        <w:rPr>
          <w:lang w:val="es-ES"/>
        </w:rPr>
        <w:t xml:space="preserve"> </w:t>
      </w:r>
      <w:r w:rsidRPr="00C555F2">
        <w:rPr>
          <w:lang w:val="es-ES"/>
        </w:rPr>
        <w:t xml:space="preserve">Si la fecha de </w:t>
      </w:r>
      <w:r w:rsidRPr="00FC58DF">
        <w:rPr>
          <w:lang w:val="es-ES"/>
        </w:rPr>
        <w:t>caducidad</w:t>
      </w:r>
      <w:r w:rsidRPr="00C555F2">
        <w:rPr>
          <w:lang w:val="es-ES"/>
        </w:rPr>
        <w:t xml:space="preserve"> ha pasado, </w:t>
      </w:r>
      <w:r w:rsidRPr="00FC58DF">
        <w:rPr>
          <w:lang w:val="es-ES"/>
        </w:rPr>
        <w:t>elimine</w:t>
      </w:r>
      <w:r w:rsidRPr="00C555F2">
        <w:rPr>
          <w:lang w:val="es-ES"/>
        </w:rPr>
        <w:t xml:space="preserve"> </w:t>
      </w:r>
      <w:r w:rsidRPr="00FC58DF">
        <w:rPr>
          <w:lang w:val="es-ES"/>
        </w:rPr>
        <w:t>la pluma</w:t>
      </w:r>
      <w:r w:rsidRPr="007F56B7">
        <w:rPr>
          <w:lang w:val="es-ES"/>
        </w:rPr>
        <w:t xml:space="preserve"> precargada</w:t>
      </w:r>
      <w:r w:rsidRPr="00C555F2">
        <w:rPr>
          <w:lang w:val="es-ES"/>
        </w:rPr>
        <w:t xml:space="preserve"> de forma segura en un contenedor de objetos punzantes y </w:t>
      </w:r>
      <w:r w:rsidRPr="00FC58DF">
        <w:rPr>
          <w:lang w:val="es-ES"/>
        </w:rPr>
        <w:t>utilice</w:t>
      </w:r>
      <w:r w:rsidRPr="007F56B7">
        <w:rPr>
          <w:lang w:val="es-ES"/>
        </w:rPr>
        <w:t xml:space="preserve"> una</w:t>
      </w:r>
      <w:r w:rsidRPr="00C555F2">
        <w:rPr>
          <w:lang w:val="es-ES"/>
        </w:rPr>
        <w:t xml:space="preserve"> nuev</w:t>
      </w:r>
      <w:r w:rsidRPr="00FC58DF">
        <w:rPr>
          <w:lang w:val="es-ES"/>
        </w:rPr>
        <w:t>a</w:t>
      </w:r>
      <w:r w:rsidRPr="00C555F2">
        <w:rPr>
          <w:lang w:val="es-ES"/>
        </w:rPr>
        <w:t>.</w:t>
      </w:r>
    </w:p>
    <w:p w14:paraId="5E7ACA23" w14:textId="7F0658A0" w:rsidR="00585EFC" w:rsidRPr="00C555F2" w:rsidRDefault="00585EFC" w:rsidP="00585EFC">
      <w:pPr>
        <w:ind w:left="714" w:hanging="357"/>
        <w:rPr>
          <w:b/>
          <w:lang w:val="es-ES"/>
        </w:rPr>
      </w:pPr>
      <w:r w:rsidRPr="00F22672">
        <w:rPr>
          <w:lang w:val="es-ES"/>
        </w:rPr>
        <w:sym w:font="Symbol" w:char="F0B7"/>
      </w:r>
      <w:r w:rsidRPr="00F22672">
        <w:rPr>
          <w:noProof/>
          <w:lang w:val="es-ES"/>
        </w:rPr>
        <w:tab/>
      </w:r>
      <w:r>
        <w:rPr>
          <w:b/>
          <w:lang w:val="es-ES"/>
        </w:rPr>
        <w:t>Compruebe</w:t>
      </w:r>
      <w:r w:rsidRPr="00C555F2">
        <w:rPr>
          <w:b/>
          <w:lang w:val="es-ES"/>
        </w:rPr>
        <w:t xml:space="preserve"> que la pluma precargada no está dañada.</w:t>
      </w:r>
      <w:r>
        <w:rPr>
          <w:lang w:val="es-ES"/>
        </w:rPr>
        <w:t xml:space="preserve"> No utilice la pluma precargada si parece estar dañada o si accidentalmente </w:t>
      </w:r>
      <w:del w:id="2968" w:author="AUTHOR">
        <w:r w:rsidDel="005A55F7">
          <w:rPr>
            <w:lang w:val="es-ES"/>
          </w:rPr>
          <w:delText>ha desechado</w:delText>
        </w:r>
      </w:del>
      <w:ins w:id="2969" w:author="AUTHOR">
        <w:r w:rsidR="005A55F7">
          <w:rPr>
            <w:lang w:val="es-ES"/>
          </w:rPr>
          <w:t>se le ha caído</w:t>
        </w:r>
      </w:ins>
      <w:r>
        <w:rPr>
          <w:lang w:val="es-ES"/>
        </w:rPr>
        <w:t xml:space="preserve"> la pluma precargada.</w:t>
      </w:r>
    </w:p>
    <w:p w14:paraId="27A99767" w14:textId="77777777" w:rsidR="00585EFC" w:rsidRPr="00C555F2" w:rsidRDefault="00585EFC" w:rsidP="00585EFC">
      <w:pPr>
        <w:ind w:left="714" w:hanging="357"/>
        <w:rPr>
          <w:lang w:val="es-ES"/>
        </w:rPr>
      </w:pPr>
      <w:r w:rsidRPr="00F22672">
        <w:rPr>
          <w:lang w:val="es-ES"/>
        </w:rPr>
        <w:sym w:font="Symbol" w:char="F0B7"/>
      </w:r>
      <w:r w:rsidRPr="00F22672">
        <w:rPr>
          <w:noProof/>
          <w:lang w:val="es-ES"/>
        </w:rPr>
        <w:tab/>
      </w:r>
      <w:r w:rsidRPr="00C555F2">
        <w:rPr>
          <w:lang w:val="es-ES"/>
        </w:rPr>
        <w:t xml:space="preserve">Coloque la pluma precargada sobre una superficie limpia y plana y deje la pluma precargada </w:t>
      </w:r>
      <w:r w:rsidRPr="00C922C2">
        <w:rPr>
          <w:lang w:val="es-ES"/>
        </w:rPr>
        <w:t xml:space="preserve">para que </w:t>
      </w:r>
      <w:r>
        <w:rPr>
          <w:lang w:val="es-ES"/>
        </w:rPr>
        <w:t xml:space="preserve">se temple </w:t>
      </w:r>
      <w:r w:rsidRPr="00F42713">
        <w:rPr>
          <w:lang w:val="es-ES"/>
        </w:rPr>
        <w:t>durante 45 minutos</w:t>
      </w:r>
      <w:r>
        <w:rPr>
          <w:lang w:val="es-ES"/>
        </w:rPr>
        <w:t xml:space="preserve"> y alcance la</w:t>
      </w:r>
      <w:r w:rsidRPr="00C555F2">
        <w:rPr>
          <w:lang w:val="es-ES"/>
        </w:rPr>
        <w:t xml:space="preserve"> </w:t>
      </w:r>
      <w:r>
        <w:rPr>
          <w:lang w:val="es-ES"/>
        </w:rPr>
        <w:t>temperatura ambiente</w:t>
      </w:r>
      <w:r w:rsidRPr="00C555F2">
        <w:rPr>
          <w:lang w:val="es-ES"/>
        </w:rPr>
        <w:t xml:space="preserve">. Si </w:t>
      </w:r>
      <w:r>
        <w:rPr>
          <w:lang w:val="es-ES"/>
        </w:rPr>
        <w:t>la pluma</w:t>
      </w:r>
      <w:r w:rsidRPr="00542E50">
        <w:rPr>
          <w:lang w:val="es-ES"/>
        </w:rPr>
        <w:t xml:space="preserve"> precargad</w:t>
      </w:r>
      <w:r>
        <w:rPr>
          <w:lang w:val="es-ES"/>
        </w:rPr>
        <w:t>a</w:t>
      </w:r>
      <w:r w:rsidRPr="00C555F2">
        <w:rPr>
          <w:lang w:val="es-ES"/>
        </w:rPr>
        <w:t xml:space="preserve"> no alcan</w:t>
      </w:r>
      <w:r w:rsidRPr="002F1001">
        <w:rPr>
          <w:lang w:val="es-ES"/>
        </w:rPr>
        <w:t>za la temperatura ambiente</w:t>
      </w:r>
      <w:r w:rsidRPr="00C555F2">
        <w:rPr>
          <w:lang w:val="es-ES"/>
        </w:rPr>
        <w:t xml:space="preserve"> podría </w:t>
      </w:r>
      <w:r>
        <w:rPr>
          <w:lang w:val="es-ES"/>
        </w:rPr>
        <w:t xml:space="preserve">resultar una </w:t>
      </w:r>
      <w:r w:rsidRPr="00C555F2">
        <w:rPr>
          <w:lang w:val="es-ES"/>
        </w:rPr>
        <w:t>inyección incómoda y</w:t>
      </w:r>
      <w:r>
        <w:rPr>
          <w:lang w:val="es-ES"/>
        </w:rPr>
        <w:t xml:space="preserve"> podría hacer que se prolongara el </w:t>
      </w:r>
      <w:r w:rsidRPr="002F1001">
        <w:rPr>
          <w:lang w:val="es-ES"/>
        </w:rPr>
        <w:t xml:space="preserve">tiempo </w:t>
      </w:r>
      <w:r w:rsidRPr="00C555F2">
        <w:rPr>
          <w:lang w:val="es-ES"/>
        </w:rPr>
        <w:t>de inyección.</w:t>
      </w:r>
    </w:p>
    <w:p w14:paraId="30221978" w14:textId="77777777" w:rsidR="00585EFC" w:rsidRPr="00C555F2" w:rsidRDefault="00585EFC" w:rsidP="00585EFC">
      <w:pPr>
        <w:ind w:left="1276" w:hanging="556"/>
        <w:rPr>
          <w:lang w:val="es-ES"/>
        </w:rPr>
      </w:pPr>
      <w:r w:rsidRPr="00C555F2">
        <w:rPr>
          <w:lang w:val="es-ES"/>
        </w:rPr>
        <w:t xml:space="preserve">o </w:t>
      </w:r>
      <w:r w:rsidRPr="002F1001">
        <w:rPr>
          <w:b/>
          <w:lang w:val="es-ES"/>
        </w:rPr>
        <w:t xml:space="preserve">No </w:t>
      </w:r>
      <w:r w:rsidRPr="00C555F2">
        <w:rPr>
          <w:lang w:val="es-ES"/>
        </w:rPr>
        <w:t>acelere el proceso de atemperamiento de ninguna manera, como por ejemplo usando el microondas o introduciendo la pluma precargada en agua caliente.</w:t>
      </w:r>
    </w:p>
    <w:p w14:paraId="2737DC46" w14:textId="77777777" w:rsidR="00585EFC" w:rsidRDefault="00585EFC" w:rsidP="00D607E6">
      <w:pPr>
        <w:ind w:left="709"/>
        <w:rPr>
          <w:lang w:val="es-ES"/>
        </w:rPr>
      </w:pPr>
      <w:r w:rsidRPr="00C555F2">
        <w:rPr>
          <w:lang w:val="es-ES"/>
        </w:rPr>
        <w:t xml:space="preserve">o </w:t>
      </w:r>
      <w:r w:rsidRPr="002F1001">
        <w:rPr>
          <w:b/>
          <w:lang w:val="es-ES"/>
        </w:rPr>
        <w:t>No</w:t>
      </w:r>
      <w:r w:rsidRPr="00C555F2">
        <w:rPr>
          <w:lang w:val="es-ES"/>
        </w:rPr>
        <w:t xml:space="preserve"> deje la pluma precargada </w:t>
      </w:r>
      <w:r w:rsidRPr="00D472FE">
        <w:rPr>
          <w:lang w:val="es-ES"/>
        </w:rPr>
        <w:t>bajo la luz solar directa</w:t>
      </w:r>
      <w:r w:rsidRPr="002F1001">
        <w:rPr>
          <w:lang w:val="es-ES"/>
        </w:rPr>
        <w:t xml:space="preserve"> </w:t>
      </w:r>
      <w:r w:rsidRPr="00C555F2">
        <w:rPr>
          <w:lang w:val="es-ES"/>
        </w:rPr>
        <w:t xml:space="preserve">para </w:t>
      </w:r>
      <w:r>
        <w:rPr>
          <w:lang w:val="es-ES"/>
        </w:rPr>
        <w:t>que se temple.</w:t>
      </w:r>
    </w:p>
    <w:p w14:paraId="250A2E71" w14:textId="77777777" w:rsidR="00585EFC" w:rsidRDefault="00585EFC" w:rsidP="00585EFC">
      <w:pPr>
        <w:ind w:left="567" w:hanging="141"/>
        <w:rPr>
          <w:lang w:val="es-ES"/>
        </w:rPr>
      </w:pPr>
    </w:p>
    <w:p w14:paraId="12A463B2" w14:textId="77777777" w:rsidR="00585EFC" w:rsidRDefault="00585EFC" w:rsidP="00585EFC">
      <w:pPr>
        <w:ind w:left="284"/>
        <w:rPr>
          <w:b/>
          <w:lang w:val="es-ES"/>
        </w:rPr>
      </w:pPr>
      <w:r w:rsidRPr="00C555F2">
        <w:rPr>
          <w:b/>
          <w:lang w:val="es-ES"/>
        </w:rPr>
        <w:lastRenderedPageBreak/>
        <w:t>No retire el tapón verde mientras la pluma precargada de RoActemra alcanza la temperatura ambiente.</w:t>
      </w:r>
    </w:p>
    <w:p w14:paraId="47915172" w14:textId="77777777" w:rsidR="00585EFC" w:rsidRDefault="00585EFC" w:rsidP="00585EFC">
      <w:pPr>
        <w:ind w:left="714" w:hanging="357"/>
        <w:rPr>
          <w:b/>
          <w:lang w:val="es-ES"/>
        </w:rPr>
      </w:pPr>
      <w:r w:rsidRPr="00F22672">
        <w:rPr>
          <w:lang w:val="es-ES"/>
        </w:rPr>
        <w:sym w:font="Symbol" w:char="F0B7"/>
      </w:r>
      <w:r w:rsidRPr="00F22672">
        <w:rPr>
          <w:noProof/>
          <w:lang w:val="es-ES"/>
        </w:rPr>
        <w:tab/>
      </w:r>
      <w:r w:rsidRPr="00C555F2">
        <w:rPr>
          <w:lang w:val="es-ES"/>
        </w:rPr>
        <w:t>Mantenga la pluma precargada de RoActemra con el tapón verde apuntando hacia abajo</w:t>
      </w:r>
      <w:r>
        <w:rPr>
          <w:b/>
          <w:lang w:val="es-ES"/>
        </w:rPr>
        <w:t xml:space="preserve"> (ver Figura C).</w:t>
      </w:r>
    </w:p>
    <w:p w14:paraId="2CEE5B95" w14:textId="77777777" w:rsidR="00585EFC" w:rsidRDefault="00585EFC" w:rsidP="00585EFC">
      <w:pPr>
        <w:ind w:left="284"/>
        <w:rPr>
          <w:b/>
          <w:lang w:val="es-ES"/>
        </w:rPr>
      </w:pPr>
    </w:p>
    <w:p w14:paraId="4F3C1C73" w14:textId="65966A44" w:rsidR="00585EFC" w:rsidRDefault="008D4CEB" w:rsidP="00585EFC">
      <w:pPr>
        <w:ind w:left="284"/>
        <w:jc w:val="center"/>
        <w:rPr>
          <w:b/>
          <w:lang w:val="es-ES"/>
        </w:rPr>
      </w:pPr>
      <w:r w:rsidRPr="005F5F30">
        <w:rPr>
          <w:noProof/>
          <w:lang w:eastAsia="en-US"/>
        </w:rPr>
        <w:drawing>
          <wp:inline distT="0" distB="0" distL="0" distR="0" wp14:anchorId="623932CF" wp14:editId="35179AB2">
            <wp:extent cx="3943350" cy="310515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43350" cy="3105150"/>
                    </a:xfrm>
                    <a:prstGeom prst="rect">
                      <a:avLst/>
                    </a:prstGeom>
                    <a:noFill/>
                    <a:ln>
                      <a:noFill/>
                    </a:ln>
                  </pic:spPr>
                </pic:pic>
              </a:graphicData>
            </a:graphic>
          </wp:inline>
        </w:drawing>
      </w:r>
    </w:p>
    <w:p w14:paraId="501C3FE4" w14:textId="77777777" w:rsidR="00585EFC" w:rsidRDefault="00585EFC" w:rsidP="00585EFC">
      <w:pPr>
        <w:ind w:left="284"/>
        <w:rPr>
          <w:b/>
          <w:lang w:val="es-ES"/>
        </w:rPr>
      </w:pPr>
      <w:r>
        <w:rPr>
          <w:b/>
          <w:lang w:val="es-ES"/>
        </w:rPr>
        <w:tab/>
      </w:r>
      <w:r>
        <w:rPr>
          <w:b/>
          <w:lang w:val="es-ES"/>
        </w:rPr>
        <w:tab/>
      </w:r>
      <w:r>
        <w:rPr>
          <w:b/>
          <w:lang w:val="es-ES"/>
        </w:rPr>
        <w:tab/>
      </w:r>
      <w:r>
        <w:rPr>
          <w:b/>
          <w:lang w:val="es-ES"/>
        </w:rPr>
        <w:tab/>
      </w:r>
      <w:r>
        <w:rPr>
          <w:b/>
          <w:lang w:val="es-ES"/>
        </w:rPr>
        <w:tab/>
      </w:r>
      <w:r>
        <w:rPr>
          <w:b/>
          <w:lang w:val="es-ES"/>
        </w:rPr>
        <w:tab/>
      </w:r>
      <w:r>
        <w:rPr>
          <w:b/>
          <w:lang w:val="es-ES"/>
        </w:rPr>
        <w:tab/>
      </w:r>
      <w:r>
        <w:rPr>
          <w:b/>
          <w:lang w:val="es-ES"/>
        </w:rPr>
        <w:tab/>
        <w:t>Figura C</w:t>
      </w:r>
    </w:p>
    <w:p w14:paraId="66CBFF0B" w14:textId="77777777" w:rsidR="00585EFC" w:rsidRDefault="00585EFC" w:rsidP="00585EFC">
      <w:pPr>
        <w:ind w:left="284"/>
        <w:rPr>
          <w:b/>
          <w:lang w:val="es-ES"/>
        </w:rPr>
      </w:pPr>
    </w:p>
    <w:p w14:paraId="3B043472" w14:textId="77777777" w:rsidR="00585EFC" w:rsidRDefault="00585EFC" w:rsidP="00585EFC">
      <w:pPr>
        <w:ind w:left="568" w:hanging="284"/>
        <w:rPr>
          <w:lang w:val="es-ES"/>
        </w:rPr>
      </w:pPr>
      <w:r w:rsidRPr="00F22672">
        <w:rPr>
          <w:lang w:val="es-ES"/>
        </w:rPr>
        <w:sym w:font="Symbol" w:char="F0B7"/>
      </w:r>
      <w:r w:rsidRPr="00F22672">
        <w:rPr>
          <w:noProof/>
          <w:lang w:val="es-ES"/>
        </w:rPr>
        <w:tab/>
      </w:r>
      <w:r w:rsidRPr="00C555F2">
        <w:rPr>
          <w:lang w:val="es-ES"/>
        </w:rPr>
        <w:t>Inspeccionar la ventana</w:t>
      </w:r>
      <w:r>
        <w:rPr>
          <w:lang w:val="es-ES"/>
        </w:rPr>
        <w:t xml:space="preserve"> de visibilidad de la pluma</w:t>
      </w:r>
      <w:r w:rsidRPr="00C555F2">
        <w:rPr>
          <w:lang w:val="es-ES"/>
        </w:rPr>
        <w:t xml:space="preserve">. Comprobar </w:t>
      </w:r>
      <w:r>
        <w:rPr>
          <w:lang w:val="es-ES"/>
        </w:rPr>
        <w:t>el líquido de la pluma precargada de RoActemra (</w:t>
      </w:r>
      <w:r w:rsidRPr="00C555F2">
        <w:rPr>
          <w:b/>
          <w:lang w:val="es-ES"/>
        </w:rPr>
        <w:t>ver Figura C</w:t>
      </w:r>
      <w:r>
        <w:rPr>
          <w:lang w:val="es-ES"/>
        </w:rPr>
        <w:t xml:space="preserve">). El líquido debe ser transparente e incoloro tirando a ligeramente amarillento. </w:t>
      </w:r>
      <w:r w:rsidRPr="00C555F2">
        <w:rPr>
          <w:b/>
          <w:lang w:val="es-ES"/>
        </w:rPr>
        <w:t xml:space="preserve">No </w:t>
      </w:r>
      <w:r>
        <w:rPr>
          <w:lang w:val="es-ES"/>
        </w:rPr>
        <w:t xml:space="preserve">inyecte RoActemra si el líquido </w:t>
      </w:r>
      <w:r w:rsidRPr="006943A4">
        <w:rPr>
          <w:lang w:val="es-ES"/>
        </w:rPr>
        <w:t>est</w:t>
      </w:r>
      <w:r>
        <w:rPr>
          <w:lang w:val="es-ES"/>
        </w:rPr>
        <w:t>á</w:t>
      </w:r>
      <w:r w:rsidRPr="006943A4">
        <w:rPr>
          <w:lang w:val="es-ES"/>
        </w:rPr>
        <w:t xml:space="preserve"> turbi</w:t>
      </w:r>
      <w:r>
        <w:rPr>
          <w:lang w:val="es-ES"/>
        </w:rPr>
        <w:t>o, descolorido</w:t>
      </w:r>
      <w:r w:rsidRPr="006943A4">
        <w:rPr>
          <w:lang w:val="es-ES"/>
        </w:rPr>
        <w:t xml:space="preserve"> o contiene </w:t>
      </w:r>
      <w:r>
        <w:rPr>
          <w:lang w:val="es-ES"/>
        </w:rPr>
        <w:t xml:space="preserve">grumos o </w:t>
      </w:r>
      <w:r w:rsidRPr="006943A4">
        <w:rPr>
          <w:lang w:val="es-ES"/>
        </w:rPr>
        <w:t xml:space="preserve">partículas, </w:t>
      </w:r>
      <w:r>
        <w:rPr>
          <w:lang w:val="es-ES"/>
        </w:rPr>
        <w:t>ya que su uso puede no ser seguro. Elimin</w:t>
      </w:r>
      <w:r w:rsidRPr="00104D18">
        <w:rPr>
          <w:lang w:val="es-ES"/>
        </w:rPr>
        <w:t xml:space="preserve">e </w:t>
      </w:r>
      <w:r>
        <w:rPr>
          <w:lang w:val="es-ES"/>
        </w:rPr>
        <w:t>la pluma precargada</w:t>
      </w:r>
      <w:r w:rsidRPr="00104D18">
        <w:rPr>
          <w:lang w:val="es-ES"/>
        </w:rPr>
        <w:t xml:space="preserve"> de forma segura en un contenedor de objetos punzantes y obtenga uno nuevo</w:t>
      </w:r>
      <w:r>
        <w:rPr>
          <w:lang w:val="es-ES"/>
        </w:rPr>
        <w:t>.</w:t>
      </w:r>
    </w:p>
    <w:p w14:paraId="2B5CBF06" w14:textId="77777777" w:rsidR="00585EFC" w:rsidRDefault="00585EFC" w:rsidP="00585EFC">
      <w:pPr>
        <w:ind w:left="568" w:hanging="284"/>
        <w:rPr>
          <w:lang w:val="es-ES"/>
        </w:rPr>
      </w:pPr>
      <w:r w:rsidRPr="00F22672">
        <w:rPr>
          <w:lang w:val="es-ES"/>
        </w:rPr>
        <w:sym w:font="Symbol" w:char="F0B7"/>
      </w:r>
      <w:r w:rsidRPr="00F22672">
        <w:rPr>
          <w:noProof/>
          <w:lang w:val="es-ES"/>
        </w:rPr>
        <w:tab/>
      </w:r>
      <w:r>
        <w:rPr>
          <w:lang w:val="es-ES"/>
        </w:rPr>
        <w:t>Lave sus manos con agua y jabón.</w:t>
      </w:r>
    </w:p>
    <w:p w14:paraId="20191935" w14:textId="77777777" w:rsidR="00585EFC" w:rsidRDefault="00585EFC" w:rsidP="00585EFC">
      <w:pPr>
        <w:ind w:left="284"/>
        <w:rPr>
          <w:lang w:val="es-ES"/>
        </w:rPr>
      </w:pPr>
    </w:p>
    <w:p w14:paraId="7DE8B96D" w14:textId="77777777" w:rsidR="00585EFC" w:rsidRDefault="00585EFC" w:rsidP="00585EFC">
      <w:pPr>
        <w:tabs>
          <w:tab w:val="left" w:pos="0"/>
        </w:tabs>
        <w:rPr>
          <w:b/>
          <w:lang w:val="es-ES"/>
        </w:rPr>
      </w:pPr>
      <w:r w:rsidRPr="00084528">
        <w:rPr>
          <w:b/>
          <w:lang w:val="es-ES"/>
        </w:rPr>
        <w:t xml:space="preserve">Paso 2. Elija y prepare </w:t>
      </w:r>
      <w:r w:rsidRPr="00D2117E">
        <w:rPr>
          <w:b/>
          <w:lang w:val="es-ES"/>
        </w:rPr>
        <w:t>el</w:t>
      </w:r>
      <w:r w:rsidRPr="00C555F2">
        <w:rPr>
          <w:b/>
          <w:lang w:val="es-ES"/>
        </w:rPr>
        <w:t xml:space="preserve"> lugar de </w:t>
      </w:r>
      <w:r w:rsidRPr="00084528">
        <w:rPr>
          <w:b/>
          <w:lang w:val="es-ES"/>
        </w:rPr>
        <w:t xml:space="preserve">la </w:t>
      </w:r>
      <w:r w:rsidRPr="00C555F2">
        <w:rPr>
          <w:b/>
          <w:lang w:val="es-ES"/>
        </w:rPr>
        <w:t>inyección</w:t>
      </w:r>
    </w:p>
    <w:p w14:paraId="641E8D1F" w14:textId="77777777" w:rsidR="00585EFC" w:rsidRDefault="00585EFC" w:rsidP="00585EFC">
      <w:pPr>
        <w:tabs>
          <w:tab w:val="left" w:pos="0"/>
        </w:tabs>
        <w:rPr>
          <w:b/>
          <w:lang w:val="es-ES"/>
        </w:rPr>
      </w:pPr>
      <w:r>
        <w:rPr>
          <w:b/>
          <w:lang w:val="es-ES"/>
        </w:rPr>
        <w:t>Elija un lugar de inyección</w:t>
      </w:r>
    </w:p>
    <w:p w14:paraId="0318C84A" w14:textId="77777777" w:rsidR="00585EFC" w:rsidRDefault="00585EFC" w:rsidP="00585EFC">
      <w:pPr>
        <w:ind w:left="568" w:hanging="284"/>
        <w:rPr>
          <w:lang w:val="es-ES"/>
        </w:rPr>
      </w:pPr>
      <w:r w:rsidRPr="00F22672">
        <w:rPr>
          <w:lang w:val="es-ES"/>
        </w:rPr>
        <w:sym w:font="Symbol" w:char="F0B7"/>
      </w:r>
      <w:r w:rsidRPr="00F22672">
        <w:rPr>
          <w:noProof/>
          <w:lang w:val="es-ES"/>
        </w:rPr>
        <w:tab/>
      </w:r>
      <w:r w:rsidRPr="00C555F2">
        <w:rPr>
          <w:lang w:val="es-ES"/>
        </w:rPr>
        <w:t>La</w:t>
      </w:r>
      <w:r>
        <w:rPr>
          <w:lang w:val="es-ES"/>
        </w:rPr>
        <w:t>s</w:t>
      </w:r>
      <w:r w:rsidRPr="00C555F2">
        <w:rPr>
          <w:lang w:val="es-ES"/>
        </w:rPr>
        <w:t xml:space="preserve"> </w:t>
      </w:r>
      <w:r>
        <w:rPr>
          <w:lang w:val="es-ES"/>
        </w:rPr>
        <w:t>zonas recomendadas para la inyección son la</w:t>
      </w:r>
      <w:r w:rsidRPr="00D44977">
        <w:rPr>
          <w:color w:val="231F20"/>
          <w:lang w:val="es-ES"/>
        </w:rPr>
        <w:t xml:space="preserve"> </w:t>
      </w:r>
      <w:r w:rsidRPr="00D44977">
        <w:rPr>
          <w:lang w:val="es-ES"/>
        </w:rPr>
        <w:t xml:space="preserve">parte delantera </w:t>
      </w:r>
      <w:r>
        <w:rPr>
          <w:lang w:val="es-ES"/>
        </w:rPr>
        <w:t>de los muslos o</w:t>
      </w:r>
      <w:r w:rsidRPr="00D44977">
        <w:rPr>
          <w:lang w:val="es-ES"/>
        </w:rPr>
        <w:t xml:space="preserve"> e</w:t>
      </w:r>
      <w:r>
        <w:rPr>
          <w:lang w:val="es-ES"/>
        </w:rPr>
        <w:t>l abdomen</w:t>
      </w:r>
      <w:r w:rsidRPr="00D44977">
        <w:rPr>
          <w:lang w:val="es-ES"/>
        </w:rPr>
        <w:t xml:space="preserve"> excepto en la zona de cinco centímetros inmediatamente circundante del ombligo</w:t>
      </w:r>
      <w:r>
        <w:rPr>
          <w:lang w:val="es-ES"/>
        </w:rPr>
        <w:t xml:space="preserve"> (</w:t>
      </w:r>
      <w:r w:rsidRPr="00C555F2">
        <w:rPr>
          <w:b/>
          <w:lang w:val="es-ES"/>
        </w:rPr>
        <w:t>ver Figura D</w:t>
      </w:r>
      <w:r>
        <w:rPr>
          <w:lang w:val="es-ES"/>
        </w:rPr>
        <w:t>).</w:t>
      </w:r>
    </w:p>
    <w:p w14:paraId="68C8732E" w14:textId="77777777" w:rsidR="00585EFC" w:rsidRPr="00C555F2" w:rsidRDefault="00585EFC" w:rsidP="00585EFC">
      <w:pPr>
        <w:ind w:left="568" w:hanging="284"/>
        <w:rPr>
          <w:lang w:val="es-ES_tradnl"/>
        </w:rPr>
      </w:pPr>
      <w:r w:rsidRPr="00F22672">
        <w:rPr>
          <w:lang w:val="es-ES"/>
        </w:rPr>
        <w:sym w:font="Symbol" w:char="F0B7"/>
      </w:r>
      <w:r w:rsidRPr="00F22672">
        <w:rPr>
          <w:noProof/>
          <w:lang w:val="es-ES"/>
        </w:rPr>
        <w:tab/>
      </w:r>
      <w:r w:rsidRPr="00D44977">
        <w:rPr>
          <w:lang w:val="es-ES"/>
        </w:rPr>
        <w:t>Si un cuidador le administra la inyección, también se puede utilizar la cara externa de la parte superior de los brazos</w:t>
      </w:r>
      <w:r>
        <w:rPr>
          <w:lang w:val="es-ES"/>
        </w:rPr>
        <w:t>.</w:t>
      </w:r>
      <w:r w:rsidRPr="00D44977">
        <w:rPr>
          <w:lang w:val="es-ES"/>
        </w:rPr>
        <w:t xml:space="preserve"> </w:t>
      </w:r>
      <w:r w:rsidRPr="00C555F2">
        <w:rPr>
          <w:lang w:val="es-ES"/>
        </w:rPr>
        <w:t xml:space="preserve">No intente </w:t>
      </w:r>
      <w:r>
        <w:rPr>
          <w:lang w:val="es-ES"/>
        </w:rPr>
        <w:t xml:space="preserve">inyectarse en la zona superior </w:t>
      </w:r>
      <w:r w:rsidRPr="00C555F2">
        <w:rPr>
          <w:lang w:val="es-ES"/>
        </w:rPr>
        <w:t>del brazo usted mismo (</w:t>
      </w:r>
      <w:r>
        <w:rPr>
          <w:b/>
          <w:lang w:val="es-ES"/>
        </w:rPr>
        <w:t>v</w:t>
      </w:r>
      <w:r w:rsidRPr="00104D18">
        <w:rPr>
          <w:b/>
          <w:lang w:val="es-ES"/>
        </w:rPr>
        <w:t>e</w:t>
      </w:r>
      <w:r w:rsidRPr="00C555F2">
        <w:rPr>
          <w:b/>
          <w:lang w:val="es-ES"/>
        </w:rPr>
        <w:t>r</w:t>
      </w:r>
      <w:r>
        <w:rPr>
          <w:b/>
          <w:lang w:val="es-ES"/>
        </w:rPr>
        <w:t xml:space="preserve"> </w:t>
      </w:r>
      <w:r w:rsidRPr="00104D18">
        <w:rPr>
          <w:b/>
          <w:lang w:val="es-ES"/>
        </w:rPr>
        <w:t>Figura D</w:t>
      </w:r>
      <w:r w:rsidRPr="00104D18">
        <w:rPr>
          <w:lang w:val="es-ES"/>
        </w:rPr>
        <w:t>)</w:t>
      </w:r>
      <w:r>
        <w:rPr>
          <w:lang w:val="es-ES"/>
        </w:rPr>
        <w:t>.</w:t>
      </w:r>
    </w:p>
    <w:p w14:paraId="6CF7A3AC" w14:textId="77777777" w:rsidR="00585EFC" w:rsidRDefault="00585EFC" w:rsidP="00585EFC">
      <w:pPr>
        <w:rPr>
          <w:b/>
          <w:lang w:val="es-ES_tradnl"/>
        </w:rPr>
      </w:pPr>
      <w:r w:rsidRPr="00C555F2">
        <w:rPr>
          <w:b/>
          <w:lang w:val="es-ES_tradnl"/>
        </w:rPr>
        <w:t>Rote el lugar de la inyección</w:t>
      </w:r>
    </w:p>
    <w:p w14:paraId="734EE6E8" w14:textId="77777777" w:rsidR="00585EFC" w:rsidRPr="00C555F2" w:rsidRDefault="00585EFC" w:rsidP="00585EFC">
      <w:pPr>
        <w:ind w:left="568" w:hanging="284"/>
        <w:rPr>
          <w:lang w:val="es-ES_tradnl"/>
        </w:rPr>
      </w:pPr>
      <w:r w:rsidRPr="00F22672">
        <w:rPr>
          <w:lang w:val="es-ES"/>
        </w:rPr>
        <w:sym w:font="Symbol" w:char="F0B7"/>
      </w:r>
      <w:r w:rsidRPr="00F22672">
        <w:rPr>
          <w:noProof/>
          <w:lang w:val="es-ES"/>
        </w:rPr>
        <w:tab/>
      </w:r>
      <w:r w:rsidRPr="00C555F2">
        <w:rPr>
          <w:lang w:val="es-ES_tradnl"/>
        </w:rPr>
        <w:t>Elija un lugar diferente de inyección para cada nueva inyección al menos 2,5 cm de la zona de la última inyección.</w:t>
      </w:r>
    </w:p>
    <w:p w14:paraId="34FD4200" w14:textId="77777777" w:rsidR="00585EFC" w:rsidRDefault="00585EFC" w:rsidP="00585EFC">
      <w:pPr>
        <w:ind w:left="568" w:hanging="284"/>
        <w:rPr>
          <w:lang w:val="es-ES_tradnl"/>
        </w:rPr>
      </w:pPr>
      <w:r w:rsidRPr="00F22672">
        <w:rPr>
          <w:lang w:val="es-ES"/>
        </w:rPr>
        <w:sym w:font="Symbol" w:char="F0B7"/>
      </w:r>
      <w:r w:rsidRPr="00F22672">
        <w:rPr>
          <w:noProof/>
          <w:lang w:val="es-ES"/>
        </w:rPr>
        <w:tab/>
      </w:r>
      <w:r w:rsidRPr="00C555F2">
        <w:rPr>
          <w:lang w:val="es-ES_tradnl"/>
        </w:rPr>
        <w:t>No lo inyecte en lunares, c</w:t>
      </w:r>
      <w:r w:rsidRPr="00D2117E">
        <w:rPr>
          <w:lang w:val="es-ES_tradnl"/>
        </w:rPr>
        <w:t>icatrices, moratones, o en zona</w:t>
      </w:r>
      <w:r>
        <w:rPr>
          <w:lang w:val="es-ES_tradnl"/>
        </w:rPr>
        <w:t>s</w:t>
      </w:r>
      <w:r w:rsidRPr="00C555F2">
        <w:rPr>
          <w:lang w:val="es-ES_tradnl"/>
        </w:rPr>
        <w:t xml:space="preserve"> donde la piel esté sensible, roja, dura o no intacta. </w:t>
      </w:r>
    </w:p>
    <w:p w14:paraId="72D9CD3E" w14:textId="77777777" w:rsidR="00585EFC" w:rsidRDefault="00585EFC" w:rsidP="00585EFC">
      <w:pPr>
        <w:rPr>
          <w:lang w:val="es-ES_tradnl"/>
        </w:rPr>
      </w:pPr>
    </w:p>
    <w:p w14:paraId="28A3BC29" w14:textId="1E790FF9" w:rsidR="00585EFC" w:rsidRDefault="008D4CEB" w:rsidP="00585EFC">
      <w:pPr>
        <w:jc w:val="center"/>
        <w:rPr>
          <w:lang w:val="es-ES_tradnl"/>
        </w:rPr>
      </w:pPr>
      <w:r w:rsidRPr="008D7B5E">
        <w:rPr>
          <w:noProof/>
          <w:lang w:eastAsia="en-US"/>
        </w:rPr>
        <w:lastRenderedPageBreak/>
        <w:drawing>
          <wp:inline distT="0" distB="0" distL="0" distR="0" wp14:anchorId="475F1AB9" wp14:editId="712473BD">
            <wp:extent cx="3448050" cy="2638425"/>
            <wp:effectExtent l="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2638425"/>
                    </a:xfrm>
                    <a:prstGeom prst="rect">
                      <a:avLst/>
                    </a:prstGeom>
                    <a:noFill/>
                    <a:ln>
                      <a:noFill/>
                    </a:ln>
                  </pic:spPr>
                </pic:pic>
              </a:graphicData>
            </a:graphic>
          </wp:inline>
        </w:drawing>
      </w:r>
    </w:p>
    <w:p w14:paraId="2C763575" w14:textId="77777777" w:rsidR="00585EFC" w:rsidRDefault="00585EFC" w:rsidP="00585EFC">
      <w:pPr>
        <w:rPr>
          <w:b/>
          <w:noProof/>
          <w:lang w:val="es-ES" w:eastAsia="es-ES"/>
        </w:rPr>
      </w:pP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Pr>
          <w:noProof/>
          <w:lang w:val="es-ES" w:eastAsia="es-ES"/>
        </w:rPr>
        <w:tab/>
      </w:r>
      <w:r w:rsidRPr="00C555F2">
        <w:rPr>
          <w:b/>
          <w:noProof/>
          <w:lang w:val="es-ES" w:eastAsia="es-ES"/>
        </w:rPr>
        <w:t>Figura D</w:t>
      </w:r>
    </w:p>
    <w:p w14:paraId="4DED84B2" w14:textId="77777777" w:rsidR="00585EFC" w:rsidRPr="00C555F2" w:rsidRDefault="00585EFC" w:rsidP="00585EFC">
      <w:pPr>
        <w:rPr>
          <w:b/>
          <w:lang w:val="es-ES_tradnl"/>
        </w:rPr>
      </w:pPr>
    </w:p>
    <w:p w14:paraId="2C088D89" w14:textId="77777777" w:rsidR="00585EFC" w:rsidRDefault="00585EFC" w:rsidP="00585EFC">
      <w:pPr>
        <w:rPr>
          <w:b/>
          <w:lang w:val="es-ES_tradnl"/>
        </w:rPr>
      </w:pPr>
      <w:r w:rsidRPr="00C555F2">
        <w:rPr>
          <w:b/>
          <w:lang w:val="es-ES_tradnl"/>
        </w:rPr>
        <w:t>Prepare el lugar de la inyección</w:t>
      </w:r>
    </w:p>
    <w:p w14:paraId="5F2A97AF" w14:textId="4A05E767" w:rsidR="00585EFC" w:rsidRPr="00C555F2" w:rsidRDefault="00585EFC" w:rsidP="00585EFC">
      <w:pPr>
        <w:ind w:left="567" w:hanging="210"/>
        <w:rPr>
          <w:lang w:val="es-ES_tradnl"/>
        </w:rPr>
      </w:pPr>
      <w:r w:rsidRPr="00F22672">
        <w:rPr>
          <w:lang w:val="es-ES"/>
        </w:rPr>
        <w:sym w:font="Symbol" w:char="F0B7"/>
      </w:r>
      <w:r w:rsidRPr="00F22672">
        <w:rPr>
          <w:noProof/>
          <w:lang w:val="es-ES"/>
        </w:rPr>
        <w:tab/>
      </w:r>
      <w:r w:rsidRPr="00172D7D">
        <w:rPr>
          <w:lang w:val="es-ES_tradnl"/>
        </w:rPr>
        <w:t xml:space="preserve">Limpie </w:t>
      </w:r>
      <w:r>
        <w:rPr>
          <w:lang w:val="es-ES_tradnl"/>
        </w:rPr>
        <w:t>la zona</w:t>
      </w:r>
      <w:r w:rsidRPr="00C555F2">
        <w:rPr>
          <w:lang w:val="es-ES_tradnl"/>
        </w:rPr>
        <w:t xml:space="preserve"> de la inyección con una </w:t>
      </w:r>
      <w:r>
        <w:rPr>
          <w:lang w:val="es-ES_tradnl"/>
        </w:rPr>
        <w:t>toallita impregnada en</w:t>
      </w:r>
      <w:r w:rsidRPr="00C555F2">
        <w:rPr>
          <w:lang w:val="es-ES_tradnl"/>
        </w:rPr>
        <w:t xml:space="preserve"> alcohol con movimiento circular </w:t>
      </w:r>
      <w:r>
        <w:rPr>
          <w:lang w:val="es-ES_tradnl"/>
        </w:rPr>
        <w:t xml:space="preserve">y deje </w:t>
      </w:r>
      <w:del w:id="2970" w:author="AUTHOR">
        <w:r w:rsidDel="005A55F7">
          <w:rPr>
            <w:lang w:val="es-ES_tradnl"/>
          </w:rPr>
          <w:delText>pasar e</w:delText>
        </w:r>
      </w:del>
      <w:ins w:id="2971" w:author="AUTHOR">
        <w:r w:rsidR="005A55F7">
          <w:rPr>
            <w:lang w:val="es-ES_tradnl"/>
          </w:rPr>
          <w:t>secar a</w:t>
        </w:r>
      </w:ins>
      <w:r>
        <w:rPr>
          <w:lang w:val="es-ES_tradnl"/>
        </w:rPr>
        <w:t xml:space="preserve">l aire para reducir la probabilidad de infección. </w:t>
      </w:r>
      <w:r w:rsidRPr="00C555F2">
        <w:rPr>
          <w:b/>
          <w:lang w:val="es-ES"/>
        </w:rPr>
        <w:t xml:space="preserve">No </w:t>
      </w:r>
      <w:r>
        <w:rPr>
          <w:lang w:val="es-ES"/>
        </w:rPr>
        <w:t>toque</w:t>
      </w:r>
      <w:r w:rsidRPr="00172D7D">
        <w:rPr>
          <w:lang w:val="es-ES"/>
        </w:rPr>
        <w:t xml:space="preserve"> el área limpia</w:t>
      </w:r>
      <w:r>
        <w:rPr>
          <w:lang w:val="es-ES"/>
        </w:rPr>
        <w:t xml:space="preserve"> de nuevo</w:t>
      </w:r>
      <w:r w:rsidRPr="00172D7D">
        <w:rPr>
          <w:lang w:val="es-ES"/>
        </w:rPr>
        <w:t xml:space="preserve"> antes de la inyección. </w:t>
      </w:r>
    </w:p>
    <w:p w14:paraId="000A0964" w14:textId="77777777" w:rsidR="00585EFC" w:rsidRPr="00C555F2" w:rsidRDefault="00585EFC" w:rsidP="00585EFC">
      <w:pPr>
        <w:ind w:left="567" w:hanging="210"/>
        <w:rPr>
          <w:lang w:val="es-ES_tradnl"/>
        </w:rPr>
      </w:pPr>
      <w:r w:rsidRPr="00F22672">
        <w:rPr>
          <w:lang w:val="es-ES"/>
        </w:rPr>
        <w:sym w:font="Symbol" w:char="F0B7"/>
      </w:r>
      <w:r w:rsidRPr="00F22672">
        <w:rPr>
          <w:noProof/>
          <w:lang w:val="es-ES"/>
        </w:rPr>
        <w:tab/>
      </w:r>
      <w:r w:rsidRPr="00C555F2">
        <w:rPr>
          <w:b/>
          <w:lang w:val="es-ES"/>
        </w:rPr>
        <w:t>No</w:t>
      </w:r>
      <w:r w:rsidRPr="00172D7D">
        <w:rPr>
          <w:lang w:val="es-ES"/>
        </w:rPr>
        <w:t xml:space="preserve"> abanique ni sople en la zona limpia.</w:t>
      </w:r>
    </w:p>
    <w:p w14:paraId="1C16FBA0" w14:textId="77777777" w:rsidR="00585EFC" w:rsidRDefault="00585EFC" w:rsidP="00585EFC">
      <w:pPr>
        <w:rPr>
          <w:b/>
          <w:lang w:val="es-ES"/>
        </w:rPr>
      </w:pPr>
      <w:r w:rsidRPr="00C555F2">
        <w:rPr>
          <w:b/>
          <w:lang w:val="es-ES"/>
        </w:rPr>
        <w:t>Paso 3. Inyecci</w:t>
      </w:r>
      <w:r w:rsidRPr="00172D7D">
        <w:rPr>
          <w:b/>
          <w:lang w:val="es-ES"/>
        </w:rPr>
        <w:t>ón de RoActemra</w:t>
      </w:r>
    </w:p>
    <w:p w14:paraId="38BFE8BE" w14:textId="77777777" w:rsidR="00585EFC" w:rsidRPr="00C555F2" w:rsidRDefault="00585EFC" w:rsidP="00585EFC">
      <w:pPr>
        <w:ind w:left="567" w:hanging="210"/>
        <w:rPr>
          <w:lang w:val="es-ES_tradnl"/>
        </w:rPr>
      </w:pPr>
      <w:r w:rsidRPr="00F22672">
        <w:rPr>
          <w:lang w:val="es-ES"/>
        </w:rPr>
        <w:sym w:font="Symbol" w:char="F0B7"/>
      </w:r>
      <w:r w:rsidRPr="00F22672">
        <w:rPr>
          <w:noProof/>
          <w:lang w:val="es-ES"/>
        </w:rPr>
        <w:tab/>
      </w:r>
      <w:r w:rsidRPr="00C555F2">
        <w:rPr>
          <w:lang w:val="es-ES"/>
        </w:rPr>
        <w:t>Coja la pluma precargada de RoActemra</w:t>
      </w:r>
      <w:r>
        <w:rPr>
          <w:lang w:val="es-ES"/>
        </w:rPr>
        <w:t xml:space="preserve"> firmemente con una mano. Gire y retire el tapón verde con la otra mano (</w:t>
      </w:r>
      <w:r w:rsidRPr="00C555F2">
        <w:rPr>
          <w:b/>
          <w:lang w:val="es-ES"/>
        </w:rPr>
        <w:t>ver Figura E</w:t>
      </w:r>
      <w:r>
        <w:rPr>
          <w:lang w:val="es-ES"/>
        </w:rPr>
        <w:t>). El tapón verde contiene un tubo suelto de metal.</w:t>
      </w:r>
    </w:p>
    <w:p w14:paraId="35508A4E" w14:textId="77777777" w:rsidR="00585EFC" w:rsidRPr="00C555F2" w:rsidRDefault="00585EFC" w:rsidP="00585EFC">
      <w:pPr>
        <w:ind w:left="567" w:hanging="210"/>
        <w:rPr>
          <w:lang w:val="es-ES_tradnl"/>
        </w:rPr>
      </w:pPr>
      <w:r w:rsidRPr="00F22672">
        <w:rPr>
          <w:lang w:val="es-ES"/>
        </w:rPr>
        <w:sym w:font="Symbol" w:char="F0B7"/>
      </w:r>
      <w:r w:rsidRPr="00F22672">
        <w:rPr>
          <w:noProof/>
          <w:lang w:val="es-ES"/>
        </w:rPr>
        <w:tab/>
      </w:r>
      <w:r w:rsidRPr="0043707C">
        <w:rPr>
          <w:lang w:val="es-ES"/>
        </w:rPr>
        <w:t xml:space="preserve">Si no puede retirar el tapón </w:t>
      </w:r>
      <w:r>
        <w:rPr>
          <w:lang w:val="es-ES"/>
        </w:rPr>
        <w:t xml:space="preserve">verde </w:t>
      </w:r>
      <w:r w:rsidRPr="0043707C">
        <w:rPr>
          <w:lang w:val="es-ES"/>
        </w:rPr>
        <w:t>deberá solicitar ayuda a su cuidador o contactar con su profesional sanitario.</w:t>
      </w:r>
    </w:p>
    <w:p w14:paraId="6DD69E89" w14:textId="77777777" w:rsidR="00585EFC" w:rsidRPr="00C555F2" w:rsidRDefault="00585EFC" w:rsidP="00585EFC">
      <w:pPr>
        <w:ind w:left="567"/>
        <w:rPr>
          <w:lang w:val="es-ES_tradnl"/>
        </w:rPr>
      </w:pPr>
    </w:p>
    <w:p w14:paraId="5D8CE38E" w14:textId="2BE7DC8D" w:rsidR="00585EFC" w:rsidRDefault="008D4CEB" w:rsidP="00585EFC">
      <w:pPr>
        <w:ind w:left="426"/>
        <w:jc w:val="center"/>
        <w:rPr>
          <w:noProof/>
          <w:lang w:val="es-ES" w:eastAsia="es-ES"/>
        </w:rPr>
      </w:pPr>
      <w:r w:rsidRPr="00B15652">
        <w:rPr>
          <w:noProof/>
          <w:lang w:eastAsia="en-US"/>
        </w:rPr>
        <w:drawing>
          <wp:inline distT="0" distB="0" distL="0" distR="0" wp14:anchorId="2690F7C9" wp14:editId="6332B8C9">
            <wp:extent cx="2952750" cy="2314575"/>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2314575"/>
                    </a:xfrm>
                    <a:prstGeom prst="rect">
                      <a:avLst/>
                    </a:prstGeom>
                    <a:noFill/>
                    <a:ln>
                      <a:noFill/>
                    </a:ln>
                  </pic:spPr>
                </pic:pic>
              </a:graphicData>
            </a:graphic>
          </wp:inline>
        </w:drawing>
      </w:r>
    </w:p>
    <w:p w14:paraId="0102AD1C" w14:textId="77777777" w:rsidR="00585EFC" w:rsidRDefault="00585EFC" w:rsidP="00585EFC">
      <w:pPr>
        <w:ind w:left="426"/>
        <w:jc w:val="center"/>
        <w:rPr>
          <w:b/>
          <w:lang w:val="es-ES_tradnl"/>
        </w:rPr>
      </w:pPr>
      <w:r w:rsidRPr="00C555F2">
        <w:rPr>
          <w:b/>
          <w:noProof/>
          <w:lang w:val="es-ES" w:eastAsia="es-ES"/>
        </w:rPr>
        <w:t>Figura E</w:t>
      </w:r>
    </w:p>
    <w:p w14:paraId="5EB7BB93" w14:textId="77777777" w:rsidR="00585EFC" w:rsidRDefault="00585EFC" w:rsidP="00585EFC">
      <w:pPr>
        <w:ind w:left="426"/>
        <w:rPr>
          <w:b/>
          <w:lang w:val="es-ES_tradnl"/>
        </w:rPr>
      </w:pPr>
    </w:p>
    <w:p w14:paraId="49A3DD48" w14:textId="77777777" w:rsidR="00585EFC" w:rsidRDefault="00585EFC" w:rsidP="00585EFC">
      <w:pPr>
        <w:ind w:left="426"/>
        <w:rPr>
          <w:b/>
          <w:lang w:val="es-ES_tradnl"/>
        </w:rPr>
      </w:pPr>
      <w:r w:rsidRPr="00C555F2">
        <w:rPr>
          <w:b/>
          <w:lang w:val="es-ES_tradnl"/>
        </w:rPr>
        <w:t xml:space="preserve">Información importante: </w:t>
      </w:r>
      <w:r w:rsidRPr="00D2117E">
        <w:rPr>
          <w:b/>
          <w:lang w:val="es-ES_tradnl"/>
        </w:rPr>
        <w:t>No toque el protector de la aguja que está localizado al final de</w:t>
      </w:r>
      <w:r>
        <w:rPr>
          <w:b/>
          <w:lang w:val="es-ES_tradnl"/>
        </w:rPr>
        <w:t xml:space="preserve"> la pluma precargada</w:t>
      </w:r>
      <w:r w:rsidRPr="00D2117E">
        <w:rPr>
          <w:b/>
          <w:lang w:val="es-ES_tradnl"/>
        </w:rPr>
        <w:t xml:space="preserve"> por debajo de </w:t>
      </w:r>
      <w:r w:rsidRPr="00C555F2">
        <w:rPr>
          <w:b/>
          <w:lang w:val="es-ES_tradnl"/>
        </w:rPr>
        <w:t>la ventana</w:t>
      </w:r>
      <w:r w:rsidRPr="00D2117E">
        <w:rPr>
          <w:b/>
          <w:lang w:val="es-ES_tradnl"/>
        </w:rPr>
        <w:t xml:space="preserve"> </w:t>
      </w:r>
      <w:r>
        <w:rPr>
          <w:b/>
          <w:lang w:val="es-ES_tradnl"/>
        </w:rPr>
        <w:t xml:space="preserve">de visibilidad </w:t>
      </w:r>
      <w:r w:rsidRPr="00D2117E">
        <w:rPr>
          <w:b/>
          <w:lang w:val="es-ES_tradnl"/>
        </w:rPr>
        <w:t>(ver Figura A), para evitar el pinchazo accidental con la aguja.</w:t>
      </w:r>
    </w:p>
    <w:p w14:paraId="2E6CE128" w14:textId="77777777" w:rsidR="00585EFC" w:rsidRDefault="00585EFC" w:rsidP="00585EFC">
      <w:pPr>
        <w:ind w:left="426"/>
        <w:rPr>
          <w:b/>
          <w:lang w:val="es-ES_tradnl"/>
        </w:rPr>
      </w:pPr>
    </w:p>
    <w:p w14:paraId="220698BF"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Pr>
          <w:lang w:val="es-ES_tradnl"/>
        </w:rPr>
        <w:t>Tir</w:t>
      </w:r>
      <w:r w:rsidRPr="00760DAB">
        <w:rPr>
          <w:lang w:val="es-ES_tradnl"/>
        </w:rPr>
        <w:t xml:space="preserve">e </w:t>
      </w:r>
      <w:r>
        <w:rPr>
          <w:lang w:val="es-ES_tradnl"/>
        </w:rPr>
        <w:t>el tapón verde en el contenedor para objetos punzantes.</w:t>
      </w:r>
    </w:p>
    <w:p w14:paraId="721E895C"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Pr>
          <w:lang w:val="es-ES_tradnl"/>
        </w:rPr>
        <w:t>Tras retirar el tapón verde, la pluma precargada está lista para su uso. Si la pluma precargada no se usa en los 3 minutos siguientes a la retirada del tapón, la pluma precargada se debe tirar en el contenedor para objetos punzantes y se debe usar una nueva pluma precargada.</w:t>
      </w:r>
    </w:p>
    <w:p w14:paraId="1888948C"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Pr>
          <w:lang w:val="es-ES_tradnl"/>
        </w:rPr>
        <w:t>Nunca vuelva a colocar el tapón verde tras haberlo retirado.</w:t>
      </w:r>
    </w:p>
    <w:p w14:paraId="4AB777BB"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Pr>
          <w:lang w:val="es-ES_tradnl"/>
        </w:rPr>
        <w:t>Sujete</w:t>
      </w:r>
      <w:r w:rsidRPr="00760DAB">
        <w:rPr>
          <w:lang w:val="es-ES_tradnl"/>
        </w:rPr>
        <w:t xml:space="preserve"> cómodamente la pluma precargada por la parte superior </w:t>
      </w:r>
      <w:r>
        <w:rPr>
          <w:lang w:val="es-ES_tradnl"/>
        </w:rPr>
        <w:t>con una</w:t>
      </w:r>
      <w:r w:rsidRPr="00760DAB">
        <w:rPr>
          <w:lang w:val="es-ES_tradnl"/>
        </w:rPr>
        <w:t xml:space="preserve"> mano, de modo que pueda ver el área de la ventana</w:t>
      </w:r>
      <w:r>
        <w:rPr>
          <w:lang w:val="es-ES_tradnl"/>
        </w:rPr>
        <w:t xml:space="preserve"> visibilidad</w:t>
      </w:r>
      <w:r w:rsidRPr="00760DAB">
        <w:rPr>
          <w:lang w:val="es-ES_tradnl"/>
        </w:rPr>
        <w:t xml:space="preserve"> </w:t>
      </w:r>
      <w:r>
        <w:rPr>
          <w:lang w:val="es-ES_tradnl"/>
        </w:rPr>
        <w:t>de la pluma precargada (</w:t>
      </w:r>
      <w:r w:rsidRPr="00C555F2">
        <w:rPr>
          <w:b/>
          <w:lang w:val="es-ES_tradnl"/>
        </w:rPr>
        <w:t>ver Figura F</w:t>
      </w:r>
      <w:r w:rsidRPr="00760DAB">
        <w:rPr>
          <w:lang w:val="es-ES_tradnl"/>
        </w:rPr>
        <w:t>).</w:t>
      </w:r>
    </w:p>
    <w:p w14:paraId="7B791599" w14:textId="77777777" w:rsidR="00585EFC" w:rsidRDefault="00585EFC" w:rsidP="00585EFC">
      <w:pPr>
        <w:tabs>
          <w:tab w:val="left" w:pos="426"/>
        </w:tabs>
        <w:ind w:left="426"/>
        <w:rPr>
          <w:lang w:val="es-ES_tradnl"/>
        </w:rPr>
      </w:pPr>
    </w:p>
    <w:p w14:paraId="6F3E9886" w14:textId="0791F9CA" w:rsidR="00585EFC" w:rsidRDefault="008D4CEB" w:rsidP="00585EFC">
      <w:pPr>
        <w:tabs>
          <w:tab w:val="left" w:pos="426"/>
        </w:tabs>
        <w:ind w:left="426"/>
        <w:jc w:val="center"/>
        <w:rPr>
          <w:lang w:val="es-ES_tradnl"/>
        </w:rPr>
      </w:pPr>
      <w:r w:rsidRPr="008D7B5E">
        <w:rPr>
          <w:noProof/>
          <w:lang w:eastAsia="en-US"/>
        </w:rPr>
        <w:drawing>
          <wp:inline distT="0" distB="0" distL="0" distR="0" wp14:anchorId="227EA5ED" wp14:editId="4BFB6D03">
            <wp:extent cx="2695575" cy="2181225"/>
            <wp:effectExtent l="0" t="0" r="0" b="0"/>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181225"/>
                    </a:xfrm>
                    <a:prstGeom prst="rect">
                      <a:avLst/>
                    </a:prstGeom>
                    <a:noFill/>
                    <a:ln>
                      <a:noFill/>
                    </a:ln>
                  </pic:spPr>
                </pic:pic>
              </a:graphicData>
            </a:graphic>
          </wp:inline>
        </w:drawing>
      </w:r>
    </w:p>
    <w:p w14:paraId="4F6E35F4" w14:textId="77777777" w:rsidR="00585EFC" w:rsidRPr="00C555F2" w:rsidRDefault="00585EFC" w:rsidP="00585EFC">
      <w:pPr>
        <w:tabs>
          <w:tab w:val="left" w:pos="426"/>
        </w:tabs>
        <w:ind w:left="426"/>
        <w:rPr>
          <w:b/>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Pr="00C555F2">
        <w:rPr>
          <w:b/>
          <w:lang w:val="es-ES_tradnl"/>
        </w:rPr>
        <w:t>Figura F</w:t>
      </w:r>
    </w:p>
    <w:p w14:paraId="5218B36C" w14:textId="77777777" w:rsidR="00585EFC" w:rsidRDefault="00585EFC" w:rsidP="00585EFC">
      <w:pPr>
        <w:tabs>
          <w:tab w:val="left" w:pos="426"/>
        </w:tabs>
        <w:ind w:left="426"/>
        <w:rPr>
          <w:lang w:val="es-ES_tradnl"/>
        </w:rPr>
      </w:pPr>
    </w:p>
    <w:p w14:paraId="18A811A6" w14:textId="77777777" w:rsidR="00585EFC" w:rsidRPr="00760DAB"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sidRPr="00760DAB">
        <w:rPr>
          <w:lang w:val="es-ES_tradnl"/>
        </w:rPr>
        <w:t>Use la otra mano para pellizcar suavemente el área de la piel que limpió, para preparar un lugar f</w:t>
      </w:r>
      <w:r>
        <w:rPr>
          <w:lang w:val="es-ES_tradnl"/>
        </w:rPr>
        <w:t>irme para la inyección (</w:t>
      </w:r>
      <w:r w:rsidRPr="00C555F2">
        <w:rPr>
          <w:b/>
          <w:lang w:val="es-ES_tradnl"/>
        </w:rPr>
        <w:t>ver Figura G</w:t>
      </w:r>
      <w:r w:rsidRPr="00760DAB">
        <w:rPr>
          <w:lang w:val="es-ES_tradnl"/>
        </w:rPr>
        <w:t xml:space="preserve">). </w:t>
      </w:r>
      <w:r>
        <w:rPr>
          <w:lang w:val="es-ES_tradnl"/>
        </w:rPr>
        <w:t xml:space="preserve">La pluma precargada requiere </w:t>
      </w:r>
      <w:r w:rsidRPr="00760DAB">
        <w:rPr>
          <w:lang w:val="es-ES_tradnl"/>
        </w:rPr>
        <w:t>un sitio d</w:t>
      </w:r>
      <w:r>
        <w:rPr>
          <w:lang w:val="es-ES_tradnl"/>
        </w:rPr>
        <w:t>e inyección firme para ser activada</w:t>
      </w:r>
      <w:r w:rsidRPr="00760DAB">
        <w:rPr>
          <w:lang w:val="es-ES_tradnl"/>
        </w:rPr>
        <w:t xml:space="preserve"> adecuadamente.</w:t>
      </w:r>
    </w:p>
    <w:p w14:paraId="02B9D7DD"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sidRPr="00760DAB">
        <w:rPr>
          <w:lang w:val="es-ES_tradnl"/>
        </w:rPr>
        <w:t xml:space="preserve">Pellizcar la piel es importante </w:t>
      </w:r>
      <w:r>
        <w:rPr>
          <w:lang w:val="es-ES_tradnl"/>
        </w:rPr>
        <w:t>para asegurar</w:t>
      </w:r>
      <w:r w:rsidRPr="00760DAB">
        <w:rPr>
          <w:lang w:val="es-ES_tradnl"/>
        </w:rPr>
        <w:t xml:space="preserve"> que </w:t>
      </w:r>
      <w:r>
        <w:rPr>
          <w:lang w:val="es-ES_tradnl"/>
        </w:rPr>
        <w:t>usted</w:t>
      </w:r>
      <w:r w:rsidRPr="00760DAB">
        <w:rPr>
          <w:lang w:val="es-ES_tradnl"/>
        </w:rPr>
        <w:t xml:space="preserve"> inyecta </w:t>
      </w:r>
      <w:r>
        <w:rPr>
          <w:lang w:val="es-ES_tradnl"/>
        </w:rPr>
        <w:t>b</w:t>
      </w:r>
      <w:r w:rsidRPr="00760DAB">
        <w:rPr>
          <w:lang w:val="es-ES_tradnl"/>
        </w:rPr>
        <w:t xml:space="preserve">ajo </w:t>
      </w:r>
      <w:r>
        <w:rPr>
          <w:lang w:val="es-ES_tradnl"/>
        </w:rPr>
        <w:t>su</w:t>
      </w:r>
      <w:r w:rsidRPr="00760DAB">
        <w:rPr>
          <w:lang w:val="es-ES_tradnl"/>
        </w:rPr>
        <w:t xml:space="preserve"> piel (en el tejido graso) pero no más profunda</w:t>
      </w:r>
      <w:r>
        <w:rPr>
          <w:lang w:val="es-ES_tradnl"/>
        </w:rPr>
        <w:t>mente</w:t>
      </w:r>
      <w:r w:rsidRPr="00760DAB">
        <w:rPr>
          <w:lang w:val="es-ES_tradnl"/>
        </w:rPr>
        <w:t xml:space="preserve"> (en el músculo). La inyección en el músculo puede causar que la inyección se sienta incómoda.</w:t>
      </w:r>
    </w:p>
    <w:p w14:paraId="2E9AE27F" w14:textId="77777777" w:rsidR="00585EFC" w:rsidRDefault="00585EFC" w:rsidP="00585EFC">
      <w:pPr>
        <w:tabs>
          <w:tab w:val="left" w:pos="426"/>
        </w:tabs>
        <w:ind w:left="426"/>
        <w:rPr>
          <w:lang w:val="es-ES_tradnl"/>
        </w:rPr>
      </w:pPr>
    </w:p>
    <w:p w14:paraId="06EFF83C" w14:textId="206807AC" w:rsidR="00585EFC" w:rsidRDefault="008D4CEB" w:rsidP="00585EFC">
      <w:pPr>
        <w:tabs>
          <w:tab w:val="left" w:pos="426"/>
        </w:tabs>
        <w:ind w:left="426"/>
        <w:jc w:val="center"/>
        <w:rPr>
          <w:lang w:val="es-ES_tradnl"/>
        </w:rPr>
      </w:pPr>
      <w:r w:rsidRPr="008D7B5E">
        <w:rPr>
          <w:noProof/>
          <w:lang w:eastAsia="en-US"/>
        </w:rPr>
        <w:drawing>
          <wp:inline distT="0" distB="0" distL="0" distR="0" wp14:anchorId="6FB028A5" wp14:editId="599ABD96">
            <wp:extent cx="2543175" cy="1962150"/>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3175" cy="1962150"/>
                    </a:xfrm>
                    <a:prstGeom prst="rect">
                      <a:avLst/>
                    </a:prstGeom>
                    <a:noFill/>
                    <a:ln>
                      <a:noFill/>
                    </a:ln>
                  </pic:spPr>
                </pic:pic>
              </a:graphicData>
            </a:graphic>
          </wp:inline>
        </w:drawing>
      </w:r>
    </w:p>
    <w:p w14:paraId="3F12D4F6" w14:textId="77777777" w:rsidR="00585EFC" w:rsidRPr="00C555F2" w:rsidRDefault="00585EFC" w:rsidP="00585EFC">
      <w:pPr>
        <w:tabs>
          <w:tab w:val="left" w:pos="426"/>
        </w:tabs>
        <w:ind w:left="426"/>
        <w:rPr>
          <w:b/>
          <w:lang w:val="es-ES_tradnl"/>
        </w:rPr>
      </w:pP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Pr="00C555F2">
        <w:rPr>
          <w:b/>
          <w:lang w:val="es-ES_tradnl"/>
        </w:rPr>
        <w:t>Figura G</w:t>
      </w:r>
    </w:p>
    <w:p w14:paraId="5080BFED" w14:textId="77777777" w:rsidR="00585EFC" w:rsidRDefault="00585EFC" w:rsidP="00585EFC">
      <w:pPr>
        <w:tabs>
          <w:tab w:val="left" w:pos="426"/>
        </w:tabs>
        <w:ind w:left="426"/>
        <w:rPr>
          <w:lang w:val="es-ES_tradnl"/>
        </w:rPr>
      </w:pPr>
    </w:p>
    <w:p w14:paraId="764FC9C6"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sidRPr="00C555F2">
        <w:rPr>
          <w:b/>
          <w:lang w:val="es-ES_tradnl"/>
        </w:rPr>
        <w:t>No</w:t>
      </w:r>
      <w:r>
        <w:rPr>
          <w:lang w:val="es-ES_tradnl"/>
        </w:rPr>
        <w:t xml:space="preserve"> presione aún el botón verde de activación.</w:t>
      </w:r>
    </w:p>
    <w:p w14:paraId="6DFCB999" w14:textId="77777777" w:rsidR="00585EFC" w:rsidRDefault="00585EFC" w:rsidP="00585EFC">
      <w:pPr>
        <w:tabs>
          <w:tab w:val="left" w:pos="426"/>
        </w:tabs>
        <w:ind w:left="357" w:hanging="357"/>
        <w:rPr>
          <w:lang w:val="es-ES_tradnl"/>
        </w:rPr>
      </w:pPr>
      <w:r w:rsidRPr="00F22672">
        <w:rPr>
          <w:lang w:val="es-ES"/>
        </w:rPr>
        <w:sym w:font="Symbol" w:char="F0B7"/>
      </w:r>
      <w:r w:rsidRPr="00F22672">
        <w:rPr>
          <w:noProof/>
          <w:lang w:val="es-ES"/>
        </w:rPr>
        <w:tab/>
      </w:r>
      <w:r>
        <w:rPr>
          <w:lang w:val="es-ES_tradnl"/>
        </w:rPr>
        <w:t>Disponga el protector de la aguja de la pluma precargada en un ángulo de 90º con respecto al pliegue en su piel (</w:t>
      </w:r>
      <w:r w:rsidRPr="00C555F2">
        <w:rPr>
          <w:b/>
          <w:lang w:val="es-ES_tradnl"/>
        </w:rPr>
        <w:t>ver Figura H</w:t>
      </w:r>
      <w:r>
        <w:rPr>
          <w:lang w:val="es-ES_tradnl"/>
        </w:rPr>
        <w:t xml:space="preserve">). </w:t>
      </w:r>
    </w:p>
    <w:p w14:paraId="1369086A" w14:textId="77777777" w:rsidR="008656C7" w:rsidRDefault="008656C7" w:rsidP="00585EFC">
      <w:pPr>
        <w:tabs>
          <w:tab w:val="left" w:pos="426"/>
        </w:tabs>
        <w:ind w:left="357" w:hanging="357"/>
        <w:rPr>
          <w:lang w:val="es-ES_tradnl"/>
        </w:rPr>
      </w:pPr>
    </w:p>
    <w:p w14:paraId="3F74784A" w14:textId="77777777" w:rsidR="00585EFC" w:rsidRDefault="00585EFC" w:rsidP="006616E4">
      <w:pPr>
        <w:keepNext/>
        <w:keepLines/>
        <w:tabs>
          <w:tab w:val="left" w:pos="426"/>
        </w:tabs>
        <w:ind w:left="357" w:hanging="357"/>
        <w:rPr>
          <w:lang w:val="es-ES"/>
        </w:rPr>
      </w:pPr>
      <w:r w:rsidRPr="00F22672">
        <w:rPr>
          <w:lang w:val="es-ES"/>
        </w:rPr>
        <w:lastRenderedPageBreak/>
        <w:sym w:font="Symbol" w:char="F0B7"/>
      </w:r>
      <w:r w:rsidRPr="00F22672">
        <w:rPr>
          <w:noProof/>
          <w:lang w:val="es-ES"/>
        </w:rPr>
        <w:tab/>
      </w:r>
      <w:r w:rsidRPr="00E87267">
        <w:rPr>
          <w:lang w:val="es-ES"/>
        </w:rPr>
        <w:t>Es importante elegir el ángulo correcto para asegurarse que el medicamento se libera debajo de la piel (en el tejido graso), de lo contrario la inyección podría ser dolorosa y el medicamento puede no actuar.</w:t>
      </w:r>
    </w:p>
    <w:p w14:paraId="7237880B" w14:textId="77777777" w:rsidR="00585EFC" w:rsidRDefault="00585EFC" w:rsidP="006616E4">
      <w:pPr>
        <w:keepNext/>
        <w:keepLines/>
        <w:tabs>
          <w:tab w:val="left" w:pos="426"/>
        </w:tabs>
        <w:rPr>
          <w:lang w:val="es-ES"/>
        </w:rPr>
      </w:pPr>
    </w:p>
    <w:p w14:paraId="576B140B" w14:textId="555DA42B" w:rsidR="00585EFC" w:rsidRDefault="008D4CEB" w:rsidP="006616E4">
      <w:pPr>
        <w:keepNext/>
        <w:keepLines/>
        <w:tabs>
          <w:tab w:val="left" w:pos="426"/>
        </w:tabs>
        <w:jc w:val="center"/>
        <w:rPr>
          <w:lang w:val="es-ES"/>
        </w:rPr>
      </w:pPr>
      <w:r w:rsidRPr="009920A1">
        <w:rPr>
          <w:noProof/>
          <w:lang w:eastAsia="en-US"/>
        </w:rPr>
        <w:drawing>
          <wp:inline distT="0" distB="0" distL="0" distR="0" wp14:anchorId="541440F2" wp14:editId="1961BB5D">
            <wp:extent cx="2571750" cy="198120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1750" cy="1981200"/>
                    </a:xfrm>
                    <a:prstGeom prst="rect">
                      <a:avLst/>
                    </a:prstGeom>
                    <a:noFill/>
                    <a:ln>
                      <a:noFill/>
                    </a:ln>
                  </pic:spPr>
                </pic:pic>
              </a:graphicData>
            </a:graphic>
          </wp:inline>
        </w:drawing>
      </w:r>
    </w:p>
    <w:p w14:paraId="41ECC230" w14:textId="77777777" w:rsidR="00585EFC" w:rsidRPr="00C555F2" w:rsidRDefault="00585EFC" w:rsidP="006616E4">
      <w:pPr>
        <w:keepNext/>
        <w:keepLines/>
        <w:tabs>
          <w:tab w:val="left" w:pos="426"/>
        </w:tabs>
        <w:rPr>
          <w:b/>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sidRPr="00C555F2">
        <w:rPr>
          <w:b/>
          <w:lang w:val="es-ES"/>
        </w:rPr>
        <w:t>Figura H</w:t>
      </w:r>
    </w:p>
    <w:p w14:paraId="32E27D43" w14:textId="77777777" w:rsidR="00585EFC" w:rsidRDefault="00585EFC" w:rsidP="00585EFC">
      <w:pPr>
        <w:tabs>
          <w:tab w:val="left" w:pos="426"/>
        </w:tabs>
        <w:rPr>
          <w:lang w:val="es-ES"/>
        </w:rPr>
      </w:pPr>
    </w:p>
    <w:p w14:paraId="35EC344E"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 xml:space="preserve">Para usar la pluma precargada, primero debe </w:t>
      </w:r>
      <w:r w:rsidR="00E41B68">
        <w:rPr>
          <w:lang w:val="es-ES"/>
        </w:rPr>
        <w:t>des</w:t>
      </w:r>
      <w:r>
        <w:rPr>
          <w:lang w:val="es-ES"/>
        </w:rPr>
        <w:t>bloquear el botón verde de activación.</w:t>
      </w:r>
    </w:p>
    <w:p w14:paraId="419F5A52"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 xml:space="preserve">Para </w:t>
      </w:r>
      <w:r w:rsidR="00E41B68">
        <w:rPr>
          <w:lang w:val="es-ES"/>
        </w:rPr>
        <w:t>des</w:t>
      </w:r>
      <w:r>
        <w:rPr>
          <w:lang w:val="es-ES"/>
        </w:rPr>
        <w:t>bloquearlo, presione firmemente la pluma precargada contra el pliegue de su piel hasta que el protector de la aguja haya sido empujado completamente (</w:t>
      </w:r>
      <w:r w:rsidRPr="00C555F2">
        <w:rPr>
          <w:b/>
          <w:lang w:val="es-ES"/>
        </w:rPr>
        <w:t>ver Figura I</w:t>
      </w:r>
      <w:r>
        <w:rPr>
          <w:lang w:val="es-ES"/>
        </w:rPr>
        <w:t>).</w:t>
      </w:r>
    </w:p>
    <w:p w14:paraId="1958C84B" w14:textId="77777777" w:rsidR="00585EFC" w:rsidRDefault="00585EFC" w:rsidP="00585EFC">
      <w:pPr>
        <w:tabs>
          <w:tab w:val="left" w:pos="426"/>
        </w:tabs>
        <w:ind w:left="426"/>
        <w:rPr>
          <w:lang w:val="es-ES"/>
        </w:rPr>
      </w:pPr>
    </w:p>
    <w:p w14:paraId="7E08AA2D" w14:textId="12E8C2D1" w:rsidR="00585EFC" w:rsidRDefault="008D4CEB" w:rsidP="00585EFC">
      <w:pPr>
        <w:tabs>
          <w:tab w:val="left" w:pos="426"/>
        </w:tabs>
        <w:ind w:left="426"/>
        <w:jc w:val="center"/>
        <w:rPr>
          <w:noProof/>
          <w:lang w:val="es-ES" w:eastAsia="es-ES"/>
        </w:rPr>
      </w:pPr>
      <w:r w:rsidRPr="009920A1">
        <w:rPr>
          <w:noProof/>
          <w:lang w:eastAsia="en-US"/>
        </w:rPr>
        <w:drawing>
          <wp:inline distT="0" distB="0" distL="0" distR="0" wp14:anchorId="280C5942" wp14:editId="36A27ED7">
            <wp:extent cx="2781300" cy="2124075"/>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1300" cy="2124075"/>
                    </a:xfrm>
                    <a:prstGeom prst="rect">
                      <a:avLst/>
                    </a:prstGeom>
                    <a:noFill/>
                    <a:ln>
                      <a:noFill/>
                    </a:ln>
                  </pic:spPr>
                </pic:pic>
              </a:graphicData>
            </a:graphic>
          </wp:inline>
        </w:drawing>
      </w:r>
    </w:p>
    <w:p w14:paraId="2D7584BF" w14:textId="77777777" w:rsidR="00585EFC" w:rsidRPr="00C555F2" w:rsidRDefault="00585EFC" w:rsidP="00585EFC">
      <w:pPr>
        <w:tabs>
          <w:tab w:val="left" w:pos="426"/>
        </w:tabs>
        <w:ind w:left="426"/>
        <w:jc w:val="center"/>
        <w:rPr>
          <w:b/>
          <w:lang w:val="es-ES"/>
        </w:rPr>
      </w:pPr>
      <w:r w:rsidRPr="00C555F2">
        <w:rPr>
          <w:b/>
          <w:noProof/>
          <w:lang w:val="es-ES" w:eastAsia="es-ES"/>
        </w:rPr>
        <w:t>Figura I</w:t>
      </w:r>
    </w:p>
    <w:p w14:paraId="10726BBB" w14:textId="77777777" w:rsidR="00585EFC" w:rsidRDefault="00585EFC" w:rsidP="00585EFC">
      <w:pPr>
        <w:tabs>
          <w:tab w:val="left" w:pos="426"/>
        </w:tabs>
        <w:ind w:left="426"/>
        <w:rPr>
          <w:lang w:val="es-ES"/>
        </w:rPr>
      </w:pPr>
    </w:p>
    <w:p w14:paraId="109B9E55"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Continue empujando el protector de la aguja.</w:t>
      </w:r>
    </w:p>
    <w:p w14:paraId="3D15DB9A"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El botón verde de activación no funcionará si no continúa empujando completamente contra la piel el protector de la aguja.</w:t>
      </w:r>
    </w:p>
    <w:p w14:paraId="0A9669AE"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 xml:space="preserve">Continue pellizcando la piel mientras </w:t>
      </w:r>
      <w:r w:rsidRPr="00295F29">
        <w:rPr>
          <w:lang w:val="es-ES"/>
        </w:rPr>
        <w:t>mantiene la pluma precargada</w:t>
      </w:r>
      <w:r w:rsidRPr="000F3F50">
        <w:rPr>
          <w:lang w:val="es-ES"/>
        </w:rPr>
        <w:t xml:space="preserve"> en</w:t>
      </w:r>
      <w:r>
        <w:rPr>
          <w:lang w:val="es-ES"/>
        </w:rPr>
        <w:t xml:space="preserve"> su sitio.</w:t>
      </w:r>
    </w:p>
    <w:p w14:paraId="4760FDAB"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Presione el botón verde de a</w:t>
      </w:r>
      <w:r w:rsidRPr="00064DC4">
        <w:rPr>
          <w:lang w:val="es-ES"/>
        </w:rPr>
        <w:t>ctivación para comenzar la inyección. Un "clic" indica el inicio de la inyección. Mantenga presionado el botón verde y continúe sosteniendo la pluma precargada presionada fir</w:t>
      </w:r>
      <w:r>
        <w:rPr>
          <w:lang w:val="es-ES"/>
        </w:rPr>
        <w:t>memente contra su piel (</w:t>
      </w:r>
      <w:r w:rsidRPr="00064DC4">
        <w:rPr>
          <w:b/>
          <w:lang w:val="es-ES"/>
        </w:rPr>
        <w:t>ve</w:t>
      </w:r>
      <w:r>
        <w:rPr>
          <w:b/>
          <w:lang w:val="es-ES"/>
        </w:rPr>
        <w:t>r</w:t>
      </w:r>
      <w:r w:rsidRPr="00C555F2">
        <w:rPr>
          <w:b/>
          <w:lang w:val="es-ES"/>
        </w:rPr>
        <w:t xml:space="preserve"> Figura J</w:t>
      </w:r>
      <w:r w:rsidRPr="00064DC4">
        <w:rPr>
          <w:lang w:val="es-ES"/>
        </w:rPr>
        <w:t xml:space="preserve">). Si no puede comenzar la inyección, debe pedir ayuda a un cuidador o </w:t>
      </w:r>
      <w:r>
        <w:rPr>
          <w:lang w:val="es-ES"/>
        </w:rPr>
        <w:t>ponerse en contacto</w:t>
      </w:r>
      <w:r w:rsidRPr="00064DC4">
        <w:rPr>
          <w:lang w:val="es-ES"/>
        </w:rPr>
        <w:t xml:space="preserve"> con su </w:t>
      </w:r>
      <w:r>
        <w:rPr>
          <w:lang w:val="es-ES"/>
        </w:rPr>
        <w:t>profesional sanitario</w:t>
      </w:r>
      <w:r w:rsidRPr="00064DC4">
        <w:rPr>
          <w:lang w:val="es-ES"/>
        </w:rPr>
        <w:t>.</w:t>
      </w:r>
    </w:p>
    <w:p w14:paraId="6EF07192" w14:textId="77777777" w:rsidR="00585EFC" w:rsidRDefault="00585EFC" w:rsidP="00585EFC">
      <w:pPr>
        <w:tabs>
          <w:tab w:val="left" w:pos="426"/>
        </w:tabs>
        <w:rPr>
          <w:lang w:val="es-ES"/>
        </w:rPr>
      </w:pPr>
    </w:p>
    <w:p w14:paraId="1941CFD3" w14:textId="19ED7A03" w:rsidR="00585EFC" w:rsidRDefault="008D4CEB" w:rsidP="00585EFC">
      <w:pPr>
        <w:tabs>
          <w:tab w:val="left" w:pos="426"/>
        </w:tabs>
        <w:jc w:val="center"/>
        <w:rPr>
          <w:noProof/>
          <w:lang w:val="es-ES" w:eastAsia="es-ES"/>
        </w:rPr>
      </w:pPr>
      <w:r w:rsidRPr="009920A1">
        <w:rPr>
          <w:noProof/>
          <w:lang w:eastAsia="en-US"/>
        </w:rPr>
        <w:lastRenderedPageBreak/>
        <w:drawing>
          <wp:inline distT="0" distB="0" distL="0" distR="0" wp14:anchorId="7CC90E8B" wp14:editId="4D38DFC5">
            <wp:extent cx="2533650" cy="1971675"/>
            <wp:effectExtent l="0" t="0" r="0" b="0"/>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3650" cy="1971675"/>
                    </a:xfrm>
                    <a:prstGeom prst="rect">
                      <a:avLst/>
                    </a:prstGeom>
                    <a:noFill/>
                    <a:ln>
                      <a:noFill/>
                    </a:ln>
                  </pic:spPr>
                </pic:pic>
              </a:graphicData>
            </a:graphic>
          </wp:inline>
        </w:drawing>
      </w:r>
    </w:p>
    <w:p w14:paraId="0CCE86C8" w14:textId="77777777" w:rsidR="00585EFC" w:rsidRDefault="00585EFC" w:rsidP="00585EFC">
      <w:pPr>
        <w:tabs>
          <w:tab w:val="left" w:pos="426"/>
        </w:tabs>
        <w:jc w:val="center"/>
        <w:rPr>
          <w:b/>
          <w:noProof/>
          <w:lang w:val="es-ES" w:eastAsia="es-ES"/>
        </w:rPr>
      </w:pPr>
      <w:r w:rsidRPr="00C555F2">
        <w:rPr>
          <w:b/>
          <w:noProof/>
          <w:lang w:val="es-ES" w:eastAsia="es-ES"/>
        </w:rPr>
        <w:t>Figura J</w:t>
      </w:r>
    </w:p>
    <w:p w14:paraId="6A1551D0" w14:textId="77777777" w:rsidR="00E92D5F" w:rsidRPr="00C555F2" w:rsidRDefault="00E92D5F" w:rsidP="00585EFC">
      <w:pPr>
        <w:tabs>
          <w:tab w:val="left" w:pos="426"/>
        </w:tabs>
        <w:jc w:val="center"/>
        <w:rPr>
          <w:b/>
          <w:lang w:val="es-ES"/>
        </w:rPr>
      </w:pPr>
    </w:p>
    <w:p w14:paraId="4EF08A61" w14:textId="77777777" w:rsidR="00585EFC" w:rsidRPr="00B15652" w:rsidRDefault="00585EFC" w:rsidP="00585EFC">
      <w:pPr>
        <w:tabs>
          <w:tab w:val="left" w:pos="426"/>
        </w:tabs>
        <w:ind w:left="357" w:hanging="357"/>
        <w:rPr>
          <w:lang w:val="es-ES"/>
        </w:rPr>
      </w:pPr>
      <w:r w:rsidRPr="00F22672">
        <w:rPr>
          <w:lang w:val="es-ES"/>
        </w:rPr>
        <w:sym w:font="Symbol" w:char="F0B7"/>
      </w:r>
      <w:r w:rsidRPr="00F22672">
        <w:rPr>
          <w:noProof/>
          <w:lang w:val="es-ES"/>
        </w:rPr>
        <w:tab/>
      </w:r>
      <w:r w:rsidRPr="00064DC4">
        <w:rPr>
          <w:lang w:val="es-ES"/>
        </w:rPr>
        <w:t xml:space="preserve">El indicador </w:t>
      </w:r>
      <w:r>
        <w:rPr>
          <w:lang w:val="es-ES"/>
        </w:rPr>
        <w:t>morado</w:t>
      </w:r>
      <w:r w:rsidRPr="00064DC4">
        <w:rPr>
          <w:lang w:val="es-ES"/>
        </w:rPr>
        <w:t xml:space="preserve"> se moverá a lo largo </w:t>
      </w:r>
      <w:r>
        <w:rPr>
          <w:lang w:val="es-ES"/>
        </w:rPr>
        <w:t xml:space="preserve">de la </w:t>
      </w:r>
      <w:r w:rsidRPr="00064DC4">
        <w:rPr>
          <w:lang w:val="es-ES"/>
        </w:rPr>
        <w:t xml:space="preserve">ventana </w:t>
      </w:r>
      <w:r>
        <w:rPr>
          <w:lang w:val="es-ES"/>
        </w:rPr>
        <w:t xml:space="preserve">de visibilidad </w:t>
      </w:r>
      <w:r w:rsidRPr="00064DC4">
        <w:rPr>
          <w:lang w:val="es-ES"/>
        </w:rPr>
        <w:t>durante la inyección</w:t>
      </w:r>
      <w:r>
        <w:rPr>
          <w:lang w:val="es-ES"/>
        </w:rPr>
        <w:t xml:space="preserve"> </w:t>
      </w:r>
      <w:r w:rsidRPr="00B15652">
        <w:rPr>
          <w:lang w:val="es-ES"/>
        </w:rPr>
        <w:t>(</w:t>
      </w:r>
      <w:r w:rsidRPr="00C555F2">
        <w:rPr>
          <w:b/>
          <w:lang w:val="es-ES"/>
        </w:rPr>
        <w:t>ver figura K</w:t>
      </w:r>
      <w:r w:rsidRPr="00B15652">
        <w:rPr>
          <w:lang w:val="es-ES"/>
        </w:rPr>
        <w:t>).</w:t>
      </w:r>
    </w:p>
    <w:p w14:paraId="7CF981B4"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sidRPr="00064DC4">
        <w:rPr>
          <w:lang w:val="es-ES"/>
        </w:rPr>
        <w:t xml:space="preserve">Observe el indicador </w:t>
      </w:r>
      <w:r>
        <w:rPr>
          <w:lang w:val="es-ES"/>
        </w:rPr>
        <w:t>morado</w:t>
      </w:r>
      <w:r w:rsidRPr="00064DC4">
        <w:rPr>
          <w:lang w:val="es-ES"/>
        </w:rPr>
        <w:t xml:space="preserve"> hasta que deje de moverse para asegur</w:t>
      </w:r>
      <w:r>
        <w:rPr>
          <w:lang w:val="es-ES"/>
        </w:rPr>
        <w:t xml:space="preserve">arse de que se inyecta la dosis </w:t>
      </w:r>
      <w:r w:rsidRPr="00064DC4">
        <w:rPr>
          <w:lang w:val="es-ES"/>
        </w:rPr>
        <w:t>completa del medicamento.</w:t>
      </w:r>
    </w:p>
    <w:p w14:paraId="0AF1C7C3" w14:textId="77777777" w:rsidR="00585EFC" w:rsidRDefault="00585EFC" w:rsidP="00585EFC">
      <w:pPr>
        <w:tabs>
          <w:tab w:val="left" w:pos="426"/>
        </w:tabs>
        <w:ind w:left="357" w:hanging="357"/>
        <w:rPr>
          <w:lang w:val="es-ES"/>
        </w:rPr>
      </w:pPr>
    </w:p>
    <w:p w14:paraId="78893092" w14:textId="1BEB92DA" w:rsidR="00585EFC" w:rsidRDefault="008D4CEB" w:rsidP="00585EFC">
      <w:pPr>
        <w:tabs>
          <w:tab w:val="left" w:pos="426"/>
        </w:tabs>
        <w:ind w:left="426"/>
        <w:jc w:val="center"/>
        <w:rPr>
          <w:lang w:val="es-ES"/>
        </w:rPr>
      </w:pPr>
      <w:r w:rsidRPr="009920A1">
        <w:rPr>
          <w:noProof/>
          <w:lang w:eastAsia="en-US"/>
        </w:rPr>
        <w:drawing>
          <wp:inline distT="0" distB="0" distL="0" distR="0" wp14:anchorId="483FD4F8" wp14:editId="734E3F9E">
            <wp:extent cx="2533650" cy="1943100"/>
            <wp:effectExtent l="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1943100"/>
                    </a:xfrm>
                    <a:prstGeom prst="rect">
                      <a:avLst/>
                    </a:prstGeom>
                    <a:noFill/>
                    <a:ln>
                      <a:noFill/>
                    </a:ln>
                  </pic:spPr>
                </pic:pic>
              </a:graphicData>
            </a:graphic>
          </wp:inline>
        </w:drawing>
      </w:r>
    </w:p>
    <w:p w14:paraId="42193BBD" w14:textId="77777777" w:rsidR="00585EFC" w:rsidRPr="00C555F2" w:rsidRDefault="00585EFC" w:rsidP="00585EFC">
      <w:pPr>
        <w:tabs>
          <w:tab w:val="left" w:pos="426"/>
        </w:tabs>
        <w:ind w:left="426"/>
        <w:rPr>
          <w:b/>
          <w:lang w:val="es-ES"/>
        </w:rPr>
      </w:pPr>
      <w:r>
        <w:rPr>
          <w:lang w:val="es-ES"/>
        </w:rPr>
        <w:tab/>
      </w:r>
      <w:r>
        <w:rPr>
          <w:lang w:val="es-ES"/>
        </w:rPr>
        <w:tab/>
      </w:r>
      <w:r>
        <w:rPr>
          <w:lang w:val="es-ES"/>
        </w:rPr>
        <w:tab/>
      </w:r>
      <w:r>
        <w:rPr>
          <w:lang w:val="es-ES"/>
        </w:rPr>
        <w:tab/>
      </w:r>
      <w:r>
        <w:rPr>
          <w:lang w:val="es-ES"/>
        </w:rPr>
        <w:tab/>
      </w:r>
      <w:r>
        <w:rPr>
          <w:lang w:val="es-ES"/>
        </w:rPr>
        <w:tab/>
      </w:r>
      <w:r>
        <w:rPr>
          <w:lang w:val="es-ES"/>
        </w:rPr>
        <w:tab/>
      </w:r>
      <w:r>
        <w:rPr>
          <w:lang w:val="es-ES"/>
        </w:rPr>
        <w:tab/>
      </w:r>
      <w:r w:rsidRPr="00C555F2">
        <w:rPr>
          <w:b/>
          <w:lang w:val="es-ES"/>
        </w:rPr>
        <w:t>Figura K</w:t>
      </w:r>
    </w:p>
    <w:p w14:paraId="5D158E4F" w14:textId="77777777" w:rsidR="00585EFC" w:rsidRDefault="00585EFC" w:rsidP="00585EFC">
      <w:pPr>
        <w:tabs>
          <w:tab w:val="left" w:pos="426"/>
        </w:tabs>
        <w:ind w:left="426"/>
        <w:rPr>
          <w:lang w:val="es-ES"/>
        </w:rPr>
      </w:pPr>
    </w:p>
    <w:p w14:paraId="1F0165EF"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 xml:space="preserve">La inyección debe durar </w:t>
      </w:r>
      <w:r w:rsidRPr="000F3F50">
        <w:rPr>
          <w:lang w:val="es-ES"/>
        </w:rPr>
        <w:t>unos</w:t>
      </w:r>
      <w:r>
        <w:rPr>
          <w:lang w:val="es-ES"/>
        </w:rPr>
        <w:t xml:space="preserve"> </w:t>
      </w:r>
      <w:r w:rsidRPr="00C555F2">
        <w:rPr>
          <w:b/>
          <w:lang w:val="es-ES"/>
        </w:rPr>
        <w:t>10 segundos.</w:t>
      </w:r>
    </w:p>
    <w:p w14:paraId="13B0579F"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sidRPr="00064DC4">
        <w:rPr>
          <w:lang w:val="es-ES"/>
        </w:rPr>
        <w:t xml:space="preserve">Es posible que escuche un segundo "clic" durante la inyección, pero debe continuar sosteniendo la pluma precargada firmemente contra su piel hasta que el indicador </w:t>
      </w:r>
      <w:r>
        <w:rPr>
          <w:lang w:val="es-ES"/>
        </w:rPr>
        <w:t>morado</w:t>
      </w:r>
      <w:r w:rsidRPr="00064DC4">
        <w:rPr>
          <w:lang w:val="es-ES"/>
        </w:rPr>
        <w:t xml:space="preserve"> </w:t>
      </w:r>
      <w:r>
        <w:rPr>
          <w:lang w:val="es-ES"/>
        </w:rPr>
        <w:t xml:space="preserve">se </w:t>
      </w:r>
      <w:r w:rsidRPr="00064DC4">
        <w:rPr>
          <w:lang w:val="es-ES"/>
        </w:rPr>
        <w:t>deje de mover.</w:t>
      </w:r>
    </w:p>
    <w:p w14:paraId="6F1E2169" w14:textId="77777777" w:rsidR="00585EFC" w:rsidRDefault="00585EFC" w:rsidP="00585EFC">
      <w:pPr>
        <w:tabs>
          <w:tab w:val="left" w:pos="426"/>
        </w:tabs>
        <w:ind w:left="357" w:hanging="357"/>
        <w:rPr>
          <w:lang w:val="es-ES"/>
        </w:rPr>
      </w:pPr>
      <w:r w:rsidRPr="00F22672">
        <w:rPr>
          <w:lang w:val="es-ES"/>
        </w:rPr>
        <w:sym w:font="Symbol" w:char="F0B7"/>
      </w:r>
      <w:r w:rsidRPr="00F22672">
        <w:rPr>
          <w:noProof/>
          <w:lang w:val="es-ES"/>
        </w:rPr>
        <w:tab/>
      </w:r>
      <w:r w:rsidRPr="00064DC4">
        <w:rPr>
          <w:lang w:val="es-ES"/>
        </w:rPr>
        <w:t>Cuando el indicador morado se haya detenido, suelte el botón verde. Levante la pluma precargada directamente del lugar de la inyección en un ángulo de 90 ° para retirar la aguja de la piel. El prote</w:t>
      </w:r>
      <w:r>
        <w:rPr>
          <w:lang w:val="es-ES"/>
        </w:rPr>
        <w:t xml:space="preserve">ctor de la aguja se moverá y volverá a </w:t>
      </w:r>
      <w:r w:rsidRPr="00064DC4">
        <w:rPr>
          <w:lang w:val="es-ES"/>
        </w:rPr>
        <w:t>su lugar cubriendo la aguja (</w:t>
      </w:r>
      <w:r>
        <w:rPr>
          <w:b/>
          <w:lang w:val="es-ES"/>
        </w:rPr>
        <w:t>v</w:t>
      </w:r>
      <w:r w:rsidRPr="00C555F2">
        <w:rPr>
          <w:b/>
          <w:lang w:val="es-ES"/>
        </w:rPr>
        <w:t>er Figura L</w:t>
      </w:r>
      <w:r w:rsidRPr="00064DC4">
        <w:rPr>
          <w:lang w:val="es-ES"/>
        </w:rPr>
        <w:t>).</w:t>
      </w:r>
    </w:p>
    <w:p w14:paraId="71F4B140" w14:textId="55C2ADC4" w:rsidR="00585EFC" w:rsidRDefault="008D4CEB" w:rsidP="00585EFC">
      <w:pPr>
        <w:tabs>
          <w:tab w:val="left" w:pos="426"/>
        </w:tabs>
        <w:jc w:val="center"/>
        <w:rPr>
          <w:noProof/>
          <w:lang w:val="es-ES" w:eastAsia="es-ES"/>
        </w:rPr>
      </w:pPr>
      <w:r w:rsidRPr="009920A1">
        <w:rPr>
          <w:noProof/>
          <w:lang w:eastAsia="en-US"/>
        </w:rPr>
        <w:drawing>
          <wp:inline distT="0" distB="0" distL="0" distR="0" wp14:anchorId="53DA0C47" wp14:editId="7A7E2E49">
            <wp:extent cx="2600325" cy="1943100"/>
            <wp:effectExtent l="0" t="0" r="0"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00325" cy="1943100"/>
                    </a:xfrm>
                    <a:prstGeom prst="rect">
                      <a:avLst/>
                    </a:prstGeom>
                    <a:noFill/>
                    <a:ln>
                      <a:noFill/>
                    </a:ln>
                  </pic:spPr>
                </pic:pic>
              </a:graphicData>
            </a:graphic>
          </wp:inline>
        </w:drawing>
      </w:r>
    </w:p>
    <w:p w14:paraId="5340EB0C" w14:textId="77777777" w:rsidR="00585EFC" w:rsidRDefault="00585EFC" w:rsidP="00585EFC">
      <w:pPr>
        <w:tabs>
          <w:tab w:val="left" w:pos="426"/>
        </w:tabs>
        <w:jc w:val="center"/>
        <w:rPr>
          <w:b/>
          <w:noProof/>
          <w:lang w:val="es-ES" w:eastAsia="es-ES"/>
        </w:rPr>
      </w:pPr>
      <w:r w:rsidRPr="00C555F2">
        <w:rPr>
          <w:b/>
          <w:noProof/>
          <w:lang w:val="es-ES" w:eastAsia="es-ES"/>
        </w:rPr>
        <w:t>Figura L</w:t>
      </w:r>
    </w:p>
    <w:p w14:paraId="7C85FC81" w14:textId="77777777" w:rsidR="00585EFC" w:rsidRDefault="00585EFC" w:rsidP="00585EFC">
      <w:pPr>
        <w:tabs>
          <w:tab w:val="left" w:pos="426"/>
        </w:tabs>
        <w:jc w:val="center"/>
        <w:rPr>
          <w:b/>
          <w:lang w:val="es-ES"/>
        </w:rPr>
      </w:pPr>
    </w:p>
    <w:p w14:paraId="3B34D634" w14:textId="77777777" w:rsidR="00585EFC" w:rsidRPr="00C555F2" w:rsidRDefault="00585EFC" w:rsidP="00585EFC">
      <w:pPr>
        <w:tabs>
          <w:tab w:val="left" w:pos="426"/>
        </w:tabs>
        <w:ind w:left="357" w:hanging="357"/>
        <w:rPr>
          <w:lang w:val="es-ES"/>
        </w:rPr>
      </w:pPr>
      <w:r w:rsidRPr="00F22672">
        <w:rPr>
          <w:lang w:val="es-ES"/>
        </w:rPr>
        <w:sym w:font="Symbol" w:char="F0B7"/>
      </w:r>
      <w:r w:rsidRPr="00F22672">
        <w:rPr>
          <w:noProof/>
          <w:lang w:val="es-ES"/>
        </w:rPr>
        <w:tab/>
      </w:r>
      <w:r>
        <w:rPr>
          <w:lang w:val="es-ES"/>
        </w:rPr>
        <w:t>Compruebe</w:t>
      </w:r>
      <w:r w:rsidRPr="00C555F2">
        <w:rPr>
          <w:lang w:val="es-ES"/>
        </w:rPr>
        <w:t xml:space="preserve"> la ventana </w:t>
      </w:r>
      <w:r>
        <w:rPr>
          <w:lang w:val="es-ES"/>
        </w:rPr>
        <w:t xml:space="preserve">de visibilidad </w:t>
      </w:r>
      <w:r w:rsidRPr="00C555F2">
        <w:rPr>
          <w:lang w:val="es-ES"/>
        </w:rPr>
        <w:t xml:space="preserve">con el indicador </w:t>
      </w:r>
      <w:r>
        <w:rPr>
          <w:lang w:val="es-ES"/>
        </w:rPr>
        <w:t>morado</w:t>
      </w:r>
      <w:r w:rsidRPr="00C555F2">
        <w:rPr>
          <w:lang w:val="es-ES"/>
        </w:rPr>
        <w:t xml:space="preserve"> para ver si está llena (</w:t>
      </w:r>
      <w:r w:rsidRPr="009920A1">
        <w:rPr>
          <w:b/>
          <w:lang w:val="es-ES"/>
        </w:rPr>
        <w:t>ver Figura L</w:t>
      </w:r>
      <w:r w:rsidRPr="00C555F2">
        <w:rPr>
          <w:lang w:val="es-ES"/>
        </w:rPr>
        <w:t>).</w:t>
      </w:r>
    </w:p>
    <w:p w14:paraId="750A4DBF" w14:textId="77777777" w:rsidR="00585EFC" w:rsidRDefault="00585EFC" w:rsidP="006616E4">
      <w:pPr>
        <w:keepNext/>
        <w:keepLines/>
        <w:tabs>
          <w:tab w:val="left" w:pos="426"/>
        </w:tabs>
        <w:ind w:left="357" w:hanging="357"/>
        <w:rPr>
          <w:lang w:val="es-ES"/>
        </w:rPr>
      </w:pPr>
      <w:r w:rsidRPr="00F22672">
        <w:rPr>
          <w:lang w:val="es-ES"/>
        </w:rPr>
        <w:lastRenderedPageBreak/>
        <w:sym w:font="Symbol" w:char="F0B7"/>
      </w:r>
      <w:r w:rsidRPr="00F22672">
        <w:rPr>
          <w:noProof/>
          <w:lang w:val="es-ES"/>
        </w:rPr>
        <w:tab/>
      </w:r>
      <w:r w:rsidRPr="00092B43">
        <w:rPr>
          <w:lang w:val="es-ES"/>
        </w:rPr>
        <w:t xml:space="preserve">Si la ventana </w:t>
      </w:r>
      <w:r w:rsidRPr="00C555F2">
        <w:rPr>
          <w:lang w:val="es-ES"/>
        </w:rPr>
        <w:t>de visibilida</w:t>
      </w:r>
      <w:r>
        <w:rPr>
          <w:lang w:val="es-ES"/>
        </w:rPr>
        <w:t>d</w:t>
      </w:r>
      <w:r w:rsidRPr="00C555F2">
        <w:rPr>
          <w:lang w:val="es-ES"/>
        </w:rPr>
        <w:t xml:space="preserve"> </w:t>
      </w:r>
      <w:r w:rsidRPr="00092B43">
        <w:rPr>
          <w:lang w:val="es-ES"/>
        </w:rPr>
        <w:t xml:space="preserve">no se llena con el indicador </w:t>
      </w:r>
      <w:r>
        <w:rPr>
          <w:lang w:val="es-ES"/>
        </w:rPr>
        <w:t>morado</w:t>
      </w:r>
      <w:r w:rsidRPr="00064DC4">
        <w:rPr>
          <w:lang w:val="es-ES"/>
        </w:rPr>
        <w:t>, entonces:</w:t>
      </w:r>
    </w:p>
    <w:p w14:paraId="275595D2" w14:textId="77777777" w:rsidR="00585EFC" w:rsidRDefault="00585EFC" w:rsidP="006616E4">
      <w:pPr>
        <w:keepNext/>
        <w:keepLines/>
        <w:tabs>
          <w:tab w:val="left" w:pos="426"/>
        </w:tabs>
        <w:ind w:left="993" w:hanging="284"/>
        <w:rPr>
          <w:lang w:val="es-ES"/>
        </w:rPr>
      </w:pPr>
      <w:r w:rsidRPr="00F22672">
        <w:rPr>
          <w:lang w:val="es-ES"/>
        </w:rPr>
        <w:sym w:font="Symbol" w:char="F0B7"/>
      </w:r>
      <w:r w:rsidRPr="00F22672">
        <w:rPr>
          <w:noProof/>
          <w:lang w:val="es-ES"/>
        </w:rPr>
        <w:tab/>
      </w:r>
      <w:r w:rsidRPr="00064DC4">
        <w:rPr>
          <w:lang w:val="es-ES"/>
        </w:rPr>
        <w:t xml:space="preserve">Es posible que el protector de aguja no se haya </w:t>
      </w:r>
      <w:r w:rsidR="00E41B68">
        <w:rPr>
          <w:lang w:val="es-ES"/>
        </w:rPr>
        <w:t>des</w:t>
      </w:r>
      <w:r w:rsidRPr="00064DC4">
        <w:rPr>
          <w:lang w:val="es-ES"/>
        </w:rPr>
        <w:t xml:space="preserve">bloqueado. </w:t>
      </w:r>
      <w:r w:rsidRPr="00C555F2">
        <w:rPr>
          <w:b/>
          <w:lang w:val="es-ES"/>
        </w:rPr>
        <w:t>No</w:t>
      </w:r>
      <w:r w:rsidRPr="00064DC4">
        <w:rPr>
          <w:lang w:val="es-ES"/>
        </w:rPr>
        <w:t xml:space="preserve"> toque el </w:t>
      </w:r>
      <w:r>
        <w:rPr>
          <w:lang w:val="es-ES"/>
        </w:rPr>
        <w:t>protector de aguja de la pluma precargada</w:t>
      </w:r>
      <w:r w:rsidRPr="00064DC4">
        <w:rPr>
          <w:lang w:val="es-ES"/>
        </w:rPr>
        <w:t xml:space="preserve">, </w:t>
      </w:r>
      <w:r w:rsidRPr="002C31AF">
        <w:rPr>
          <w:lang w:val="es-ES"/>
        </w:rPr>
        <w:t xml:space="preserve">ya que </w:t>
      </w:r>
      <w:r>
        <w:rPr>
          <w:lang w:val="es-ES"/>
        </w:rPr>
        <w:t xml:space="preserve">se </w:t>
      </w:r>
      <w:r w:rsidRPr="002C31AF">
        <w:rPr>
          <w:lang w:val="es-ES"/>
        </w:rPr>
        <w:t>puede p</w:t>
      </w:r>
      <w:r>
        <w:rPr>
          <w:lang w:val="es-ES"/>
        </w:rPr>
        <w:t>inchar</w:t>
      </w:r>
      <w:r w:rsidRPr="002C31AF">
        <w:rPr>
          <w:lang w:val="es-ES"/>
        </w:rPr>
        <w:t xml:space="preserve"> con la aguja.</w:t>
      </w:r>
      <w:r w:rsidRPr="00064DC4">
        <w:rPr>
          <w:lang w:val="es-ES"/>
        </w:rPr>
        <w:t xml:space="preserve"> Si la aguja no está tapada, coloque cuidadosamente la pluma precargada en el contenedor de objetos punzantes para evitar cualquier lesión con la aguja.</w:t>
      </w:r>
    </w:p>
    <w:p w14:paraId="19614F77" w14:textId="77777777" w:rsidR="00585EFC" w:rsidRDefault="00585EFC" w:rsidP="00585EFC">
      <w:pPr>
        <w:tabs>
          <w:tab w:val="left" w:pos="426"/>
        </w:tabs>
        <w:ind w:left="993" w:hanging="284"/>
        <w:rPr>
          <w:lang w:val="es-ES"/>
        </w:rPr>
      </w:pPr>
      <w:r w:rsidRPr="00F22672">
        <w:rPr>
          <w:lang w:val="es-ES"/>
        </w:rPr>
        <w:sym w:font="Symbol" w:char="F0B7"/>
      </w:r>
      <w:r w:rsidRPr="00F22672">
        <w:rPr>
          <w:noProof/>
          <w:lang w:val="es-ES"/>
        </w:rPr>
        <w:tab/>
      </w:r>
      <w:r w:rsidRPr="00064DC4">
        <w:rPr>
          <w:lang w:val="es-ES"/>
        </w:rPr>
        <w:t xml:space="preserve">Es posible que no haya recibido su dosis completa de RoActemra. </w:t>
      </w:r>
      <w:r w:rsidRPr="00C555F2">
        <w:rPr>
          <w:b/>
          <w:lang w:val="es-ES"/>
        </w:rPr>
        <w:t xml:space="preserve">No </w:t>
      </w:r>
      <w:r>
        <w:rPr>
          <w:lang w:val="es-ES"/>
        </w:rPr>
        <w:t>intente reutilizar la pluma precargada</w:t>
      </w:r>
      <w:r w:rsidRPr="00064DC4">
        <w:rPr>
          <w:lang w:val="es-ES"/>
        </w:rPr>
        <w:t>. No repita la inyección con otra pluma precargada. Llame a su pr</w:t>
      </w:r>
      <w:r>
        <w:rPr>
          <w:lang w:val="es-ES"/>
        </w:rPr>
        <w:t xml:space="preserve">ofesional sanitario </w:t>
      </w:r>
      <w:r w:rsidRPr="00064DC4">
        <w:rPr>
          <w:lang w:val="es-ES"/>
        </w:rPr>
        <w:t>para obtener ayuda.</w:t>
      </w:r>
      <w:r>
        <w:rPr>
          <w:lang w:val="es-ES"/>
        </w:rPr>
        <w:t xml:space="preserve"> </w:t>
      </w:r>
    </w:p>
    <w:p w14:paraId="45324838" w14:textId="77777777" w:rsidR="00585EFC" w:rsidRDefault="00585EFC" w:rsidP="00585EFC">
      <w:pPr>
        <w:tabs>
          <w:tab w:val="left" w:pos="426"/>
        </w:tabs>
        <w:ind w:left="993"/>
        <w:rPr>
          <w:lang w:val="es-ES"/>
        </w:rPr>
      </w:pPr>
    </w:p>
    <w:p w14:paraId="35096AD4" w14:textId="77777777" w:rsidR="00585EFC" w:rsidRDefault="00585EFC" w:rsidP="00585EFC">
      <w:pPr>
        <w:tabs>
          <w:tab w:val="left" w:pos="0"/>
        </w:tabs>
        <w:rPr>
          <w:b/>
          <w:lang w:val="es-ES"/>
        </w:rPr>
      </w:pPr>
      <w:r w:rsidRPr="00C555F2">
        <w:rPr>
          <w:b/>
          <w:lang w:val="es-ES"/>
        </w:rPr>
        <w:t>Después de la inyección</w:t>
      </w:r>
    </w:p>
    <w:p w14:paraId="455422BA"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C555F2">
        <w:rPr>
          <w:lang w:val="es-ES"/>
        </w:rPr>
        <w:t>Puede haber</w:t>
      </w:r>
      <w:r w:rsidRPr="002C31AF">
        <w:rPr>
          <w:lang w:val="es-ES"/>
        </w:rPr>
        <w:t xml:space="preserve"> un poco de sangrado en el </w:t>
      </w:r>
      <w:r>
        <w:rPr>
          <w:lang w:val="es-ES"/>
        </w:rPr>
        <w:t>lugar</w:t>
      </w:r>
      <w:r w:rsidRPr="00C555F2">
        <w:rPr>
          <w:lang w:val="es-ES"/>
        </w:rPr>
        <w:t xml:space="preserve"> de la inyección. Puede presionar un algodón o gasa sobre el </w:t>
      </w:r>
      <w:r>
        <w:rPr>
          <w:lang w:val="es-ES"/>
        </w:rPr>
        <w:t>lugar</w:t>
      </w:r>
      <w:r w:rsidRPr="00C555F2">
        <w:rPr>
          <w:lang w:val="es-ES"/>
        </w:rPr>
        <w:t xml:space="preserve"> de la inyección.</w:t>
      </w:r>
    </w:p>
    <w:p w14:paraId="47C51FFF"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C555F2">
        <w:rPr>
          <w:b/>
          <w:lang w:val="es-ES"/>
        </w:rPr>
        <w:t xml:space="preserve">No </w:t>
      </w:r>
      <w:r>
        <w:rPr>
          <w:lang w:val="es-ES"/>
        </w:rPr>
        <w:t>frote el sitio de inyección.</w:t>
      </w:r>
    </w:p>
    <w:p w14:paraId="70695F16"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0E360E">
        <w:rPr>
          <w:lang w:val="es-ES"/>
        </w:rPr>
        <w:t>Si es necesario, puede cubrir el sitio de la inyección con un vendaje pequeño.</w:t>
      </w:r>
    </w:p>
    <w:p w14:paraId="1571CCF3" w14:textId="77777777" w:rsidR="00616541" w:rsidRDefault="00616541" w:rsidP="00585EFC">
      <w:pPr>
        <w:tabs>
          <w:tab w:val="left" w:pos="0"/>
        </w:tabs>
        <w:rPr>
          <w:b/>
          <w:lang w:val="es-ES"/>
        </w:rPr>
      </w:pPr>
    </w:p>
    <w:p w14:paraId="49D046CA" w14:textId="77777777" w:rsidR="00585EFC" w:rsidRDefault="00585EFC" w:rsidP="00585EFC">
      <w:pPr>
        <w:tabs>
          <w:tab w:val="left" w:pos="0"/>
        </w:tabs>
        <w:rPr>
          <w:b/>
          <w:lang w:val="es-ES"/>
        </w:rPr>
      </w:pPr>
      <w:r w:rsidRPr="00C555F2">
        <w:rPr>
          <w:b/>
          <w:lang w:val="es-ES"/>
        </w:rPr>
        <w:t>Paso 4. Deseche la pluma precargada</w:t>
      </w:r>
    </w:p>
    <w:p w14:paraId="56389C48"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C555F2">
        <w:rPr>
          <w:lang w:val="es-ES"/>
        </w:rPr>
        <w:t>No debe reutilizar la pluma precargada de RoActemra</w:t>
      </w:r>
      <w:r>
        <w:rPr>
          <w:lang w:val="es-ES"/>
        </w:rPr>
        <w:t>.</w:t>
      </w:r>
    </w:p>
    <w:p w14:paraId="54D05B62"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0E360E">
        <w:rPr>
          <w:lang w:val="es-ES"/>
        </w:rPr>
        <w:t>Coloque la pluma precargada usada en su contened</w:t>
      </w:r>
      <w:r>
        <w:rPr>
          <w:lang w:val="es-ES"/>
        </w:rPr>
        <w:t>or de objetos punzantes (v</w:t>
      </w:r>
      <w:r w:rsidRPr="000E360E">
        <w:rPr>
          <w:lang w:val="es-ES"/>
        </w:rPr>
        <w:t>e</w:t>
      </w:r>
      <w:r>
        <w:rPr>
          <w:lang w:val="es-ES"/>
        </w:rPr>
        <w:t>r</w:t>
      </w:r>
      <w:r w:rsidRPr="000E360E">
        <w:rPr>
          <w:lang w:val="es-ES"/>
        </w:rPr>
        <w:t xml:space="preserve"> </w:t>
      </w:r>
      <w:r w:rsidRPr="00C555F2">
        <w:rPr>
          <w:b/>
          <w:lang w:val="es-ES"/>
        </w:rPr>
        <w:t>"¿Cómo</w:t>
      </w:r>
      <w:r w:rsidRPr="00D06E5C">
        <w:rPr>
          <w:b/>
          <w:lang w:val="es-ES"/>
        </w:rPr>
        <w:t xml:space="preserve"> </w:t>
      </w:r>
      <w:r>
        <w:rPr>
          <w:b/>
          <w:lang w:val="es-ES"/>
        </w:rPr>
        <w:t>debe eliminar</w:t>
      </w:r>
      <w:r w:rsidRPr="00C555F2">
        <w:rPr>
          <w:b/>
          <w:lang w:val="es-ES"/>
        </w:rPr>
        <w:t xml:space="preserve"> las plumas precargadas usadas?"</w:t>
      </w:r>
      <w:r w:rsidRPr="000E360E">
        <w:rPr>
          <w:lang w:val="es-ES"/>
        </w:rPr>
        <w:t>)</w:t>
      </w:r>
      <w:r>
        <w:rPr>
          <w:lang w:val="es-ES"/>
        </w:rPr>
        <w:t>.</w:t>
      </w:r>
    </w:p>
    <w:p w14:paraId="584EA7A6"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C555F2">
        <w:rPr>
          <w:b/>
          <w:lang w:val="es-ES"/>
        </w:rPr>
        <w:t>No</w:t>
      </w:r>
      <w:r w:rsidRPr="000E360E">
        <w:rPr>
          <w:lang w:val="es-ES"/>
        </w:rPr>
        <w:t xml:space="preserve"> vuelva a colocar la tapa en la pluma precargada.</w:t>
      </w:r>
    </w:p>
    <w:p w14:paraId="5C827E78" w14:textId="77777777" w:rsidR="00585EFC" w:rsidRDefault="00585EFC" w:rsidP="00585EFC">
      <w:pPr>
        <w:tabs>
          <w:tab w:val="left" w:pos="0"/>
        </w:tabs>
        <w:ind w:left="357" w:hanging="357"/>
        <w:rPr>
          <w:b/>
          <w:lang w:val="es-ES"/>
        </w:rPr>
      </w:pPr>
      <w:r w:rsidRPr="00F22672">
        <w:rPr>
          <w:lang w:val="es-ES"/>
        </w:rPr>
        <w:sym w:font="Symbol" w:char="F0B7"/>
      </w:r>
      <w:r w:rsidRPr="00F22672">
        <w:rPr>
          <w:noProof/>
          <w:lang w:val="es-ES"/>
        </w:rPr>
        <w:tab/>
      </w:r>
      <w:r w:rsidRPr="00D06E5C">
        <w:rPr>
          <w:b/>
          <w:lang w:val="es-ES"/>
        </w:rPr>
        <w:t xml:space="preserve">Si otra persona le </w:t>
      </w:r>
      <w:r>
        <w:rPr>
          <w:b/>
          <w:lang w:val="es-ES"/>
        </w:rPr>
        <w:t>administra</w:t>
      </w:r>
      <w:r w:rsidRPr="00C555F2">
        <w:rPr>
          <w:b/>
          <w:lang w:val="es-ES"/>
        </w:rPr>
        <w:t xml:space="preserve"> la inyección, esta persona también debe tener cuidado al retirar la pluma precargada y desecharla para evitar lesiones por pinchazos accide</w:t>
      </w:r>
      <w:r w:rsidRPr="00D06E5C">
        <w:rPr>
          <w:b/>
          <w:lang w:val="es-ES"/>
        </w:rPr>
        <w:t xml:space="preserve">ntales </w:t>
      </w:r>
      <w:r>
        <w:rPr>
          <w:b/>
          <w:lang w:val="es-ES"/>
        </w:rPr>
        <w:t>e</w:t>
      </w:r>
      <w:r w:rsidRPr="00D06E5C">
        <w:rPr>
          <w:b/>
          <w:lang w:val="es-ES"/>
        </w:rPr>
        <w:t xml:space="preserve"> infecci</w:t>
      </w:r>
      <w:r>
        <w:rPr>
          <w:b/>
          <w:lang w:val="es-ES"/>
        </w:rPr>
        <w:t>o</w:t>
      </w:r>
      <w:r w:rsidRPr="00C555F2">
        <w:rPr>
          <w:b/>
          <w:lang w:val="es-ES"/>
        </w:rPr>
        <w:t>n</w:t>
      </w:r>
      <w:r>
        <w:rPr>
          <w:b/>
          <w:lang w:val="es-ES"/>
        </w:rPr>
        <w:t>es</w:t>
      </w:r>
      <w:r w:rsidRPr="00C555F2">
        <w:rPr>
          <w:b/>
          <w:lang w:val="es-ES"/>
        </w:rPr>
        <w:t>.</w:t>
      </w:r>
    </w:p>
    <w:p w14:paraId="153AA267" w14:textId="77777777" w:rsidR="00585EFC" w:rsidRDefault="00585EFC" w:rsidP="00585EFC">
      <w:pPr>
        <w:tabs>
          <w:tab w:val="left" w:pos="0"/>
        </w:tabs>
        <w:rPr>
          <w:b/>
          <w:lang w:val="es-ES"/>
        </w:rPr>
      </w:pPr>
      <w:r>
        <w:rPr>
          <w:b/>
          <w:lang w:val="es-ES"/>
        </w:rPr>
        <w:t xml:space="preserve">¿Cómo debe eliminar </w:t>
      </w:r>
      <w:r w:rsidRPr="000E360E">
        <w:rPr>
          <w:b/>
          <w:lang w:val="es-ES"/>
        </w:rPr>
        <w:t>las plumas precargadas usadas?</w:t>
      </w:r>
    </w:p>
    <w:p w14:paraId="057516F9" w14:textId="77777777" w:rsidR="00585EFC" w:rsidRDefault="00585EFC" w:rsidP="0085789E">
      <w:pPr>
        <w:tabs>
          <w:tab w:val="left" w:pos="0"/>
        </w:tabs>
        <w:ind w:left="357" w:hanging="357"/>
        <w:rPr>
          <w:lang w:val="es-ES"/>
        </w:rPr>
      </w:pPr>
      <w:r w:rsidRPr="00F22672">
        <w:rPr>
          <w:lang w:val="es-ES"/>
        </w:rPr>
        <w:sym w:font="Symbol" w:char="F0B7"/>
      </w:r>
      <w:r w:rsidRPr="00F22672">
        <w:rPr>
          <w:noProof/>
          <w:lang w:val="es-ES"/>
        </w:rPr>
        <w:tab/>
      </w:r>
      <w:r w:rsidRPr="00C555F2">
        <w:rPr>
          <w:lang w:val="es-ES"/>
        </w:rPr>
        <w:t>Ponga su</w:t>
      </w:r>
      <w:r>
        <w:rPr>
          <w:lang w:val="es-ES"/>
        </w:rPr>
        <w:t xml:space="preserve"> pluma</w:t>
      </w:r>
      <w:r w:rsidRPr="00C555F2">
        <w:rPr>
          <w:lang w:val="es-ES"/>
        </w:rPr>
        <w:t xml:space="preserve"> precargad</w:t>
      </w:r>
      <w:r>
        <w:rPr>
          <w:lang w:val="es-ES"/>
        </w:rPr>
        <w:t>a</w:t>
      </w:r>
      <w:r w:rsidRPr="00C555F2">
        <w:rPr>
          <w:lang w:val="es-ES"/>
        </w:rPr>
        <w:t xml:space="preserve"> </w:t>
      </w:r>
      <w:r>
        <w:rPr>
          <w:lang w:val="es-ES"/>
        </w:rPr>
        <w:t xml:space="preserve">de </w:t>
      </w:r>
      <w:r w:rsidRPr="00EB55C0">
        <w:rPr>
          <w:lang w:val="es-ES"/>
        </w:rPr>
        <w:t>RoA</w:t>
      </w:r>
      <w:r>
        <w:rPr>
          <w:lang w:val="es-ES"/>
        </w:rPr>
        <w:t>ctemra</w:t>
      </w:r>
      <w:r w:rsidRPr="00C555F2">
        <w:rPr>
          <w:lang w:val="es-ES"/>
        </w:rPr>
        <w:t xml:space="preserve"> </w:t>
      </w:r>
      <w:r>
        <w:rPr>
          <w:lang w:val="es-ES"/>
        </w:rPr>
        <w:t xml:space="preserve">usada </w:t>
      </w:r>
      <w:r w:rsidRPr="00C555F2">
        <w:rPr>
          <w:lang w:val="es-ES"/>
        </w:rPr>
        <w:t xml:space="preserve">y </w:t>
      </w:r>
      <w:r>
        <w:rPr>
          <w:lang w:val="es-ES"/>
        </w:rPr>
        <w:t>el tapón</w:t>
      </w:r>
      <w:r w:rsidRPr="00C555F2">
        <w:rPr>
          <w:lang w:val="es-ES"/>
        </w:rPr>
        <w:t xml:space="preserve"> verde e</w:t>
      </w:r>
      <w:r w:rsidRPr="00D06E5C">
        <w:rPr>
          <w:lang w:val="es-ES"/>
        </w:rPr>
        <w:t xml:space="preserve">n un contenedor de objetos </w:t>
      </w:r>
      <w:r w:rsidRPr="00C555F2">
        <w:rPr>
          <w:lang w:val="es-ES"/>
        </w:rPr>
        <w:t>punzantes inmed</w:t>
      </w:r>
      <w:r w:rsidRPr="00585437">
        <w:rPr>
          <w:lang w:val="es-ES"/>
        </w:rPr>
        <w:t>iatamente después de su uso (</w:t>
      </w:r>
      <w:r w:rsidRPr="00C555F2">
        <w:rPr>
          <w:b/>
          <w:lang w:val="es-ES"/>
        </w:rPr>
        <w:t>ver</w:t>
      </w:r>
      <w:r w:rsidRPr="00585437">
        <w:rPr>
          <w:b/>
          <w:lang w:val="es-ES"/>
        </w:rPr>
        <w:t xml:space="preserve"> Figura M</w:t>
      </w:r>
      <w:r w:rsidRPr="00C555F2">
        <w:rPr>
          <w:lang w:val="es-ES"/>
        </w:rPr>
        <w:t>).</w:t>
      </w:r>
    </w:p>
    <w:p w14:paraId="77FF01DB" w14:textId="77777777" w:rsidR="00585EFC" w:rsidRPr="009920A1" w:rsidRDefault="00585EFC" w:rsidP="00585EFC">
      <w:pPr>
        <w:tabs>
          <w:tab w:val="left" w:pos="0"/>
        </w:tabs>
        <w:ind w:left="357" w:hanging="357"/>
        <w:rPr>
          <w:b/>
          <w:lang w:val="es-ES"/>
        </w:rPr>
      </w:pPr>
      <w:r w:rsidRPr="00F22672">
        <w:rPr>
          <w:lang w:val="es-ES"/>
        </w:rPr>
        <w:sym w:font="Symbol" w:char="F0B7"/>
      </w:r>
      <w:r w:rsidRPr="00F22672">
        <w:rPr>
          <w:noProof/>
          <w:lang w:val="es-ES"/>
        </w:rPr>
        <w:tab/>
      </w:r>
      <w:r w:rsidRPr="00D06E5C">
        <w:rPr>
          <w:b/>
          <w:lang w:val="es-ES"/>
        </w:rPr>
        <w:t xml:space="preserve">No </w:t>
      </w:r>
      <w:r>
        <w:rPr>
          <w:b/>
          <w:lang w:val="es-ES"/>
        </w:rPr>
        <w:t>deseche</w:t>
      </w:r>
      <w:r w:rsidRPr="00C555F2">
        <w:rPr>
          <w:b/>
          <w:lang w:val="es-ES"/>
        </w:rPr>
        <w:t xml:space="preserve"> (elimine) la pluma precargada y </w:t>
      </w:r>
      <w:r>
        <w:rPr>
          <w:b/>
          <w:lang w:val="es-ES"/>
        </w:rPr>
        <w:t>el tapón</w:t>
      </w:r>
      <w:r w:rsidRPr="00C555F2">
        <w:rPr>
          <w:b/>
          <w:lang w:val="es-ES"/>
        </w:rPr>
        <w:t xml:space="preserve"> verde en la basura doméstica y no la recicle.</w:t>
      </w:r>
    </w:p>
    <w:p w14:paraId="0CF71FA1" w14:textId="0B145FFD" w:rsidR="00585EFC" w:rsidRDefault="008D4CEB" w:rsidP="00585EFC">
      <w:pPr>
        <w:tabs>
          <w:tab w:val="left" w:pos="0"/>
        </w:tabs>
        <w:ind w:left="426"/>
        <w:jc w:val="center"/>
        <w:rPr>
          <w:noProof/>
          <w:lang w:val="es-ES" w:eastAsia="es-ES"/>
        </w:rPr>
      </w:pPr>
      <w:r w:rsidRPr="009920A1">
        <w:rPr>
          <w:noProof/>
          <w:lang w:eastAsia="en-US"/>
        </w:rPr>
        <w:drawing>
          <wp:inline distT="0" distB="0" distL="0" distR="0" wp14:anchorId="6F15E5FE" wp14:editId="305013CD">
            <wp:extent cx="2524125" cy="1933575"/>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4125" cy="1933575"/>
                    </a:xfrm>
                    <a:prstGeom prst="rect">
                      <a:avLst/>
                    </a:prstGeom>
                    <a:noFill/>
                    <a:ln>
                      <a:noFill/>
                    </a:ln>
                  </pic:spPr>
                </pic:pic>
              </a:graphicData>
            </a:graphic>
          </wp:inline>
        </w:drawing>
      </w:r>
    </w:p>
    <w:p w14:paraId="7F851AB5" w14:textId="77777777" w:rsidR="00585EFC" w:rsidRPr="009920A1" w:rsidRDefault="00585EFC" w:rsidP="00585EFC">
      <w:pPr>
        <w:tabs>
          <w:tab w:val="left" w:pos="0"/>
        </w:tabs>
        <w:ind w:left="426"/>
        <w:jc w:val="center"/>
        <w:rPr>
          <w:b/>
          <w:lang w:val="es-ES"/>
        </w:rPr>
      </w:pPr>
      <w:r w:rsidRPr="00C555F2">
        <w:rPr>
          <w:b/>
          <w:noProof/>
          <w:lang w:val="es-ES" w:eastAsia="es-ES"/>
        </w:rPr>
        <w:t>Figura M</w:t>
      </w:r>
    </w:p>
    <w:p w14:paraId="305E8CF0" w14:textId="77777777" w:rsidR="00585EFC" w:rsidRPr="00C555F2" w:rsidRDefault="00585EFC" w:rsidP="00585EFC">
      <w:pPr>
        <w:tabs>
          <w:tab w:val="left" w:pos="0"/>
        </w:tabs>
        <w:ind w:left="426"/>
        <w:rPr>
          <w:lang w:val="es-ES"/>
        </w:rPr>
      </w:pPr>
    </w:p>
    <w:p w14:paraId="36519E57" w14:textId="77777777" w:rsidR="00585EFC"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D06E5C">
        <w:rPr>
          <w:lang w:val="es-ES"/>
        </w:rPr>
        <w:t xml:space="preserve">Elimine el recipiente lleno según le indique su médico o farmacéutico. </w:t>
      </w:r>
    </w:p>
    <w:p w14:paraId="7434508F" w14:textId="77777777" w:rsidR="00585EFC" w:rsidRPr="00585437" w:rsidRDefault="00585EFC" w:rsidP="00585EFC">
      <w:pPr>
        <w:tabs>
          <w:tab w:val="left" w:pos="0"/>
        </w:tabs>
        <w:ind w:left="357" w:hanging="357"/>
        <w:rPr>
          <w:lang w:val="es-ES"/>
        </w:rPr>
      </w:pPr>
      <w:r w:rsidRPr="00F22672">
        <w:rPr>
          <w:lang w:val="es-ES"/>
        </w:rPr>
        <w:sym w:font="Symbol" w:char="F0B7"/>
      </w:r>
      <w:r w:rsidRPr="00F22672">
        <w:rPr>
          <w:noProof/>
          <w:lang w:val="es-ES"/>
        </w:rPr>
        <w:tab/>
      </w:r>
      <w:r w:rsidRPr="00D06E5C">
        <w:rPr>
          <w:lang w:val="es-ES"/>
        </w:rPr>
        <w:t>Mantenga siempre el contenedor para objetos punzantes fuera de la vista y del alcance de los niños.</w:t>
      </w:r>
    </w:p>
    <w:p w14:paraId="16037FCE" w14:textId="77777777" w:rsidR="00616541" w:rsidRDefault="00616541" w:rsidP="00585EFC">
      <w:pPr>
        <w:tabs>
          <w:tab w:val="left" w:pos="0"/>
        </w:tabs>
        <w:rPr>
          <w:b/>
          <w:lang w:val="es-ES_tradnl"/>
        </w:rPr>
      </w:pPr>
    </w:p>
    <w:p w14:paraId="1F4AAD12" w14:textId="77777777" w:rsidR="00585EFC" w:rsidRDefault="00585EFC" w:rsidP="00585EFC">
      <w:pPr>
        <w:tabs>
          <w:tab w:val="left" w:pos="0"/>
        </w:tabs>
        <w:rPr>
          <w:b/>
          <w:lang w:val="es-ES_tradnl"/>
        </w:rPr>
      </w:pPr>
      <w:r w:rsidRPr="00C555F2">
        <w:rPr>
          <w:b/>
          <w:lang w:val="es-ES_tradnl"/>
        </w:rPr>
        <w:t xml:space="preserve">Mantenga </w:t>
      </w:r>
      <w:r>
        <w:rPr>
          <w:b/>
          <w:lang w:val="es-ES_tradnl"/>
        </w:rPr>
        <w:t>la pluma</w:t>
      </w:r>
      <w:r w:rsidRPr="00D06E5C">
        <w:rPr>
          <w:b/>
          <w:lang w:val="es-ES_tradnl"/>
        </w:rPr>
        <w:t xml:space="preserve"> precargad</w:t>
      </w:r>
      <w:r>
        <w:rPr>
          <w:b/>
          <w:lang w:val="es-ES_tradnl"/>
        </w:rPr>
        <w:t>a</w:t>
      </w:r>
      <w:r w:rsidRPr="00C555F2">
        <w:rPr>
          <w:b/>
          <w:lang w:val="es-ES_tradnl"/>
        </w:rPr>
        <w:t xml:space="preserve"> </w:t>
      </w:r>
      <w:r>
        <w:rPr>
          <w:b/>
          <w:lang w:val="es-ES_tradnl"/>
        </w:rPr>
        <w:t xml:space="preserve">de </w:t>
      </w:r>
      <w:r w:rsidRPr="00C555F2">
        <w:rPr>
          <w:b/>
          <w:lang w:val="es-ES_tradnl"/>
        </w:rPr>
        <w:t>RoA</w:t>
      </w:r>
      <w:r w:rsidRPr="00092B43">
        <w:rPr>
          <w:b/>
          <w:lang w:val="es-ES_tradnl"/>
        </w:rPr>
        <w:t>ctemra</w:t>
      </w:r>
      <w:r w:rsidRPr="00C555F2">
        <w:rPr>
          <w:b/>
          <w:lang w:val="es-ES_tradnl"/>
        </w:rPr>
        <w:t xml:space="preserve"> y el contenedor </w:t>
      </w:r>
      <w:r w:rsidRPr="00D06E5C">
        <w:rPr>
          <w:b/>
          <w:lang w:val="es-ES_tradnl"/>
        </w:rPr>
        <w:t>para objetos punzantes fuera de</w:t>
      </w:r>
      <w:r>
        <w:rPr>
          <w:b/>
          <w:lang w:val="es-ES_tradnl"/>
        </w:rPr>
        <w:t xml:space="preserve"> la vista y el</w:t>
      </w:r>
      <w:r w:rsidRPr="00C555F2">
        <w:rPr>
          <w:b/>
          <w:lang w:val="es-ES_tradnl"/>
        </w:rPr>
        <w:t xml:space="preserve"> alcance de los niños.</w:t>
      </w:r>
    </w:p>
    <w:p w14:paraId="0EDE5DF7" w14:textId="77777777" w:rsidR="00585EFC" w:rsidRDefault="00585EFC" w:rsidP="00585EFC">
      <w:pPr>
        <w:tabs>
          <w:tab w:val="left" w:pos="0"/>
        </w:tabs>
        <w:rPr>
          <w:b/>
          <w:lang w:val="es-ES_tradnl"/>
        </w:rPr>
      </w:pPr>
      <w:r>
        <w:rPr>
          <w:b/>
          <w:lang w:val="es-ES_tradnl"/>
        </w:rPr>
        <w:t>Apunte su inyección</w:t>
      </w:r>
    </w:p>
    <w:p w14:paraId="03C778B8" w14:textId="64FA369E" w:rsidR="00585EFC" w:rsidRDefault="00585EFC" w:rsidP="00585EFC">
      <w:pPr>
        <w:tabs>
          <w:tab w:val="left" w:pos="0"/>
        </w:tabs>
        <w:ind w:left="567" w:hanging="210"/>
        <w:rPr>
          <w:lang w:val="es-ES_tradnl"/>
        </w:rPr>
      </w:pPr>
      <w:r w:rsidRPr="00F22672">
        <w:rPr>
          <w:lang w:val="es-ES"/>
        </w:rPr>
        <w:sym w:font="Symbol" w:char="F0B7"/>
      </w:r>
      <w:r w:rsidRPr="00F22672">
        <w:rPr>
          <w:noProof/>
          <w:lang w:val="es-ES"/>
        </w:rPr>
        <w:tab/>
      </w:r>
      <w:r w:rsidRPr="00C555F2">
        <w:rPr>
          <w:lang w:val="es-ES_tradnl"/>
        </w:rPr>
        <w:t xml:space="preserve">Escriba la fecha, hora y </w:t>
      </w:r>
      <w:r>
        <w:rPr>
          <w:lang w:val="es-ES_tradnl"/>
        </w:rPr>
        <w:t>el lugar</w:t>
      </w:r>
      <w:r w:rsidRPr="00D06E5C">
        <w:rPr>
          <w:lang w:val="es-ES_tradnl"/>
        </w:rPr>
        <w:t xml:space="preserve"> específic</w:t>
      </w:r>
      <w:r>
        <w:rPr>
          <w:lang w:val="es-ES_tradnl"/>
        </w:rPr>
        <w:t>o</w:t>
      </w:r>
      <w:r w:rsidRPr="00C555F2">
        <w:rPr>
          <w:lang w:val="es-ES_tradnl"/>
        </w:rPr>
        <w:t xml:space="preserve"> de su cuerpo donde </w:t>
      </w:r>
      <w:r w:rsidRPr="0060399B">
        <w:rPr>
          <w:lang w:val="es-ES_tradnl"/>
        </w:rPr>
        <w:t>usted mismo</w:t>
      </w:r>
      <w:r w:rsidRPr="00D06E5C">
        <w:rPr>
          <w:lang w:val="es-ES_tradnl"/>
        </w:rPr>
        <w:t xml:space="preserve"> </w:t>
      </w:r>
      <w:r w:rsidRPr="00C555F2">
        <w:rPr>
          <w:lang w:val="es-ES_tradnl"/>
        </w:rPr>
        <w:t xml:space="preserve">se </w:t>
      </w:r>
      <w:ins w:id="2972" w:author="AUTHOR">
        <w:r w:rsidR="005A55F7">
          <w:rPr>
            <w:lang w:val="es-ES_tradnl"/>
          </w:rPr>
          <w:t>auto</w:t>
        </w:r>
      </w:ins>
      <w:r w:rsidRPr="00C555F2">
        <w:rPr>
          <w:lang w:val="es-ES_tradnl"/>
        </w:rPr>
        <w:t>inyectó</w:t>
      </w:r>
      <w:del w:id="2973" w:author="AUTHOR">
        <w:r w:rsidDel="005A55F7">
          <w:rPr>
            <w:lang w:val="es-ES_tradnl"/>
          </w:rPr>
          <w:delText xml:space="preserve"> la inyección</w:delText>
        </w:r>
      </w:del>
      <w:r w:rsidRPr="00C555F2">
        <w:rPr>
          <w:lang w:val="es-ES_tradnl"/>
        </w:rPr>
        <w:t xml:space="preserve">. También puede ser útil escribir cualquier pregunta o </w:t>
      </w:r>
      <w:r>
        <w:rPr>
          <w:lang w:val="es-ES_tradnl"/>
        </w:rPr>
        <w:t>preocupación</w:t>
      </w:r>
      <w:r w:rsidRPr="00C555F2">
        <w:rPr>
          <w:lang w:val="es-ES_tradnl"/>
        </w:rPr>
        <w:t xml:space="preserve"> sobre la inyección para que pueda consultar a su </w:t>
      </w:r>
      <w:r>
        <w:rPr>
          <w:lang w:val="es-ES_tradnl"/>
        </w:rPr>
        <w:t>profesional sanitario</w:t>
      </w:r>
      <w:r w:rsidRPr="00C555F2">
        <w:rPr>
          <w:lang w:val="es-ES_tradnl"/>
        </w:rPr>
        <w:t>.</w:t>
      </w:r>
    </w:p>
    <w:p w14:paraId="166ECFDC" w14:textId="77777777" w:rsidR="00585EFC" w:rsidRDefault="00585EFC" w:rsidP="00585EFC">
      <w:pPr>
        <w:tabs>
          <w:tab w:val="left" w:pos="0"/>
        </w:tabs>
        <w:ind w:left="567"/>
        <w:rPr>
          <w:lang w:val="es-ES_tradnl"/>
        </w:rPr>
      </w:pPr>
    </w:p>
    <w:p w14:paraId="3428FA6C" w14:textId="77777777" w:rsidR="00585EFC" w:rsidRDefault="00585EFC" w:rsidP="00585EFC">
      <w:pPr>
        <w:tabs>
          <w:tab w:val="left" w:pos="0"/>
        </w:tabs>
        <w:rPr>
          <w:b/>
          <w:lang w:val="es-ES_tradnl"/>
        </w:rPr>
      </w:pPr>
      <w:r w:rsidRPr="00C555F2">
        <w:rPr>
          <w:b/>
          <w:lang w:val="es-ES_tradnl"/>
        </w:rPr>
        <w:t>Si t</w:t>
      </w:r>
      <w:r w:rsidRPr="00E966A1">
        <w:rPr>
          <w:b/>
          <w:lang w:val="es-ES_tradnl"/>
        </w:rPr>
        <w:t xml:space="preserve">iene alguna pregunta o </w:t>
      </w:r>
      <w:r>
        <w:rPr>
          <w:b/>
          <w:lang w:val="es-ES_tradnl"/>
        </w:rPr>
        <w:t>preocupación</w:t>
      </w:r>
      <w:r w:rsidRPr="00C555F2">
        <w:rPr>
          <w:b/>
          <w:lang w:val="es-ES_tradnl"/>
        </w:rPr>
        <w:t xml:space="preserve"> sobre su </w:t>
      </w:r>
      <w:r>
        <w:rPr>
          <w:b/>
          <w:lang w:val="es-ES_tradnl"/>
        </w:rPr>
        <w:t>pluma precargada de</w:t>
      </w:r>
      <w:r w:rsidRPr="00C555F2">
        <w:rPr>
          <w:b/>
          <w:lang w:val="es-ES_tradnl"/>
        </w:rPr>
        <w:t xml:space="preserve"> RoA</w:t>
      </w:r>
      <w:r w:rsidRPr="00092B43">
        <w:rPr>
          <w:b/>
          <w:lang w:val="es-ES_tradnl"/>
        </w:rPr>
        <w:t>ctemra</w:t>
      </w:r>
      <w:r w:rsidRPr="00C555F2">
        <w:rPr>
          <w:b/>
          <w:lang w:val="es-ES_tradnl"/>
        </w:rPr>
        <w:t xml:space="preserve">, </w:t>
      </w:r>
      <w:r>
        <w:rPr>
          <w:b/>
          <w:lang w:val="es-ES_tradnl"/>
        </w:rPr>
        <w:t>consulte</w:t>
      </w:r>
      <w:r w:rsidRPr="00C555F2">
        <w:rPr>
          <w:b/>
          <w:lang w:val="es-ES_tradnl"/>
        </w:rPr>
        <w:t xml:space="preserve"> con su pro</w:t>
      </w:r>
      <w:r>
        <w:rPr>
          <w:b/>
          <w:lang w:val="es-ES_tradnl"/>
        </w:rPr>
        <w:t>fesional sanitario</w:t>
      </w:r>
      <w:r w:rsidRPr="00C555F2">
        <w:rPr>
          <w:b/>
          <w:lang w:val="es-ES_tradnl"/>
        </w:rPr>
        <w:t xml:space="preserve"> familiarizado con RoA</w:t>
      </w:r>
      <w:r w:rsidRPr="00092B43">
        <w:rPr>
          <w:b/>
          <w:lang w:val="es-ES_tradnl"/>
        </w:rPr>
        <w:t>ctemra</w:t>
      </w:r>
      <w:r w:rsidRPr="00C555F2">
        <w:rPr>
          <w:b/>
          <w:lang w:val="es-ES_tradnl"/>
        </w:rPr>
        <w:t>.</w:t>
      </w:r>
    </w:p>
    <w:p w14:paraId="231BD05C" w14:textId="77777777" w:rsidR="0048525C" w:rsidRDefault="0048525C" w:rsidP="00EB51B9">
      <w:pPr>
        <w:rPr>
          <w:ins w:id="2974" w:author="AUTHOR"/>
          <w:lang w:val="x-none"/>
        </w:rPr>
      </w:pPr>
    </w:p>
    <w:p w14:paraId="1BBE3AFA" w14:textId="7DB5D9D8" w:rsidR="00D471ED" w:rsidRDefault="00D471ED" w:rsidP="00EB51B9">
      <w:pPr>
        <w:rPr>
          <w:ins w:id="2975" w:author="AUTHOR"/>
          <w:lang w:val="x-none"/>
        </w:rPr>
      </w:pPr>
      <w:ins w:id="2976" w:author="AUTHOR">
        <w:r w:rsidRPr="00D471ED">
          <w:rPr>
            <w:lang w:val="x-none"/>
          </w:rPr>
          <w:lastRenderedPageBreak/>
          <w:t>Estos pictogramas se muestran en la parte izquierda del prospecto impreso</w:t>
        </w:r>
      </w:ins>
    </w:p>
    <w:p w14:paraId="39D07FCE" w14:textId="0EF6B4AD" w:rsidR="00D471ED" w:rsidRPr="00A50280" w:rsidRDefault="00D471ED" w:rsidP="00EB51B9">
      <w:pPr>
        <w:rPr>
          <w:lang w:val="x-none"/>
        </w:rPr>
      </w:pPr>
      <w:ins w:id="2977" w:author="AUTHOR">
        <w:r>
          <w:rPr>
            <w:noProof/>
            <w:lang w:eastAsia="en-US"/>
          </w:rPr>
          <mc:AlternateContent>
            <mc:Choice Requires="wps">
              <w:drawing>
                <wp:anchor distT="45720" distB="45720" distL="114300" distR="114300" simplePos="0" relativeHeight="251659264" behindDoc="0" locked="0" layoutInCell="1" allowOverlap="1" wp14:anchorId="783E36A7" wp14:editId="4C6D2CFB">
                  <wp:simplePos x="0" y="0"/>
                  <wp:positionH relativeFrom="margin">
                    <wp:posOffset>394970</wp:posOffset>
                  </wp:positionH>
                  <wp:positionV relativeFrom="paragraph">
                    <wp:posOffset>119380</wp:posOffset>
                  </wp:positionV>
                  <wp:extent cx="2314575" cy="14287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28750"/>
                          </a:xfrm>
                          <a:prstGeom prst="rect">
                            <a:avLst/>
                          </a:prstGeom>
                          <a:noFill/>
                          <a:ln w="9525">
                            <a:noFill/>
                            <a:miter lim="800000"/>
                            <a:headEnd/>
                            <a:tailEnd/>
                          </a:ln>
                        </wps:spPr>
                        <wps:txbx>
                          <w:txbxContent>
                            <w:p w14:paraId="5BC46E77" w14:textId="77777777" w:rsidR="00A37025" w:rsidRPr="00467FFD" w:rsidRDefault="00A37025" w:rsidP="00D471ED">
                              <w:pPr>
                                <w:spacing w:line="192" w:lineRule="auto"/>
                                <w:rPr>
                                  <w:ins w:id="2978" w:author="AUTHOR"/>
                                  <w:lang w:val="es-ES_tradnl"/>
                                  <w:rPrChange w:id="2979" w:author="AUTHOR">
                                    <w:rPr>
                                      <w:ins w:id="2980" w:author="AUTHOR"/>
                                      <w:sz w:val="44"/>
                                      <w:szCs w:val="44"/>
                                    </w:rPr>
                                  </w:rPrChange>
                                </w:rPr>
                              </w:pPr>
                              <w:ins w:id="2981" w:author="AUTHOR">
                                <w:r w:rsidRPr="00467FFD">
                                  <w:rPr>
                                    <w:b/>
                                    <w:bCs/>
                                    <w:lang w:val="es-ES_tradnl"/>
                                    <w:rPrChange w:id="2982" w:author="AUTHOR">
                                      <w:rPr>
                                        <w:rFonts w:asciiTheme="minorHAnsi" w:hAnsiTheme="minorHAnsi" w:cstheme="minorHAnsi"/>
                                        <w:b/>
                                        <w:sz w:val="24"/>
                                        <w:szCs w:val="24"/>
                                        <w:lang w:val="es-ES"/>
                                      </w:rPr>
                                    </w:rPrChange>
                                  </w:rPr>
                                  <w:t xml:space="preserve">Presione </w:t>
                                </w:r>
                                <w:r w:rsidRPr="00467FFD">
                                  <w:rPr>
                                    <w:lang w:val="es-ES_tradnl"/>
                                    <w:rPrChange w:id="2983" w:author="AUTHOR">
                                      <w:rPr>
                                        <w:rFonts w:asciiTheme="minorHAnsi" w:hAnsiTheme="minorHAnsi" w:cstheme="minorHAnsi"/>
                                        <w:b/>
                                        <w:sz w:val="24"/>
                                        <w:szCs w:val="24"/>
                                        <w:lang w:val="es-ES"/>
                                      </w:rPr>
                                    </w:rPrChange>
                                  </w:rPr>
                                  <w:t xml:space="preserve">contra la piel para desbloquear. </w:t>
                                </w:r>
                                <w:r w:rsidRPr="00467FFD">
                                  <w:rPr>
                                    <w:b/>
                                    <w:bCs/>
                                    <w:lang w:val="es-ES_tradnl"/>
                                    <w:rPrChange w:id="2984" w:author="AUTHOR">
                                      <w:rPr>
                                        <w:rFonts w:asciiTheme="minorHAnsi" w:hAnsiTheme="minorHAnsi" w:cstheme="minorHAnsi"/>
                                        <w:b/>
                                        <w:sz w:val="24"/>
                                        <w:szCs w:val="24"/>
                                        <w:lang w:val="es-ES"/>
                                      </w:rPr>
                                    </w:rPrChange>
                                  </w:rPr>
                                  <w:t xml:space="preserve">No presione </w:t>
                                </w:r>
                                <w:r w:rsidRPr="00467FFD">
                                  <w:rPr>
                                    <w:lang w:val="es-ES_tradnl"/>
                                    <w:rPrChange w:id="2985" w:author="AUTHOR">
                                      <w:rPr>
                                        <w:rFonts w:asciiTheme="minorHAnsi" w:hAnsiTheme="minorHAnsi" w:cstheme="minorHAnsi"/>
                                        <w:b/>
                                        <w:sz w:val="24"/>
                                        <w:szCs w:val="24"/>
                                        <w:lang w:val="es-ES"/>
                                      </w:rPr>
                                    </w:rPrChange>
                                  </w:rPr>
                                  <w:t xml:space="preserve">el botón verde todavía. </w:t>
                                </w:r>
                              </w:ins>
                            </w:p>
                            <w:p w14:paraId="087C2E09" w14:textId="789954D5" w:rsidR="00A37025" w:rsidRPr="00467FFD" w:rsidRDefault="00A37025" w:rsidP="00D471ED">
                              <w:pPr>
                                <w:spacing w:line="192" w:lineRule="auto"/>
                                <w:rPr>
                                  <w:lang w:val="es-ES_tradnl"/>
                                  <w:rPrChange w:id="2986" w:author="AUTHOR">
                                    <w:rPr>
                                      <w:sz w:val="44"/>
                                      <w:szCs w:val="44"/>
                                    </w:rPr>
                                  </w:rPrChan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E36A7" id="_x0000_t202" coordsize="21600,21600" o:spt="202" path="m,l,21600r21600,l21600,xe">
                  <v:stroke joinstyle="miter"/>
                  <v:path gradientshapeok="t" o:connecttype="rect"/>
                </v:shapetype>
                <v:shape id="Text Box 2" o:spid="_x0000_s1026" type="#_x0000_t202" style="position:absolute;margin-left:31.1pt;margin-top:9.4pt;width:182.25pt;height:1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" filled="f" stroked="f">
                  <v:textbox>
                    <w:txbxContent>
                      <w:p w14:paraId="5BC46E77" w14:textId="77777777" w:rsidR="00A37025" w:rsidRPr="00467FFD" w:rsidRDefault="00A37025" w:rsidP="00D471ED">
                        <w:pPr>
                          <w:spacing w:line="192" w:lineRule="auto"/>
                          <w:rPr>
                            <w:ins w:id="2987" w:author="AUTHOR"/>
                            <w:lang w:val="es-ES_tradnl"/>
                            <w:rPrChange w:id="2988" w:author="AUTHOR">
                              <w:rPr>
                                <w:ins w:id="2989" w:author="AUTHOR"/>
                                <w:sz w:val="44"/>
                                <w:szCs w:val="44"/>
                              </w:rPr>
                            </w:rPrChange>
                          </w:rPr>
                        </w:pPr>
                        <w:ins w:id="2990" w:author="AUTHOR">
                          <w:r w:rsidRPr="00467FFD">
                            <w:rPr>
                              <w:b/>
                              <w:bCs/>
                              <w:lang w:val="es-ES_tradnl"/>
                              <w:rPrChange w:id="2991" w:author="AUTHOR">
                                <w:rPr>
                                  <w:rFonts w:asciiTheme="minorHAnsi" w:hAnsiTheme="minorHAnsi" w:cstheme="minorHAnsi"/>
                                  <w:b/>
                                  <w:sz w:val="24"/>
                                  <w:szCs w:val="24"/>
                                  <w:lang w:val="es-ES"/>
                                </w:rPr>
                              </w:rPrChange>
                            </w:rPr>
                            <w:t xml:space="preserve">Presione </w:t>
                          </w:r>
                          <w:r w:rsidRPr="00467FFD">
                            <w:rPr>
                              <w:lang w:val="es-ES_tradnl"/>
                              <w:rPrChange w:id="2992" w:author="AUTHOR">
                                <w:rPr>
                                  <w:rFonts w:asciiTheme="minorHAnsi" w:hAnsiTheme="minorHAnsi" w:cstheme="minorHAnsi"/>
                                  <w:b/>
                                  <w:sz w:val="24"/>
                                  <w:szCs w:val="24"/>
                                  <w:lang w:val="es-ES"/>
                                </w:rPr>
                              </w:rPrChange>
                            </w:rPr>
                            <w:t xml:space="preserve">contra la piel para desbloquear. </w:t>
                          </w:r>
                          <w:r w:rsidRPr="00467FFD">
                            <w:rPr>
                              <w:b/>
                              <w:bCs/>
                              <w:lang w:val="es-ES_tradnl"/>
                              <w:rPrChange w:id="2993" w:author="AUTHOR">
                                <w:rPr>
                                  <w:rFonts w:asciiTheme="minorHAnsi" w:hAnsiTheme="minorHAnsi" w:cstheme="minorHAnsi"/>
                                  <w:b/>
                                  <w:sz w:val="24"/>
                                  <w:szCs w:val="24"/>
                                  <w:lang w:val="es-ES"/>
                                </w:rPr>
                              </w:rPrChange>
                            </w:rPr>
                            <w:t xml:space="preserve">No presione </w:t>
                          </w:r>
                          <w:r w:rsidRPr="00467FFD">
                            <w:rPr>
                              <w:lang w:val="es-ES_tradnl"/>
                              <w:rPrChange w:id="2994" w:author="AUTHOR">
                                <w:rPr>
                                  <w:rFonts w:asciiTheme="minorHAnsi" w:hAnsiTheme="minorHAnsi" w:cstheme="minorHAnsi"/>
                                  <w:b/>
                                  <w:sz w:val="24"/>
                                  <w:szCs w:val="24"/>
                                  <w:lang w:val="es-ES"/>
                                </w:rPr>
                              </w:rPrChange>
                            </w:rPr>
                            <w:t xml:space="preserve">el botón verde todavía. </w:t>
                          </w:r>
                        </w:ins>
                      </w:p>
                      <w:p w14:paraId="087C2E09" w14:textId="789954D5" w:rsidR="00A37025" w:rsidRPr="00467FFD" w:rsidRDefault="00A37025" w:rsidP="00D471ED">
                        <w:pPr>
                          <w:spacing w:line="192" w:lineRule="auto"/>
                          <w:rPr>
                            <w:lang w:val="es-ES_tradnl"/>
                            <w:rPrChange w:id="2995" w:author="AUTHOR">
                              <w:rPr>
                                <w:sz w:val="44"/>
                                <w:szCs w:val="44"/>
                              </w:rPr>
                            </w:rPrChange>
                          </w:rPr>
                        </w:pPr>
                      </w:p>
                    </w:txbxContent>
                  </v:textbox>
                  <w10:wrap anchorx="margin"/>
                </v:shape>
              </w:pict>
            </mc:Fallback>
          </mc:AlternateContent>
        </w:r>
        <w:r>
          <w:rPr>
            <w:noProof/>
            <w:lang w:eastAsia="en-US"/>
          </w:rPr>
          <mc:AlternateContent>
            <mc:Choice Requires="wps">
              <w:drawing>
                <wp:anchor distT="45720" distB="45720" distL="114300" distR="114300" simplePos="0" relativeHeight="251663360" behindDoc="0" locked="0" layoutInCell="1" allowOverlap="1" wp14:anchorId="53F632B4" wp14:editId="6F4FA07C">
                  <wp:simplePos x="0" y="0"/>
                  <wp:positionH relativeFrom="margin">
                    <wp:posOffset>-43180</wp:posOffset>
                  </wp:positionH>
                  <wp:positionV relativeFrom="paragraph">
                    <wp:posOffset>4500880</wp:posOffset>
                  </wp:positionV>
                  <wp:extent cx="2343150" cy="590550"/>
                  <wp:effectExtent l="0" t="0" r="0" b="0"/>
                  <wp:wrapNone/>
                  <wp:docPr id="257259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590550"/>
                          </a:xfrm>
                          <a:prstGeom prst="rect">
                            <a:avLst/>
                          </a:prstGeom>
                          <a:noFill/>
                          <a:ln w="9525">
                            <a:noFill/>
                            <a:miter lim="800000"/>
                            <a:headEnd/>
                            <a:tailEnd/>
                          </a:ln>
                        </wps:spPr>
                        <wps:txbx>
                          <w:txbxContent>
                            <w:p w14:paraId="0CAF9995" w14:textId="02AC8D89" w:rsidR="00A37025" w:rsidRPr="00467FFD" w:rsidRDefault="00A37025" w:rsidP="00D471ED">
                              <w:pPr>
                                <w:spacing w:line="192" w:lineRule="auto"/>
                                <w:rPr>
                                  <w:lang w:val="es-ES_tradnl"/>
                                  <w:rPrChange w:id="2996" w:author="AUTHOR">
                                    <w:rPr>
                                      <w:sz w:val="44"/>
                                      <w:szCs w:val="44"/>
                                    </w:rPr>
                                  </w:rPrChange>
                                </w:rPr>
                              </w:pPr>
                              <w:ins w:id="2997" w:author="AUTHOR">
                                <w:r w:rsidRPr="00467FFD">
                                  <w:rPr>
                                    <w:lang w:val="es-ES_tradnl"/>
                                    <w:rPrChange w:id="2998" w:author="AUTHOR">
                                      <w:rPr>
                                        <w:rFonts w:asciiTheme="minorHAnsi" w:hAnsiTheme="minorHAnsi" w:cstheme="minorHAnsi"/>
                                        <w:b/>
                                        <w:sz w:val="24"/>
                                        <w:szCs w:val="24"/>
                                      </w:rPr>
                                    </w:rPrChange>
                                  </w:rPr>
                                  <w:t>Consulte las instrucciones de uso</w:t>
                                </w:r>
                              </w:ins>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3F632B4" id="_x0000_s1027" type="#_x0000_t202" style="position:absolute;margin-left:-3.4pt;margin-top:354.4pt;width:184.5pt;height:4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" filled="f" stroked="f">
                  <v:textbox>
                    <w:txbxContent>
                      <w:p w14:paraId="0CAF9995" w14:textId="02AC8D89" w:rsidR="00A37025" w:rsidRPr="00467FFD" w:rsidRDefault="00A37025" w:rsidP="00D471ED">
                        <w:pPr>
                          <w:spacing w:line="192" w:lineRule="auto"/>
                          <w:rPr>
                            <w:lang w:val="es-ES_tradnl"/>
                            <w:rPrChange w:id="2999" w:author="AUTHOR">
                              <w:rPr>
                                <w:sz w:val="44"/>
                                <w:szCs w:val="44"/>
                              </w:rPr>
                            </w:rPrChange>
                          </w:rPr>
                        </w:pPr>
                        <w:ins w:id="3000" w:author="AUTHOR">
                          <w:r w:rsidRPr="00467FFD">
                            <w:rPr>
                              <w:lang w:val="es-ES_tradnl"/>
                              <w:rPrChange w:id="3001" w:author="AUTHOR">
                                <w:rPr>
                                  <w:rFonts w:asciiTheme="minorHAnsi" w:hAnsiTheme="minorHAnsi" w:cstheme="minorHAnsi"/>
                                  <w:b/>
                                  <w:sz w:val="24"/>
                                  <w:szCs w:val="24"/>
                                </w:rPr>
                              </w:rPrChange>
                            </w:rPr>
                            <w:t>Consulte las instrucciones de uso</w:t>
                          </w:r>
                        </w:ins>
                      </w:p>
                    </w:txbxContent>
                  </v:textbox>
                  <w10:wrap anchorx="margin"/>
                </v:shape>
              </w:pict>
            </mc:Fallback>
          </mc:AlternateContent>
        </w:r>
        <w:r>
          <w:rPr>
            <w:noProof/>
            <w:lang w:eastAsia="en-US"/>
          </w:rPr>
          <mc:AlternateContent>
            <mc:Choice Requires="wps">
              <w:drawing>
                <wp:anchor distT="45720" distB="45720" distL="114300" distR="114300" simplePos="0" relativeHeight="251661312" behindDoc="0" locked="0" layoutInCell="1" allowOverlap="1" wp14:anchorId="26A29EE7" wp14:editId="3CAE4F51">
                  <wp:simplePos x="0" y="0"/>
                  <wp:positionH relativeFrom="margin">
                    <wp:posOffset>461645</wp:posOffset>
                  </wp:positionH>
                  <wp:positionV relativeFrom="paragraph">
                    <wp:posOffset>2357755</wp:posOffset>
                  </wp:positionV>
                  <wp:extent cx="1743075" cy="590550"/>
                  <wp:effectExtent l="0" t="0" r="0" b="0"/>
                  <wp:wrapNone/>
                  <wp:docPr id="1848066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590550"/>
                          </a:xfrm>
                          <a:prstGeom prst="rect">
                            <a:avLst/>
                          </a:prstGeom>
                          <a:noFill/>
                          <a:ln w="9525">
                            <a:noFill/>
                            <a:miter lim="800000"/>
                            <a:headEnd/>
                            <a:tailEnd/>
                          </a:ln>
                        </wps:spPr>
                        <wps:txbx>
                          <w:txbxContent>
                            <w:p w14:paraId="5C2149F5" w14:textId="4961EEB4" w:rsidR="00A37025" w:rsidRPr="00467FFD" w:rsidRDefault="00A37025" w:rsidP="00D471ED">
                              <w:pPr>
                                <w:spacing w:line="192" w:lineRule="auto"/>
                                <w:rPr>
                                  <w:ins w:id="3002" w:author="AUTHOR"/>
                                  <w:lang w:val="es-ES_tradnl"/>
                                  <w:rPrChange w:id="3003" w:author="AUTHOR">
                                    <w:rPr>
                                      <w:ins w:id="3004" w:author="AUTHOR"/>
                                      <w:rFonts w:asciiTheme="minorHAnsi" w:hAnsiTheme="minorHAnsi" w:cstheme="minorHAnsi"/>
                                      <w:bCs/>
                                      <w:sz w:val="24"/>
                                      <w:szCs w:val="24"/>
                                      <w:lang w:val="es-ES"/>
                                    </w:rPr>
                                  </w:rPrChange>
                                </w:rPr>
                              </w:pPr>
                              <w:ins w:id="3005" w:author="AUTHOR">
                                <w:r w:rsidRPr="00467FFD">
                                  <w:rPr>
                                    <w:b/>
                                    <w:bCs/>
                                    <w:lang w:val="es-ES_tradnl"/>
                                    <w:rPrChange w:id="3006" w:author="AUTHOR">
                                      <w:rPr>
                                        <w:rFonts w:asciiTheme="minorHAnsi" w:hAnsiTheme="minorHAnsi" w:cstheme="minorHAnsi"/>
                                        <w:b/>
                                        <w:sz w:val="24"/>
                                        <w:szCs w:val="24"/>
                                        <w:lang w:val="es-ES"/>
                                      </w:rPr>
                                    </w:rPrChange>
                                  </w:rPr>
                                  <w:t>A continuación,</w:t>
                                </w:r>
                                <w:r w:rsidRPr="00467FFD">
                                  <w:rPr>
                                    <w:lang w:val="es-ES_tradnl"/>
                                    <w:rPrChange w:id="3007" w:author="AUTHOR">
                                      <w:rPr>
                                        <w:rFonts w:asciiTheme="minorHAnsi" w:hAnsiTheme="minorHAnsi" w:cstheme="minorHAnsi"/>
                                        <w:b/>
                                        <w:sz w:val="24"/>
                                        <w:szCs w:val="24"/>
                                        <w:lang w:val="es-ES"/>
                                      </w:rPr>
                                    </w:rPrChange>
                                  </w:rPr>
                                  <w:t xml:space="preserve"> pulse el botón verde para inyectar.</w:t>
                                </w:r>
                              </w:ins>
                            </w:p>
                            <w:p w14:paraId="486ED28A" w14:textId="0833724D" w:rsidR="00A37025" w:rsidRPr="00467FFD" w:rsidRDefault="00A37025" w:rsidP="00D471ED">
                              <w:pPr>
                                <w:spacing w:line="192" w:lineRule="auto"/>
                                <w:rPr>
                                  <w:rFonts w:asciiTheme="minorHAnsi" w:hAnsiTheme="minorHAnsi" w:cstheme="minorHAnsi"/>
                                  <w:sz w:val="24"/>
                                  <w:szCs w:val="24"/>
                                  <w:lang w:val="es-ES"/>
                                  <w:rPrChange w:id="3008" w:author="AUTHOR">
                                    <w:rPr>
                                      <w:rFonts w:asciiTheme="minorHAnsi" w:hAnsiTheme="minorHAnsi" w:cstheme="minorHAnsi"/>
                                      <w:sz w:val="24"/>
                                      <w:szCs w:val="24"/>
                                    </w:rPr>
                                  </w:rPrChange>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6A29EE7" id="_x0000_s1028" type="#_x0000_t202" style="position:absolute;margin-left:36.35pt;margin-top:185.65pt;width:137.25pt;height:4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" filled="f" stroked="f">
                  <v:textbox>
                    <w:txbxContent>
                      <w:p w14:paraId="5C2149F5" w14:textId="4961EEB4" w:rsidR="00A37025" w:rsidRPr="00467FFD" w:rsidRDefault="00A37025" w:rsidP="00D471ED">
                        <w:pPr>
                          <w:spacing w:line="192" w:lineRule="auto"/>
                          <w:rPr>
                            <w:ins w:id="3009" w:author="AUTHOR"/>
                            <w:lang w:val="es-ES_tradnl"/>
                            <w:rPrChange w:id="3010" w:author="AUTHOR">
                              <w:rPr>
                                <w:ins w:id="3011" w:author="AUTHOR"/>
                                <w:rFonts w:asciiTheme="minorHAnsi" w:hAnsiTheme="minorHAnsi" w:cstheme="minorHAnsi"/>
                                <w:bCs/>
                                <w:sz w:val="24"/>
                                <w:szCs w:val="24"/>
                                <w:lang w:val="es-ES"/>
                              </w:rPr>
                            </w:rPrChange>
                          </w:rPr>
                        </w:pPr>
                        <w:ins w:id="3012" w:author="AUTHOR">
                          <w:r w:rsidRPr="00467FFD">
                            <w:rPr>
                              <w:b/>
                              <w:bCs/>
                              <w:lang w:val="es-ES_tradnl"/>
                              <w:rPrChange w:id="3013" w:author="AUTHOR">
                                <w:rPr>
                                  <w:rFonts w:asciiTheme="minorHAnsi" w:hAnsiTheme="minorHAnsi" w:cstheme="minorHAnsi"/>
                                  <w:b/>
                                  <w:sz w:val="24"/>
                                  <w:szCs w:val="24"/>
                                  <w:lang w:val="es-ES"/>
                                </w:rPr>
                              </w:rPrChange>
                            </w:rPr>
                            <w:t>A continuación,</w:t>
                          </w:r>
                          <w:r w:rsidRPr="00467FFD">
                            <w:rPr>
                              <w:lang w:val="es-ES_tradnl"/>
                              <w:rPrChange w:id="3014" w:author="AUTHOR">
                                <w:rPr>
                                  <w:rFonts w:asciiTheme="minorHAnsi" w:hAnsiTheme="minorHAnsi" w:cstheme="minorHAnsi"/>
                                  <w:b/>
                                  <w:sz w:val="24"/>
                                  <w:szCs w:val="24"/>
                                  <w:lang w:val="es-ES"/>
                                </w:rPr>
                              </w:rPrChange>
                            </w:rPr>
                            <w:t xml:space="preserve"> pulse el botón verde para inyectar.</w:t>
                          </w:r>
                        </w:ins>
                      </w:p>
                      <w:p w14:paraId="486ED28A" w14:textId="0833724D" w:rsidR="00A37025" w:rsidRPr="00467FFD" w:rsidRDefault="00A37025" w:rsidP="00D471ED">
                        <w:pPr>
                          <w:spacing w:line="192" w:lineRule="auto"/>
                          <w:rPr>
                            <w:rFonts w:asciiTheme="minorHAnsi" w:hAnsiTheme="minorHAnsi" w:cstheme="minorHAnsi"/>
                            <w:sz w:val="24"/>
                            <w:szCs w:val="24"/>
                            <w:lang w:val="es-ES"/>
                            <w:rPrChange w:id="3015" w:author="AUTHOR">
                              <w:rPr>
                                <w:rFonts w:asciiTheme="minorHAnsi" w:hAnsiTheme="minorHAnsi" w:cstheme="minorHAnsi"/>
                                <w:sz w:val="24"/>
                                <w:szCs w:val="24"/>
                              </w:rPr>
                            </w:rPrChange>
                          </w:rPr>
                        </w:pPr>
                      </w:p>
                    </w:txbxContent>
                  </v:textbox>
                  <w10:wrap anchorx="margin"/>
                </v:shape>
              </w:pict>
            </mc:Fallback>
          </mc:AlternateContent>
        </w:r>
        <w:r>
          <w:rPr>
            <w:noProof/>
            <w:lang w:eastAsia="en-US"/>
          </w:rPr>
          <w:drawing>
            <wp:inline distT="0" distB="0" distL="0" distR="0" wp14:anchorId="7B38B29C" wp14:editId="10B1B787">
              <wp:extent cx="2295525" cy="4972160"/>
              <wp:effectExtent l="0" t="0" r="0" b="0"/>
              <wp:docPr id="1550659247" name="Picture 1550659247" descr="A diagram of a hand holding a k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659247" name="Picture 1550659247" descr="A diagram of a hand holding a key&#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302853" cy="4988033"/>
                      </a:xfrm>
                      <a:prstGeom prst="rect">
                        <a:avLst/>
                      </a:prstGeom>
                    </pic:spPr>
                  </pic:pic>
                </a:graphicData>
              </a:graphic>
            </wp:inline>
          </w:drawing>
        </w:r>
      </w:ins>
    </w:p>
    <w:sectPr w:rsidR="00D471ED" w:rsidRPr="00A50280" w:rsidSect="0030028C">
      <w:footerReference w:type="default" r:id="rId35"/>
      <w:footerReference w:type="first" r:id="rId36"/>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5E1E6D" w14:textId="77777777" w:rsidR="00A37025" w:rsidRDefault="00A37025">
      <w:r>
        <w:separator/>
      </w:r>
    </w:p>
  </w:endnote>
  <w:endnote w:type="continuationSeparator" w:id="0">
    <w:p w14:paraId="7A092890" w14:textId="77777777" w:rsidR="00A37025" w:rsidRDefault="00A370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PMingLiU">
    <w:altName w:val="Microsoft JhengHei"/>
    <w:panose1 w:val="02010601000101010101"/>
    <w:charset w:val="88"/>
    <w:family w:val="roman"/>
    <w:pitch w:val="variable"/>
    <w:sig w:usb0="00000000"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
    <w:panose1 w:val="02040503050201020203"/>
    <w:charset w:val="00"/>
    <w:family w:val="roman"/>
    <w:pitch w:val="variable"/>
    <w:sig w:usb0="E00002AF" w:usb1="5000E07B" w:usb2="00000000" w:usb3="00000000" w:csb0="0000019F" w:csb1="00000000"/>
  </w:font>
  <w:font w:name="TimesNewRomanPSMT">
    <w:altName w:val="Times New Roman"/>
    <w:panose1 w:val="00000000000000000000"/>
    <w:charset w:val="00"/>
    <w:family w:val="roman"/>
    <w:notTrueType/>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 w:name="Minion-Regular">
    <w:altName w:val="Cambria"/>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EDACC" w14:textId="6541B693" w:rsidR="00A37025" w:rsidRDefault="00A37025">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sidR="00AB3513">
      <w:rPr>
        <w:rStyle w:val="PageNumber"/>
      </w:rPr>
      <w:t>20</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BC04C" w14:textId="77777777" w:rsidR="00A37025" w:rsidRDefault="00A37025">
    <w:pPr>
      <w:pStyle w:val="Footer"/>
      <w:tabs>
        <w:tab w:val="right" w:pos="8931"/>
      </w:tabs>
      <w:ind w:right="96"/>
      <w:jc w:val="center"/>
    </w:pPr>
    <w:r>
      <w:fldChar w:fldCharType="begin"/>
    </w:r>
    <w:r>
      <w:instrText xml:space="preserve"> EQ </w:instrText>
    </w:r>
    <w:r>
      <w:fldChar w:fldCharType="end"/>
    </w:r>
    <w:r>
      <w:rPr>
        <w:rStyle w:val="PageNumber"/>
      </w:rPr>
      <w:fldChar w:fldCharType="begin"/>
    </w:r>
    <w:r>
      <w:rPr>
        <w:rStyle w:val="PageNumber"/>
      </w:rPr>
      <w:instrText xml:space="preserve">PAGE  </w:instrText>
    </w:r>
    <w:r>
      <w:rPr>
        <w:rStyle w:val="PageNumber"/>
      </w:rPr>
      <w:fldChar w:fldCharType="separate"/>
    </w:r>
    <w:r>
      <w:rPr>
        <w:rStyle w:val="PageNumber"/>
      </w:rPr>
      <w:t>85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2B576" w14:textId="77777777" w:rsidR="00A37025" w:rsidRDefault="00A37025">
      <w:r>
        <w:separator/>
      </w:r>
    </w:p>
  </w:footnote>
  <w:footnote w:type="continuationSeparator" w:id="0">
    <w:p w14:paraId="70799891" w14:textId="77777777" w:rsidR="00A37025" w:rsidRDefault="00A370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666B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F2415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E202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301AF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0689F0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D78AB5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DE8C80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1F2B6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65A7A6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17C0D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AE3E79"/>
    <w:multiLevelType w:val="hybridMultilevel"/>
    <w:tmpl w:val="BE66F574"/>
    <w:lvl w:ilvl="0" w:tplc="0C0A0003">
      <w:start w:val="1"/>
      <w:numFmt w:val="bullet"/>
      <w:lvlText w:val="o"/>
      <w:lvlJc w:val="left"/>
      <w:pPr>
        <w:ind w:left="1275" w:hanging="360"/>
      </w:pPr>
      <w:rPr>
        <w:rFonts w:ascii="Courier New" w:hAnsi="Courier New" w:cs="Courier New"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12" w15:restartNumberingAfterBreak="0">
    <w:nsid w:val="00B972ED"/>
    <w:multiLevelType w:val="hybridMultilevel"/>
    <w:tmpl w:val="4F7A5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1210AF2"/>
    <w:multiLevelType w:val="hybridMultilevel"/>
    <w:tmpl w:val="99828BE0"/>
    <w:lvl w:ilvl="0" w:tplc="0C0A0001">
      <w:start w:val="1"/>
      <w:numFmt w:val="bullet"/>
      <w:lvlText w:val=""/>
      <w:lvlJc w:val="left"/>
      <w:pPr>
        <w:tabs>
          <w:tab w:val="num" w:pos="360"/>
        </w:tabs>
        <w:ind w:left="360" w:hanging="360"/>
      </w:pPr>
      <w:rPr>
        <w:rFonts w:ascii="Symbol" w:hAnsi="Symbol" w:hint="default"/>
      </w:rPr>
    </w:lvl>
    <w:lvl w:ilvl="1" w:tplc="5C8E31AE">
      <w:start w:val="2"/>
      <w:numFmt w:val="bullet"/>
      <w:lvlText w:val="-"/>
      <w:lvlJc w:val="left"/>
      <w:pPr>
        <w:tabs>
          <w:tab w:val="num" w:pos="1080"/>
        </w:tabs>
        <w:ind w:left="1080" w:hanging="360"/>
      </w:pPr>
      <w:rPr>
        <w:rFonts w:ascii="Times New Roman" w:eastAsia="Times New Roman" w:hAnsi="Times New Roman" w:cs="Times New Roman"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2F51D35"/>
    <w:multiLevelType w:val="hybridMultilevel"/>
    <w:tmpl w:val="7936A2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36C7363"/>
    <w:multiLevelType w:val="hybridMultilevel"/>
    <w:tmpl w:val="260AA572"/>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01">
      <w:start w:val="1"/>
      <w:numFmt w:val="bullet"/>
      <w:lvlText w:val=""/>
      <w:lvlJc w:val="left"/>
      <w:pPr>
        <w:ind w:left="1800" w:hanging="360"/>
      </w:pPr>
      <w:rPr>
        <w:rFonts w:ascii="Symbol" w:hAnsi="Symbol"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15:restartNumberingAfterBreak="0">
    <w:nsid w:val="03D53194"/>
    <w:multiLevelType w:val="hybridMultilevel"/>
    <w:tmpl w:val="95F67A7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04AD0727"/>
    <w:multiLevelType w:val="hybridMultilevel"/>
    <w:tmpl w:val="3D323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4B134BC"/>
    <w:multiLevelType w:val="hybridMultilevel"/>
    <w:tmpl w:val="88FA7B5C"/>
    <w:lvl w:ilvl="0" w:tplc="0C0A0001">
      <w:start w:val="1"/>
      <w:numFmt w:val="bullet"/>
      <w:lvlText w:val=""/>
      <w:lvlJc w:val="left"/>
      <w:pPr>
        <w:ind w:left="107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9" w15:restartNumberingAfterBreak="0">
    <w:nsid w:val="050B1748"/>
    <w:multiLevelType w:val="hybridMultilevel"/>
    <w:tmpl w:val="A726E2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70E4463"/>
    <w:multiLevelType w:val="hybridMultilevel"/>
    <w:tmpl w:val="1DD274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7126D43"/>
    <w:multiLevelType w:val="hybridMultilevel"/>
    <w:tmpl w:val="E0A6F4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A4E000A"/>
    <w:multiLevelType w:val="hybridMultilevel"/>
    <w:tmpl w:val="59B85ABC"/>
    <w:lvl w:ilvl="0" w:tplc="77D8101A">
      <w:start w:val="3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BDA5000"/>
    <w:multiLevelType w:val="hybridMultilevel"/>
    <w:tmpl w:val="A0509874"/>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25" w15:restartNumberingAfterBreak="0">
    <w:nsid w:val="0D12183E"/>
    <w:multiLevelType w:val="hybridMultilevel"/>
    <w:tmpl w:val="863047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D44134"/>
    <w:multiLevelType w:val="hybridMultilevel"/>
    <w:tmpl w:val="6BA8664E"/>
    <w:lvl w:ilvl="0" w:tplc="0C0A0001">
      <w:start w:val="1"/>
      <w:numFmt w:val="bullet"/>
      <w:lvlText w:val=""/>
      <w:lvlJc w:val="left"/>
      <w:pPr>
        <w:ind w:left="1483" w:hanging="360"/>
      </w:pPr>
      <w:rPr>
        <w:rFonts w:ascii="Symbol" w:hAnsi="Symbol" w:hint="default"/>
      </w:rPr>
    </w:lvl>
    <w:lvl w:ilvl="1" w:tplc="0C0A0003" w:tentative="1">
      <w:start w:val="1"/>
      <w:numFmt w:val="bullet"/>
      <w:lvlText w:val="o"/>
      <w:lvlJc w:val="left"/>
      <w:pPr>
        <w:ind w:left="2203" w:hanging="360"/>
      </w:pPr>
      <w:rPr>
        <w:rFonts w:ascii="Courier New" w:hAnsi="Courier New" w:cs="Courier New" w:hint="default"/>
      </w:rPr>
    </w:lvl>
    <w:lvl w:ilvl="2" w:tplc="0C0A0005" w:tentative="1">
      <w:start w:val="1"/>
      <w:numFmt w:val="bullet"/>
      <w:lvlText w:val=""/>
      <w:lvlJc w:val="left"/>
      <w:pPr>
        <w:ind w:left="2923" w:hanging="360"/>
      </w:pPr>
      <w:rPr>
        <w:rFonts w:ascii="Wingdings" w:hAnsi="Wingdings" w:hint="default"/>
      </w:rPr>
    </w:lvl>
    <w:lvl w:ilvl="3" w:tplc="0C0A0001" w:tentative="1">
      <w:start w:val="1"/>
      <w:numFmt w:val="bullet"/>
      <w:lvlText w:val=""/>
      <w:lvlJc w:val="left"/>
      <w:pPr>
        <w:ind w:left="3643" w:hanging="360"/>
      </w:pPr>
      <w:rPr>
        <w:rFonts w:ascii="Symbol" w:hAnsi="Symbol" w:hint="default"/>
      </w:rPr>
    </w:lvl>
    <w:lvl w:ilvl="4" w:tplc="0C0A0003" w:tentative="1">
      <w:start w:val="1"/>
      <w:numFmt w:val="bullet"/>
      <w:lvlText w:val="o"/>
      <w:lvlJc w:val="left"/>
      <w:pPr>
        <w:ind w:left="4363" w:hanging="360"/>
      </w:pPr>
      <w:rPr>
        <w:rFonts w:ascii="Courier New" w:hAnsi="Courier New" w:cs="Courier New" w:hint="default"/>
      </w:rPr>
    </w:lvl>
    <w:lvl w:ilvl="5" w:tplc="0C0A0005" w:tentative="1">
      <w:start w:val="1"/>
      <w:numFmt w:val="bullet"/>
      <w:lvlText w:val=""/>
      <w:lvlJc w:val="left"/>
      <w:pPr>
        <w:ind w:left="5083" w:hanging="360"/>
      </w:pPr>
      <w:rPr>
        <w:rFonts w:ascii="Wingdings" w:hAnsi="Wingdings" w:hint="default"/>
      </w:rPr>
    </w:lvl>
    <w:lvl w:ilvl="6" w:tplc="0C0A0001" w:tentative="1">
      <w:start w:val="1"/>
      <w:numFmt w:val="bullet"/>
      <w:lvlText w:val=""/>
      <w:lvlJc w:val="left"/>
      <w:pPr>
        <w:ind w:left="5803" w:hanging="360"/>
      </w:pPr>
      <w:rPr>
        <w:rFonts w:ascii="Symbol" w:hAnsi="Symbol" w:hint="default"/>
      </w:rPr>
    </w:lvl>
    <w:lvl w:ilvl="7" w:tplc="0C0A0003" w:tentative="1">
      <w:start w:val="1"/>
      <w:numFmt w:val="bullet"/>
      <w:lvlText w:val="o"/>
      <w:lvlJc w:val="left"/>
      <w:pPr>
        <w:ind w:left="6523" w:hanging="360"/>
      </w:pPr>
      <w:rPr>
        <w:rFonts w:ascii="Courier New" w:hAnsi="Courier New" w:cs="Courier New" w:hint="default"/>
      </w:rPr>
    </w:lvl>
    <w:lvl w:ilvl="8" w:tplc="0C0A0005" w:tentative="1">
      <w:start w:val="1"/>
      <w:numFmt w:val="bullet"/>
      <w:lvlText w:val=""/>
      <w:lvlJc w:val="left"/>
      <w:pPr>
        <w:ind w:left="7243" w:hanging="360"/>
      </w:pPr>
      <w:rPr>
        <w:rFonts w:ascii="Wingdings" w:hAnsi="Wingdings" w:hint="default"/>
      </w:rPr>
    </w:lvl>
  </w:abstractNum>
  <w:abstractNum w:abstractNumId="27" w15:restartNumberingAfterBreak="0">
    <w:nsid w:val="0E0A4B75"/>
    <w:multiLevelType w:val="hybridMultilevel"/>
    <w:tmpl w:val="8D626A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118E3496"/>
    <w:multiLevelType w:val="hybridMultilevel"/>
    <w:tmpl w:val="522A74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1F64585"/>
    <w:multiLevelType w:val="hybridMultilevel"/>
    <w:tmpl w:val="A3321D02"/>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30" w15:restartNumberingAfterBreak="0">
    <w:nsid w:val="13DC1329"/>
    <w:multiLevelType w:val="hybridMultilevel"/>
    <w:tmpl w:val="5B5412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7A01823"/>
    <w:multiLevelType w:val="hybridMultilevel"/>
    <w:tmpl w:val="FD2056DA"/>
    <w:lvl w:ilvl="0" w:tplc="7B36608C">
      <w:numFmt w:val="bullet"/>
      <w:lvlText w:val="-"/>
      <w:lvlJc w:val="left"/>
      <w:pPr>
        <w:tabs>
          <w:tab w:val="num" w:pos="540"/>
        </w:tabs>
        <w:ind w:left="540" w:hanging="360"/>
      </w:pPr>
      <w:rPr>
        <w:rFonts w:ascii="Times New Roman" w:eastAsia="SimSun"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18315750"/>
    <w:multiLevelType w:val="hybridMultilevel"/>
    <w:tmpl w:val="9C76F9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8BA57E3"/>
    <w:multiLevelType w:val="hybridMultilevel"/>
    <w:tmpl w:val="D03ADC20"/>
    <w:lvl w:ilvl="0" w:tplc="BD4EF33E">
      <w:start w:val="17"/>
      <w:numFmt w:val="decimal"/>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4" w15:restartNumberingAfterBreak="0">
    <w:nsid w:val="19AE5AF1"/>
    <w:multiLevelType w:val="hybridMultilevel"/>
    <w:tmpl w:val="326225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BB112CC"/>
    <w:multiLevelType w:val="hybridMultilevel"/>
    <w:tmpl w:val="82D0DAF6"/>
    <w:lvl w:ilvl="0" w:tplc="0C0A0001">
      <w:start w:val="1"/>
      <w:numFmt w:val="bullet"/>
      <w:lvlText w:val=""/>
      <w:lvlJc w:val="left"/>
      <w:pPr>
        <w:ind w:left="1260" w:hanging="360"/>
      </w:pPr>
      <w:rPr>
        <w:rFonts w:ascii="Symbol" w:hAnsi="Symbol" w:hint="default"/>
      </w:rPr>
    </w:lvl>
    <w:lvl w:ilvl="1" w:tplc="0C0A0003" w:tentative="1">
      <w:start w:val="1"/>
      <w:numFmt w:val="bullet"/>
      <w:lvlText w:val="o"/>
      <w:lvlJc w:val="left"/>
      <w:pPr>
        <w:ind w:left="1980" w:hanging="360"/>
      </w:pPr>
      <w:rPr>
        <w:rFonts w:ascii="Courier New" w:hAnsi="Courier New" w:cs="Courier New" w:hint="default"/>
      </w:rPr>
    </w:lvl>
    <w:lvl w:ilvl="2" w:tplc="0C0A0005" w:tentative="1">
      <w:start w:val="1"/>
      <w:numFmt w:val="bullet"/>
      <w:lvlText w:val=""/>
      <w:lvlJc w:val="left"/>
      <w:pPr>
        <w:ind w:left="2700" w:hanging="360"/>
      </w:pPr>
      <w:rPr>
        <w:rFonts w:ascii="Wingdings" w:hAnsi="Wingdings" w:hint="default"/>
      </w:rPr>
    </w:lvl>
    <w:lvl w:ilvl="3" w:tplc="0C0A0001" w:tentative="1">
      <w:start w:val="1"/>
      <w:numFmt w:val="bullet"/>
      <w:lvlText w:val=""/>
      <w:lvlJc w:val="left"/>
      <w:pPr>
        <w:ind w:left="3420" w:hanging="360"/>
      </w:pPr>
      <w:rPr>
        <w:rFonts w:ascii="Symbol" w:hAnsi="Symbol" w:hint="default"/>
      </w:rPr>
    </w:lvl>
    <w:lvl w:ilvl="4" w:tplc="0C0A0003" w:tentative="1">
      <w:start w:val="1"/>
      <w:numFmt w:val="bullet"/>
      <w:lvlText w:val="o"/>
      <w:lvlJc w:val="left"/>
      <w:pPr>
        <w:ind w:left="4140" w:hanging="360"/>
      </w:pPr>
      <w:rPr>
        <w:rFonts w:ascii="Courier New" w:hAnsi="Courier New" w:cs="Courier New" w:hint="default"/>
      </w:rPr>
    </w:lvl>
    <w:lvl w:ilvl="5" w:tplc="0C0A0005" w:tentative="1">
      <w:start w:val="1"/>
      <w:numFmt w:val="bullet"/>
      <w:lvlText w:val=""/>
      <w:lvlJc w:val="left"/>
      <w:pPr>
        <w:ind w:left="4860" w:hanging="360"/>
      </w:pPr>
      <w:rPr>
        <w:rFonts w:ascii="Wingdings" w:hAnsi="Wingdings" w:hint="default"/>
      </w:rPr>
    </w:lvl>
    <w:lvl w:ilvl="6" w:tplc="0C0A0001" w:tentative="1">
      <w:start w:val="1"/>
      <w:numFmt w:val="bullet"/>
      <w:lvlText w:val=""/>
      <w:lvlJc w:val="left"/>
      <w:pPr>
        <w:ind w:left="5580" w:hanging="360"/>
      </w:pPr>
      <w:rPr>
        <w:rFonts w:ascii="Symbol" w:hAnsi="Symbol" w:hint="default"/>
      </w:rPr>
    </w:lvl>
    <w:lvl w:ilvl="7" w:tplc="0C0A0003" w:tentative="1">
      <w:start w:val="1"/>
      <w:numFmt w:val="bullet"/>
      <w:lvlText w:val="o"/>
      <w:lvlJc w:val="left"/>
      <w:pPr>
        <w:ind w:left="6300" w:hanging="360"/>
      </w:pPr>
      <w:rPr>
        <w:rFonts w:ascii="Courier New" w:hAnsi="Courier New" w:cs="Courier New" w:hint="default"/>
      </w:rPr>
    </w:lvl>
    <w:lvl w:ilvl="8" w:tplc="0C0A0005" w:tentative="1">
      <w:start w:val="1"/>
      <w:numFmt w:val="bullet"/>
      <w:lvlText w:val=""/>
      <w:lvlJc w:val="left"/>
      <w:pPr>
        <w:ind w:left="7020" w:hanging="360"/>
      </w:pPr>
      <w:rPr>
        <w:rFonts w:ascii="Wingdings" w:hAnsi="Wingdings" w:hint="default"/>
      </w:rPr>
    </w:lvl>
  </w:abstractNum>
  <w:abstractNum w:abstractNumId="36" w15:restartNumberingAfterBreak="0">
    <w:nsid w:val="1CF77610"/>
    <w:multiLevelType w:val="hybridMultilevel"/>
    <w:tmpl w:val="982C3908"/>
    <w:lvl w:ilvl="0" w:tplc="D940E4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EA37FC5"/>
    <w:multiLevelType w:val="singleLevel"/>
    <w:tmpl w:val="FFFFFFFF"/>
    <w:lvl w:ilvl="0">
      <w:start w:val="1"/>
      <w:numFmt w:val="bullet"/>
      <w:lvlText w:val="-"/>
      <w:legacy w:legacy="1" w:legacySpace="0" w:legacyIndent="360"/>
      <w:lvlJc w:val="left"/>
      <w:pPr>
        <w:ind w:left="1800" w:hanging="360"/>
      </w:pPr>
    </w:lvl>
  </w:abstractNum>
  <w:abstractNum w:abstractNumId="38" w15:restartNumberingAfterBreak="0">
    <w:nsid w:val="1EB24919"/>
    <w:multiLevelType w:val="hybridMultilevel"/>
    <w:tmpl w:val="21D2C03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9"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21905BBD"/>
    <w:multiLevelType w:val="hybridMultilevel"/>
    <w:tmpl w:val="3F5279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2751D86"/>
    <w:multiLevelType w:val="hybridMultilevel"/>
    <w:tmpl w:val="A562254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23C877A8"/>
    <w:multiLevelType w:val="hybridMultilevel"/>
    <w:tmpl w:val="71A65690"/>
    <w:lvl w:ilvl="0" w:tplc="D940E4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EE000C"/>
    <w:multiLevelType w:val="hybridMultilevel"/>
    <w:tmpl w:val="586CC0B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2228" w:hanging="360"/>
      </w:pPr>
      <w:rPr>
        <w:rFonts w:ascii="Courier New" w:hAnsi="Courier New" w:cs="Courier New" w:hint="default"/>
      </w:rPr>
    </w:lvl>
    <w:lvl w:ilvl="2" w:tplc="0C0A0005" w:tentative="1">
      <w:start w:val="1"/>
      <w:numFmt w:val="bullet"/>
      <w:lvlText w:val=""/>
      <w:lvlJc w:val="left"/>
      <w:pPr>
        <w:ind w:left="2948" w:hanging="360"/>
      </w:pPr>
      <w:rPr>
        <w:rFonts w:ascii="Wingdings" w:hAnsi="Wingdings" w:hint="default"/>
      </w:rPr>
    </w:lvl>
    <w:lvl w:ilvl="3" w:tplc="0C0A0001" w:tentative="1">
      <w:start w:val="1"/>
      <w:numFmt w:val="bullet"/>
      <w:lvlText w:val=""/>
      <w:lvlJc w:val="left"/>
      <w:pPr>
        <w:ind w:left="3668" w:hanging="360"/>
      </w:pPr>
      <w:rPr>
        <w:rFonts w:ascii="Symbol" w:hAnsi="Symbol" w:hint="default"/>
      </w:rPr>
    </w:lvl>
    <w:lvl w:ilvl="4" w:tplc="0C0A0003" w:tentative="1">
      <w:start w:val="1"/>
      <w:numFmt w:val="bullet"/>
      <w:lvlText w:val="o"/>
      <w:lvlJc w:val="left"/>
      <w:pPr>
        <w:ind w:left="4388" w:hanging="360"/>
      </w:pPr>
      <w:rPr>
        <w:rFonts w:ascii="Courier New" w:hAnsi="Courier New" w:cs="Courier New" w:hint="default"/>
      </w:rPr>
    </w:lvl>
    <w:lvl w:ilvl="5" w:tplc="0C0A0005" w:tentative="1">
      <w:start w:val="1"/>
      <w:numFmt w:val="bullet"/>
      <w:lvlText w:val=""/>
      <w:lvlJc w:val="left"/>
      <w:pPr>
        <w:ind w:left="5108" w:hanging="360"/>
      </w:pPr>
      <w:rPr>
        <w:rFonts w:ascii="Wingdings" w:hAnsi="Wingdings" w:hint="default"/>
      </w:rPr>
    </w:lvl>
    <w:lvl w:ilvl="6" w:tplc="0C0A0001" w:tentative="1">
      <w:start w:val="1"/>
      <w:numFmt w:val="bullet"/>
      <w:lvlText w:val=""/>
      <w:lvlJc w:val="left"/>
      <w:pPr>
        <w:ind w:left="5828" w:hanging="360"/>
      </w:pPr>
      <w:rPr>
        <w:rFonts w:ascii="Symbol" w:hAnsi="Symbol" w:hint="default"/>
      </w:rPr>
    </w:lvl>
    <w:lvl w:ilvl="7" w:tplc="0C0A0003" w:tentative="1">
      <w:start w:val="1"/>
      <w:numFmt w:val="bullet"/>
      <w:lvlText w:val="o"/>
      <w:lvlJc w:val="left"/>
      <w:pPr>
        <w:ind w:left="6548" w:hanging="360"/>
      </w:pPr>
      <w:rPr>
        <w:rFonts w:ascii="Courier New" w:hAnsi="Courier New" w:cs="Courier New" w:hint="default"/>
      </w:rPr>
    </w:lvl>
    <w:lvl w:ilvl="8" w:tplc="0C0A0005" w:tentative="1">
      <w:start w:val="1"/>
      <w:numFmt w:val="bullet"/>
      <w:lvlText w:val=""/>
      <w:lvlJc w:val="left"/>
      <w:pPr>
        <w:ind w:left="7268" w:hanging="360"/>
      </w:pPr>
      <w:rPr>
        <w:rFonts w:ascii="Wingdings" w:hAnsi="Wingdings" w:hint="default"/>
      </w:rPr>
    </w:lvl>
  </w:abstractNum>
  <w:abstractNum w:abstractNumId="44" w15:restartNumberingAfterBreak="0">
    <w:nsid w:val="2BFC2E4A"/>
    <w:multiLevelType w:val="hybridMultilevel"/>
    <w:tmpl w:val="21F4D5BC"/>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5" w15:restartNumberingAfterBreak="0">
    <w:nsid w:val="2CA8543D"/>
    <w:multiLevelType w:val="hybridMultilevel"/>
    <w:tmpl w:val="CA28F6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2D6A670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2E040E21"/>
    <w:multiLevelType w:val="hybridMultilevel"/>
    <w:tmpl w:val="592C5B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E327BE1"/>
    <w:multiLevelType w:val="hybridMultilevel"/>
    <w:tmpl w:val="543E52B4"/>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2EE24575"/>
    <w:multiLevelType w:val="singleLevel"/>
    <w:tmpl w:val="AA5ADB5A"/>
    <w:lvl w:ilvl="0">
      <w:start w:val="1"/>
      <w:numFmt w:val="decimal"/>
      <w:lvlText w:val="%1."/>
      <w:lvlJc w:val="left"/>
      <w:pPr>
        <w:tabs>
          <w:tab w:val="num" w:pos="570"/>
        </w:tabs>
        <w:ind w:left="570" w:hanging="570"/>
      </w:pPr>
      <w:rPr>
        <w:rFonts w:hint="default"/>
      </w:rPr>
    </w:lvl>
  </w:abstractNum>
  <w:abstractNum w:abstractNumId="51" w15:restartNumberingAfterBreak="0">
    <w:nsid w:val="3024094D"/>
    <w:multiLevelType w:val="hybridMultilevel"/>
    <w:tmpl w:val="C5E20AE2"/>
    <w:lvl w:ilvl="0" w:tplc="5E2C509C">
      <w:start w:val="3"/>
      <w:numFmt w:val="bullet"/>
      <w:lvlText w:val=""/>
      <w:lvlJc w:val="left"/>
      <w:pPr>
        <w:ind w:left="1813" w:hanging="360"/>
      </w:pPr>
      <w:rPr>
        <w:rFonts w:ascii="Symbol" w:eastAsia="Times New Roman" w:hAnsi="Symbol" w:cs="Times New Roman" w:hint="default"/>
      </w:rPr>
    </w:lvl>
    <w:lvl w:ilvl="1" w:tplc="0C0A0003" w:tentative="1">
      <w:start w:val="1"/>
      <w:numFmt w:val="bullet"/>
      <w:lvlText w:val="o"/>
      <w:lvlJc w:val="left"/>
      <w:pPr>
        <w:ind w:left="2533" w:hanging="360"/>
      </w:pPr>
      <w:rPr>
        <w:rFonts w:ascii="Courier New" w:hAnsi="Courier New" w:cs="Courier New" w:hint="default"/>
      </w:rPr>
    </w:lvl>
    <w:lvl w:ilvl="2" w:tplc="0C0A0005" w:tentative="1">
      <w:start w:val="1"/>
      <w:numFmt w:val="bullet"/>
      <w:lvlText w:val=""/>
      <w:lvlJc w:val="left"/>
      <w:pPr>
        <w:ind w:left="3253" w:hanging="360"/>
      </w:pPr>
      <w:rPr>
        <w:rFonts w:ascii="Wingdings" w:hAnsi="Wingdings" w:hint="default"/>
      </w:rPr>
    </w:lvl>
    <w:lvl w:ilvl="3" w:tplc="0C0A0001" w:tentative="1">
      <w:start w:val="1"/>
      <w:numFmt w:val="bullet"/>
      <w:lvlText w:val=""/>
      <w:lvlJc w:val="left"/>
      <w:pPr>
        <w:ind w:left="3973" w:hanging="360"/>
      </w:pPr>
      <w:rPr>
        <w:rFonts w:ascii="Symbol" w:hAnsi="Symbol" w:hint="default"/>
      </w:rPr>
    </w:lvl>
    <w:lvl w:ilvl="4" w:tplc="0C0A0003" w:tentative="1">
      <w:start w:val="1"/>
      <w:numFmt w:val="bullet"/>
      <w:lvlText w:val="o"/>
      <w:lvlJc w:val="left"/>
      <w:pPr>
        <w:ind w:left="4693" w:hanging="360"/>
      </w:pPr>
      <w:rPr>
        <w:rFonts w:ascii="Courier New" w:hAnsi="Courier New" w:cs="Courier New" w:hint="default"/>
      </w:rPr>
    </w:lvl>
    <w:lvl w:ilvl="5" w:tplc="0C0A0005" w:tentative="1">
      <w:start w:val="1"/>
      <w:numFmt w:val="bullet"/>
      <w:lvlText w:val=""/>
      <w:lvlJc w:val="left"/>
      <w:pPr>
        <w:ind w:left="5413" w:hanging="360"/>
      </w:pPr>
      <w:rPr>
        <w:rFonts w:ascii="Wingdings" w:hAnsi="Wingdings" w:hint="default"/>
      </w:rPr>
    </w:lvl>
    <w:lvl w:ilvl="6" w:tplc="0C0A0001" w:tentative="1">
      <w:start w:val="1"/>
      <w:numFmt w:val="bullet"/>
      <w:lvlText w:val=""/>
      <w:lvlJc w:val="left"/>
      <w:pPr>
        <w:ind w:left="6133" w:hanging="360"/>
      </w:pPr>
      <w:rPr>
        <w:rFonts w:ascii="Symbol" w:hAnsi="Symbol" w:hint="default"/>
      </w:rPr>
    </w:lvl>
    <w:lvl w:ilvl="7" w:tplc="0C0A0003" w:tentative="1">
      <w:start w:val="1"/>
      <w:numFmt w:val="bullet"/>
      <w:lvlText w:val="o"/>
      <w:lvlJc w:val="left"/>
      <w:pPr>
        <w:ind w:left="6853" w:hanging="360"/>
      </w:pPr>
      <w:rPr>
        <w:rFonts w:ascii="Courier New" w:hAnsi="Courier New" w:cs="Courier New" w:hint="default"/>
      </w:rPr>
    </w:lvl>
    <w:lvl w:ilvl="8" w:tplc="0C0A0005" w:tentative="1">
      <w:start w:val="1"/>
      <w:numFmt w:val="bullet"/>
      <w:lvlText w:val=""/>
      <w:lvlJc w:val="left"/>
      <w:pPr>
        <w:ind w:left="7573" w:hanging="360"/>
      </w:pPr>
      <w:rPr>
        <w:rFonts w:ascii="Wingdings" w:hAnsi="Wingdings" w:hint="default"/>
      </w:rPr>
    </w:lvl>
  </w:abstractNum>
  <w:abstractNum w:abstractNumId="52" w15:restartNumberingAfterBreak="0">
    <w:nsid w:val="30D059BD"/>
    <w:multiLevelType w:val="hybridMultilevel"/>
    <w:tmpl w:val="CAA23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0DA4D17"/>
    <w:multiLevelType w:val="hybridMultilevel"/>
    <w:tmpl w:val="739CA5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5A001CE"/>
    <w:multiLevelType w:val="hybridMultilevel"/>
    <w:tmpl w:val="D55233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64D5488"/>
    <w:multiLevelType w:val="hybridMultilevel"/>
    <w:tmpl w:val="738C448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6"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7" w15:restartNumberingAfterBreak="0">
    <w:nsid w:val="37310E33"/>
    <w:multiLevelType w:val="hybridMultilevel"/>
    <w:tmpl w:val="72E07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37980493"/>
    <w:multiLevelType w:val="hybridMultilevel"/>
    <w:tmpl w:val="22B4C7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38BD7469"/>
    <w:multiLevelType w:val="hybridMultilevel"/>
    <w:tmpl w:val="71A40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39825F33"/>
    <w:multiLevelType w:val="hybridMultilevel"/>
    <w:tmpl w:val="ED9C3AC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9CB6C8F"/>
    <w:multiLevelType w:val="hybridMultilevel"/>
    <w:tmpl w:val="13F62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AEF226D"/>
    <w:multiLevelType w:val="hybridMultilevel"/>
    <w:tmpl w:val="EADA50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BA01A3A"/>
    <w:multiLevelType w:val="hybridMultilevel"/>
    <w:tmpl w:val="C9C04408"/>
    <w:lvl w:ilvl="0" w:tplc="D940E4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DB86FE9"/>
    <w:multiLevelType w:val="hybridMultilevel"/>
    <w:tmpl w:val="32B22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3EE8137B"/>
    <w:multiLevelType w:val="hybridMultilevel"/>
    <w:tmpl w:val="304427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F904013"/>
    <w:multiLevelType w:val="hybridMultilevel"/>
    <w:tmpl w:val="B71C551C"/>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7" w15:restartNumberingAfterBreak="0">
    <w:nsid w:val="407F0C60"/>
    <w:multiLevelType w:val="hybridMultilevel"/>
    <w:tmpl w:val="C7B40266"/>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8" w15:restartNumberingAfterBreak="0">
    <w:nsid w:val="43DD332B"/>
    <w:multiLevelType w:val="hybridMultilevel"/>
    <w:tmpl w:val="A3407D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3F55324"/>
    <w:multiLevelType w:val="hybridMultilevel"/>
    <w:tmpl w:val="8EA6F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49304EC"/>
    <w:multiLevelType w:val="hybridMultilevel"/>
    <w:tmpl w:val="E24CF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6416DEB"/>
    <w:multiLevelType w:val="hybridMultilevel"/>
    <w:tmpl w:val="4A2CE8F8"/>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72" w15:restartNumberingAfterBreak="0">
    <w:nsid w:val="4870420F"/>
    <w:multiLevelType w:val="hybridMultilevel"/>
    <w:tmpl w:val="0100B9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965748E"/>
    <w:multiLevelType w:val="hybridMultilevel"/>
    <w:tmpl w:val="8B68A53E"/>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74" w15:restartNumberingAfterBreak="0">
    <w:nsid w:val="49B86E29"/>
    <w:multiLevelType w:val="hybridMultilevel"/>
    <w:tmpl w:val="B0788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4A1D6BDC"/>
    <w:multiLevelType w:val="hybridMultilevel"/>
    <w:tmpl w:val="68502B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4A5B5910"/>
    <w:multiLevelType w:val="hybridMultilevel"/>
    <w:tmpl w:val="265047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78" w15:restartNumberingAfterBreak="0">
    <w:nsid w:val="4B9E4392"/>
    <w:multiLevelType w:val="hybridMultilevel"/>
    <w:tmpl w:val="E4B8F6A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4CEE7946"/>
    <w:multiLevelType w:val="hybridMultilevel"/>
    <w:tmpl w:val="9E5236B2"/>
    <w:lvl w:ilvl="0" w:tplc="BD4EF33E">
      <w:start w:val="17"/>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4D6B474D"/>
    <w:multiLevelType w:val="hybridMultilevel"/>
    <w:tmpl w:val="35CC1B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1DC35A3"/>
    <w:multiLevelType w:val="hybridMultilevel"/>
    <w:tmpl w:val="D26899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29733CC"/>
    <w:multiLevelType w:val="hybridMultilevel"/>
    <w:tmpl w:val="875E945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3" w15:restartNumberingAfterBreak="0">
    <w:nsid w:val="53315317"/>
    <w:multiLevelType w:val="hybridMultilevel"/>
    <w:tmpl w:val="9D64A8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53EA1038"/>
    <w:multiLevelType w:val="hybridMultilevel"/>
    <w:tmpl w:val="C0B6AAC4"/>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85" w15:restartNumberingAfterBreak="0">
    <w:nsid w:val="53F77093"/>
    <w:multiLevelType w:val="hybridMultilevel"/>
    <w:tmpl w:val="E5FCB3E6"/>
    <w:lvl w:ilvl="0" w:tplc="D940E4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4120417"/>
    <w:multiLevelType w:val="hybridMultilevel"/>
    <w:tmpl w:val="3CBC6BFE"/>
    <w:lvl w:ilvl="0" w:tplc="B0AC3C5E">
      <w:start w:val="1"/>
      <w:numFmt w:val="lowerLetter"/>
      <w:lvlText w:val="%1)"/>
      <w:lvlJc w:val="left"/>
      <w:pPr>
        <w:ind w:left="720" w:hanging="360"/>
      </w:pPr>
      <w:rPr>
        <w:rFonts w:hint="default"/>
        <w:b w:val="0"/>
        <w:color w:val="231F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54C835A7"/>
    <w:multiLevelType w:val="hybridMultilevel"/>
    <w:tmpl w:val="30C41FA4"/>
    <w:lvl w:ilvl="0" w:tplc="BD4EF33E">
      <w:start w:val="17"/>
      <w:numFmt w:val="decimal"/>
      <w:lvlText w:val="%1."/>
      <w:lvlJc w:val="left"/>
      <w:pPr>
        <w:ind w:left="2880" w:hanging="360"/>
      </w:pPr>
      <w:rPr>
        <w:rFonts w:hint="default"/>
        <w:b/>
        <w:i w:val="0"/>
      </w:rPr>
    </w:lvl>
    <w:lvl w:ilvl="1" w:tplc="0C0A0019" w:tentative="1">
      <w:start w:val="1"/>
      <w:numFmt w:val="lowerLetter"/>
      <w:lvlText w:val="%2."/>
      <w:lvlJc w:val="left"/>
      <w:pPr>
        <w:ind w:left="3600" w:hanging="360"/>
      </w:pPr>
    </w:lvl>
    <w:lvl w:ilvl="2" w:tplc="0C0A001B" w:tentative="1">
      <w:start w:val="1"/>
      <w:numFmt w:val="lowerRoman"/>
      <w:lvlText w:val="%3."/>
      <w:lvlJc w:val="right"/>
      <w:pPr>
        <w:ind w:left="4320" w:hanging="180"/>
      </w:pPr>
    </w:lvl>
    <w:lvl w:ilvl="3" w:tplc="0C0A000F" w:tentative="1">
      <w:start w:val="1"/>
      <w:numFmt w:val="decimal"/>
      <w:lvlText w:val="%4."/>
      <w:lvlJc w:val="left"/>
      <w:pPr>
        <w:ind w:left="5040" w:hanging="360"/>
      </w:pPr>
    </w:lvl>
    <w:lvl w:ilvl="4" w:tplc="0C0A0019" w:tentative="1">
      <w:start w:val="1"/>
      <w:numFmt w:val="lowerLetter"/>
      <w:lvlText w:val="%5."/>
      <w:lvlJc w:val="left"/>
      <w:pPr>
        <w:ind w:left="5760" w:hanging="360"/>
      </w:pPr>
    </w:lvl>
    <w:lvl w:ilvl="5" w:tplc="0C0A001B" w:tentative="1">
      <w:start w:val="1"/>
      <w:numFmt w:val="lowerRoman"/>
      <w:lvlText w:val="%6."/>
      <w:lvlJc w:val="right"/>
      <w:pPr>
        <w:ind w:left="6480" w:hanging="180"/>
      </w:pPr>
    </w:lvl>
    <w:lvl w:ilvl="6" w:tplc="0C0A000F" w:tentative="1">
      <w:start w:val="1"/>
      <w:numFmt w:val="decimal"/>
      <w:lvlText w:val="%7."/>
      <w:lvlJc w:val="left"/>
      <w:pPr>
        <w:ind w:left="7200" w:hanging="360"/>
      </w:pPr>
    </w:lvl>
    <w:lvl w:ilvl="7" w:tplc="0C0A0019" w:tentative="1">
      <w:start w:val="1"/>
      <w:numFmt w:val="lowerLetter"/>
      <w:lvlText w:val="%8."/>
      <w:lvlJc w:val="left"/>
      <w:pPr>
        <w:ind w:left="7920" w:hanging="360"/>
      </w:pPr>
    </w:lvl>
    <w:lvl w:ilvl="8" w:tplc="0C0A001B" w:tentative="1">
      <w:start w:val="1"/>
      <w:numFmt w:val="lowerRoman"/>
      <w:lvlText w:val="%9."/>
      <w:lvlJc w:val="right"/>
      <w:pPr>
        <w:ind w:left="8640" w:hanging="180"/>
      </w:pPr>
    </w:lvl>
  </w:abstractNum>
  <w:abstractNum w:abstractNumId="88" w15:restartNumberingAfterBreak="0">
    <w:nsid w:val="55170D5D"/>
    <w:multiLevelType w:val="hybridMultilevel"/>
    <w:tmpl w:val="801E71C4"/>
    <w:lvl w:ilvl="0" w:tplc="614C2792">
      <w:numFmt w:val="bullet"/>
      <w:lvlText w:val=""/>
      <w:lvlJc w:val="left"/>
      <w:pPr>
        <w:ind w:left="969" w:hanging="408"/>
      </w:pPr>
      <w:rPr>
        <w:rFonts w:ascii="Symbol" w:eastAsia="Times New Roman" w:hAnsi="Symbol" w:cs="Times New Roman" w:hint="default"/>
      </w:rPr>
    </w:lvl>
    <w:lvl w:ilvl="1" w:tplc="0C0A0003" w:tentative="1">
      <w:start w:val="1"/>
      <w:numFmt w:val="bullet"/>
      <w:lvlText w:val="o"/>
      <w:lvlJc w:val="left"/>
      <w:pPr>
        <w:ind w:left="1641" w:hanging="360"/>
      </w:pPr>
      <w:rPr>
        <w:rFonts w:ascii="Courier New" w:hAnsi="Courier New" w:cs="Courier New" w:hint="default"/>
      </w:rPr>
    </w:lvl>
    <w:lvl w:ilvl="2" w:tplc="0C0A0005" w:tentative="1">
      <w:start w:val="1"/>
      <w:numFmt w:val="bullet"/>
      <w:lvlText w:val=""/>
      <w:lvlJc w:val="left"/>
      <w:pPr>
        <w:ind w:left="2361" w:hanging="360"/>
      </w:pPr>
      <w:rPr>
        <w:rFonts w:ascii="Wingdings" w:hAnsi="Wingdings" w:hint="default"/>
      </w:rPr>
    </w:lvl>
    <w:lvl w:ilvl="3" w:tplc="0C0A0001" w:tentative="1">
      <w:start w:val="1"/>
      <w:numFmt w:val="bullet"/>
      <w:lvlText w:val=""/>
      <w:lvlJc w:val="left"/>
      <w:pPr>
        <w:ind w:left="3081" w:hanging="360"/>
      </w:pPr>
      <w:rPr>
        <w:rFonts w:ascii="Symbol" w:hAnsi="Symbol" w:hint="default"/>
      </w:rPr>
    </w:lvl>
    <w:lvl w:ilvl="4" w:tplc="0C0A0003" w:tentative="1">
      <w:start w:val="1"/>
      <w:numFmt w:val="bullet"/>
      <w:lvlText w:val="o"/>
      <w:lvlJc w:val="left"/>
      <w:pPr>
        <w:ind w:left="3801" w:hanging="360"/>
      </w:pPr>
      <w:rPr>
        <w:rFonts w:ascii="Courier New" w:hAnsi="Courier New" w:cs="Courier New" w:hint="default"/>
      </w:rPr>
    </w:lvl>
    <w:lvl w:ilvl="5" w:tplc="0C0A0005" w:tentative="1">
      <w:start w:val="1"/>
      <w:numFmt w:val="bullet"/>
      <w:lvlText w:val=""/>
      <w:lvlJc w:val="left"/>
      <w:pPr>
        <w:ind w:left="4521" w:hanging="360"/>
      </w:pPr>
      <w:rPr>
        <w:rFonts w:ascii="Wingdings" w:hAnsi="Wingdings" w:hint="default"/>
      </w:rPr>
    </w:lvl>
    <w:lvl w:ilvl="6" w:tplc="0C0A0001" w:tentative="1">
      <w:start w:val="1"/>
      <w:numFmt w:val="bullet"/>
      <w:lvlText w:val=""/>
      <w:lvlJc w:val="left"/>
      <w:pPr>
        <w:ind w:left="5241" w:hanging="360"/>
      </w:pPr>
      <w:rPr>
        <w:rFonts w:ascii="Symbol" w:hAnsi="Symbol" w:hint="default"/>
      </w:rPr>
    </w:lvl>
    <w:lvl w:ilvl="7" w:tplc="0C0A0003" w:tentative="1">
      <w:start w:val="1"/>
      <w:numFmt w:val="bullet"/>
      <w:lvlText w:val="o"/>
      <w:lvlJc w:val="left"/>
      <w:pPr>
        <w:ind w:left="5961" w:hanging="360"/>
      </w:pPr>
      <w:rPr>
        <w:rFonts w:ascii="Courier New" w:hAnsi="Courier New" w:cs="Courier New" w:hint="default"/>
      </w:rPr>
    </w:lvl>
    <w:lvl w:ilvl="8" w:tplc="0C0A0005" w:tentative="1">
      <w:start w:val="1"/>
      <w:numFmt w:val="bullet"/>
      <w:lvlText w:val=""/>
      <w:lvlJc w:val="left"/>
      <w:pPr>
        <w:ind w:left="6681" w:hanging="360"/>
      </w:pPr>
      <w:rPr>
        <w:rFonts w:ascii="Wingdings" w:hAnsi="Wingdings" w:hint="default"/>
      </w:rPr>
    </w:lvl>
  </w:abstractNum>
  <w:abstractNum w:abstractNumId="89" w15:restartNumberingAfterBreak="0">
    <w:nsid w:val="554A514D"/>
    <w:multiLevelType w:val="hybridMultilevel"/>
    <w:tmpl w:val="7ED8AD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55991900"/>
    <w:multiLevelType w:val="hybridMultilevel"/>
    <w:tmpl w:val="8690A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92" w15:restartNumberingAfterBreak="0">
    <w:nsid w:val="562220CA"/>
    <w:multiLevelType w:val="hybridMultilevel"/>
    <w:tmpl w:val="868C0E46"/>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93" w15:restartNumberingAfterBreak="0">
    <w:nsid w:val="564A0C18"/>
    <w:multiLevelType w:val="hybridMultilevel"/>
    <w:tmpl w:val="577EDB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4" w15:restartNumberingAfterBreak="0">
    <w:nsid w:val="56F1255B"/>
    <w:multiLevelType w:val="hybridMultilevel"/>
    <w:tmpl w:val="EFC85CF4"/>
    <w:lvl w:ilvl="0" w:tplc="0C0A0001">
      <w:start w:val="3"/>
      <w:numFmt w:val="bullet"/>
      <w:lvlText w:val=""/>
      <w:lvlJc w:val="left"/>
      <w:pPr>
        <w:ind w:left="1056" w:hanging="360"/>
      </w:pPr>
      <w:rPr>
        <w:rFonts w:ascii="Symbol" w:eastAsia="Times New Roman" w:hAnsi="Symbol" w:cs="Times New Roman" w:hint="default"/>
      </w:rPr>
    </w:lvl>
    <w:lvl w:ilvl="1" w:tplc="0C0A0003" w:tentative="1">
      <w:start w:val="1"/>
      <w:numFmt w:val="bullet"/>
      <w:lvlText w:val="o"/>
      <w:lvlJc w:val="left"/>
      <w:pPr>
        <w:ind w:left="1776" w:hanging="360"/>
      </w:pPr>
      <w:rPr>
        <w:rFonts w:ascii="Courier New" w:hAnsi="Courier New" w:cs="Courier New" w:hint="default"/>
      </w:rPr>
    </w:lvl>
    <w:lvl w:ilvl="2" w:tplc="0C0A0005" w:tentative="1">
      <w:start w:val="1"/>
      <w:numFmt w:val="bullet"/>
      <w:lvlText w:val=""/>
      <w:lvlJc w:val="left"/>
      <w:pPr>
        <w:ind w:left="2496" w:hanging="360"/>
      </w:pPr>
      <w:rPr>
        <w:rFonts w:ascii="Wingdings" w:hAnsi="Wingdings" w:hint="default"/>
      </w:rPr>
    </w:lvl>
    <w:lvl w:ilvl="3" w:tplc="0C0A0001" w:tentative="1">
      <w:start w:val="1"/>
      <w:numFmt w:val="bullet"/>
      <w:lvlText w:val=""/>
      <w:lvlJc w:val="left"/>
      <w:pPr>
        <w:ind w:left="3216" w:hanging="360"/>
      </w:pPr>
      <w:rPr>
        <w:rFonts w:ascii="Symbol" w:hAnsi="Symbol" w:hint="default"/>
      </w:rPr>
    </w:lvl>
    <w:lvl w:ilvl="4" w:tplc="0C0A0003" w:tentative="1">
      <w:start w:val="1"/>
      <w:numFmt w:val="bullet"/>
      <w:lvlText w:val="o"/>
      <w:lvlJc w:val="left"/>
      <w:pPr>
        <w:ind w:left="3936" w:hanging="360"/>
      </w:pPr>
      <w:rPr>
        <w:rFonts w:ascii="Courier New" w:hAnsi="Courier New" w:cs="Courier New" w:hint="default"/>
      </w:rPr>
    </w:lvl>
    <w:lvl w:ilvl="5" w:tplc="0C0A0005" w:tentative="1">
      <w:start w:val="1"/>
      <w:numFmt w:val="bullet"/>
      <w:lvlText w:val=""/>
      <w:lvlJc w:val="left"/>
      <w:pPr>
        <w:ind w:left="4656" w:hanging="360"/>
      </w:pPr>
      <w:rPr>
        <w:rFonts w:ascii="Wingdings" w:hAnsi="Wingdings" w:hint="default"/>
      </w:rPr>
    </w:lvl>
    <w:lvl w:ilvl="6" w:tplc="0C0A0001" w:tentative="1">
      <w:start w:val="1"/>
      <w:numFmt w:val="bullet"/>
      <w:lvlText w:val=""/>
      <w:lvlJc w:val="left"/>
      <w:pPr>
        <w:ind w:left="5376" w:hanging="360"/>
      </w:pPr>
      <w:rPr>
        <w:rFonts w:ascii="Symbol" w:hAnsi="Symbol" w:hint="default"/>
      </w:rPr>
    </w:lvl>
    <w:lvl w:ilvl="7" w:tplc="0C0A0003" w:tentative="1">
      <w:start w:val="1"/>
      <w:numFmt w:val="bullet"/>
      <w:lvlText w:val="o"/>
      <w:lvlJc w:val="left"/>
      <w:pPr>
        <w:ind w:left="6096" w:hanging="360"/>
      </w:pPr>
      <w:rPr>
        <w:rFonts w:ascii="Courier New" w:hAnsi="Courier New" w:cs="Courier New" w:hint="default"/>
      </w:rPr>
    </w:lvl>
    <w:lvl w:ilvl="8" w:tplc="0C0A0005" w:tentative="1">
      <w:start w:val="1"/>
      <w:numFmt w:val="bullet"/>
      <w:lvlText w:val=""/>
      <w:lvlJc w:val="left"/>
      <w:pPr>
        <w:ind w:left="6816" w:hanging="360"/>
      </w:pPr>
      <w:rPr>
        <w:rFonts w:ascii="Wingdings" w:hAnsi="Wingdings" w:hint="default"/>
      </w:rPr>
    </w:lvl>
  </w:abstractNum>
  <w:abstractNum w:abstractNumId="95" w15:restartNumberingAfterBreak="0">
    <w:nsid w:val="57BD3A0A"/>
    <w:multiLevelType w:val="hybridMultilevel"/>
    <w:tmpl w:val="7C96E8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7" w15:restartNumberingAfterBreak="0">
    <w:nsid w:val="58ED5610"/>
    <w:multiLevelType w:val="hybridMultilevel"/>
    <w:tmpl w:val="1A3E32F4"/>
    <w:lvl w:ilvl="0" w:tplc="0C0A0001">
      <w:start w:val="1"/>
      <w:numFmt w:val="bullet"/>
      <w:lvlText w:val=""/>
      <w:lvlJc w:val="left"/>
      <w:pPr>
        <w:ind w:left="778" w:hanging="360"/>
      </w:pPr>
      <w:rPr>
        <w:rFonts w:ascii="Symbol" w:hAnsi="Symbol" w:hint="default"/>
      </w:rPr>
    </w:lvl>
    <w:lvl w:ilvl="1" w:tplc="0C0A0003" w:tentative="1">
      <w:start w:val="1"/>
      <w:numFmt w:val="bullet"/>
      <w:lvlText w:val="o"/>
      <w:lvlJc w:val="left"/>
      <w:pPr>
        <w:ind w:left="1498" w:hanging="360"/>
      </w:pPr>
      <w:rPr>
        <w:rFonts w:ascii="Courier New" w:hAnsi="Courier New" w:cs="Courier New" w:hint="default"/>
      </w:rPr>
    </w:lvl>
    <w:lvl w:ilvl="2" w:tplc="0C0A0005" w:tentative="1">
      <w:start w:val="1"/>
      <w:numFmt w:val="bullet"/>
      <w:lvlText w:val=""/>
      <w:lvlJc w:val="left"/>
      <w:pPr>
        <w:ind w:left="2218" w:hanging="360"/>
      </w:pPr>
      <w:rPr>
        <w:rFonts w:ascii="Wingdings" w:hAnsi="Wingdings" w:hint="default"/>
      </w:rPr>
    </w:lvl>
    <w:lvl w:ilvl="3" w:tplc="0C0A0001" w:tentative="1">
      <w:start w:val="1"/>
      <w:numFmt w:val="bullet"/>
      <w:lvlText w:val=""/>
      <w:lvlJc w:val="left"/>
      <w:pPr>
        <w:ind w:left="2938" w:hanging="360"/>
      </w:pPr>
      <w:rPr>
        <w:rFonts w:ascii="Symbol" w:hAnsi="Symbol" w:hint="default"/>
      </w:rPr>
    </w:lvl>
    <w:lvl w:ilvl="4" w:tplc="0C0A0003" w:tentative="1">
      <w:start w:val="1"/>
      <w:numFmt w:val="bullet"/>
      <w:lvlText w:val="o"/>
      <w:lvlJc w:val="left"/>
      <w:pPr>
        <w:ind w:left="3658" w:hanging="360"/>
      </w:pPr>
      <w:rPr>
        <w:rFonts w:ascii="Courier New" w:hAnsi="Courier New" w:cs="Courier New" w:hint="default"/>
      </w:rPr>
    </w:lvl>
    <w:lvl w:ilvl="5" w:tplc="0C0A0005" w:tentative="1">
      <w:start w:val="1"/>
      <w:numFmt w:val="bullet"/>
      <w:lvlText w:val=""/>
      <w:lvlJc w:val="left"/>
      <w:pPr>
        <w:ind w:left="4378" w:hanging="360"/>
      </w:pPr>
      <w:rPr>
        <w:rFonts w:ascii="Wingdings" w:hAnsi="Wingdings" w:hint="default"/>
      </w:rPr>
    </w:lvl>
    <w:lvl w:ilvl="6" w:tplc="0C0A0001" w:tentative="1">
      <w:start w:val="1"/>
      <w:numFmt w:val="bullet"/>
      <w:lvlText w:val=""/>
      <w:lvlJc w:val="left"/>
      <w:pPr>
        <w:ind w:left="5098" w:hanging="360"/>
      </w:pPr>
      <w:rPr>
        <w:rFonts w:ascii="Symbol" w:hAnsi="Symbol" w:hint="default"/>
      </w:rPr>
    </w:lvl>
    <w:lvl w:ilvl="7" w:tplc="0C0A0003" w:tentative="1">
      <w:start w:val="1"/>
      <w:numFmt w:val="bullet"/>
      <w:lvlText w:val="o"/>
      <w:lvlJc w:val="left"/>
      <w:pPr>
        <w:ind w:left="5818" w:hanging="360"/>
      </w:pPr>
      <w:rPr>
        <w:rFonts w:ascii="Courier New" w:hAnsi="Courier New" w:cs="Courier New" w:hint="default"/>
      </w:rPr>
    </w:lvl>
    <w:lvl w:ilvl="8" w:tplc="0C0A0005" w:tentative="1">
      <w:start w:val="1"/>
      <w:numFmt w:val="bullet"/>
      <w:lvlText w:val=""/>
      <w:lvlJc w:val="left"/>
      <w:pPr>
        <w:ind w:left="6538" w:hanging="360"/>
      </w:pPr>
      <w:rPr>
        <w:rFonts w:ascii="Wingdings" w:hAnsi="Wingdings" w:hint="default"/>
      </w:rPr>
    </w:lvl>
  </w:abstractNum>
  <w:abstractNum w:abstractNumId="98" w15:restartNumberingAfterBreak="0">
    <w:nsid w:val="591F4D71"/>
    <w:multiLevelType w:val="hybridMultilevel"/>
    <w:tmpl w:val="766EC4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9" w15:restartNumberingAfterBreak="0">
    <w:nsid w:val="5A901D86"/>
    <w:multiLevelType w:val="hybridMultilevel"/>
    <w:tmpl w:val="C57A85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5AA41AC6"/>
    <w:multiLevelType w:val="hybridMultilevel"/>
    <w:tmpl w:val="ADA87B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01" w15:restartNumberingAfterBreak="0">
    <w:nsid w:val="5BA20CB7"/>
    <w:multiLevelType w:val="hybridMultilevel"/>
    <w:tmpl w:val="ECEA96C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2" w15:restartNumberingAfterBreak="0">
    <w:nsid w:val="5C237EB9"/>
    <w:multiLevelType w:val="hybridMultilevel"/>
    <w:tmpl w:val="6E54FE3C"/>
    <w:lvl w:ilvl="0" w:tplc="BBA66C7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15:restartNumberingAfterBreak="0">
    <w:nsid w:val="5C882962"/>
    <w:multiLevelType w:val="hybridMultilevel"/>
    <w:tmpl w:val="0E08AE3E"/>
    <w:lvl w:ilvl="0" w:tplc="77D8101A">
      <w:start w:val="37"/>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5E75082F"/>
    <w:multiLevelType w:val="hybridMultilevel"/>
    <w:tmpl w:val="794E4556"/>
    <w:lvl w:ilvl="0" w:tplc="05922DE0">
      <w:numFmt w:val="bullet"/>
      <w:lvlText w:val=""/>
      <w:lvlJc w:val="left"/>
      <w:pPr>
        <w:ind w:left="921" w:hanging="360"/>
      </w:pPr>
      <w:rPr>
        <w:rFonts w:ascii="Symbol" w:eastAsia="PMingLiU" w:hAnsi="Symbol" w:cs="Times New Roman" w:hint="default"/>
        <w:b/>
        <w:sz w:val="17"/>
      </w:rPr>
    </w:lvl>
    <w:lvl w:ilvl="1" w:tplc="0C0A0003" w:tentative="1">
      <w:start w:val="1"/>
      <w:numFmt w:val="bullet"/>
      <w:lvlText w:val="o"/>
      <w:lvlJc w:val="left"/>
      <w:pPr>
        <w:ind w:left="1641" w:hanging="360"/>
      </w:pPr>
      <w:rPr>
        <w:rFonts w:ascii="Courier New" w:hAnsi="Courier New" w:cs="Courier New" w:hint="default"/>
      </w:rPr>
    </w:lvl>
    <w:lvl w:ilvl="2" w:tplc="0C0A0005" w:tentative="1">
      <w:start w:val="1"/>
      <w:numFmt w:val="bullet"/>
      <w:lvlText w:val=""/>
      <w:lvlJc w:val="left"/>
      <w:pPr>
        <w:ind w:left="2361" w:hanging="360"/>
      </w:pPr>
      <w:rPr>
        <w:rFonts w:ascii="Wingdings" w:hAnsi="Wingdings" w:hint="default"/>
      </w:rPr>
    </w:lvl>
    <w:lvl w:ilvl="3" w:tplc="0C0A0001" w:tentative="1">
      <w:start w:val="1"/>
      <w:numFmt w:val="bullet"/>
      <w:lvlText w:val=""/>
      <w:lvlJc w:val="left"/>
      <w:pPr>
        <w:ind w:left="3081" w:hanging="360"/>
      </w:pPr>
      <w:rPr>
        <w:rFonts w:ascii="Symbol" w:hAnsi="Symbol" w:hint="default"/>
      </w:rPr>
    </w:lvl>
    <w:lvl w:ilvl="4" w:tplc="0C0A0003" w:tentative="1">
      <w:start w:val="1"/>
      <w:numFmt w:val="bullet"/>
      <w:lvlText w:val="o"/>
      <w:lvlJc w:val="left"/>
      <w:pPr>
        <w:ind w:left="3801" w:hanging="360"/>
      </w:pPr>
      <w:rPr>
        <w:rFonts w:ascii="Courier New" w:hAnsi="Courier New" w:cs="Courier New" w:hint="default"/>
      </w:rPr>
    </w:lvl>
    <w:lvl w:ilvl="5" w:tplc="0C0A0005" w:tentative="1">
      <w:start w:val="1"/>
      <w:numFmt w:val="bullet"/>
      <w:lvlText w:val=""/>
      <w:lvlJc w:val="left"/>
      <w:pPr>
        <w:ind w:left="4521" w:hanging="360"/>
      </w:pPr>
      <w:rPr>
        <w:rFonts w:ascii="Wingdings" w:hAnsi="Wingdings" w:hint="default"/>
      </w:rPr>
    </w:lvl>
    <w:lvl w:ilvl="6" w:tplc="0C0A0001" w:tentative="1">
      <w:start w:val="1"/>
      <w:numFmt w:val="bullet"/>
      <w:lvlText w:val=""/>
      <w:lvlJc w:val="left"/>
      <w:pPr>
        <w:ind w:left="5241" w:hanging="360"/>
      </w:pPr>
      <w:rPr>
        <w:rFonts w:ascii="Symbol" w:hAnsi="Symbol" w:hint="default"/>
      </w:rPr>
    </w:lvl>
    <w:lvl w:ilvl="7" w:tplc="0C0A0003" w:tentative="1">
      <w:start w:val="1"/>
      <w:numFmt w:val="bullet"/>
      <w:lvlText w:val="o"/>
      <w:lvlJc w:val="left"/>
      <w:pPr>
        <w:ind w:left="5961" w:hanging="360"/>
      </w:pPr>
      <w:rPr>
        <w:rFonts w:ascii="Courier New" w:hAnsi="Courier New" w:cs="Courier New" w:hint="default"/>
      </w:rPr>
    </w:lvl>
    <w:lvl w:ilvl="8" w:tplc="0C0A0005" w:tentative="1">
      <w:start w:val="1"/>
      <w:numFmt w:val="bullet"/>
      <w:lvlText w:val=""/>
      <w:lvlJc w:val="left"/>
      <w:pPr>
        <w:ind w:left="6681" w:hanging="360"/>
      </w:pPr>
      <w:rPr>
        <w:rFonts w:ascii="Wingdings" w:hAnsi="Wingdings" w:hint="default"/>
      </w:rPr>
    </w:lvl>
  </w:abstractNum>
  <w:abstractNum w:abstractNumId="105" w15:restartNumberingAfterBreak="0">
    <w:nsid w:val="5EC04527"/>
    <w:multiLevelType w:val="hybridMultilevel"/>
    <w:tmpl w:val="49327814"/>
    <w:lvl w:ilvl="0" w:tplc="0C0A0001">
      <w:start w:val="1"/>
      <w:numFmt w:val="bullet"/>
      <w:lvlText w:val=""/>
      <w:lvlJc w:val="left"/>
      <w:pPr>
        <w:ind w:left="4320" w:hanging="360"/>
      </w:pPr>
      <w:rPr>
        <w:rFonts w:ascii="Symbol" w:hAnsi="Symbol" w:hint="default"/>
      </w:rPr>
    </w:lvl>
    <w:lvl w:ilvl="1" w:tplc="0C0A0003" w:tentative="1">
      <w:start w:val="1"/>
      <w:numFmt w:val="bullet"/>
      <w:lvlText w:val="o"/>
      <w:lvlJc w:val="left"/>
      <w:pPr>
        <w:ind w:left="5040" w:hanging="360"/>
      </w:pPr>
      <w:rPr>
        <w:rFonts w:ascii="Courier New" w:hAnsi="Courier New" w:cs="Courier New" w:hint="default"/>
      </w:rPr>
    </w:lvl>
    <w:lvl w:ilvl="2" w:tplc="0C0A0005" w:tentative="1">
      <w:start w:val="1"/>
      <w:numFmt w:val="bullet"/>
      <w:lvlText w:val=""/>
      <w:lvlJc w:val="left"/>
      <w:pPr>
        <w:ind w:left="5760" w:hanging="360"/>
      </w:pPr>
      <w:rPr>
        <w:rFonts w:ascii="Wingdings" w:hAnsi="Wingdings" w:hint="default"/>
      </w:rPr>
    </w:lvl>
    <w:lvl w:ilvl="3" w:tplc="0C0A0001" w:tentative="1">
      <w:start w:val="1"/>
      <w:numFmt w:val="bullet"/>
      <w:lvlText w:val=""/>
      <w:lvlJc w:val="left"/>
      <w:pPr>
        <w:ind w:left="6480" w:hanging="360"/>
      </w:pPr>
      <w:rPr>
        <w:rFonts w:ascii="Symbol" w:hAnsi="Symbol" w:hint="default"/>
      </w:rPr>
    </w:lvl>
    <w:lvl w:ilvl="4" w:tplc="0C0A0003" w:tentative="1">
      <w:start w:val="1"/>
      <w:numFmt w:val="bullet"/>
      <w:lvlText w:val="o"/>
      <w:lvlJc w:val="left"/>
      <w:pPr>
        <w:ind w:left="7200" w:hanging="360"/>
      </w:pPr>
      <w:rPr>
        <w:rFonts w:ascii="Courier New" w:hAnsi="Courier New" w:cs="Courier New" w:hint="default"/>
      </w:rPr>
    </w:lvl>
    <w:lvl w:ilvl="5" w:tplc="0C0A0005" w:tentative="1">
      <w:start w:val="1"/>
      <w:numFmt w:val="bullet"/>
      <w:lvlText w:val=""/>
      <w:lvlJc w:val="left"/>
      <w:pPr>
        <w:ind w:left="7920" w:hanging="360"/>
      </w:pPr>
      <w:rPr>
        <w:rFonts w:ascii="Wingdings" w:hAnsi="Wingdings" w:hint="default"/>
      </w:rPr>
    </w:lvl>
    <w:lvl w:ilvl="6" w:tplc="0C0A0001" w:tentative="1">
      <w:start w:val="1"/>
      <w:numFmt w:val="bullet"/>
      <w:lvlText w:val=""/>
      <w:lvlJc w:val="left"/>
      <w:pPr>
        <w:ind w:left="8640" w:hanging="360"/>
      </w:pPr>
      <w:rPr>
        <w:rFonts w:ascii="Symbol" w:hAnsi="Symbol" w:hint="default"/>
      </w:rPr>
    </w:lvl>
    <w:lvl w:ilvl="7" w:tplc="0C0A0003" w:tentative="1">
      <w:start w:val="1"/>
      <w:numFmt w:val="bullet"/>
      <w:lvlText w:val="o"/>
      <w:lvlJc w:val="left"/>
      <w:pPr>
        <w:ind w:left="9360" w:hanging="360"/>
      </w:pPr>
      <w:rPr>
        <w:rFonts w:ascii="Courier New" w:hAnsi="Courier New" w:cs="Courier New" w:hint="default"/>
      </w:rPr>
    </w:lvl>
    <w:lvl w:ilvl="8" w:tplc="0C0A0005" w:tentative="1">
      <w:start w:val="1"/>
      <w:numFmt w:val="bullet"/>
      <w:lvlText w:val=""/>
      <w:lvlJc w:val="left"/>
      <w:pPr>
        <w:ind w:left="10080" w:hanging="360"/>
      </w:pPr>
      <w:rPr>
        <w:rFonts w:ascii="Wingdings" w:hAnsi="Wingdings" w:hint="default"/>
      </w:rPr>
    </w:lvl>
  </w:abstractNum>
  <w:abstractNum w:abstractNumId="106" w15:restartNumberingAfterBreak="0">
    <w:nsid w:val="5F1E4259"/>
    <w:multiLevelType w:val="hybridMultilevel"/>
    <w:tmpl w:val="3DA2E8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15:restartNumberingAfterBreak="0">
    <w:nsid w:val="5F9362A9"/>
    <w:multiLevelType w:val="hybridMultilevel"/>
    <w:tmpl w:val="539E3EB4"/>
    <w:lvl w:ilvl="0" w:tplc="0C0A0001">
      <w:numFmt w:val="bullet"/>
      <w:lvlText w:val=""/>
      <w:lvlJc w:val="left"/>
      <w:pPr>
        <w:ind w:left="72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60E44432"/>
    <w:multiLevelType w:val="hybridMultilevel"/>
    <w:tmpl w:val="8E224B50"/>
    <w:lvl w:ilvl="0" w:tplc="E79A8046">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613210E9"/>
    <w:multiLevelType w:val="hybridMultilevel"/>
    <w:tmpl w:val="E916A72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0" w15:restartNumberingAfterBreak="0">
    <w:nsid w:val="63D6471C"/>
    <w:multiLevelType w:val="hybridMultilevel"/>
    <w:tmpl w:val="60EA5EDA"/>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11" w15:restartNumberingAfterBreak="0">
    <w:nsid w:val="6799236A"/>
    <w:multiLevelType w:val="hybridMultilevel"/>
    <w:tmpl w:val="976C7F5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2" w15:restartNumberingAfterBreak="0">
    <w:nsid w:val="67D65895"/>
    <w:multiLevelType w:val="hybridMultilevel"/>
    <w:tmpl w:val="F0A6C53C"/>
    <w:lvl w:ilvl="0" w:tplc="002042B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67E45E91"/>
    <w:multiLevelType w:val="hybridMultilevel"/>
    <w:tmpl w:val="54141C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115" w15:restartNumberingAfterBreak="0">
    <w:nsid w:val="6AD24678"/>
    <w:multiLevelType w:val="hybridMultilevel"/>
    <w:tmpl w:val="4060F8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7" w15:restartNumberingAfterBreak="0">
    <w:nsid w:val="6BEB744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18"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119" w15:restartNumberingAfterBreak="0">
    <w:nsid w:val="6DCB5BF5"/>
    <w:multiLevelType w:val="hybridMultilevel"/>
    <w:tmpl w:val="01E63A8C"/>
    <w:lvl w:ilvl="0" w:tplc="4FE0B726">
      <w:start w:val="17"/>
      <w:numFmt w:val="decimal"/>
      <w:lvlText w:val="%1."/>
      <w:lvlJc w:val="left"/>
      <w:pPr>
        <w:ind w:left="1650" w:hanging="57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EC256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6ECF4AEB"/>
    <w:multiLevelType w:val="hybridMultilevel"/>
    <w:tmpl w:val="DB1416B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2" w15:restartNumberingAfterBreak="0">
    <w:nsid w:val="6F3B0500"/>
    <w:multiLevelType w:val="hybridMultilevel"/>
    <w:tmpl w:val="5DD649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3" w15:restartNumberingAfterBreak="0">
    <w:nsid w:val="6F5F5459"/>
    <w:multiLevelType w:val="hybridMultilevel"/>
    <w:tmpl w:val="CBFAB1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4" w15:restartNumberingAfterBreak="0">
    <w:nsid w:val="6F6077E7"/>
    <w:multiLevelType w:val="hybridMultilevel"/>
    <w:tmpl w:val="48D47502"/>
    <w:lvl w:ilvl="0" w:tplc="F30EF660">
      <w:numFmt w:val="bullet"/>
      <w:lvlText w:val="-"/>
      <w:lvlJc w:val="left"/>
      <w:pPr>
        <w:ind w:left="1500" w:hanging="360"/>
      </w:pPr>
      <w:rPr>
        <w:rFonts w:ascii="Times New Roman" w:eastAsia="Times New Roman" w:hAnsi="Times New Roman" w:cs="Times New Roman" w:hint="default"/>
      </w:rPr>
    </w:lvl>
    <w:lvl w:ilvl="1" w:tplc="0C0A0003" w:tentative="1">
      <w:start w:val="1"/>
      <w:numFmt w:val="bullet"/>
      <w:lvlText w:val="o"/>
      <w:lvlJc w:val="left"/>
      <w:pPr>
        <w:ind w:left="2220" w:hanging="360"/>
      </w:pPr>
      <w:rPr>
        <w:rFonts w:ascii="Courier New" w:hAnsi="Courier New" w:cs="Courier New" w:hint="default"/>
      </w:rPr>
    </w:lvl>
    <w:lvl w:ilvl="2" w:tplc="0C0A0005" w:tentative="1">
      <w:start w:val="1"/>
      <w:numFmt w:val="bullet"/>
      <w:lvlText w:val=""/>
      <w:lvlJc w:val="left"/>
      <w:pPr>
        <w:ind w:left="2940" w:hanging="360"/>
      </w:pPr>
      <w:rPr>
        <w:rFonts w:ascii="Wingdings" w:hAnsi="Wingdings" w:hint="default"/>
      </w:rPr>
    </w:lvl>
    <w:lvl w:ilvl="3" w:tplc="0C0A0001" w:tentative="1">
      <w:start w:val="1"/>
      <w:numFmt w:val="bullet"/>
      <w:lvlText w:val=""/>
      <w:lvlJc w:val="left"/>
      <w:pPr>
        <w:ind w:left="3660" w:hanging="360"/>
      </w:pPr>
      <w:rPr>
        <w:rFonts w:ascii="Symbol" w:hAnsi="Symbol" w:hint="default"/>
      </w:rPr>
    </w:lvl>
    <w:lvl w:ilvl="4" w:tplc="0C0A0003" w:tentative="1">
      <w:start w:val="1"/>
      <w:numFmt w:val="bullet"/>
      <w:lvlText w:val="o"/>
      <w:lvlJc w:val="left"/>
      <w:pPr>
        <w:ind w:left="4380" w:hanging="360"/>
      </w:pPr>
      <w:rPr>
        <w:rFonts w:ascii="Courier New" w:hAnsi="Courier New" w:cs="Courier New" w:hint="default"/>
      </w:rPr>
    </w:lvl>
    <w:lvl w:ilvl="5" w:tplc="0C0A0005" w:tentative="1">
      <w:start w:val="1"/>
      <w:numFmt w:val="bullet"/>
      <w:lvlText w:val=""/>
      <w:lvlJc w:val="left"/>
      <w:pPr>
        <w:ind w:left="5100" w:hanging="360"/>
      </w:pPr>
      <w:rPr>
        <w:rFonts w:ascii="Wingdings" w:hAnsi="Wingdings" w:hint="default"/>
      </w:rPr>
    </w:lvl>
    <w:lvl w:ilvl="6" w:tplc="0C0A0001" w:tentative="1">
      <w:start w:val="1"/>
      <w:numFmt w:val="bullet"/>
      <w:lvlText w:val=""/>
      <w:lvlJc w:val="left"/>
      <w:pPr>
        <w:ind w:left="5820" w:hanging="360"/>
      </w:pPr>
      <w:rPr>
        <w:rFonts w:ascii="Symbol" w:hAnsi="Symbol" w:hint="default"/>
      </w:rPr>
    </w:lvl>
    <w:lvl w:ilvl="7" w:tplc="0C0A0003" w:tentative="1">
      <w:start w:val="1"/>
      <w:numFmt w:val="bullet"/>
      <w:lvlText w:val="o"/>
      <w:lvlJc w:val="left"/>
      <w:pPr>
        <w:ind w:left="6540" w:hanging="360"/>
      </w:pPr>
      <w:rPr>
        <w:rFonts w:ascii="Courier New" w:hAnsi="Courier New" w:cs="Courier New" w:hint="default"/>
      </w:rPr>
    </w:lvl>
    <w:lvl w:ilvl="8" w:tplc="0C0A0005" w:tentative="1">
      <w:start w:val="1"/>
      <w:numFmt w:val="bullet"/>
      <w:lvlText w:val=""/>
      <w:lvlJc w:val="left"/>
      <w:pPr>
        <w:ind w:left="7260" w:hanging="360"/>
      </w:pPr>
      <w:rPr>
        <w:rFonts w:ascii="Wingdings" w:hAnsi="Wingdings" w:hint="default"/>
      </w:rPr>
    </w:lvl>
  </w:abstractNum>
  <w:abstractNum w:abstractNumId="125" w15:restartNumberingAfterBreak="0">
    <w:nsid w:val="706E0C73"/>
    <w:multiLevelType w:val="hybridMultilevel"/>
    <w:tmpl w:val="1918F92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6" w15:restartNumberingAfterBreak="0">
    <w:nsid w:val="71C31AD1"/>
    <w:multiLevelType w:val="hybridMultilevel"/>
    <w:tmpl w:val="3BD825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15:restartNumberingAfterBreak="0">
    <w:nsid w:val="72422E4F"/>
    <w:multiLevelType w:val="hybridMultilevel"/>
    <w:tmpl w:val="931056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756616B1"/>
    <w:multiLevelType w:val="hybridMultilevel"/>
    <w:tmpl w:val="8CB0A7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9" w15:restartNumberingAfterBreak="0">
    <w:nsid w:val="772B0403"/>
    <w:multiLevelType w:val="hybridMultilevel"/>
    <w:tmpl w:val="10E0DA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A100D28"/>
    <w:multiLevelType w:val="hybridMultilevel"/>
    <w:tmpl w:val="C37E59F2"/>
    <w:lvl w:ilvl="0" w:tplc="FD788292">
      <w:start w:val="1"/>
      <w:numFmt w:val="upperLetter"/>
      <w:lvlText w:val="%1."/>
      <w:lvlJc w:val="left"/>
      <w:pPr>
        <w:ind w:left="5670" w:hanging="5670"/>
      </w:pPr>
      <w:rPr>
        <w:rFonts w:hint="default"/>
        <w:b/>
      </w:rPr>
    </w:lvl>
    <w:lvl w:ilvl="1" w:tplc="BD4EF33E">
      <w:start w:val="17"/>
      <w:numFmt w:val="decimal"/>
      <w:lvlText w:val="%2."/>
      <w:lvlJc w:val="left"/>
      <w:pPr>
        <w:ind w:left="1650" w:hanging="570"/>
      </w:pPr>
      <w:rPr>
        <w:rFonts w:hint="default"/>
        <w:b/>
        <w:i w:val="0"/>
      </w:rPr>
    </w:lvl>
    <w:lvl w:ilvl="2" w:tplc="140C001B" w:tentative="1">
      <w:start w:val="1"/>
      <w:numFmt w:val="lowerRoman"/>
      <w:lvlText w:val="%3."/>
      <w:lvlJc w:val="right"/>
      <w:pPr>
        <w:ind w:left="2160" w:hanging="180"/>
      </w:pPr>
    </w:lvl>
    <w:lvl w:ilvl="3" w:tplc="140C000F" w:tentative="1">
      <w:start w:val="1"/>
      <w:numFmt w:val="decimal"/>
      <w:lvlText w:val="%4."/>
      <w:lvlJc w:val="left"/>
      <w:pPr>
        <w:ind w:left="2880" w:hanging="360"/>
      </w:pPr>
    </w:lvl>
    <w:lvl w:ilvl="4" w:tplc="140C0019" w:tentative="1">
      <w:start w:val="1"/>
      <w:numFmt w:val="lowerLetter"/>
      <w:lvlText w:val="%5."/>
      <w:lvlJc w:val="left"/>
      <w:pPr>
        <w:ind w:left="3600" w:hanging="360"/>
      </w:pPr>
    </w:lvl>
    <w:lvl w:ilvl="5" w:tplc="140C001B" w:tentative="1">
      <w:start w:val="1"/>
      <w:numFmt w:val="lowerRoman"/>
      <w:lvlText w:val="%6."/>
      <w:lvlJc w:val="right"/>
      <w:pPr>
        <w:ind w:left="4320" w:hanging="180"/>
      </w:pPr>
    </w:lvl>
    <w:lvl w:ilvl="6" w:tplc="140C000F" w:tentative="1">
      <w:start w:val="1"/>
      <w:numFmt w:val="decimal"/>
      <w:lvlText w:val="%7."/>
      <w:lvlJc w:val="left"/>
      <w:pPr>
        <w:ind w:left="5040" w:hanging="360"/>
      </w:pPr>
    </w:lvl>
    <w:lvl w:ilvl="7" w:tplc="140C0019" w:tentative="1">
      <w:start w:val="1"/>
      <w:numFmt w:val="lowerLetter"/>
      <w:lvlText w:val="%8."/>
      <w:lvlJc w:val="left"/>
      <w:pPr>
        <w:ind w:left="5760" w:hanging="360"/>
      </w:pPr>
    </w:lvl>
    <w:lvl w:ilvl="8" w:tplc="140C001B" w:tentative="1">
      <w:start w:val="1"/>
      <w:numFmt w:val="lowerRoman"/>
      <w:lvlText w:val="%9."/>
      <w:lvlJc w:val="right"/>
      <w:pPr>
        <w:ind w:left="6480" w:hanging="180"/>
      </w:pPr>
    </w:lvl>
  </w:abstractNum>
  <w:abstractNum w:abstractNumId="131" w15:restartNumberingAfterBreak="0">
    <w:nsid w:val="7AC34D35"/>
    <w:multiLevelType w:val="hybridMultilevel"/>
    <w:tmpl w:val="DB96A7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7C1E5C6E"/>
    <w:multiLevelType w:val="hybridMultilevel"/>
    <w:tmpl w:val="59F0BDE6"/>
    <w:lvl w:ilvl="0" w:tplc="0C0A0001">
      <w:start w:val="1"/>
      <w:numFmt w:val="bullet"/>
      <w:lvlText w:val=""/>
      <w:lvlJc w:val="left"/>
      <w:pPr>
        <w:ind w:left="1866" w:hanging="360"/>
      </w:pPr>
      <w:rPr>
        <w:rFonts w:ascii="Symbol" w:hAnsi="Symbol" w:hint="default"/>
      </w:rPr>
    </w:lvl>
    <w:lvl w:ilvl="1" w:tplc="0C0A0003" w:tentative="1">
      <w:start w:val="1"/>
      <w:numFmt w:val="bullet"/>
      <w:lvlText w:val="o"/>
      <w:lvlJc w:val="left"/>
      <w:pPr>
        <w:ind w:left="2586" w:hanging="360"/>
      </w:pPr>
      <w:rPr>
        <w:rFonts w:ascii="Courier New" w:hAnsi="Courier New" w:cs="Courier New" w:hint="default"/>
      </w:rPr>
    </w:lvl>
    <w:lvl w:ilvl="2" w:tplc="0C0A0005" w:tentative="1">
      <w:start w:val="1"/>
      <w:numFmt w:val="bullet"/>
      <w:lvlText w:val=""/>
      <w:lvlJc w:val="left"/>
      <w:pPr>
        <w:ind w:left="3306" w:hanging="360"/>
      </w:pPr>
      <w:rPr>
        <w:rFonts w:ascii="Wingdings" w:hAnsi="Wingdings" w:hint="default"/>
      </w:rPr>
    </w:lvl>
    <w:lvl w:ilvl="3" w:tplc="0C0A0001" w:tentative="1">
      <w:start w:val="1"/>
      <w:numFmt w:val="bullet"/>
      <w:lvlText w:val=""/>
      <w:lvlJc w:val="left"/>
      <w:pPr>
        <w:ind w:left="4026" w:hanging="360"/>
      </w:pPr>
      <w:rPr>
        <w:rFonts w:ascii="Symbol" w:hAnsi="Symbol" w:hint="default"/>
      </w:rPr>
    </w:lvl>
    <w:lvl w:ilvl="4" w:tplc="0C0A0003" w:tentative="1">
      <w:start w:val="1"/>
      <w:numFmt w:val="bullet"/>
      <w:lvlText w:val="o"/>
      <w:lvlJc w:val="left"/>
      <w:pPr>
        <w:ind w:left="4746" w:hanging="360"/>
      </w:pPr>
      <w:rPr>
        <w:rFonts w:ascii="Courier New" w:hAnsi="Courier New" w:cs="Courier New" w:hint="default"/>
      </w:rPr>
    </w:lvl>
    <w:lvl w:ilvl="5" w:tplc="0C0A0005" w:tentative="1">
      <w:start w:val="1"/>
      <w:numFmt w:val="bullet"/>
      <w:lvlText w:val=""/>
      <w:lvlJc w:val="left"/>
      <w:pPr>
        <w:ind w:left="5466" w:hanging="360"/>
      </w:pPr>
      <w:rPr>
        <w:rFonts w:ascii="Wingdings" w:hAnsi="Wingdings" w:hint="default"/>
      </w:rPr>
    </w:lvl>
    <w:lvl w:ilvl="6" w:tplc="0C0A0001" w:tentative="1">
      <w:start w:val="1"/>
      <w:numFmt w:val="bullet"/>
      <w:lvlText w:val=""/>
      <w:lvlJc w:val="left"/>
      <w:pPr>
        <w:ind w:left="6186" w:hanging="360"/>
      </w:pPr>
      <w:rPr>
        <w:rFonts w:ascii="Symbol" w:hAnsi="Symbol" w:hint="default"/>
      </w:rPr>
    </w:lvl>
    <w:lvl w:ilvl="7" w:tplc="0C0A0003" w:tentative="1">
      <w:start w:val="1"/>
      <w:numFmt w:val="bullet"/>
      <w:lvlText w:val="o"/>
      <w:lvlJc w:val="left"/>
      <w:pPr>
        <w:ind w:left="6906" w:hanging="360"/>
      </w:pPr>
      <w:rPr>
        <w:rFonts w:ascii="Courier New" w:hAnsi="Courier New" w:cs="Courier New" w:hint="default"/>
      </w:rPr>
    </w:lvl>
    <w:lvl w:ilvl="8" w:tplc="0C0A0005" w:tentative="1">
      <w:start w:val="1"/>
      <w:numFmt w:val="bullet"/>
      <w:lvlText w:val=""/>
      <w:lvlJc w:val="left"/>
      <w:pPr>
        <w:ind w:left="7626" w:hanging="360"/>
      </w:pPr>
      <w:rPr>
        <w:rFonts w:ascii="Wingdings" w:hAnsi="Wingdings" w:hint="default"/>
      </w:rPr>
    </w:lvl>
  </w:abstractNum>
  <w:abstractNum w:abstractNumId="133" w15:restartNumberingAfterBreak="0">
    <w:nsid w:val="7DD77FAC"/>
    <w:multiLevelType w:val="hybridMultilevel"/>
    <w:tmpl w:val="6A942482"/>
    <w:lvl w:ilvl="0" w:tplc="0C0A0001">
      <w:start w:val="1"/>
      <w:numFmt w:val="bullet"/>
      <w:lvlText w:val=""/>
      <w:lvlJc w:val="left"/>
      <w:pPr>
        <w:ind w:left="1275" w:hanging="360"/>
      </w:pPr>
      <w:rPr>
        <w:rFonts w:ascii="Symbol" w:hAnsi="Symbol" w:hint="default"/>
      </w:rPr>
    </w:lvl>
    <w:lvl w:ilvl="1" w:tplc="0C0A0003" w:tentative="1">
      <w:start w:val="1"/>
      <w:numFmt w:val="bullet"/>
      <w:lvlText w:val="o"/>
      <w:lvlJc w:val="left"/>
      <w:pPr>
        <w:ind w:left="1995" w:hanging="360"/>
      </w:pPr>
      <w:rPr>
        <w:rFonts w:ascii="Courier New" w:hAnsi="Courier New" w:cs="Courier New" w:hint="default"/>
      </w:rPr>
    </w:lvl>
    <w:lvl w:ilvl="2" w:tplc="0C0A0005" w:tentative="1">
      <w:start w:val="1"/>
      <w:numFmt w:val="bullet"/>
      <w:lvlText w:val=""/>
      <w:lvlJc w:val="left"/>
      <w:pPr>
        <w:ind w:left="2715" w:hanging="360"/>
      </w:pPr>
      <w:rPr>
        <w:rFonts w:ascii="Wingdings" w:hAnsi="Wingdings" w:hint="default"/>
      </w:rPr>
    </w:lvl>
    <w:lvl w:ilvl="3" w:tplc="0C0A0001" w:tentative="1">
      <w:start w:val="1"/>
      <w:numFmt w:val="bullet"/>
      <w:lvlText w:val=""/>
      <w:lvlJc w:val="left"/>
      <w:pPr>
        <w:ind w:left="3435" w:hanging="360"/>
      </w:pPr>
      <w:rPr>
        <w:rFonts w:ascii="Symbol" w:hAnsi="Symbol" w:hint="default"/>
      </w:rPr>
    </w:lvl>
    <w:lvl w:ilvl="4" w:tplc="0C0A0003" w:tentative="1">
      <w:start w:val="1"/>
      <w:numFmt w:val="bullet"/>
      <w:lvlText w:val="o"/>
      <w:lvlJc w:val="left"/>
      <w:pPr>
        <w:ind w:left="4155" w:hanging="360"/>
      </w:pPr>
      <w:rPr>
        <w:rFonts w:ascii="Courier New" w:hAnsi="Courier New" w:cs="Courier New" w:hint="default"/>
      </w:rPr>
    </w:lvl>
    <w:lvl w:ilvl="5" w:tplc="0C0A0005" w:tentative="1">
      <w:start w:val="1"/>
      <w:numFmt w:val="bullet"/>
      <w:lvlText w:val=""/>
      <w:lvlJc w:val="left"/>
      <w:pPr>
        <w:ind w:left="4875" w:hanging="360"/>
      </w:pPr>
      <w:rPr>
        <w:rFonts w:ascii="Wingdings" w:hAnsi="Wingdings" w:hint="default"/>
      </w:rPr>
    </w:lvl>
    <w:lvl w:ilvl="6" w:tplc="0C0A0001" w:tentative="1">
      <w:start w:val="1"/>
      <w:numFmt w:val="bullet"/>
      <w:lvlText w:val=""/>
      <w:lvlJc w:val="left"/>
      <w:pPr>
        <w:ind w:left="5595" w:hanging="360"/>
      </w:pPr>
      <w:rPr>
        <w:rFonts w:ascii="Symbol" w:hAnsi="Symbol" w:hint="default"/>
      </w:rPr>
    </w:lvl>
    <w:lvl w:ilvl="7" w:tplc="0C0A0003" w:tentative="1">
      <w:start w:val="1"/>
      <w:numFmt w:val="bullet"/>
      <w:lvlText w:val="o"/>
      <w:lvlJc w:val="left"/>
      <w:pPr>
        <w:ind w:left="6315" w:hanging="360"/>
      </w:pPr>
      <w:rPr>
        <w:rFonts w:ascii="Courier New" w:hAnsi="Courier New" w:cs="Courier New" w:hint="default"/>
      </w:rPr>
    </w:lvl>
    <w:lvl w:ilvl="8" w:tplc="0C0A0005" w:tentative="1">
      <w:start w:val="1"/>
      <w:numFmt w:val="bullet"/>
      <w:lvlText w:val=""/>
      <w:lvlJc w:val="left"/>
      <w:pPr>
        <w:ind w:left="7035" w:hanging="360"/>
      </w:pPr>
      <w:rPr>
        <w:rFonts w:ascii="Wingdings" w:hAnsi="Wingdings" w:hint="default"/>
      </w:rPr>
    </w:lvl>
  </w:abstractNum>
  <w:abstractNum w:abstractNumId="134" w15:restartNumberingAfterBreak="0">
    <w:nsid w:val="7EDE6A3C"/>
    <w:multiLevelType w:val="hybridMultilevel"/>
    <w:tmpl w:val="A8F2F9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lvlOverride w:ilvl="0">
      <w:lvl w:ilvl="0">
        <w:start w:val="1"/>
        <w:numFmt w:val="bullet"/>
        <w:lvlText w:val="-"/>
        <w:legacy w:legacy="1" w:legacySpace="0" w:legacyIndent="360"/>
        <w:lvlJc w:val="left"/>
        <w:pPr>
          <w:ind w:left="360" w:hanging="360"/>
        </w:pPr>
      </w:lvl>
    </w:lvlOverride>
  </w:num>
  <w:num w:numId="2">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118"/>
  </w:num>
  <w:num w:numId="4">
    <w:abstractNumId w:val="117"/>
  </w:num>
  <w:num w:numId="5">
    <w:abstractNumId w:val="46"/>
  </w:num>
  <w:num w:numId="6">
    <w:abstractNumId w:val="91"/>
  </w:num>
  <w:num w:numId="7">
    <w:abstractNumId w:val="77"/>
  </w:num>
  <w:num w:numId="8">
    <w:abstractNumId w:val="37"/>
  </w:num>
  <w:num w:numId="9">
    <w:abstractNumId w:val="114"/>
  </w:num>
  <w:num w:numId="10">
    <w:abstractNumId w:val="1"/>
  </w:num>
  <w:num w:numId="11">
    <w:abstractNumId w:val="50"/>
  </w:num>
  <w:num w:numId="12">
    <w:abstractNumId w:val="120"/>
  </w:num>
  <w:num w:numId="13">
    <w:abstractNumId w:val="116"/>
  </w:num>
  <w:num w:numId="14">
    <w:abstractNumId w:val="56"/>
  </w:num>
  <w:num w:numId="15">
    <w:abstractNumId w:val="96"/>
  </w:num>
  <w:num w:numId="16">
    <w:abstractNumId w:val="49"/>
  </w:num>
  <w:num w:numId="17">
    <w:abstractNumId w:val="39"/>
  </w:num>
  <w:num w:numId="18">
    <w:abstractNumId w:val="10"/>
    <w:lvlOverride w:ilvl="0">
      <w:lvl w:ilvl="0">
        <w:numFmt w:val="bullet"/>
        <w:lvlText w:val=""/>
        <w:legacy w:legacy="1" w:legacySpace="0" w:legacyIndent="360"/>
        <w:lvlJc w:val="left"/>
        <w:rPr>
          <w:rFonts w:ascii="Symbol" w:hAnsi="Symbol" w:hint="default"/>
        </w:rPr>
      </w:lvl>
    </w:lvlOverride>
  </w:num>
  <w:num w:numId="19">
    <w:abstractNumId w:val="63"/>
  </w:num>
  <w:num w:numId="20">
    <w:abstractNumId w:val="36"/>
  </w:num>
  <w:num w:numId="21">
    <w:abstractNumId w:val="85"/>
  </w:num>
  <w:num w:numId="22">
    <w:abstractNumId w:val="42"/>
  </w:num>
  <w:num w:numId="23">
    <w:abstractNumId w:val="62"/>
  </w:num>
  <w:num w:numId="24">
    <w:abstractNumId w:val="31"/>
  </w:num>
  <w:num w:numId="25">
    <w:abstractNumId w:val="84"/>
  </w:num>
  <w:num w:numId="26">
    <w:abstractNumId w:val="41"/>
  </w:num>
  <w:num w:numId="27">
    <w:abstractNumId w:val="101"/>
  </w:num>
  <w:num w:numId="28">
    <w:abstractNumId w:val="134"/>
  </w:num>
  <w:num w:numId="29">
    <w:abstractNumId w:val="48"/>
  </w:num>
  <w:num w:numId="30">
    <w:abstractNumId w:val="122"/>
  </w:num>
  <w:num w:numId="31">
    <w:abstractNumId w:val="100"/>
  </w:num>
  <w:num w:numId="32">
    <w:abstractNumId w:val="13"/>
  </w:num>
  <w:num w:numId="33">
    <w:abstractNumId w:val="90"/>
  </w:num>
  <w:num w:numId="34">
    <w:abstractNumId w:val="81"/>
  </w:num>
  <w:num w:numId="35">
    <w:abstractNumId w:val="54"/>
  </w:num>
  <w:num w:numId="36">
    <w:abstractNumId w:val="44"/>
  </w:num>
  <w:num w:numId="37">
    <w:abstractNumId w:val="9"/>
  </w:num>
  <w:num w:numId="38">
    <w:abstractNumId w:val="7"/>
  </w:num>
  <w:num w:numId="39">
    <w:abstractNumId w:val="6"/>
  </w:num>
  <w:num w:numId="40">
    <w:abstractNumId w:val="5"/>
  </w:num>
  <w:num w:numId="41">
    <w:abstractNumId w:val="4"/>
  </w:num>
  <w:num w:numId="42">
    <w:abstractNumId w:val="8"/>
  </w:num>
  <w:num w:numId="43">
    <w:abstractNumId w:val="3"/>
  </w:num>
  <w:num w:numId="44">
    <w:abstractNumId w:val="2"/>
  </w:num>
  <w:num w:numId="45">
    <w:abstractNumId w:val="0"/>
  </w:num>
  <w:num w:numId="46">
    <w:abstractNumId w:val="129"/>
  </w:num>
  <w:num w:numId="47">
    <w:abstractNumId w:val="20"/>
  </w:num>
  <w:num w:numId="48">
    <w:abstractNumId w:val="73"/>
  </w:num>
  <w:num w:numId="49">
    <w:abstractNumId w:val="25"/>
  </w:num>
  <w:num w:numId="50">
    <w:abstractNumId w:val="57"/>
  </w:num>
  <w:num w:numId="51">
    <w:abstractNumId w:val="60"/>
  </w:num>
  <w:num w:numId="52">
    <w:abstractNumId w:val="124"/>
  </w:num>
  <w:num w:numId="53">
    <w:abstractNumId w:val="97"/>
  </w:num>
  <w:num w:numId="54">
    <w:abstractNumId w:val="53"/>
  </w:num>
  <w:num w:numId="55">
    <w:abstractNumId w:val="18"/>
  </w:num>
  <w:num w:numId="56">
    <w:abstractNumId w:val="127"/>
  </w:num>
  <w:num w:numId="57">
    <w:abstractNumId w:val="29"/>
  </w:num>
  <w:num w:numId="58">
    <w:abstractNumId w:val="22"/>
  </w:num>
  <w:num w:numId="59">
    <w:abstractNumId w:val="95"/>
  </w:num>
  <w:num w:numId="60">
    <w:abstractNumId w:val="64"/>
  </w:num>
  <w:num w:numId="61">
    <w:abstractNumId w:val="30"/>
  </w:num>
  <w:num w:numId="62">
    <w:abstractNumId w:val="47"/>
  </w:num>
  <w:num w:numId="63">
    <w:abstractNumId w:val="28"/>
  </w:num>
  <w:num w:numId="64">
    <w:abstractNumId w:val="107"/>
  </w:num>
  <w:num w:numId="65">
    <w:abstractNumId w:val="102"/>
  </w:num>
  <w:num w:numId="66">
    <w:abstractNumId w:val="108"/>
  </w:num>
  <w:num w:numId="67">
    <w:abstractNumId w:val="86"/>
  </w:num>
  <w:num w:numId="68">
    <w:abstractNumId w:val="112"/>
  </w:num>
  <w:num w:numId="69">
    <w:abstractNumId w:val="103"/>
  </w:num>
  <w:num w:numId="70">
    <w:abstractNumId w:val="23"/>
  </w:num>
  <w:num w:numId="71">
    <w:abstractNumId w:val="121"/>
  </w:num>
  <w:num w:numId="72">
    <w:abstractNumId w:val="14"/>
  </w:num>
  <w:num w:numId="73">
    <w:abstractNumId w:val="106"/>
  </w:num>
  <w:num w:numId="74">
    <w:abstractNumId w:val="32"/>
  </w:num>
  <w:num w:numId="75">
    <w:abstractNumId w:val="72"/>
  </w:num>
  <w:num w:numId="76">
    <w:abstractNumId w:val="115"/>
  </w:num>
  <w:num w:numId="77">
    <w:abstractNumId w:val="70"/>
  </w:num>
  <w:num w:numId="78">
    <w:abstractNumId w:val="89"/>
  </w:num>
  <w:num w:numId="79">
    <w:abstractNumId w:val="34"/>
  </w:num>
  <w:num w:numId="80">
    <w:abstractNumId w:val="67"/>
  </w:num>
  <w:num w:numId="81">
    <w:abstractNumId w:val="71"/>
  </w:num>
  <w:num w:numId="82">
    <w:abstractNumId w:val="83"/>
  </w:num>
  <w:num w:numId="83">
    <w:abstractNumId w:val="126"/>
  </w:num>
  <w:num w:numId="84">
    <w:abstractNumId w:val="27"/>
  </w:num>
  <w:num w:numId="85">
    <w:abstractNumId w:val="93"/>
  </w:num>
  <w:num w:numId="86">
    <w:abstractNumId w:val="26"/>
  </w:num>
  <w:num w:numId="87">
    <w:abstractNumId w:val="113"/>
  </w:num>
  <w:num w:numId="88">
    <w:abstractNumId w:val="133"/>
  </w:num>
  <w:num w:numId="89">
    <w:abstractNumId w:val="35"/>
  </w:num>
  <w:num w:numId="90">
    <w:abstractNumId w:val="16"/>
  </w:num>
  <w:num w:numId="91">
    <w:abstractNumId w:val="111"/>
  </w:num>
  <w:num w:numId="92">
    <w:abstractNumId w:val="78"/>
  </w:num>
  <w:num w:numId="93">
    <w:abstractNumId w:val="130"/>
  </w:num>
  <w:num w:numId="94">
    <w:abstractNumId w:val="119"/>
  </w:num>
  <w:num w:numId="95">
    <w:abstractNumId w:val="79"/>
  </w:num>
  <w:num w:numId="96">
    <w:abstractNumId w:val="33"/>
  </w:num>
  <w:num w:numId="97">
    <w:abstractNumId w:val="87"/>
  </w:num>
  <w:num w:numId="98">
    <w:abstractNumId w:val="104"/>
  </w:num>
  <w:num w:numId="99">
    <w:abstractNumId w:val="92"/>
  </w:num>
  <w:num w:numId="100">
    <w:abstractNumId w:val="52"/>
  </w:num>
  <w:num w:numId="101">
    <w:abstractNumId w:val="58"/>
  </w:num>
  <w:num w:numId="102">
    <w:abstractNumId w:val="99"/>
  </w:num>
  <w:num w:numId="103">
    <w:abstractNumId w:val="45"/>
  </w:num>
  <w:num w:numId="104">
    <w:abstractNumId w:val="68"/>
  </w:num>
  <w:num w:numId="105">
    <w:abstractNumId w:val="125"/>
  </w:num>
  <w:num w:numId="106">
    <w:abstractNumId w:val="74"/>
  </w:num>
  <w:num w:numId="107">
    <w:abstractNumId w:val="82"/>
  </w:num>
  <w:num w:numId="108">
    <w:abstractNumId w:val="19"/>
  </w:num>
  <w:num w:numId="109">
    <w:abstractNumId w:val="21"/>
  </w:num>
  <w:num w:numId="110">
    <w:abstractNumId w:val="128"/>
  </w:num>
  <w:num w:numId="111">
    <w:abstractNumId w:val="66"/>
  </w:num>
  <w:num w:numId="112">
    <w:abstractNumId w:val="132"/>
  </w:num>
  <w:num w:numId="113">
    <w:abstractNumId w:val="11"/>
  </w:num>
  <w:num w:numId="114">
    <w:abstractNumId w:val="12"/>
  </w:num>
  <w:num w:numId="115">
    <w:abstractNumId w:val="40"/>
  </w:num>
  <w:num w:numId="116">
    <w:abstractNumId w:val="69"/>
  </w:num>
  <w:num w:numId="117">
    <w:abstractNumId w:val="80"/>
  </w:num>
  <w:num w:numId="118">
    <w:abstractNumId w:val="131"/>
  </w:num>
  <w:num w:numId="119">
    <w:abstractNumId w:val="75"/>
  </w:num>
  <w:num w:numId="120">
    <w:abstractNumId w:val="24"/>
  </w:num>
  <w:num w:numId="121">
    <w:abstractNumId w:val="15"/>
  </w:num>
  <w:num w:numId="122">
    <w:abstractNumId w:val="43"/>
  </w:num>
  <w:num w:numId="123">
    <w:abstractNumId w:val="76"/>
  </w:num>
  <w:num w:numId="124">
    <w:abstractNumId w:val="17"/>
  </w:num>
  <w:num w:numId="125">
    <w:abstractNumId w:val="38"/>
  </w:num>
  <w:num w:numId="126">
    <w:abstractNumId w:val="110"/>
  </w:num>
  <w:num w:numId="127">
    <w:abstractNumId w:val="55"/>
  </w:num>
  <w:num w:numId="128">
    <w:abstractNumId w:val="59"/>
  </w:num>
  <w:num w:numId="129">
    <w:abstractNumId w:val="98"/>
  </w:num>
  <w:num w:numId="130">
    <w:abstractNumId w:val="123"/>
  </w:num>
  <w:num w:numId="131">
    <w:abstractNumId w:val="109"/>
  </w:num>
  <w:num w:numId="132">
    <w:abstractNumId w:val="61"/>
  </w:num>
  <w:num w:numId="133">
    <w:abstractNumId w:val="94"/>
  </w:num>
  <w:num w:numId="134">
    <w:abstractNumId w:val="105"/>
  </w:num>
  <w:num w:numId="135">
    <w:abstractNumId w:val="51"/>
  </w:num>
  <w:num w:numId="136">
    <w:abstractNumId w:val="65"/>
  </w:num>
  <w:num w:numId="137">
    <w:abstractNumId w:val="88"/>
  </w:num>
  <w:numIdMacAtCleanup w:val="13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tcs">
    <w15:presenceInfo w15:providerId="None" w15:userId="tcs"/>
  </w15:person>
  <w15:person w15:author="TCS">
    <w15:presenceInfo w15:providerId="None" w15:userId="TC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it-IT" w:vendorID="3" w:dllVersion="517" w:checkStyle="1"/>
  <w:activeWritingStyle w:appName="MSWord" w:lang="pt-BR" w:vendorID="1" w:dllVersion="513" w:checkStyle="1"/>
  <w:activeWritingStyle w:appName="MSWord" w:lang="nl-NL" w:vendorID="1" w:dllVersion="512" w:checkStyle="1"/>
  <w:activeWritingStyle w:appName="MSWord" w:lang="pl-PL" w:vendorID="12" w:dllVersion="512" w:checkStyle="1"/>
  <w:activeWritingStyle w:appName="MSWord" w:lang="pt-PT" w:vendorID="13" w:dllVersion="513" w:checkStyle="1"/>
  <w:activeWritingStyle w:appName="MSWord" w:lang="fi-FI" w:vendorID="666" w:dllVersion="513" w:checkStyle="1"/>
  <w:activeWritingStyle w:appName="MSWord" w:lang="pt-PT" w:vendorID="1" w:dllVersion="513" w:checkStyle="1"/>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561"/>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ldViewShowStyleArea" w:val="6"/>
    <w:docVar w:name="Registered" w:val="-1"/>
    <w:docVar w:name="Version" w:val="0"/>
  </w:docVars>
  <w:rsids>
    <w:rsidRoot w:val="00147541"/>
    <w:rsid w:val="00000156"/>
    <w:rsid w:val="00000373"/>
    <w:rsid w:val="000003EC"/>
    <w:rsid w:val="000005C0"/>
    <w:rsid w:val="0000067C"/>
    <w:rsid w:val="00000FB1"/>
    <w:rsid w:val="00002B71"/>
    <w:rsid w:val="00003865"/>
    <w:rsid w:val="000039BB"/>
    <w:rsid w:val="000045E4"/>
    <w:rsid w:val="00004756"/>
    <w:rsid w:val="0000549C"/>
    <w:rsid w:val="0000575F"/>
    <w:rsid w:val="000059F6"/>
    <w:rsid w:val="0000698F"/>
    <w:rsid w:val="000075C6"/>
    <w:rsid w:val="00007D10"/>
    <w:rsid w:val="000104B2"/>
    <w:rsid w:val="000104E0"/>
    <w:rsid w:val="00010736"/>
    <w:rsid w:val="000108D0"/>
    <w:rsid w:val="000109EE"/>
    <w:rsid w:val="000112A4"/>
    <w:rsid w:val="000112B1"/>
    <w:rsid w:val="000113E2"/>
    <w:rsid w:val="00011828"/>
    <w:rsid w:val="00011C8D"/>
    <w:rsid w:val="00012182"/>
    <w:rsid w:val="00012929"/>
    <w:rsid w:val="00013083"/>
    <w:rsid w:val="00013678"/>
    <w:rsid w:val="0001390E"/>
    <w:rsid w:val="00014101"/>
    <w:rsid w:val="000143BB"/>
    <w:rsid w:val="00014686"/>
    <w:rsid w:val="00014A94"/>
    <w:rsid w:val="00014AFD"/>
    <w:rsid w:val="00014B17"/>
    <w:rsid w:val="00014FE4"/>
    <w:rsid w:val="00015882"/>
    <w:rsid w:val="0001641B"/>
    <w:rsid w:val="0001703D"/>
    <w:rsid w:val="00017351"/>
    <w:rsid w:val="00017753"/>
    <w:rsid w:val="00017762"/>
    <w:rsid w:val="0002006D"/>
    <w:rsid w:val="00020C44"/>
    <w:rsid w:val="00020FA2"/>
    <w:rsid w:val="000212E3"/>
    <w:rsid w:val="00021532"/>
    <w:rsid w:val="00021627"/>
    <w:rsid w:val="000228A1"/>
    <w:rsid w:val="000228E7"/>
    <w:rsid w:val="00022B11"/>
    <w:rsid w:val="0002330E"/>
    <w:rsid w:val="0002355A"/>
    <w:rsid w:val="0002367B"/>
    <w:rsid w:val="00023FC7"/>
    <w:rsid w:val="00024687"/>
    <w:rsid w:val="00024761"/>
    <w:rsid w:val="0002479B"/>
    <w:rsid w:val="0002641F"/>
    <w:rsid w:val="0003068E"/>
    <w:rsid w:val="0003092D"/>
    <w:rsid w:val="00030F0D"/>
    <w:rsid w:val="00031422"/>
    <w:rsid w:val="00031483"/>
    <w:rsid w:val="00031E7F"/>
    <w:rsid w:val="00032302"/>
    <w:rsid w:val="000325D6"/>
    <w:rsid w:val="00032F36"/>
    <w:rsid w:val="00033CE2"/>
    <w:rsid w:val="00034C16"/>
    <w:rsid w:val="00034C66"/>
    <w:rsid w:val="00035458"/>
    <w:rsid w:val="00035468"/>
    <w:rsid w:val="00035686"/>
    <w:rsid w:val="00035C7B"/>
    <w:rsid w:val="000364F0"/>
    <w:rsid w:val="00036AA0"/>
    <w:rsid w:val="000373B8"/>
    <w:rsid w:val="00037A04"/>
    <w:rsid w:val="00040439"/>
    <w:rsid w:val="00040C9E"/>
    <w:rsid w:val="00040E55"/>
    <w:rsid w:val="0004114A"/>
    <w:rsid w:val="00041250"/>
    <w:rsid w:val="000413D3"/>
    <w:rsid w:val="00041466"/>
    <w:rsid w:val="0004190F"/>
    <w:rsid w:val="00041ECF"/>
    <w:rsid w:val="0004215F"/>
    <w:rsid w:val="00042A36"/>
    <w:rsid w:val="00042DC3"/>
    <w:rsid w:val="00042DFC"/>
    <w:rsid w:val="00042F2E"/>
    <w:rsid w:val="00042FB9"/>
    <w:rsid w:val="00043687"/>
    <w:rsid w:val="000439C1"/>
    <w:rsid w:val="00043E6C"/>
    <w:rsid w:val="000446CC"/>
    <w:rsid w:val="000449F6"/>
    <w:rsid w:val="0004557A"/>
    <w:rsid w:val="000457A8"/>
    <w:rsid w:val="00045AC2"/>
    <w:rsid w:val="00046FF1"/>
    <w:rsid w:val="00047157"/>
    <w:rsid w:val="0004794A"/>
    <w:rsid w:val="00047AA7"/>
    <w:rsid w:val="00047B10"/>
    <w:rsid w:val="00047BAB"/>
    <w:rsid w:val="00047BC3"/>
    <w:rsid w:val="0005009E"/>
    <w:rsid w:val="00050C86"/>
    <w:rsid w:val="00050CB2"/>
    <w:rsid w:val="00050D0C"/>
    <w:rsid w:val="0005109A"/>
    <w:rsid w:val="000518F7"/>
    <w:rsid w:val="00052A9D"/>
    <w:rsid w:val="00052BF0"/>
    <w:rsid w:val="00052CF4"/>
    <w:rsid w:val="00053C19"/>
    <w:rsid w:val="0005428B"/>
    <w:rsid w:val="00054493"/>
    <w:rsid w:val="00054A77"/>
    <w:rsid w:val="00055468"/>
    <w:rsid w:val="00056499"/>
    <w:rsid w:val="000565CA"/>
    <w:rsid w:val="00057322"/>
    <w:rsid w:val="0005785B"/>
    <w:rsid w:val="000579C6"/>
    <w:rsid w:val="00060699"/>
    <w:rsid w:val="00060B21"/>
    <w:rsid w:val="00060D87"/>
    <w:rsid w:val="00060EFC"/>
    <w:rsid w:val="00060F6A"/>
    <w:rsid w:val="00060FB9"/>
    <w:rsid w:val="0006106B"/>
    <w:rsid w:val="00062116"/>
    <w:rsid w:val="0006308B"/>
    <w:rsid w:val="0006341F"/>
    <w:rsid w:val="00064FDA"/>
    <w:rsid w:val="00065F93"/>
    <w:rsid w:val="000663AE"/>
    <w:rsid w:val="0006650E"/>
    <w:rsid w:val="0006690B"/>
    <w:rsid w:val="000672DC"/>
    <w:rsid w:val="00067531"/>
    <w:rsid w:val="00067748"/>
    <w:rsid w:val="000679B6"/>
    <w:rsid w:val="00067DE3"/>
    <w:rsid w:val="000707B9"/>
    <w:rsid w:val="00071F45"/>
    <w:rsid w:val="00072646"/>
    <w:rsid w:val="0007279E"/>
    <w:rsid w:val="00072897"/>
    <w:rsid w:val="00073815"/>
    <w:rsid w:val="0007383A"/>
    <w:rsid w:val="000739BF"/>
    <w:rsid w:val="00074A38"/>
    <w:rsid w:val="00074F75"/>
    <w:rsid w:val="00075DF5"/>
    <w:rsid w:val="00076360"/>
    <w:rsid w:val="00076A3E"/>
    <w:rsid w:val="00076F58"/>
    <w:rsid w:val="000776DF"/>
    <w:rsid w:val="00077DC8"/>
    <w:rsid w:val="000802C6"/>
    <w:rsid w:val="00080CFE"/>
    <w:rsid w:val="00082C58"/>
    <w:rsid w:val="0008331B"/>
    <w:rsid w:val="00083945"/>
    <w:rsid w:val="00083967"/>
    <w:rsid w:val="00083CB8"/>
    <w:rsid w:val="00084326"/>
    <w:rsid w:val="00084CB7"/>
    <w:rsid w:val="00086201"/>
    <w:rsid w:val="00086826"/>
    <w:rsid w:val="00086861"/>
    <w:rsid w:val="00087BED"/>
    <w:rsid w:val="00087D06"/>
    <w:rsid w:val="00090258"/>
    <w:rsid w:val="000903D7"/>
    <w:rsid w:val="000904DB"/>
    <w:rsid w:val="000904F7"/>
    <w:rsid w:val="00090A28"/>
    <w:rsid w:val="0009102A"/>
    <w:rsid w:val="000911DD"/>
    <w:rsid w:val="000915BD"/>
    <w:rsid w:val="00091B1E"/>
    <w:rsid w:val="00091C58"/>
    <w:rsid w:val="00091E13"/>
    <w:rsid w:val="0009240B"/>
    <w:rsid w:val="00092CF5"/>
    <w:rsid w:val="00093744"/>
    <w:rsid w:val="00093A3C"/>
    <w:rsid w:val="00093B77"/>
    <w:rsid w:val="00093BA7"/>
    <w:rsid w:val="00093E08"/>
    <w:rsid w:val="00095304"/>
    <w:rsid w:val="000955F2"/>
    <w:rsid w:val="0009589C"/>
    <w:rsid w:val="00095953"/>
    <w:rsid w:val="00095A09"/>
    <w:rsid w:val="00095E32"/>
    <w:rsid w:val="000963B9"/>
    <w:rsid w:val="000969B2"/>
    <w:rsid w:val="00096E1B"/>
    <w:rsid w:val="00097C58"/>
    <w:rsid w:val="000A0637"/>
    <w:rsid w:val="000A0690"/>
    <w:rsid w:val="000A0BD6"/>
    <w:rsid w:val="000A131B"/>
    <w:rsid w:val="000A218C"/>
    <w:rsid w:val="000A2243"/>
    <w:rsid w:val="000A3B60"/>
    <w:rsid w:val="000A3B74"/>
    <w:rsid w:val="000A4868"/>
    <w:rsid w:val="000A49C1"/>
    <w:rsid w:val="000A4F55"/>
    <w:rsid w:val="000A56E3"/>
    <w:rsid w:val="000A5962"/>
    <w:rsid w:val="000A5A2E"/>
    <w:rsid w:val="000A5E80"/>
    <w:rsid w:val="000A60A2"/>
    <w:rsid w:val="000A6882"/>
    <w:rsid w:val="000A68D1"/>
    <w:rsid w:val="000A6CA7"/>
    <w:rsid w:val="000A6EEF"/>
    <w:rsid w:val="000A702B"/>
    <w:rsid w:val="000A758D"/>
    <w:rsid w:val="000A762F"/>
    <w:rsid w:val="000A7A34"/>
    <w:rsid w:val="000A7D10"/>
    <w:rsid w:val="000A7E79"/>
    <w:rsid w:val="000B0B30"/>
    <w:rsid w:val="000B16F8"/>
    <w:rsid w:val="000B1BC2"/>
    <w:rsid w:val="000B2197"/>
    <w:rsid w:val="000B22CA"/>
    <w:rsid w:val="000B244D"/>
    <w:rsid w:val="000B2970"/>
    <w:rsid w:val="000B2BA9"/>
    <w:rsid w:val="000B2E31"/>
    <w:rsid w:val="000B4211"/>
    <w:rsid w:val="000B447D"/>
    <w:rsid w:val="000B454F"/>
    <w:rsid w:val="000B461E"/>
    <w:rsid w:val="000B57A0"/>
    <w:rsid w:val="000B590F"/>
    <w:rsid w:val="000B5EA2"/>
    <w:rsid w:val="000B6002"/>
    <w:rsid w:val="000B7663"/>
    <w:rsid w:val="000B7D97"/>
    <w:rsid w:val="000B7F8C"/>
    <w:rsid w:val="000C00FA"/>
    <w:rsid w:val="000C08F0"/>
    <w:rsid w:val="000C0AC5"/>
    <w:rsid w:val="000C0EC8"/>
    <w:rsid w:val="000C0EF4"/>
    <w:rsid w:val="000C119B"/>
    <w:rsid w:val="000C11B0"/>
    <w:rsid w:val="000C11EF"/>
    <w:rsid w:val="000C11F0"/>
    <w:rsid w:val="000C13E2"/>
    <w:rsid w:val="000C15C5"/>
    <w:rsid w:val="000C1B14"/>
    <w:rsid w:val="000C1D80"/>
    <w:rsid w:val="000C2758"/>
    <w:rsid w:val="000C2ADC"/>
    <w:rsid w:val="000C3295"/>
    <w:rsid w:val="000C3494"/>
    <w:rsid w:val="000C3AC2"/>
    <w:rsid w:val="000C44BF"/>
    <w:rsid w:val="000C57B3"/>
    <w:rsid w:val="000C6370"/>
    <w:rsid w:val="000C6BC7"/>
    <w:rsid w:val="000C6FE2"/>
    <w:rsid w:val="000C743D"/>
    <w:rsid w:val="000C7D20"/>
    <w:rsid w:val="000D09FA"/>
    <w:rsid w:val="000D172E"/>
    <w:rsid w:val="000D2D73"/>
    <w:rsid w:val="000D3B2F"/>
    <w:rsid w:val="000D4442"/>
    <w:rsid w:val="000D45DD"/>
    <w:rsid w:val="000D48F4"/>
    <w:rsid w:val="000D49B5"/>
    <w:rsid w:val="000D4C64"/>
    <w:rsid w:val="000D5414"/>
    <w:rsid w:val="000D559F"/>
    <w:rsid w:val="000D6381"/>
    <w:rsid w:val="000D6881"/>
    <w:rsid w:val="000D6E26"/>
    <w:rsid w:val="000D74F0"/>
    <w:rsid w:val="000D7D1A"/>
    <w:rsid w:val="000E017E"/>
    <w:rsid w:val="000E066A"/>
    <w:rsid w:val="000E0876"/>
    <w:rsid w:val="000E08C4"/>
    <w:rsid w:val="000E0EB7"/>
    <w:rsid w:val="000E22AE"/>
    <w:rsid w:val="000E2498"/>
    <w:rsid w:val="000E2CBB"/>
    <w:rsid w:val="000E2F51"/>
    <w:rsid w:val="000E30A0"/>
    <w:rsid w:val="000E319B"/>
    <w:rsid w:val="000E3F81"/>
    <w:rsid w:val="000E4158"/>
    <w:rsid w:val="000E4C0B"/>
    <w:rsid w:val="000E50D2"/>
    <w:rsid w:val="000E52DD"/>
    <w:rsid w:val="000E5405"/>
    <w:rsid w:val="000E5A6B"/>
    <w:rsid w:val="000E6690"/>
    <w:rsid w:val="000E6755"/>
    <w:rsid w:val="000E680C"/>
    <w:rsid w:val="000F0199"/>
    <w:rsid w:val="000F0245"/>
    <w:rsid w:val="000F048E"/>
    <w:rsid w:val="000F0B01"/>
    <w:rsid w:val="000F0DA6"/>
    <w:rsid w:val="000F12C4"/>
    <w:rsid w:val="000F1AB2"/>
    <w:rsid w:val="000F2183"/>
    <w:rsid w:val="000F26EF"/>
    <w:rsid w:val="000F2E42"/>
    <w:rsid w:val="000F3205"/>
    <w:rsid w:val="000F3215"/>
    <w:rsid w:val="000F3734"/>
    <w:rsid w:val="000F43D7"/>
    <w:rsid w:val="000F4529"/>
    <w:rsid w:val="000F4CAF"/>
    <w:rsid w:val="000F4E02"/>
    <w:rsid w:val="000F4E58"/>
    <w:rsid w:val="000F57C0"/>
    <w:rsid w:val="000F7485"/>
    <w:rsid w:val="000F7E43"/>
    <w:rsid w:val="000F7F23"/>
    <w:rsid w:val="001000A9"/>
    <w:rsid w:val="001003AC"/>
    <w:rsid w:val="00100BE2"/>
    <w:rsid w:val="00100DA6"/>
    <w:rsid w:val="00101069"/>
    <w:rsid w:val="001013C4"/>
    <w:rsid w:val="00101915"/>
    <w:rsid w:val="00101E75"/>
    <w:rsid w:val="00101FDF"/>
    <w:rsid w:val="00102779"/>
    <w:rsid w:val="00102C56"/>
    <w:rsid w:val="0010340D"/>
    <w:rsid w:val="00103430"/>
    <w:rsid w:val="00103515"/>
    <w:rsid w:val="00103A69"/>
    <w:rsid w:val="00103F20"/>
    <w:rsid w:val="001040D6"/>
    <w:rsid w:val="00104324"/>
    <w:rsid w:val="00104535"/>
    <w:rsid w:val="001053FE"/>
    <w:rsid w:val="00105415"/>
    <w:rsid w:val="00105AF9"/>
    <w:rsid w:val="00106659"/>
    <w:rsid w:val="00107D16"/>
    <w:rsid w:val="00107DD7"/>
    <w:rsid w:val="00107F78"/>
    <w:rsid w:val="001103E4"/>
    <w:rsid w:val="001109A7"/>
    <w:rsid w:val="00110B54"/>
    <w:rsid w:val="00111027"/>
    <w:rsid w:val="0011102B"/>
    <w:rsid w:val="00111166"/>
    <w:rsid w:val="00111551"/>
    <w:rsid w:val="00111A3A"/>
    <w:rsid w:val="00113571"/>
    <w:rsid w:val="0011368E"/>
    <w:rsid w:val="001137D4"/>
    <w:rsid w:val="001143D6"/>
    <w:rsid w:val="001149DA"/>
    <w:rsid w:val="00114BDE"/>
    <w:rsid w:val="00115627"/>
    <w:rsid w:val="001164A9"/>
    <w:rsid w:val="00116A4E"/>
    <w:rsid w:val="00116F05"/>
    <w:rsid w:val="00116FDA"/>
    <w:rsid w:val="00117735"/>
    <w:rsid w:val="00117CFA"/>
    <w:rsid w:val="00120E9B"/>
    <w:rsid w:val="00121531"/>
    <w:rsid w:val="0012163E"/>
    <w:rsid w:val="00123F5D"/>
    <w:rsid w:val="0012401D"/>
    <w:rsid w:val="00124176"/>
    <w:rsid w:val="00124C0A"/>
    <w:rsid w:val="00125138"/>
    <w:rsid w:val="0012691D"/>
    <w:rsid w:val="00127353"/>
    <w:rsid w:val="00130708"/>
    <w:rsid w:val="00130ADB"/>
    <w:rsid w:val="00130FC3"/>
    <w:rsid w:val="0013102B"/>
    <w:rsid w:val="00131BEC"/>
    <w:rsid w:val="00131F88"/>
    <w:rsid w:val="00132178"/>
    <w:rsid w:val="001321CB"/>
    <w:rsid w:val="0013248C"/>
    <w:rsid w:val="001324F0"/>
    <w:rsid w:val="00132ACA"/>
    <w:rsid w:val="0013327A"/>
    <w:rsid w:val="001335A4"/>
    <w:rsid w:val="00134D1E"/>
    <w:rsid w:val="00135267"/>
    <w:rsid w:val="001352D9"/>
    <w:rsid w:val="001355D0"/>
    <w:rsid w:val="001364DC"/>
    <w:rsid w:val="00136B48"/>
    <w:rsid w:val="00136BB9"/>
    <w:rsid w:val="00137226"/>
    <w:rsid w:val="001372DA"/>
    <w:rsid w:val="0013792B"/>
    <w:rsid w:val="00137BFF"/>
    <w:rsid w:val="00137C28"/>
    <w:rsid w:val="0014046C"/>
    <w:rsid w:val="00140A14"/>
    <w:rsid w:val="0014157C"/>
    <w:rsid w:val="001417EF"/>
    <w:rsid w:val="001423F6"/>
    <w:rsid w:val="00142879"/>
    <w:rsid w:val="00142EDD"/>
    <w:rsid w:val="00145601"/>
    <w:rsid w:val="00145791"/>
    <w:rsid w:val="00145A37"/>
    <w:rsid w:val="00146716"/>
    <w:rsid w:val="00146B07"/>
    <w:rsid w:val="00146E97"/>
    <w:rsid w:val="00147541"/>
    <w:rsid w:val="001479C5"/>
    <w:rsid w:val="00147C73"/>
    <w:rsid w:val="00147EBF"/>
    <w:rsid w:val="00150AAC"/>
    <w:rsid w:val="00151545"/>
    <w:rsid w:val="0015241F"/>
    <w:rsid w:val="0015338E"/>
    <w:rsid w:val="00153C87"/>
    <w:rsid w:val="00153D56"/>
    <w:rsid w:val="001542AE"/>
    <w:rsid w:val="00155086"/>
    <w:rsid w:val="00155730"/>
    <w:rsid w:val="00155D54"/>
    <w:rsid w:val="001568E0"/>
    <w:rsid w:val="0015691F"/>
    <w:rsid w:val="00157665"/>
    <w:rsid w:val="00160C65"/>
    <w:rsid w:val="001611C3"/>
    <w:rsid w:val="001614A3"/>
    <w:rsid w:val="001615AB"/>
    <w:rsid w:val="00161E32"/>
    <w:rsid w:val="0016241D"/>
    <w:rsid w:val="00163D35"/>
    <w:rsid w:val="00164565"/>
    <w:rsid w:val="00164872"/>
    <w:rsid w:val="0016491B"/>
    <w:rsid w:val="0016510C"/>
    <w:rsid w:val="001659FB"/>
    <w:rsid w:val="00165BE0"/>
    <w:rsid w:val="00165F0C"/>
    <w:rsid w:val="001660E6"/>
    <w:rsid w:val="00166607"/>
    <w:rsid w:val="0016666C"/>
    <w:rsid w:val="00166811"/>
    <w:rsid w:val="001668B5"/>
    <w:rsid w:val="00166C3E"/>
    <w:rsid w:val="00167344"/>
    <w:rsid w:val="0016770E"/>
    <w:rsid w:val="00167D76"/>
    <w:rsid w:val="0017056A"/>
    <w:rsid w:val="00170671"/>
    <w:rsid w:val="001706E4"/>
    <w:rsid w:val="00170812"/>
    <w:rsid w:val="00171319"/>
    <w:rsid w:val="00171EE7"/>
    <w:rsid w:val="001720C8"/>
    <w:rsid w:val="0017252E"/>
    <w:rsid w:val="0017305E"/>
    <w:rsid w:val="001739BB"/>
    <w:rsid w:val="00173AB0"/>
    <w:rsid w:val="00173C11"/>
    <w:rsid w:val="00173F94"/>
    <w:rsid w:val="00174473"/>
    <w:rsid w:val="0017451E"/>
    <w:rsid w:val="0017503E"/>
    <w:rsid w:val="00175E3C"/>
    <w:rsid w:val="00175FCD"/>
    <w:rsid w:val="001761B2"/>
    <w:rsid w:val="0017653F"/>
    <w:rsid w:val="001766AF"/>
    <w:rsid w:val="00177777"/>
    <w:rsid w:val="00177A2D"/>
    <w:rsid w:val="00177BDC"/>
    <w:rsid w:val="00177C53"/>
    <w:rsid w:val="001804B1"/>
    <w:rsid w:val="00180989"/>
    <w:rsid w:val="00180DB3"/>
    <w:rsid w:val="00180F1A"/>
    <w:rsid w:val="001814FA"/>
    <w:rsid w:val="00181CE9"/>
    <w:rsid w:val="001822D6"/>
    <w:rsid w:val="00182744"/>
    <w:rsid w:val="00182B3C"/>
    <w:rsid w:val="00182FA0"/>
    <w:rsid w:val="00183511"/>
    <w:rsid w:val="00184070"/>
    <w:rsid w:val="001841E6"/>
    <w:rsid w:val="0018508A"/>
    <w:rsid w:val="0018516F"/>
    <w:rsid w:val="0018519A"/>
    <w:rsid w:val="001852FA"/>
    <w:rsid w:val="00186B16"/>
    <w:rsid w:val="00190511"/>
    <w:rsid w:val="0019072C"/>
    <w:rsid w:val="00190CDC"/>
    <w:rsid w:val="0019120E"/>
    <w:rsid w:val="001915D5"/>
    <w:rsid w:val="00192970"/>
    <w:rsid w:val="00192A9C"/>
    <w:rsid w:val="00192CF4"/>
    <w:rsid w:val="00192FD4"/>
    <w:rsid w:val="00193442"/>
    <w:rsid w:val="00193E30"/>
    <w:rsid w:val="001940EC"/>
    <w:rsid w:val="00194919"/>
    <w:rsid w:val="00194A24"/>
    <w:rsid w:val="00194A4E"/>
    <w:rsid w:val="00194DF3"/>
    <w:rsid w:val="00196813"/>
    <w:rsid w:val="0019710E"/>
    <w:rsid w:val="00197D3E"/>
    <w:rsid w:val="001A033E"/>
    <w:rsid w:val="001A12EF"/>
    <w:rsid w:val="001A1BCB"/>
    <w:rsid w:val="001A1F9F"/>
    <w:rsid w:val="001A2675"/>
    <w:rsid w:val="001A27C3"/>
    <w:rsid w:val="001A2D25"/>
    <w:rsid w:val="001A33F0"/>
    <w:rsid w:val="001A352E"/>
    <w:rsid w:val="001A3AF6"/>
    <w:rsid w:val="001A3E76"/>
    <w:rsid w:val="001A40DF"/>
    <w:rsid w:val="001A4582"/>
    <w:rsid w:val="001A4C30"/>
    <w:rsid w:val="001A4DC4"/>
    <w:rsid w:val="001A4DD4"/>
    <w:rsid w:val="001A4F92"/>
    <w:rsid w:val="001A52CE"/>
    <w:rsid w:val="001A5370"/>
    <w:rsid w:val="001A5921"/>
    <w:rsid w:val="001A64AA"/>
    <w:rsid w:val="001A7F58"/>
    <w:rsid w:val="001B0586"/>
    <w:rsid w:val="001B08ED"/>
    <w:rsid w:val="001B10E0"/>
    <w:rsid w:val="001B1213"/>
    <w:rsid w:val="001B2856"/>
    <w:rsid w:val="001B2A1B"/>
    <w:rsid w:val="001B36CF"/>
    <w:rsid w:val="001B3843"/>
    <w:rsid w:val="001B44BE"/>
    <w:rsid w:val="001B5BBC"/>
    <w:rsid w:val="001B621C"/>
    <w:rsid w:val="001B62FD"/>
    <w:rsid w:val="001B6333"/>
    <w:rsid w:val="001B6F64"/>
    <w:rsid w:val="001B7347"/>
    <w:rsid w:val="001B772D"/>
    <w:rsid w:val="001B7860"/>
    <w:rsid w:val="001B798C"/>
    <w:rsid w:val="001B7DE2"/>
    <w:rsid w:val="001C04B6"/>
    <w:rsid w:val="001C1147"/>
    <w:rsid w:val="001C24BB"/>
    <w:rsid w:val="001C32C7"/>
    <w:rsid w:val="001C3D8E"/>
    <w:rsid w:val="001C41BE"/>
    <w:rsid w:val="001C4691"/>
    <w:rsid w:val="001C4E7F"/>
    <w:rsid w:val="001C561A"/>
    <w:rsid w:val="001C5A4D"/>
    <w:rsid w:val="001C5AFD"/>
    <w:rsid w:val="001C5FA4"/>
    <w:rsid w:val="001C5FBA"/>
    <w:rsid w:val="001C6B5A"/>
    <w:rsid w:val="001C7B85"/>
    <w:rsid w:val="001D0713"/>
    <w:rsid w:val="001D0794"/>
    <w:rsid w:val="001D0B7C"/>
    <w:rsid w:val="001D1583"/>
    <w:rsid w:val="001D1599"/>
    <w:rsid w:val="001D1E82"/>
    <w:rsid w:val="001D2420"/>
    <w:rsid w:val="001D26B9"/>
    <w:rsid w:val="001D26FE"/>
    <w:rsid w:val="001D29B8"/>
    <w:rsid w:val="001D2C24"/>
    <w:rsid w:val="001D382D"/>
    <w:rsid w:val="001D3903"/>
    <w:rsid w:val="001D396F"/>
    <w:rsid w:val="001D51BA"/>
    <w:rsid w:val="001D5479"/>
    <w:rsid w:val="001D5582"/>
    <w:rsid w:val="001D5D58"/>
    <w:rsid w:val="001D5D80"/>
    <w:rsid w:val="001D5E9A"/>
    <w:rsid w:val="001D68CC"/>
    <w:rsid w:val="001D6C2E"/>
    <w:rsid w:val="001D7B0C"/>
    <w:rsid w:val="001E02F4"/>
    <w:rsid w:val="001E0477"/>
    <w:rsid w:val="001E04CF"/>
    <w:rsid w:val="001E0DF6"/>
    <w:rsid w:val="001E0F8E"/>
    <w:rsid w:val="001E12A7"/>
    <w:rsid w:val="001E12FD"/>
    <w:rsid w:val="001E13D6"/>
    <w:rsid w:val="001E1946"/>
    <w:rsid w:val="001E21B5"/>
    <w:rsid w:val="001E221A"/>
    <w:rsid w:val="001E22D4"/>
    <w:rsid w:val="001E2A39"/>
    <w:rsid w:val="001E37E9"/>
    <w:rsid w:val="001E3AE5"/>
    <w:rsid w:val="001E3C5E"/>
    <w:rsid w:val="001E40BE"/>
    <w:rsid w:val="001E428C"/>
    <w:rsid w:val="001E4A48"/>
    <w:rsid w:val="001E51C2"/>
    <w:rsid w:val="001E5394"/>
    <w:rsid w:val="001E575F"/>
    <w:rsid w:val="001E70CC"/>
    <w:rsid w:val="001E7131"/>
    <w:rsid w:val="001E75D2"/>
    <w:rsid w:val="001E7E00"/>
    <w:rsid w:val="001E7F9D"/>
    <w:rsid w:val="001F09ED"/>
    <w:rsid w:val="001F0D15"/>
    <w:rsid w:val="001F135C"/>
    <w:rsid w:val="001F185D"/>
    <w:rsid w:val="001F2600"/>
    <w:rsid w:val="001F2ACC"/>
    <w:rsid w:val="001F2E5A"/>
    <w:rsid w:val="001F318B"/>
    <w:rsid w:val="001F4202"/>
    <w:rsid w:val="001F456B"/>
    <w:rsid w:val="001F45FB"/>
    <w:rsid w:val="001F4DDF"/>
    <w:rsid w:val="001F599F"/>
    <w:rsid w:val="001F59F0"/>
    <w:rsid w:val="001F649D"/>
    <w:rsid w:val="001F6C6F"/>
    <w:rsid w:val="001F7163"/>
    <w:rsid w:val="001F720E"/>
    <w:rsid w:val="001F76CF"/>
    <w:rsid w:val="001F77D7"/>
    <w:rsid w:val="001F79EE"/>
    <w:rsid w:val="001F7A68"/>
    <w:rsid w:val="00200239"/>
    <w:rsid w:val="002009C1"/>
    <w:rsid w:val="00200A35"/>
    <w:rsid w:val="002014A7"/>
    <w:rsid w:val="0020159F"/>
    <w:rsid w:val="00201648"/>
    <w:rsid w:val="00201988"/>
    <w:rsid w:val="00201A66"/>
    <w:rsid w:val="002020D4"/>
    <w:rsid w:val="00202340"/>
    <w:rsid w:val="002023E8"/>
    <w:rsid w:val="0020252F"/>
    <w:rsid w:val="00203421"/>
    <w:rsid w:val="00203671"/>
    <w:rsid w:val="00204768"/>
    <w:rsid w:val="00205482"/>
    <w:rsid w:val="00205A72"/>
    <w:rsid w:val="00205DBF"/>
    <w:rsid w:val="00206EC2"/>
    <w:rsid w:val="00211040"/>
    <w:rsid w:val="00211855"/>
    <w:rsid w:val="00211A1F"/>
    <w:rsid w:val="00211AEA"/>
    <w:rsid w:val="00212A20"/>
    <w:rsid w:val="00212FA6"/>
    <w:rsid w:val="0021325D"/>
    <w:rsid w:val="00213EEC"/>
    <w:rsid w:val="002147D3"/>
    <w:rsid w:val="00214969"/>
    <w:rsid w:val="002153AC"/>
    <w:rsid w:val="00215448"/>
    <w:rsid w:val="0021578C"/>
    <w:rsid w:val="00215E9A"/>
    <w:rsid w:val="00216289"/>
    <w:rsid w:val="00217038"/>
    <w:rsid w:val="00220B7F"/>
    <w:rsid w:val="002211A3"/>
    <w:rsid w:val="00221278"/>
    <w:rsid w:val="00221DA5"/>
    <w:rsid w:val="002220D3"/>
    <w:rsid w:val="00222419"/>
    <w:rsid w:val="00222D96"/>
    <w:rsid w:val="00222FCC"/>
    <w:rsid w:val="002236A2"/>
    <w:rsid w:val="00224278"/>
    <w:rsid w:val="00224336"/>
    <w:rsid w:val="0022437A"/>
    <w:rsid w:val="00224731"/>
    <w:rsid w:val="00224AB8"/>
    <w:rsid w:val="00224C9C"/>
    <w:rsid w:val="002265C5"/>
    <w:rsid w:val="00227091"/>
    <w:rsid w:val="00227498"/>
    <w:rsid w:val="002278BF"/>
    <w:rsid w:val="0023024B"/>
    <w:rsid w:val="0023082B"/>
    <w:rsid w:val="00230C54"/>
    <w:rsid w:val="0023138F"/>
    <w:rsid w:val="00231880"/>
    <w:rsid w:val="00232A91"/>
    <w:rsid w:val="00232DA6"/>
    <w:rsid w:val="00233003"/>
    <w:rsid w:val="00233838"/>
    <w:rsid w:val="00233FC3"/>
    <w:rsid w:val="00234386"/>
    <w:rsid w:val="00234AEF"/>
    <w:rsid w:val="002350C8"/>
    <w:rsid w:val="002352B9"/>
    <w:rsid w:val="00235BCF"/>
    <w:rsid w:val="002364F9"/>
    <w:rsid w:val="00236BEA"/>
    <w:rsid w:val="00236D7B"/>
    <w:rsid w:val="00236DFB"/>
    <w:rsid w:val="0023763B"/>
    <w:rsid w:val="00237B00"/>
    <w:rsid w:val="00237D3C"/>
    <w:rsid w:val="00241240"/>
    <w:rsid w:val="00241569"/>
    <w:rsid w:val="00241BF0"/>
    <w:rsid w:val="00242494"/>
    <w:rsid w:val="00242661"/>
    <w:rsid w:val="002426BA"/>
    <w:rsid w:val="002427CC"/>
    <w:rsid w:val="002428C1"/>
    <w:rsid w:val="00242CA8"/>
    <w:rsid w:val="00243076"/>
    <w:rsid w:val="00243657"/>
    <w:rsid w:val="002445A2"/>
    <w:rsid w:val="00244826"/>
    <w:rsid w:val="002457B2"/>
    <w:rsid w:val="00245860"/>
    <w:rsid w:val="002458A5"/>
    <w:rsid w:val="00245DBA"/>
    <w:rsid w:val="00246376"/>
    <w:rsid w:val="0024659F"/>
    <w:rsid w:val="00250533"/>
    <w:rsid w:val="00250816"/>
    <w:rsid w:val="00251D78"/>
    <w:rsid w:val="002526CC"/>
    <w:rsid w:val="002528C2"/>
    <w:rsid w:val="00252E17"/>
    <w:rsid w:val="00252EF8"/>
    <w:rsid w:val="0025314B"/>
    <w:rsid w:val="00254862"/>
    <w:rsid w:val="00254B2F"/>
    <w:rsid w:val="00255242"/>
    <w:rsid w:val="00256760"/>
    <w:rsid w:val="002578C8"/>
    <w:rsid w:val="00260500"/>
    <w:rsid w:val="002606FD"/>
    <w:rsid w:val="00260C9B"/>
    <w:rsid w:val="00261814"/>
    <w:rsid w:val="00261A89"/>
    <w:rsid w:val="00261FC4"/>
    <w:rsid w:val="00262103"/>
    <w:rsid w:val="002623FA"/>
    <w:rsid w:val="002629C4"/>
    <w:rsid w:val="00263590"/>
    <w:rsid w:val="00263D77"/>
    <w:rsid w:val="002640D8"/>
    <w:rsid w:val="002648E7"/>
    <w:rsid w:val="00265742"/>
    <w:rsid w:val="0026580E"/>
    <w:rsid w:val="0026593F"/>
    <w:rsid w:val="00265DD9"/>
    <w:rsid w:val="00266C36"/>
    <w:rsid w:val="00266EA9"/>
    <w:rsid w:val="00267243"/>
    <w:rsid w:val="00267848"/>
    <w:rsid w:val="002700C0"/>
    <w:rsid w:val="002704DF"/>
    <w:rsid w:val="0027094D"/>
    <w:rsid w:val="00270AEF"/>
    <w:rsid w:val="00270DF0"/>
    <w:rsid w:val="002714E6"/>
    <w:rsid w:val="00272CCF"/>
    <w:rsid w:val="00272DF2"/>
    <w:rsid w:val="0027347F"/>
    <w:rsid w:val="00273B00"/>
    <w:rsid w:val="00274059"/>
    <w:rsid w:val="00274A02"/>
    <w:rsid w:val="00274DBE"/>
    <w:rsid w:val="00275756"/>
    <w:rsid w:val="00275863"/>
    <w:rsid w:val="00275CE3"/>
    <w:rsid w:val="002760D3"/>
    <w:rsid w:val="00276EFA"/>
    <w:rsid w:val="0027707E"/>
    <w:rsid w:val="00280006"/>
    <w:rsid w:val="002801B6"/>
    <w:rsid w:val="00280312"/>
    <w:rsid w:val="002803EE"/>
    <w:rsid w:val="00281081"/>
    <w:rsid w:val="002811E0"/>
    <w:rsid w:val="00281BC8"/>
    <w:rsid w:val="00281C26"/>
    <w:rsid w:val="00281D66"/>
    <w:rsid w:val="00281E08"/>
    <w:rsid w:val="00281EB1"/>
    <w:rsid w:val="002826B0"/>
    <w:rsid w:val="00282939"/>
    <w:rsid w:val="00282F11"/>
    <w:rsid w:val="00282F84"/>
    <w:rsid w:val="002830BA"/>
    <w:rsid w:val="002837E4"/>
    <w:rsid w:val="00283D01"/>
    <w:rsid w:val="00283DFE"/>
    <w:rsid w:val="0028481A"/>
    <w:rsid w:val="00284B56"/>
    <w:rsid w:val="0028726C"/>
    <w:rsid w:val="002876B3"/>
    <w:rsid w:val="00287E5E"/>
    <w:rsid w:val="00290288"/>
    <w:rsid w:val="00290A07"/>
    <w:rsid w:val="002914FB"/>
    <w:rsid w:val="00291BAC"/>
    <w:rsid w:val="00291FB4"/>
    <w:rsid w:val="002925C9"/>
    <w:rsid w:val="002926F1"/>
    <w:rsid w:val="00293363"/>
    <w:rsid w:val="00293699"/>
    <w:rsid w:val="00294CFC"/>
    <w:rsid w:val="00295099"/>
    <w:rsid w:val="00295C81"/>
    <w:rsid w:val="0029618B"/>
    <w:rsid w:val="002961FF"/>
    <w:rsid w:val="002964CD"/>
    <w:rsid w:val="00296770"/>
    <w:rsid w:val="00297C4A"/>
    <w:rsid w:val="002A03CC"/>
    <w:rsid w:val="002A125F"/>
    <w:rsid w:val="002A196F"/>
    <w:rsid w:val="002A1974"/>
    <w:rsid w:val="002A45FF"/>
    <w:rsid w:val="002A47BF"/>
    <w:rsid w:val="002A4FB4"/>
    <w:rsid w:val="002A5329"/>
    <w:rsid w:val="002A565C"/>
    <w:rsid w:val="002A56BE"/>
    <w:rsid w:val="002A5768"/>
    <w:rsid w:val="002A57A5"/>
    <w:rsid w:val="002A6944"/>
    <w:rsid w:val="002A70BB"/>
    <w:rsid w:val="002A76D5"/>
    <w:rsid w:val="002B0C1F"/>
    <w:rsid w:val="002B13C6"/>
    <w:rsid w:val="002B1528"/>
    <w:rsid w:val="002B2122"/>
    <w:rsid w:val="002B280A"/>
    <w:rsid w:val="002B29A0"/>
    <w:rsid w:val="002B2F17"/>
    <w:rsid w:val="002B3446"/>
    <w:rsid w:val="002B4251"/>
    <w:rsid w:val="002B4CD5"/>
    <w:rsid w:val="002B4F1E"/>
    <w:rsid w:val="002B59DB"/>
    <w:rsid w:val="002B6BA2"/>
    <w:rsid w:val="002B6DCB"/>
    <w:rsid w:val="002B6E89"/>
    <w:rsid w:val="002B7D60"/>
    <w:rsid w:val="002B7E85"/>
    <w:rsid w:val="002C0693"/>
    <w:rsid w:val="002C091D"/>
    <w:rsid w:val="002C1457"/>
    <w:rsid w:val="002C1753"/>
    <w:rsid w:val="002C190F"/>
    <w:rsid w:val="002C1F82"/>
    <w:rsid w:val="002C2BDB"/>
    <w:rsid w:val="002C39BB"/>
    <w:rsid w:val="002C3CE9"/>
    <w:rsid w:val="002C41A7"/>
    <w:rsid w:val="002C46DB"/>
    <w:rsid w:val="002C4F65"/>
    <w:rsid w:val="002C6B06"/>
    <w:rsid w:val="002C7907"/>
    <w:rsid w:val="002C7CC6"/>
    <w:rsid w:val="002D17CA"/>
    <w:rsid w:val="002D2E94"/>
    <w:rsid w:val="002D3293"/>
    <w:rsid w:val="002D364B"/>
    <w:rsid w:val="002D426C"/>
    <w:rsid w:val="002D42CA"/>
    <w:rsid w:val="002D46A2"/>
    <w:rsid w:val="002D4CC9"/>
    <w:rsid w:val="002D5608"/>
    <w:rsid w:val="002D7160"/>
    <w:rsid w:val="002D71CE"/>
    <w:rsid w:val="002D7489"/>
    <w:rsid w:val="002D7FA4"/>
    <w:rsid w:val="002D7FB9"/>
    <w:rsid w:val="002E042D"/>
    <w:rsid w:val="002E0AEC"/>
    <w:rsid w:val="002E12D7"/>
    <w:rsid w:val="002E191D"/>
    <w:rsid w:val="002E204B"/>
    <w:rsid w:val="002E3183"/>
    <w:rsid w:val="002E35F8"/>
    <w:rsid w:val="002E3CA5"/>
    <w:rsid w:val="002E4836"/>
    <w:rsid w:val="002E4A5E"/>
    <w:rsid w:val="002E4A7A"/>
    <w:rsid w:val="002E515C"/>
    <w:rsid w:val="002E5496"/>
    <w:rsid w:val="002E5A86"/>
    <w:rsid w:val="002E6CA5"/>
    <w:rsid w:val="002E6D82"/>
    <w:rsid w:val="002E6FC1"/>
    <w:rsid w:val="002E70E3"/>
    <w:rsid w:val="002E7134"/>
    <w:rsid w:val="002E7278"/>
    <w:rsid w:val="002E7C7B"/>
    <w:rsid w:val="002F03DE"/>
    <w:rsid w:val="002F0466"/>
    <w:rsid w:val="002F0687"/>
    <w:rsid w:val="002F0B5C"/>
    <w:rsid w:val="002F12CD"/>
    <w:rsid w:val="002F14FF"/>
    <w:rsid w:val="002F1F3C"/>
    <w:rsid w:val="002F2ABF"/>
    <w:rsid w:val="002F33B1"/>
    <w:rsid w:val="002F33BD"/>
    <w:rsid w:val="002F3DA9"/>
    <w:rsid w:val="002F40DE"/>
    <w:rsid w:val="002F45CE"/>
    <w:rsid w:val="002F48D8"/>
    <w:rsid w:val="002F50A5"/>
    <w:rsid w:val="002F5A5F"/>
    <w:rsid w:val="002F62B6"/>
    <w:rsid w:val="002F63EF"/>
    <w:rsid w:val="002F662E"/>
    <w:rsid w:val="002F6808"/>
    <w:rsid w:val="002F682A"/>
    <w:rsid w:val="002F76B8"/>
    <w:rsid w:val="002F78DA"/>
    <w:rsid w:val="002F7FA6"/>
    <w:rsid w:val="0030028C"/>
    <w:rsid w:val="0030034B"/>
    <w:rsid w:val="0030051E"/>
    <w:rsid w:val="003005AC"/>
    <w:rsid w:val="00300F2A"/>
    <w:rsid w:val="00301005"/>
    <w:rsid w:val="0030133D"/>
    <w:rsid w:val="00302129"/>
    <w:rsid w:val="00302222"/>
    <w:rsid w:val="00302B6A"/>
    <w:rsid w:val="00302C26"/>
    <w:rsid w:val="0030303E"/>
    <w:rsid w:val="00303793"/>
    <w:rsid w:val="00303874"/>
    <w:rsid w:val="003038A8"/>
    <w:rsid w:val="00304FFD"/>
    <w:rsid w:val="00305486"/>
    <w:rsid w:val="0030576A"/>
    <w:rsid w:val="00305D87"/>
    <w:rsid w:val="00305E5E"/>
    <w:rsid w:val="0030625D"/>
    <w:rsid w:val="00306C22"/>
    <w:rsid w:val="00306E60"/>
    <w:rsid w:val="003072B5"/>
    <w:rsid w:val="00307AA6"/>
    <w:rsid w:val="0031008D"/>
    <w:rsid w:val="00310F52"/>
    <w:rsid w:val="00310F8E"/>
    <w:rsid w:val="00311062"/>
    <w:rsid w:val="003117F6"/>
    <w:rsid w:val="00311A26"/>
    <w:rsid w:val="00311DD3"/>
    <w:rsid w:val="003125D7"/>
    <w:rsid w:val="00312DD8"/>
    <w:rsid w:val="00313E40"/>
    <w:rsid w:val="00313E7C"/>
    <w:rsid w:val="00314105"/>
    <w:rsid w:val="0031468D"/>
    <w:rsid w:val="00314CCD"/>
    <w:rsid w:val="00315352"/>
    <w:rsid w:val="00315658"/>
    <w:rsid w:val="003172D4"/>
    <w:rsid w:val="0031748F"/>
    <w:rsid w:val="00317E68"/>
    <w:rsid w:val="00317EE2"/>
    <w:rsid w:val="00320B42"/>
    <w:rsid w:val="0032124E"/>
    <w:rsid w:val="00321518"/>
    <w:rsid w:val="00321544"/>
    <w:rsid w:val="003219B0"/>
    <w:rsid w:val="00321A5B"/>
    <w:rsid w:val="00322053"/>
    <w:rsid w:val="00322296"/>
    <w:rsid w:val="00322380"/>
    <w:rsid w:val="00322A79"/>
    <w:rsid w:val="00322B39"/>
    <w:rsid w:val="0032372F"/>
    <w:rsid w:val="00324F47"/>
    <w:rsid w:val="00326401"/>
    <w:rsid w:val="0032691C"/>
    <w:rsid w:val="00326C1B"/>
    <w:rsid w:val="003271B8"/>
    <w:rsid w:val="0032724C"/>
    <w:rsid w:val="00327D55"/>
    <w:rsid w:val="00330582"/>
    <w:rsid w:val="00330998"/>
    <w:rsid w:val="003311DF"/>
    <w:rsid w:val="0033187C"/>
    <w:rsid w:val="003319F9"/>
    <w:rsid w:val="003320EE"/>
    <w:rsid w:val="00332B40"/>
    <w:rsid w:val="00333B06"/>
    <w:rsid w:val="00333F45"/>
    <w:rsid w:val="00334E1F"/>
    <w:rsid w:val="00335805"/>
    <w:rsid w:val="00335A35"/>
    <w:rsid w:val="00335AF2"/>
    <w:rsid w:val="00335C48"/>
    <w:rsid w:val="00335FBF"/>
    <w:rsid w:val="003361EA"/>
    <w:rsid w:val="00336716"/>
    <w:rsid w:val="00337443"/>
    <w:rsid w:val="0034082F"/>
    <w:rsid w:val="00340B01"/>
    <w:rsid w:val="0034200E"/>
    <w:rsid w:val="00342B94"/>
    <w:rsid w:val="00342C76"/>
    <w:rsid w:val="003437A0"/>
    <w:rsid w:val="003449F0"/>
    <w:rsid w:val="00344BB3"/>
    <w:rsid w:val="003451B9"/>
    <w:rsid w:val="0035025E"/>
    <w:rsid w:val="0035042A"/>
    <w:rsid w:val="00350AC7"/>
    <w:rsid w:val="00350DE1"/>
    <w:rsid w:val="0035141C"/>
    <w:rsid w:val="0035257A"/>
    <w:rsid w:val="00352A37"/>
    <w:rsid w:val="00352E41"/>
    <w:rsid w:val="0035300D"/>
    <w:rsid w:val="00353255"/>
    <w:rsid w:val="003532C2"/>
    <w:rsid w:val="003534D8"/>
    <w:rsid w:val="00355252"/>
    <w:rsid w:val="00355332"/>
    <w:rsid w:val="00355B4C"/>
    <w:rsid w:val="00355B96"/>
    <w:rsid w:val="003563F3"/>
    <w:rsid w:val="003566AA"/>
    <w:rsid w:val="0035673C"/>
    <w:rsid w:val="003568D9"/>
    <w:rsid w:val="003569D6"/>
    <w:rsid w:val="00356B42"/>
    <w:rsid w:val="003576E4"/>
    <w:rsid w:val="00360136"/>
    <w:rsid w:val="003605F5"/>
    <w:rsid w:val="003609D0"/>
    <w:rsid w:val="00360FF3"/>
    <w:rsid w:val="00361102"/>
    <w:rsid w:val="00361315"/>
    <w:rsid w:val="003617FD"/>
    <w:rsid w:val="00361E21"/>
    <w:rsid w:val="00362057"/>
    <w:rsid w:val="00362599"/>
    <w:rsid w:val="00363FFA"/>
    <w:rsid w:val="00365295"/>
    <w:rsid w:val="00365E7F"/>
    <w:rsid w:val="00367097"/>
    <w:rsid w:val="0036710A"/>
    <w:rsid w:val="00367D92"/>
    <w:rsid w:val="00371158"/>
    <w:rsid w:val="00371795"/>
    <w:rsid w:val="0037188C"/>
    <w:rsid w:val="00372209"/>
    <w:rsid w:val="003722AA"/>
    <w:rsid w:val="00372409"/>
    <w:rsid w:val="00372726"/>
    <w:rsid w:val="00372EB6"/>
    <w:rsid w:val="00372F5F"/>
    <w:rsid w:val="00373C71"/>
    <w:rsid w:val="0037456B"/>
    <w:rsid w:val="00374CAD"/>
    <w:rsid w:val="00374CC7"/>
    <w:rsid w:val="003757DC"/>
    <w:rsid w:val="00375FAD"/>
    <w:rsid w:val="00376697"/>
    <w:rsid w:val="003767BF"/>
    <w:rsid w:val="0037680C"/>
    <w:rsid w:val="00376C55"/>
    <w:rsid w:val="00376F3E"/>
    <w:rsid w:val="003772AA"/>
    <w:rsid w:val="003779D6"/>
    <w:rsid w:val="00380119"/>
    <w:rsid w:val="00380380"/>
    <w:rsid w:val="00380621"/>
    <w:rsid w:val="00380E57"/>
    <w:rsid w:val="00381017"/>
    <w:rsid w:val="0038109B"/>
    <w:rsid w:val="003810A3"/>
    <w:rsid w:val="003810B2"/>
    <w:rsid w:val="0038136C"/>
    <w:rsid w:val="003819CF"/>
    <w:rsid w:val="00381AD0"/>
    <w:rsid w:val="00381D5B"/>
    <w:rsid w:val="00382D00"/>
    <w:rsid w:val="0038310A"/>
    <w:rsid w:val="003834CE"/>
    <w:rsid w:val="00383708"/>
    <w:rsid w:val="0038402A"/>
    <w:rsid w:val="00384183"/>
    <w:rsid w:val="003845AE"/>
    <w:rsid w:val="0038472E"/>
    <w:rsid w:val="0038478A"/>
    <w:rsid w:val="00384C46"/>
    <w:rsid w:val="00384F3E"/>
    <w:rsid w:val="003850F9"/>
    <w:rsid w:val="0038524A"/>
    <w:rsid w:val="003858D3"/>
    <w:rsid w:val="00385965"/>
    <w:rsid w:val="00385969"/>
    <w:rsid w:val="0038627B"/>
    <w:rsid w:val="003868BA"/>
    <w:rsid w:val="003868E8"/>
    <w:rsid w:val="0038700D"/>
    <w:rsid w:val="00387A47"/>
    <w:rsid w:val="00387CA7"/>
    <w:rsid w:val="00387F87"/>
    <w:rsid w:val="003901EF"/>
    <w:rsid w:val="00390344"/>
    <w:rsid w:val="00390395"/>
    <w:rsid w:val="00390733"/>
    <w:rsid w:val="00390DAB"/>
    <w:rsid w:val="00392480"/>
    <w:rsid w:val="003924BA"/>
    <w:rsid w:val="003926DA"/>
    <w:rsid w:val="0039277D"/>
    <w:rsid w:val="00393F00"/>
    <w:rsid w:val="00393FB9"/>
    <w:rsid w:val="003944CC"/>
    <w:rsid w:val="00394C95"/>
    <w:rsid w:val="003950ED"/>
    <w:rsid w:val="003957CA"/>
    <w:rsid w:val="00395D98"/>
    <w:rsid w:val="00396161"/>
    <w:rsid w:val="003963E4"/>
    <w:rsid w:val="00396E92"/>
    <w:rsid w:val="003970AB"/>
    <w:rsid w:val="00397360"/>
    <w:rsid w:val="00397379"/>
    <w:rsid w:val="00397388"/>
    <w:rsid w:val="0039781A"/>
    <w:rsid w:val="003A11AC"/>
    <w:rsid w:val="003A172F"/>
    <w:rsid w:val="003A186B"/>
    <w:rsid w:val="003A252A"/>
    <w:rsid w:val="003A277E"/>
    <w:rsid w:val="003A2C4D"/>
    <w:rsid w:val="003A3B74"/>
    <w:rsid w:val="003A43CB"/>
    <w:rsid w:val="003A4A42"/>
    <w:rsid w:val="003A4BD2"/>
    <w:rsid w:val="003A53B6"/>
    <w:rsid w:val="003A5A3A"/>
    <w:rsid w:val="003A5BA9"/>
    <w:rsid w:val="003A66DF"/>
    <w:rsid w:val="003A6934"/>
    <w:rsid w:val="003A7850"/>
    <w:rsid w:val="003A7933"/>
    <w:rsid w:val="003A7994"/>
    <w:rsid w:val="003A7F2B"/>
    <w:rsid w:val="003A7F4A"/>
    <w:rsid w:val="003B0295"/>
    <w:rsid w:val="003B0409"/>
    <w:rsid w:val="003B05BB"/>
    <w:rsid w:val="003B0A28"/>
    <w:rsid w:val="003B0B7E"/>
    <w:rsid w:val="003B0C66"/>
    <w:rsid w:val="003B11B2"/>
    <w:rsid w:val="003B120A"/>
    <w:rsid w:val="003B2261"/>
    <w:rsid w:val="003B258E"/>
    <w:rsid w:val="003B26E7"/>
    <w:rsid w:val="003B38D0"/>
    <w:rsid w:val="003B4B63"/>
    <w:rsid w:val="003B4DB8"/>
    <w:rsid w:val="003B55D8"/>
    <w:rsid w:val="003B5A6B"/>
    <w:rsid w:val="003B66B5"/>
    <w:rsid w:val="003B76CE"/>
    <w:rsid w:val="003C0618"/>
    <w:rsid w:val="003C0746"/>
    <w:rsid w:val="003C1CA9"/>
    <w:rsid w:val="003C2B6A"/>
    <w:rsid w:val="003C2EEA"/>
    <w:rsid w:val="003C33D2"/>
    <w:rsid w:val="003C418F"/>
    <w:rsid w:val="003C41FC"/>
    <w:rsid w:val="003C42C6"/>
    <w:rsid w:val="003C4B05"/>
    <w:rsid w:val="003C508C"/>
    <w:rsid w:val="003C517D"/>
    <w:rsid w:val="003C556B"/>
    <w:rsid w:val="003C578C"/>
    <w:rsid w:val="003C6298"/>
    <w:rsid w:val="003C693D"/>
    <w:rsid w:val="003C73B9"/>
    <w:rsid w:val="003C73EA"/>
    <w:rsid w:val="003C742F"/>
    <w:rsid w:val="003C7775"/>
    <w:rsid w:val="003D05F7"/>
    <w:rsid w:val="003D06C3"/>
    <w:rsid w:val="003D0EF4"/>
    <w:rsid w:val="003D13E5"/>
    <w:rsid w:val="003D18ED"/>
    <w:rsid w:val="003D1E28"/>
    <w:rsid w:val="003D3A96"/>
    <w:rsid w:val="003D3DD5"/>
    <w:rsid w:val="003D3FA8"/>
    <w:rsid w:val="003D3FB4"/>
    <w:rsid w:val="003D4080"/>
    <w:rsid w:val="003D4B17"/>
    <w:rsid w:val="003D4E6F"/>
    <w:rsid w:val="003D5620"/>
    <w:rsid w:val="003D67A6"/>
    <w:rsid w:val="003D6C30"/>
    <w:rsid w:val="003D6EDB"/>
    <w:rsid w:val="003D6FC3"/>
    <w:rsid w:val="003D7473"/>
    <w:rsid w:val="003D78F7"/>
    <w:rsid w:val="003D7E45"/>
    <w:rsid w:val="003E0367"/>
    <w:rsid w:val="003E1727"/>
    <w:rsid w:val="003E1EC9"/>
    <w:rsid w:val="003E237A"/>
    <w:rsid w:val="003E29DD"/>
    <w:rsid w:val="003E2DB2"/>
    <w:rsid w:val="003E3A62"/>
    <w:rsid w:val="003E4062"/>
    <w:rsid w:val="003E46E8"/>
    <w:rsid w:val="003E49E2"/>
    <w:rsid w:val="003E4EE1"/>
    <w:rsid w:val="003E50F8"/>
    <w:rsid w:val="003E51BF"/>
    <w:rsid w:val="003E5455"/>
    <w:rsid w:val="003E5A48"/>
    <w:rsid w:val="003E5B9C"/>
    <w:rsid w:val="003E6305"/>
    <w:rsid w:val="003E6620"/>
    <w:rsid w:val="003E7175"/>
    <w:rsid w:val="003E78EC"/>
    <w:rsid w:val="003F0003"/>
    <w:rsid w:val="003F0A9A"/>
    <w:rsid w:val="003F1A04"/>
    <w:rsid w:val="003F1B0A"/>
    <w:rsid w:val="003F1C9B"/>
    <w:rsid w:val="003F2B2C"/>
    <w:rsid w:val="003F3360"/>
    <w:rsid w:val="003F3604"/>
    <w:rsid w:val="003F36B6"/>
    <w:rsid w:val="003F3E27"/>
    <w:rsid w:val="003F3FE3"/>
    <w:rsid w:val="003F439E"/>
    <w:rsid w:val="003F46FA"/>
    <w:rsid w:val="003F592A"/>
    <w:rsid w:val="003F59C8"/>
    <w:rsid w:val="003F5A98"/>
    <w:rsid w:val="003F64F5"/>
    <w:rsid w:val="003F6904"/>
    <w:rsid w:val="003F6AC8"/>
    <w:rsid w:val="003F748F"/>
    <w:rsid w:val="003F74EA"/>
    <w:rsid w:val="003F7763"/>
    <w:rsid w:val="003F776F"/>
    <w:rsid w:val="003F7A22"/>
    <w:rsid w:val="003F7ACC"/>
    <w:rsid w:val="003F7AFF"/>
    <w:rsid w:val="003F7D0C"/>
    <w:rsid w:val="003F7FEA"/>
    <w:rsid w:val="004001D3"/>
    <w:rsid w:val="00400CE5"/>
    <w:rsid w:val="00401596"/>
    <w:rsid w:val="0040179E"/>
    <w:rsid w:val="0040250B"/>
    <w:rsid w:val="00402697"/>
    <w:rsid w:val="004029C8"/>
    <w:rsid w:val="00402D8C"/>
    <w:rsid w:val="00403F17"/>
    <w:rsid w:val="00403F88"/>
    <w:rsid w:val="0040524D"/>
    <w:rsid w:val="004052BE"/>
    <w:rsid w:val="004058B9"/>
    <w:rsid w:val="00405CFF"/>
    <w:rsid w:val="00407697"/>
    <w:rsid w:val="00407A42"/>
    <w:rsid w:val="00410026"/>
    <w:rsid w:val="004108E9"/>
    <w:rsid w:val="00410AC4"/>
    <w:rsid w:val="00411076"/>
    <w:rsid w:val="0041134F"/>
    <w:rsid w:val="0041204C"/>
    <w:rsid w:val="0041284B"/>
    <w:rsid w:val="00412AB5"/>
    <w:rsid w:val="00412B2D"/>
    <w:rsid w:val="0041347D"/>
    <w:rsid w:val="00413FA2"/>
    <w:rsid w:val="0041414B"/>
    <w:rsid w:val="0041494B"/>
    <w:rsid w:val="00414AD7"/>
    <w:rsid w:val="00414F57"/>
    <w:rsid w:val="00415045"/>
    <w:rsid w:val="0041595B"/>
    <w:rsid w:val="00415AA0"/>
    <w:rsid w:val="00416290"/>
    <w:rsid w:val="00417745"/>
    <w:rsid w:val="00417E1D"/>
    <w:rsid w:val="0042119A"/>
    <w:rsid w:val="00421389"/>
    <w:rsid w:val="0042194A"/>
    <w:rsid w:val="00421F6E"/>
    <w:rsid w:val="00422B6E"/>
    <w:rsid w:val="00422D49"/>
    <w:rsid w:val="00422EC7"/>
    <w:rsid w:val="00422F42"/>
    <w:rsid w:val="004234A5"/>
    <w:rsid w:val="0042392F"/>
    <w:rsid w:val="00423F78"/>
    <w:rsid w:val="0042532A"/>
    <w:rsid w:val="004255C6"/>
    <w:rsid w:val="004258BD"/>
    <w:rsid w:val="00425AF3"/>
    <w:rsid w:val="004260D4"/>
    <w:rsid w:val="004264D0"/>
    <w:rsid w:val="00426812"/>
    <w:rsid w:val="00426AFB"/>
    <w:rsid w:val="00427B2D"/>
    <w:rsid w:val="00427FA9"/>
    <w:rsid w:val="004305C0"/>
    <w:rsid w:val="00431AD6"/>
    <w:rsid w:val="00431F53"/>
    <w:rsid w:val="00432CFC"/>
    <w:rsid w:val="00433478"/>
    <w:rsid w:val="00433976"/>
    <w:rsid w:val="00433DF3"/>
    <w:rsid w:val="00434222"/>
    <w:rsid w:val="004343F9"/>
    <w:rsid w:val="004352E2"/>
    <w:rsid w:val="00435911"/>
    <w:rsid w:val="0043729D"/>
    <w:rsid w:val="00437736"/>
    <w:rsid w:val="004377D7"/>
    <w:rsid w:val="00437CE4"/>
    <w:rsid w:val="00440297"/>
    <w:rsid w:val="00440325"/>
    <w:rsid w:val="004404F4"/>
    <w:rsid w:val="004406F3"/>
    <w:rsid w:val="00440709"/>
    <w:rsid w:val="004408BE"/>
    <w:rsid w:val="004409D9"/>
    <w:rsid w:val="00440A1B"/>
    <w:rsid w:val="00441647"/>
    <w:rsid w:val="00441845"/>
    <w:rsid w:val="00441A06"/>
    <w:rsid w:val="00441F4D"/>
    <w:rsid w:val="004424C6"/>
    <w:rsid w:val="00442BED"/>
    <w:rsid w:val="00442CC7"/>
    <w:rsid w:val="00442D7B"/>
    <w:rsid w:val="004437A2"/>
    <w:rsid w:val="00443EFC"/>
    <w:rsid w:val="004440B7"/>
    <w:rsid w:val="0044564B"/>
    <w:rsid w:val="00445E23"/>
    <w:rsid w:val="004465FB"/>
    <w:rsid w:val="0044664D"/>
    <w:rsid w:val="00446ED6"/>
    <w:rsid w:val="00450074"/>
    <w:rsid w:val="00450544"/>
    <w:rsid w:val="004505F7"/>
    <w:rsid w:val="00450B28"/>
    <w:rsid w:val="00451B38"/>
    <w:rsid w:val="00452163"/>
    <w:rsid w:val="00452B4B"/>
    <w:rsid w:val="00452CA9"/>
    <w:rsid w:val="0045379F"/>
    <w:rsid w:val="00453877"/>
    <w:rsid w:val="00454602"/>
    <w:rsid w:val="00454D54"/>
    <w:rsid w:val="004556CF"/>
    <w:rsid w:val="00455835"/>
    <w:rsid w:val="00456500"/>
    <w:rsid w:val="004574E5"/>
    <w:rsid w:val="0045771C"/>
    <w:rsid w:val="00460403"/>
    <w:rsid w:val="00460714"/>
    <w:rsid w:val="00461470"/>
    <w:rsid w:val="00462A21"/>
    <w:rsid w:val="00463984"/>
    <w:rsid w:val="00463AB9"/>
    <w:rsid w:val="00464542"/>
    <w:rsid w:val="00464CAF"/>
    <w:rsid w:val="004654DA"/>
    <w:rsid w:val="00466122"/>
    <w:rsid w:val="0046613E"/>
    <w:rsid w:val="00466BEA"/>
    <w:rsid w:val="00467745"/>
    <w:rsid w:val="00467A3A"/>
    <w:rsid w:val="00467EAA"/>
    <w:rsid w:val="00467FFD"/>
    <w:rsid w:val="004706E4"/>
    <w:rsid w:val="00470A27"/>
    <w:rsid w:val="00470CA7"/>
    <w:rsid w:val="0047312C"/>
    <w:rsid w:val="00473E41"/>
    <w:rsid w:val="00474163"/>
    <w:rsid w:val="004752A7"/>
    <w:rsid w:val="00475C74"/>
    <w:rsid w:val="00476616"/>
    <w:rsid w:val="00477232"/>
    <w:rsid w:val="004776CF"/>
    <w:rsid w:val="004779FC"/>
    <w:rsid w:val="0048025D"/>
    <w:rsid w:val="004804CD"/>
    <w:rsid w:val="00480934"/>
    <w:rsid w:val="00480C7F"/>
    <w:rsid w:val="00480E8E"/>
    <w:rsid w:val="004813E3"/>
    <w:rsid w:val="00481572"/>
    <w:rsid w:val="004817D4"/>
    <w:rsid w:val="004819F6"/>
    <w:rsid w:val="00481EB0"/>
    <w:rsid w:val="00481F68"/>
    <w:rsid w:val="00482774"/>
    <w:rsid w:val="00482A35"/>
    <w:rsid w:val="00484513"/>
    <w:rsid w:val="0048478C"/>
    <w:rsid w:val="0048525C"/>
    <w:rsid w:val="004855B6"/>
    <w:rsid w:val="00485762"/>
    <w:rsid w:val="00486539"/>
    <w:rsid w:val="00486E10"/>
    <w:rsid w:val="004871CA"/>
    <w:rsid w:val="0048726C"/>
    <w:rsid w:val="00487D16"/>
    <w:rsid w:val="00487D47"/>
    <w:rsid w:val="00490315"/>
    <w:rsid w:val="004911C6"/>
    <w:rsid w:val="004915E6"/>
    <w:rsid w:val="00492E19"/>
    <w:rsid w:val="0049347B"/>
    <w:rsid w:val="0049372A"/>
    <w:rsid w:val="00494459"/>
    <w:rsid w:val="004947E9"/>
    <w:rsid w:val="0049548B"/>
    <w:rsid w:val="00495C6A"/>
    <w:rsid w:val="00495FEC"/>
    <w:rsid w:val="00496144"/>
    <w:rsid w:val="004961B3"/>
    <w:rsid w:val="00497228"/>
    <w:rsid w:val="0049745C"/>
    <w:rsid w:val="00497543"/>
    <w:rsid w:val="004A0006"/>
    <w:rsid w:val="004A0A1F"/>
    <w:rsid w:val="004A1DF8"/>
    <w:rsid w:val="004A2064"/>
    <w:rsid w:val="004A2AF8"/>
    <w:rsid w:val="004A2D94"/>
    <w:rsid w:val="004A2E72"/>
    <w:rsid w:val="004A3215"/>
    <w:rsid w:val="004A3C50"/>
    <w:rsid w:val="004A3D24"/>
    <w:rsid w:val="004A49E8"/>
    <w:rsid w:val="004A4B32"/>
    <w:rsid w:val="004A5911"/>
    <w:rsid w:val="004A5C44"/>
    <w:rsid w:val="004A5D1E"/>
    <w:rsid w:val="004A600B"/>
    <w:rsid w:val="004A6B8D"/>
    <w:rsid w:val="004A6FAD"/>
    <w:rsid w:val="004A7045"/>
    <w:rsid w:val="004A770A"/>
    <w:rsid w:val="004A7C79"/>
    <w:rsid w:val="004B007E"/>
    <w:rsid w:val="004B07CE"/>
    <w:rsid w:val="004B0F9B"/>
    <w:rsid w:val="004B14D1"/>
    <w:rsid w:val="004B17EC"/>
    <w:rsid w:val="004B1AF1"/>
    <w:rsid w:val="004B1B7C"/>
    <w:rsid w:val="004B2673"/>
    <w:rsid w:val="004B2713"/>
    <w:rsid w:val="004B3EA0"/>
    <w:rsid w:val="004B3EF3"/>
    <w:rsid w:val="004B4C32"/>
    <w:rsid w:val="004B5CDC"/>
    <w:rsid w:val="004B5EC1"/>
    <w:rsid w:val="004B5F29"/>
    <w:rsid w:val="004B6245"/>
    <w:rsid w:val="004B6325"/>
    <w:rsid w:val="004B67DA"/>
    <w:rsid w:val="004B764B"/>
    <w:rsid w:val="004B78A1"/>
    <w:rsid w:val="004C04DE"/>
    <w:rsid w:val="004C062E"/>
    <w:rsid w:val="004C06B4"/>
    <w:rsid w:val="004C11BF"/>
    <w:rsid w:val="004C144E"/>
    <w:rsid w:val="004C1848"/>
    <w:rsid w:val="004C230D"/>
    <w:rsid w:val="004C2656"/>
    <w:rsid w:val="004C2D7E"/>
    <w:rsid w:val="004C3770"/>
    <w:rsid w:val="004C4EB8"/>
    <w:rsid w:val="004C5118"/>
    <w:rsid w:val="004C6B67"/>
    <w:rsid w:val="004C767F"/>
    <w:rsid w:val="004C76CD"/>
    <w:rsid w:val="004D026C"/>
    <w:rsid w:val="004D070A"/>
    <w:rsid w:val="004D0833"/>
    <w:rsid w:val="004D2B07"/>
    <w:rsid w:val="004D3678"/>
    <w:rsid w:val="004D39E6"/>
    <w:rsid w:val="004D3FC7"/>
    <w:rsid w:val="004D42E7"/>
    <w:rsid w:val="004D4390"/>
    <w:rsid w:val="004D4C13"/>
    <w:rsid w:val="004D4DD9"/>
    <w:rsid w:val="004D5692"/>
    <w:rsid w:val="004D7102"/>
    <w:rsid w:val="004D7C0D"/>
    <w:rsid w:val="004D7E60"/>
    <w:rsid w:val="004D7EED"/>
    <w:rsid w:val="004E073B"/>
    <w:rsid w:val="004E0FF7"/>
    <w:rsid w:val="004E18FC"/>
    <w:rsid w:val="004E2415"/>
    <w:rsid w:val="004E273B"/>
    <w:rsid w:val="004E2E3D"/>
    <w:rsid w:val="004E395F"/>
    <w:rsid w:val="004E3C73"/>
    <w:rsid w:val="004E44F5"/>
    <w:rsid w:val="004E4E4B"/>
    <w:rsid w:val="004E5376"/>
    <w:rsid w:val="004E5573"/>
    <w:rsid w:val="004E7AE3"/>
    <w:rsid w:val="004F0DDB"/>
    <w:rsid w:val="004F14C2"/>
    <w:rsid w:val="004F15F5"/>
    <w:rsid w:val="004F1CB5"/>
    <w:rsid w:val="004F1E04"/>
    <w:rsid w:val="004F219D"/>
    <w:rsid w:val="004F2397"/>
    <w:rsid w:val="004F2525"/>
    <w:rsid w:val="004F26E6"/>
    <w:rsid w:val="004F2F5D"/>
    <w:rsid w:val="004F3A3D"/>
    <w:rsid w:val="004F43FF"/>
    <w:rsid w:val="004F4BCA"/>
    <w:rsid w:val="004F4F10"/>
    <w:rsid w:val="004F52D2"/>
    <w:rsid w:val="004F5884"/>
    <w:rsid w:val="004F599D"/>
    <w:rsid w:val="004F5F21"/>
    <w:rsid w:val="004F6807"/>
    <w:rsid w:val="004F6BFE"/>
    <w:rsid w:val="004F772C"/>
    <w:rsid w:val="0050001E"/>
    <w:rsid w:val="0050147C"/>
    <w:rsid w:val="00501FAE"/>
    <w:rsid w:val="005026D8"/>
    <w:rsid w:val="00502AF9"/>
    <w:rsid w:val="00502DB7"/>
    <w:rsid w:val="005033D9"/>
    <w:rsid w:val="0050357F"/>
    <w:rsid w:val="00503D72"/>
    <w:rsid w:val="00504001"/>
    <w:rsid w:val="00504C86"/>
    <w:rsid w:val="005058D5"/>
    <w:rsid w:val="00505928"/>
    <w:rsid w:val="005105B0"/>
    <w:rsid w:val="005107C8"/>
    <w:rsid w:val="00510F50"/>
    <w:rsid w:val="0051183C"/>
    <w:rsid w:val="00511E3B"/>
    <w:rsid w:val="0051277F"/>
    <w:rsid w:val="00513B91"/>
    <w:rsid w:val="00513DDB"/>
    <w:rsid w:val="00514745"/>
    <w:rsid w:val="005149AC"/>
    <w:rsid w:val="00515839"/>
    <w:rsid w:val="00515999"/>
    <w:rsid w:val="0051656B"/>
    <w:rsid w:val="005169C6"/>
    <w:rsid w:val="00517607"/>
    <w:rsid w:val="005177B5"/>
    <w:rsid w:val="005214C8"/>
    <w:rsid w:val="0052212F"/>
    <w:rsid w:val="0052220B"/>
    <w:rsid w:val="00522532"/>
    <w:rsid w:val="005225B7"/>
    <w:rsid w:val="005225E3"/>
    <w:rsid w:val="00522B20"/>
    <w:rsid w:val="00522D2C"/>
    <w:rsid w:val="00524216"/>
    <w:rsid w:val="00524477"/>
    <w:rsid w:val="00524783"/>
    <w:rsid w:val="0052516B"/>
    <w:rsid w:val="00525C70"/>
    <w:rsid w:val="00525DE3"/>
    <w:rsid w:val="00525F14"/>
    <w:rsid w:val="00526188"/>
    <w:rsid w:val="005265E8"/>
    <w:rsid w:val="0052665F"/>
    <w:rsid w:val="00526AD0"/>
    <w:rsid w:val="00526B68"/>
    <w:rsid w:val="00526EE6"/>
    <w:rsid w:val="0052703E"/>
    <w:rsid w:val="00527A03"/>
    <w:rsid w:val="00527BEA"/>
    <w:rsid w:val="00527D88"/>
    <w:rsid w:val="00527F01"/>
    <w:rsid w:val="00530BEA"/>
    <w:rsid w:val="005316EB"/>
    <w:rsid w:val="00531812"/>
    <w:rsid w:val="005320BB"/>
    <w:rsid w:val="00532132"/>
    <w:rsid w:val="005321CA"/>
    <w:rsid w:val="0053307B"/>
    <w:rsid w:val="005332BF"/>
    <w:rsid w:val="00533308"/>
    <w:rsid w:val="005335D3"/>
    <w:rsid w:val="00534A61"/>
    <w:rsid w:val="00535327"/>
    <w:rsid w:val="005353D0"/>
    <w:rsid w:val="00535632"/>
    <w:rsid w:val="00535869"/>
    <w:rsid w:val="005358B0"/>
    <w:rsid w:val="005359A2"/>
    <w:rsid w:val="00535DC6"/>
    <w:rsid w:val="005362E6"/>
    <w:rsid w:val="0053666B"/>
    <w:rsid w:val="00536969"/>
    <w:rsid w:val="00536F7C"/>
    <w:rsid w:val="00537848"/>
    <w:rsid w:val="00537880"/>
    <w:rsid w:val="005379D9"/>
    <w:rsid w:val="00540771"/>
    <w:rsid w:val="005408B7"/>
    <w:rsid w:val="00540B95"/>
    <w:rsid w:val="00541248"/>
    <w:rsid w:val="00541BCF"/>
    <w:rsid w:val="00542359"/>
    <w:rsid w:val="00542415"/>
    <w:rsid w:val="00542428"/>
    <w:rsid w:val="00542C31"/>
    <w:rsid w:val="00543F47"/>
    <w:rsid w:val="00543F93"/>
    <w:rsid w:val="005443D0"/>
    <w:rsid w:val="005446D8"/>
    <w:rsid w:val="00544786"/>
    <w:rsid w:val="005447CB"/>
    <w:rsid w:val="00544CAE"/>
    <w:rsid w:val="00545593"/>
    <w:rsid w:val="005459F1"/>
    <w:rsid w:val="00545A91"/>
    <w:rsid w:val="00545F04"/>
    <w:rsid w:val="00546462"/>
    <w:rsid w:val="00546572"/>
    <w:rsid w:val="005467B1"/>
    <w:rsid w:val="0054717E"/>
    <w:rsid w:val="005502B7"/>
    <w:rsid w:val="00550425"/>
    <w:rsid w:val="00550E14"/>
    <w:rsid w:val="00551DA2"/>
    <w:rsid w:val="00551DA7"/>
    <w:rsid w:val="00552784"/>
    <w:rsid w:val="00553531"/>
    <w:rsid w:val="0055353D"/>
    <w:rsid w:val="00553B56"/>
    <w:rsid w:val="00553B72"/>
    <w:rsid w:val="00553D9B"/>
    <w:rsid w:val="005547D1"/>
    <w:rsid w:val="00555804"/>
    <w:rsid w:val="00556927"/>
    <w:rsid w:val="00556E4E"/>
    <w:rsid w:val="00557792"/>
    <w:rsid w:val="005578E5"/>
    <w:rsid w:val="00557A47"/>
    <w:rsid w:val="00557B2F"/>
    <w:rsid w:val="00560E94"/>
    <w:rsid w:val="00561208"/>
    <w:rsid w:val="005616B8"/>
    <w:rsid w:val="00561A0F"/>
    <w:rsid w:val="00562922"/>
    <w:rsid w:val="00562CA7"/>
    <w:rsid w:val="00562D12"/>
    <w:rsid w:val="00562FDE"/>
    <w:rsid w:val="00563197"/>
    <w:rsid w:val="0056453A"/>
    <w:rsid w:val="00564833"/>
    <w:rsid w:val="00564CF4"/>
    <w:rsid w:val="0056516B"/>
    <w:rsid w:val="0056530A"/>
    <w:rsid w:val="005653EA"/>
    <w:rsid w:val="00565490"/>
    <w:rsid w:val="005672FD"/>
    <w:rsid w:val="00567FB5"/>
    <w:rsid w:val="005701E6"/>
    <w:rsid w:val="005716EC"/>
    <w:rsid w:val="00571A59"/>
    <w:rsid w:val="00571A84"/>
    <w:rsid w:val="005721D7"/>
    <w:rsid w:val="00572351"/>
    <w:rsid w:val="00573510"/>
    <w:rsid w:val="005741E7"/>
    <w:rsid w:val="005747E9"/>
    <w:rsid w:val="00574C3F"/>
    <w:rsid w:val="00574F45"/>
    <w:rsid w:val="005753E9"/>
    <w:rsid w:val="00575B92"/>
    <w:rsid w:val="0057603D"/>
    <w:rsid w:val="005761C4"/>
    <w:rsid w:val="005764C6"/>
    <w:rsid w:val="00576959"/>
    <w:rsid w:val="00576CC6"/>
    <w:rsid w:val="00576D90"/>
    <w:rsid w:val="00577CD4"/>
    <w:rsid w:val="0058095D"/>
    <w:rsid w:val="00582531"/>
    <w:rsid w:val="00582B7E"/>
    <w:rsid w:val="005832B9"/>
    <w:rsid w:val="0058332C"/>
    <w:rsid w:val="00583B87"/>
    <w:rsid w:val="00584528"/>
    <w:rsid w:val="0058455A"/>
    <w:rsid w:val="00584766"/>
    <w:rsid w:val="00584B4F"/>
    <w:rsid w:val="00584E59"/>
    <w:rsid w:val="00585314"/>
    <w:rsid w:val="00585EFC"/>
    <w:rsid w:val="00586FE3"/>
    <w:rsid w:val="00587508"/>
    <w:rsid w:val="00587BEB"/>
    <w:rsid w:val="00591D64"/>
    <w:rsid w:val="00591E33"/>
    <w:rsid w:val="005927E0"/>
    <w:rsid w:val="00592B26"/>
    <w:rsid w:val="005936AC"/>
    <w:rsid w:val="00593BF0"/>
    <w:rsid w:val="00593FBD"/>
    <w:rsid w:val="0059407D"/>
    <w:rsid w:val="005941C2"/>
    <w:rsid w:val="0059519B"/>
    <w:rsid w:val="005951F7"/>
    <w:rsid w:val="00595772"/>
    <w:rsid w:val="00595DC5"/>
    <w:rsid w:val="00595FB0"/>
    <w:rsid w:val="00596BDA"/>
    <w:rsid w:val="005974DE"/>
    <w:rsid w:val="00597D34"/>
    <w:rsid w:val="005A0609"/>
    <w:rsid w:val="005A09C9"/>
    <w:rsid w:val="005A0C16"/>
    <w:rsid w:val="005A18EB"/>
    <w:rsid w:val="005A1C83"/>
    <w:rsid w:val="005A1C85"/>
    <w:rsid w:val="005A2364"/>
    <w:rsid w:val="005A261F"/>
    <w:rsid w:val="005A26A3"/>
    <w:rsid w:val="005A27A2"/>
    <w:rsid w:val="005A2859"/>
    <w:rsid w:val="005A2DF4"/>
    <w:rsid w:val="005A2FFB"/>
    <w:rsid w:val="005A4606"/>
    <w:rsid w:val="005A46C1"/>
    <w:rsid w:val="005A50ED"/>
    <w:rsid w:val="005A53E1"/>
    <w:rsid w:val="005A55F7"/>
    <w:rsid w:val="005A5612"/>
    <w:rsid w:val="005A5664"/>
    <w:rsid w:val="005A63C2"/>
    <w:rsid w:val="005A669C"/>
    <w:rsid w:val="005B03C9"/>
    <w:rsid w:val="005B0521"/>
    <w:rsid w:val="005B1A57"/>
    <w:rsid w:val="005B2171"/>
    <w:rsid w:val="005B2A75"/>
    <w:rsid w:val="005B324F"/>
    <w:rsid w:val="005B41BD"/>
    <w:rsid w:val="005B45D3"/>
    <w:rsid w:val="005B48AC"/>
    <w:rsid w:val="005B49C6"/>
    <w:rsid w:val="005B4B2B"/>
    <w:rsid w:val="005B50D1"/>
    <w:rsid w:val="005B515E"/>
    <w:rsid w:val="005B5620"/>
    <w:rsid w:val="005B59F6"/>
    <w:rsid w:val="005B5B5F"/>
    <w:rsid w:val="005B5C71"/>
    <w:rsid w:val="005B678C"/>
    <w:rsid w:val="005B71D1"/>
    <w:rsid w:val="005B754E"/>
    <w:rsid w:val="005B7BEB"/>
    <w:rsid w:val="005B7DF6"/>
    <w:rsid w:val="005B7E73"/>
    <w:rsid w:val="005C02CA"/>
    <w:rsid w:val="005C061C"/>
    <w:rsid w:val="005C08EC"/>
    <w:rsid w:val="005C17C2"/>
    <w:rsid w:val="005C1A4F"/>
    <w:rsid w:val="005C1EEA"/>
    <w:rsid w:val="005C256C"/>
    <w:rsid w:val="005C29D7"/>
    <w:rsid w:val="005C3396"/>
    <w:rsid w:val="005C37CF"/>
    <w:rsid w:val="005C4225"/>
    <w:rsid w:val="005C4B32"/>
    <w:rsid w:val="005C4DF0"/>
    <w:rsid w:val="005C50FB"/>
    <w:rsid w:val="005C54B5"/>
    <w:rsid w:val="005C5FB8"/>
    <w:rsid w:val="005C6453"/>
    <w:rsid w:val="005D0CBA"/>
    <w:rsid w:val="005D0F16"/>
    <w:rsid w:val="005D0F43"/>
    <w:rsid w:val="005D1BBA"/>
    <w:rsid w:val="005D1C98"/>
    <w:rsid w:val="005D279E"/>
    <w:rsid w:val="005D309C"/>
    <w:rsid w:val="005D3C29"/>
    <w:rsid w:val="005D3E97"/>
    <w:rsid w:val="005D42FD"/>
    <w:rsid w:val="005D445B"/>
    <w:rsid w:val="005D4955"/>
    <w:rsid w:val="005D52E3"/>
    <w:rsid w:val="005D5EF2"/>
    <w:rsid w:val="005D61B3"/>
    <w:rsid w:val="005D69E1"/>
    <w:rsid w:val="005D6C0F"/>
    <w:rsid w:val="005D6D30"/>
    <w:rsid w:val="005D793B"/>
    <w:rsid w:val="005D7D3A"/>
    <w:rsid w:val="005E06DA"/>
    <w:rsid w:val="005E0F9A"/>
    <w:rsid w:val="005E1125"/>
    <w:rsid w:val="005E1294"/>
    <w:rsid w:val="005E14E5"/>
    <w:rsid w:val="005E1E6D"/>
    <w:rsid w:val="005E210C"/>
    <w:rsid w:val="005E29C6"/>
    <w:rsid w:val="005E2C21"/>
    <w:rsid w:val="005E3655"/>
    <w:rsid w:val="005E3BBB"/>
    <w:rsid w:val="005E3D41"/>
    <w:rsid w:val="005E53E0"/>
    <w:rsid w:val="005E5888"/>
    <w:rsid w:val="005E60AE"/>
    <w:rsid w:val="005E6BE8"/>
    <w:rsid w:val="005E7BFE"/>
    <w:rsid w:val="005F07D4"/>
    <w:rsid w:val="005F0D01"/>
    <w:rsid w:val="005F1209"/>
    <w:rsid w:val="005F2B0F"/>
    <w:rsid w:val="005F2B14"/>
    <w:rsid w:val="005F2D46"/>
    <w:rsid w:val="005F3F9B"/>
    <w:rsid w:val="005F500B"/>
    <w:rsid w:val="005F5AEA"/>
    <w:rsid w:val="005F62DB"/>
    <w:rsid w:val="005F664C"/>
    <w:rsid w:val="005F665F"/>
    <w:rsid w:val="005F69B8"/>
    <w:rsid w:val="005F6D03"/>
    <w:rsid w:val="0060080E"/>
    <w:rsid w:val="006012B2"/>
    <w:rsid w:val="00602259"/>
    <w:rsid w:val="00603458"/>
    <w:rsid w:val="00603DF3"/>
    <w:rsid w:val="00603EFE"/>
    <w:rsid w:val="0060468A"/>
    <w:rsid w:val="006056F8"/>
    <w:rsid w:val="00605756"/>
    <w:rsid w:val="006058F8"/>
    <w:rsid w:val="00605BC4"/>
    <w:rsid w:val="00605C90"/>
    <w:rsid w:val="00606194"/>
    <w:rsid w:val="006061A9"/>
    <w:rsid w:val="006062A3"/>
    <w:rsid w:val="00606BCF"/>
    <w:rsid w:val="00606BE6"/>
    <w:rsid w:val="00607395"/>
    <w:rsid w:val="006078D7"/>
    <w:rsid w:val="006104C6"/>
    <w:rsid w:val="00611092"/>
    <w:rsid w:val="0061112C"/>
    <w:rsid w:val="00611720"/>
    <w:rsid w:val="006119F6"/>
    <w:rsid w:val="00611EC7"/>
    <w:rsid w:val="006123E4"/>
    <w:rsid w:val="00612D70"/>
    <w:rsid w:val="0061316A"/>
    <w:rsid w:val="0061369F"/>
    <w:rsid w:val="00613A5B"/>
    <w:rsid w:val="00613E80"/>
    <w:rsid w:val="006144D6"/>
    <w:rsid w:val="006151E4"/>
    <w:rsid w:val="00615291"/>
    <w:rsid w:val="00615687"/>
    <w:rsid w:val="00616215"/>
    <w:rsid w:val="00616541"/>
    <w:rsid w:val="006170FD"/>
    <w:rsid w:val="0062009A"/>
    <w:rsid w:val="006205FB"/>
    <w:rsid w:val="006208D7"/>
    <w:rsid w:val="006209A2"/>
    <w:rsid w:val="006209EE"/>
    <w:rsid w:val="0062110F"/>
    <w:rsid w:val="00621410"/>
    <w:rsid w:val="00621E0D"/>
    <w:rsid w:val="00622638"/>
    <w:rsid w:val="0062277A"/>
    <w:rsid w:val="006231E9"/>
    <w:rsid w:val="00623CDC"/>
    <w:rsid w:val="00624158"/>
    <w:rsid w:val="00624A41"/>
    <w:rsid w:val="00624E4B"/>
    <w:rsid w:val="006258F1"/>
    <w:rsid w:val="00625918"/>
    <w:rsid w:val="00625990"/>
    <w:rsid w:val="00625F89"/>
    <w:rsid w:val="0062608E"/>
    <w:rsid w:val="00626BA2"/>
    <w:rsid w:val="00627963"/>
    <w:rsid w:val="00627E6E"/>
    <w:rsid w:val="006304B2"/>
    <w:rsid w:val="00630CB6"/>
    <w:rsid w:val="00630EA3"/>
    <w:rsid w:val="00631582"/>
    <w:rsid w:val="00632055"/>
    <w:rsid w:val="00632321"/>
    <w:rsid w:val="00632739"/>
    <w:rsid w:val="00632E4F"/>
    <w:rsid w:val="006337FA"/>
    <w:rsid w:val="00633BA4"/>
    <w:rsid w:val="00634592"/>
    <w:rsid w:val="00634D38"/>
    <w:rsid w:val="00635103"/>
    <w:rsid w:val="006357FC"/>
    <w:rsid w:val="0063584C"/>
    <w:rsid w:val="006359C5"/>
    <w:rsid w:val="00636B65"/>
    <w:rsid w:val="00637494"/>
    <w:rsid w:val="006374EF"/>
    <w:rsid w:val="006376E6"/>
    <w:rsid w:val="00640B5E"/>
    <w:rsid w:val="00640FAC"/>
    <w:rsid w:val="0064141C"/>
    <w:rsid w:val="006414F5"/>
    <w:rsid w:val="00641775"/>
    <w:rsid w:val="00642408"/>
    <w:rsid w:val="006425CC"/>
    <w:rsid w:val="0064284A"/>
    <w:rsid w:val="006435E6"/>
    <w:rsid w:val="00643B44"/>
    <w:rsid w:val="00643DC1"/>
    <w:rsid w:val="00643F07"/>
    <w:rsid w:val="00643FC3"/>
    <w:rsid w:val="00644497"/>
    <w:rsid w:val="006447DC"/>
    <w:rsid w:val="0064496D"/>
    <w:rsid w:val="00644AB5"/>
    <w:rsid w:val="00644D4F"/>
    <w:rsid w:val="0064527F"/>
    <w:rsid w:val="006453B4"/>
    <w:rsid w:val="00645FEF"/>
    <w:rsid w:val="00646D87"/>
    <w:rsid w:val="006509F2"/>
    <w:rsid w:val="00651CF1"/>
    <w:rsid w:val="00651DAA"/>
    <w:rsid w:val="00653AF5"/>
    <w:rsid w:val="00653BE5"/>
    <w:rsid w:val="00654170"/>
    <w:rsid w:val="00654D2C"/>
    <w:rsid w:val="00654F8F"/>
    <w:rsid w:val="0065512F"/>
    <w:rsid w:val="00655195"/>
    <w:rsid w:val="00655441"/>
    <w:rsid w:val="00655670"/>
    <w:rsid w:val="00655E60"/>
    <w:rsid w:val="00655E96"/>
    <w:rsid w:val="00656295"/>
    <w:rsid w:val="00656320"/>
    <w:rsid w:val="00656701"/>
    <w:rsid w:val="0065756B"/>
    <w:rsid w:val="00657A1A"/>
    <w:rsid w:val="00660997"/>
    <w:rsid w:val="00660CD0"/>
    <w:rsid w:val="00661286"/>
    <w:rsid w:val="006616E4"/>
    <w:rsid w:val="00661B0E"/>
    <w:rsid w:val="00662146"/>
    <w:rsid w:val="00662C58"/>
    <w:rsid w:val="006630E9"/>
    <w:rsid w:val="006633D0"/>
    <w:rsid w:val="00664ACF"/>
    <w:rsid w:val="00664C25"/>
    <w:rsid w:val="00666987"/>
    <w:rsid w:val="00666E54"/>
    <w:rsid w:val="00667CBE"/>
    <w:rsid w:val="00667E4F"/>
    <w:rsid w:val="00667FE5"/>
    <w:rsid w:val="006703DF"/>
    <w:rsid w:val="00670C63"/>
    <w:rsid w:val="0067206E"/>
    <w:rsid w:val="00672363"/>
    <w:rsid w:val="00672D21"/>
    <w:rsid w:val="006730DA"/>
    <w:rsid w:val="006734AC"/>
    <w:rsid w:val="0067397C"/>
    <w:rsid w:val="00673AC0"/>
    <w:rsid w:val="006744F8"/>
    <w:rsid w:val="0067475F"/>
    <w:rsid w:val="00674ACF"/>
    <w:rsid w:val="00674F6D"/>
    <w:rsid w:val="00674F9E"/>
    <w:rsid w:val="00675282"/>
    <w:rsid w:val="00675371"/>
    <w:rsid w:val="00675A38"/>
    <w:rsid w:val="006772C3"/>
    <w:rsid w:val="00677AA1"/>
    <w:rsid w:val="0068080F"/>
    <w:rsid w:val="0068084A"/>
    <w:rsid w:val="006818A5"/>
    <w:rsid w:val="00681E59"/>
    <w:rsid w:val="00682770"/>
    <w:rsid w:val="00684E59"/>
    <w:rsid w:val="0068561F"/>
    <w:rsid w:val="0068639B"/>
    <w:rsid w:val="006868F5"/>
    <w:rsid w:val="006869BB"/>
    <w:rsid w:val="00686C4B"/>
    <w:rsid w:val="00686F9C"/>
    <w:rsid w:val="006875A9"/>
    <w:rsid w:val="00687947"/>
    <w:rsid w:val="00687E97"/>
    <w:rsid w:val="00687FF9"/>
    <w:rsid w:val="0069055D"/>
    <w:rsid w:val="00690934"/>
    <w:rsid w:val="00692761"/>
    <w:rsid w:val="00692CDB"/>
    <w:rsid w:val="0069331E"/>
    <w:rsid w:val="0069332E"/>
    <w:rsid w:val="00693AB8"/>
    <w:rsid w:val="00693D63"/>
    <w:rsid w:val="00694030"/>
    <w:rsid w:val="00694263"/>
    <w:rsid w:val="006942C7"/>
    <w:rsid w:val="006947C4"/>
    <w:rsid w:val="00694FF3"/>
    <w:rsid w:val="00695527"/>
    <w:rsid w:val="006960EE"/>
    <w:rsid w:val="006962E8"/>
    <w:rsid w:val="00696496"/>
    <w:rsid w:val="00697510"/>
    <w:rsid w:val="006977C2"/>
    <w:rsid w:val="0069790B"/>
    <w:rsid w:val="006979B8"/>
    <w:rsid w:val="006A0836"/>
    <w:rsid w:val="006A0DED"/>
    <w:rsid w:val="006A0F5D"/>
    <w:rsid w:val="006A1006"/>
    <w:rsid w:val="006A128D"/>
    <w:rsid w:val="006A38C3"/>
    <w:rsid w:val="006A398D"/>
    <w:rsid w:val="006A46F6"/>
    <w:rsid w:val="006A4A6E"/>
    <w:rsid w:val="006A4ACC"/>
    <w:rsid w:val="006A4D3D"/>
    <w:rsid w:val="006A5586"/>
    <w:rsid w:val="006A5A01"/>
    <w:rsid w:val="006A6D09"/>
    <w:rsid w:val="006A70C0"/>
    <w:rsid w:val="006A7A34"/>
    <w:rsid w:val="006B0471"/>
    <w:rsid w:val="006B0592"/>
    <w:rsid w:val="006B0C35"/>
    <w:rsid w:val="006B16D2"/>
    <w:rsid w:val="006B1D12"/>
    <w:rsid w:val="006B2724"/>
    <w:rsid w:val="006B28F5"/>
    <w:rsid w:val="006B307C"/>
    <w:rsid w:val="006B3501"/>
    <w:rsid w:val="006B38D0"/>
    <w:rsid w:val="006B392A"/>
    <w:rsid w:val="006B41A6"/>
    <w:rsid w:val="006B43ED"/>
    <w:rsid w:val="006B4435"/>
    <w:rsid w:val="006B4E23"/>
    <w:rsid w:val="006B5BF8"/>
    <w:rsid w:val="006B60B9"/>
    <w:rsid w:val="006B7167"/>
    <w:rsid w:val="006B737D"/>
    <w:rsid w:val="006B7880"/>
    <w:rsid w:val="006C0425"/>
    <w:rsid w:val="006C05BA"/>
    <w:rsid w:val="006C0BCB"/>
    <w:rsid w:val="006C17DA"/>
    <w:rsid w:val="006C2CD1"/>
    <w:rsid w:val="006C38E6"/>
    <w:rsid w:val="006C3935"/>
    <w:rsid w:val="006C4AF1"/>
    <w:rsid w:val="006C4D57"/>
    <w:rsid w:val="006C50ED"/>
    <w:rsid w:val="006C5226"/>
    <w:rsid w:val="006C555D"/>
    <w:rsid w:val="006C588B"/>
    <w:rsid w:val="006C64DE"/>
    <w:rsid w:val="006C6D5D"/>
    <w:rsid w:val="006C7389"/>
    <w:rsid w:val="006C7A54"/>
    <w:rsid w:val="006D0337"/>
    <w:rsid w:val="006D06EB"/>
    <w:rsid w:val="006D07CD"/>
    <w:rsid w:val="006D0DBC"/>
    <w:rsid w:val="006D1BB5"/>
    <w:rsid w:val="006D1C08"/>
    <w:rsid w:val="006D1C14"/>
    <w:rsid w:val="006D23C2"/>
    <w:rsid w:val="006D3870"/>
    <w:rsid w:val="006D39DC"/>
    <w:rsid w:val="006D3A3E"/>
    <w:rsid w:val="006D3AFC"/>
    <w:rsid w:val="006D3C88"/>
    <w:rsid w:val="006D41CD"/>
    <w:rsid w:val="006D4211"/>
    <w:rsid w:val="006D4B3A"/>
    <w:rsid w:val="006D558B"/>
    <w:rsid w:val="006D62B4"/>
    <w:rsid w:val="006D6334"/>
    <w:rsid w:val="006D703E"/>
    <w:rsid w:val="006D747C"/>
    <w:rsid w:val="006D7499"/>
    <w:rsid w:val="006D76AC"/>
    <w:rsid w:val="006E0A1A"/>
    <w:rsid w:val="006E0AF8"/>
    <w:rsid w:val="006E0D1A"/>
    <w:rsid w:val="006E10A6"/>
    <w:rsid w:val="006E1B0A"/>
    <w:rsid w:val="006E1CAE"/>
    <w:rsid w:val="006E1D88"/>
    <w:rsid w:val="006E1D8B"/>
    <w:rsid w:val="006E1F9E"/>
    <w:rsid w:val="006E23C1"/>
    <w:rsid w:val="006E25BA"/>
    <w:rsid w:val="006E2F00"/>
    <w:rsid w:val="006E3382"/>
    <w:rsid w:val="006E3799"/>
    <w:rsid w:val="006E390E"/>
    <w:rsid w:val="006E3C6E"/>
    <w:rsid w:val="006E4160"/>
    <w:rsid w:val="006E5082"/>
    <w:rsid w:val="006E5559"/>
    <w:rsid w:val="006E64EB"/>
    <w:rsid w:val="006E65A3"/>
    <w:rsid w:val="006E6B60"/>
    <w:rsid w:val="006E6D9B"/>
    <w:rsid w:val="006E6E69"/>
    <w:rsid w:val="006F0474"/>
    <w:rsid w:val="006F0E1D"/>
    <w:rsid w:val="006F122B"/>
    <w:rsid w:val="006F20F2"/>
    <w:rsid w:val="006F260D"/>
    <w:rsid w:val="006F27AA"/>
    <w:rsid w:val="006F2873"/>
    <w:rsid w:val="006F2DF6"/>
    <w:rsid w:val="006F3353"/>
    <w:rsid w:val="006F3471"/>
    <w:rsid w:val="006F36C6"/>
    <w:rsid w:val="006F3976"/>
    <w:rsid w:val="006F3A9F"/>
    <w:rsid w:val="006F3AA9"/>
    <w:rsid w:val="006F3F14"/>
    <w:rsid w:val="006F4398"/>
    <w:rsid w:val="006F46C7"/>
    <w:rsid w:val="006F4E23"/>
    <w:rsid w:val="006F52BE"/>
    <w:rsid w:val="006F66CF"/>
    <w:rsid w:val="006F6760"/>
    <w:rsid w:val="006F6EF2"/>
    <w:rsid w:val="006F7314"/>
    <w:rsid w:val="006F7498"/>
    <w:rsid w:val="006F77CD"/>
    <w:rsid w:val="006F7CDF"/>
    <w:rsid w:val="007008DA"/>
    <w:rsid w:val="00701517"/>
    <w:rsid w:val="00702ADE"/>
    <w:rsid w:val="00703549"/>
    <w:rsid w:val="00703598"/>
    <w:rsid w:val="00703777"/>
    <w:rsid w:val="00703A8B"/>
    <w:rsid w:val="00703CF1"/>
    <w:rsid w:val="00703EFD"/>
    <w:rsid w:val="00704402"/>
    <w:rsid w:val="007044CC"/>
    <w:rsid w:val="00704AFB"/>
    <w:rsid w:val="00705E78"/>
    <w:rsid w:val="00707BD0"/>
    <w:rsid w:val="007104D0"/>
    <w:rsid w:val="0071181B"/>
    <w:rsid w:val="00712672"/>
    <w:rsid w:val="0071324A"/>
    <w:rsid w:val="0071356C"/>
    <w:rsid w:val="00713AB3"/>
    <w:rsid w:val="00713D2C"/>
    <w:rsid w:val="00713DA4"/>
    <w:rsid w:val="00714C9D"/>
    <w:rsid w:val="00714FB2"/>
    <w:rsid w:val="007153CA"/>
    <w:rsid w:val="00715724"/>
    <w:rsid w:val="00715D63"/>
    <w:rsid w:val="007160F0"/>
    <w:rsid w:val="0071621D"/>
    <w:rsid w:val="00716776"/>
    <w:rsid w:val="00716783"/>
    <w:rsid w:val="00717211"/>
    <w:rsid w:val="00717B1A"/>
    <w:rsid w:val="00720A86"/>
    <w:rsid w:val="00720BC6"/>
    <w:rsid w:val="00720F60"/>
    <w:rsid w:val="00720FD4"/>
    <w:rsid w:val="00722549"/>
    <w:rsid w:val="00722E5C"/>
    <w:rsid w:val="0072377D"/>
    <w:rsid w:val="007241F8"/>
    <w:rsid w:val="00724985"/>
    <w:rsid w:val="00724D3E"/>
    <w:rsid w:val="00724E29"/>
    <w:rsid w:val="007255F9"/>
    <w:rsid w:val="007258ED"/>
    <w:rsid w:val="0072606C"/>
    <w:rsid w:val="007266D6"/>
    <w:rsid w:val="007269CA"/>
    <w:rsid w:val="0072754F"/>
    <w:rsid w:val="007276EF"/>
    <w:rsid w:val="00727BE0"/>
    <w:rsid w:val="007303A6"/>
    <w:rsid w:val="0073041E"/>
    <w:rsid w:val="007306D5"/>
    <w:rsid w:val="00730962"/>
    <w:rsid w:val="00730A2F"/>
    <w:rsid w:val="00730CBB"/>
    <w:rsid w:val="00730F78"/>
    <w:rsid w:val="00731F62"/>
    <w:rsid w:val="0073201A"/>
    <w:rsid w:val="0073222E"/>
    <w:rsid w:val="00732683"/>
    <w:rsid w:val="00732738"/>
    <w:rsid w:val="00732C1A"/>
    <w:rsid w:val="007333AE"/>
    <w:rsid w:val="0073375A"/>
    <w:rsid w:val="0073385D"/>
    <w:rsid w:val="00733A06"/>
    <w:rsid w:val="007342EC"/>
    <w:rsid w:val="00734E2C"/>
    <w:rsid w:val="007350E5"/>
    <w:rsid w:val="00735120"/>
    <w:rsid w:val="00735186"/>
    <w:rsid w:val="007353BF"/>
    <w:rsid w:val="00735677"/>
    <w:rsid w:val="00735C34"/>
    <w:rsid w:val="00735D17"/>
    <w:rsid w:val="00736EBF"/>
    <w:rsid w:val="007378D2"/>
    <w:rsid w:val="00737947"/>
    <w:rsid w:val="00737A55"/>
    <w:rsid w:val="00741363"/>
    <w:rsid w:val="00741C7E"/>
    <w:rsid w:val="00741E12"/>
    <w:rsid w:val="00741F0B"/>
    <w:rsid w:val="0074289E"/>
    <w:rsid w:val="007430AB"/>
    <w:rsid w:val="007445DF"/>
    <w:rsid w:val="00744BED"/>
    <w:rsid w:val="007458DD"/>
    <w:rsid w:val="00745C66"/>
    <w:rsid w:val="00746E01"/>
    <w:rsid w:val="00746F08"/>
    <w:rsid w:val="00747D40"/>
    <w:rsid w:val="00747E41"/>
    <w:rsid w:val="0075090E"/>
    <w:rsid w:val="00750D78"/>
    <w:rsid w:val="00750F81"/>
    <w:rsid w:val="00750F8B"/>
    <w:rsid w:val="007519AC"/>
    <w:rsid w:val="00751A21"/>
    <w:rsid w:val="00751FD3"/>
    <w:rsid w:val="007524C6"/>
    <w:rsid w:val="00752811"/>
    <w:rsid w:val="00752FD8"/>
    <w:rsid w:val="007537FD"/>
    <w:rsid w:val="007541E2"/>
    <w:rsid w:val="0075455D"/>
    <w:rsid w:val="00755178"/>
    <w:rsid w:val="0075532F"/>
    <w:rsid w:val="00755948"/>
    <w:rsid w:val="00755A19"/>
    <w:rsid w:val="00755C28"/>
    <w:rsid w:val="00755D15"/>
    <w:rsid w:val="007562DC"/>
    <w:rsid w:val="00756332"/>
    <w:rsid w:val="00756356"/>
    <w:rsid w:val="00756BD1"/>
    <w:rsid w:val="00756D3F"/>
    <w:rsid w:val="0075762B"/>
    <w:rsid w:val="00757A87"/>
    <w:rsid w:val="0076114D"/>
    <w:rsid w:val="007612E5"/>
    <w:rsid w:val="007620AE"/>
    <w:rsid w:val="0076224D"/>
    <w:rsid w:val="00762641"/>
    <w:rsid w:val="00762815"/>
    <w:rsid w:val="00763107"/>
    <w:rsid w:val="007633DE"/>
    <w:rsid w:val="00763582"/>
    <w:rsid w:val="0076380B"/>
    <w:rsid w:val="00764042"/>
    <w:rsid w:val="0076407A"/>
    <w:rsid w:val="007640D1"/>
    <w:rsid w:val="00764322"/>
    <w:rsid w:val="00764508"/>
    <w:rsid w:val="00764F20"/>
    <w:rsid w:val="00764FFD"/>
    <w:rsid w:val="00765056"/>
    <w:rsid w:val="007653FD"/>
    <w:rsid w:val="007661AD"/>
    <w:rsid w:val="00766256"/>
    <w:rsid w:val="00766D2D"/>
    <w:rsid w:val="007670D7"/>
    <w:rsid w:val="0076740E"/>
    <w:rsid w:val="00767771"/>
    <w:rsid w:val="00767BBF"/>
    <w:rsid w:val="00770275"/>
    <w:rsid w:val="007703ED"/>
    <w:rsid w:val="00770671"/>
    <w:rsid w:val="0077150F"/>
    <w:rsid w:val="00771673"/>
    <w:rsid w:val="00771AC8"/>
    <w:rsid w:val="00772616"/>
    <w:rsid w:val="0077302C"/>
    <w:rsid w:val="00773180"/>
    <w:rsid w:val="00773834"/>
    <w:rsid w:val="007738AF"/>
    <w:rsid w:val="00774ADA"/>
    <w:rsid w:val="007758D1"/>
    <w:rsid w:val="00775A0D"/>
    <w:rsid w:val="00775AD6"/>
    <w:rsid w:val="00775CFC"/>
    <w:rsid w:val="00776E5D"/>
    <w:rsid w:val="007773A6"/>
    <w:rsid w:val="007806F0"/>
    <w:rsid w:val="007806FA"/>
    <w:rsid w:val="00780CF0"/>
    <w:rsid w:val="00781040"/>
    <w:rsid w:val="00782142"/>
    <w:rsid w:val="007823A1"/>
    <w:rsid w:val="007828BC"/>
    <w:rsid w:val="0078290D"/>
    <w:rsid w:val="007833D3"/>
    <w:rsid w:val="00783F5D"/>
    <w:rsid w:val="0078428E"/>
    <w:rsid w:val="00785408"/>
    <w:rsid w:val="00785683"/>
    <w:rsid w:val="007863E0"/>
    <w:rsid w:val="00786566"/>
    <w:rsid w:val="007866BB"/>
    <w:rsid w:val="0078682F"/>
    <w:rsid w:val="00786878"/>
    <w:rsid w:val="00787796"/>
    <w:rsid w:val="00787913"/>
    <w:rsid w:val="007879A8"/>
    <w:rsid w:val="00790494"/>
    <w:rsid w:val="0079058E"/>
    <w:rsid w:val="007916E9"/>
    <w:rsid w:val="00791C01"/>
    <w:rsid w:val="007927FC"/>
    <w:rsid w:val="007929E4"/>
    <w:rsid w:val="007931DF"/>
    <w:rsid w:val="00794A42"/>
    <w:rsid w:val="00794A92"/>
    <w:rsid w:val="00795510"/>
    <w:rsid w:val="0079579C"/>
    <w:rsid w:val="007957BC"/>
    <w:rsid w:val="00795993"/>
    <w:rsid w:val="00795D39"/>
    <w:rsid w:val="007961E6"/>
    <w:rsid w:val="0079644F"/>
    <w:rsid w:val="00796498"/>
    <w:rsid w:val="007965EC"/>
    <w:rsid w:val="007966CB"/>
    <w:rsid w:val="00796918"/>
    <w:rsid w:val="00796BB7"/>
    <w:rsid w:val="00796C1D"/>
    <w:rsid w:val="007976DA"/>
    <w:rsid w:val="007A00EE"/>
    <w:rsid w:val="007A0894"/>
    <w:rsid w:val="007A0CD2"/>
    <w:rsid w:val="007A207C"/>
    <w:rsid w:val="007A2443"/>
    <w:rsid w:val="007A245C"/>
    <w:rsid w:val="007A265F"/>
    <w:rsid w:val="007A336F"/>
    <w:rsid w:val="007A36FE"/>
    <w:rsid w:val="007A38AF"/>
    <w:rsid w:val="007A3CAC"/>
    <w:rsid w:val="007A4016"/>
    <w:rsid w:val="007A407F"/>
    <w:rsid w:val="007A4A6E"/>
    <w:rsid w:val="007A4D24"/>
    <w:rsid w:val="007A5759"/>
    <w:rsid w:val="007A583D"/>
    <w:rsid w:val="007A61ED"/>
    <w:rsid w:val="007A6379"/>
    <w:rsid w:val="007A6AD0"/>
    <w:rsid w:val="007B0356"/>
    <w:rsid w:val="007B0409"/>
    <w:rsid w:val="007B0E14"/>
    <w:rsid w:val="007B1121"/>
    <w:rsid w:val="007B172C"/>
    <w:rsid w:val="007B226F"/>
    <w:rsid w:val="007B236B"/>
    <w:rsid w:val="007B2CA8"/>
    <w:rsid w:val="007B3210"/>
    <w:rsid w:val="007B3387"/>
    <w:rsid w:val="007B3B81"/>
    <w:rsid w:val="007B4389"/>
    <w:rsid w:val="007B49C1"/>
    <w:rsid w:val="007B4A4E"/>
    <w:rsid w:val="007B4AD1"/>
    <w:rsid w:val="007B5165"/>
    <w:rsid w:val="007B555A"/>
    <w:rsid w:val="007B5E9D"/>
    <w:rsid w:val="007B5F7C"/>
    <w:rsid w:val="007B6637"/>
    <w:rsid w:val="007B6A1E"/>
    <w:rsid w:val="007B6ED4"/>
    <w:rsid w:val="007B72FC"/>
    <w:rsid w:val="007B755B"/>
    <w:rsid w:val="007C0355"/>
    <w:rsid w:val="007C0408"/>
    <w:rsid w:val="007C07BA"/>
    <w:rsid w:val="007C11BA"/>
    <w:rsid w:val="007C14ED"/>
    <w:rsid w:val="007C179B"/>
    <w:rsid w:val="007C1C8C"/>
    <w:rsid w:val="007C1FC8"/>
    <w:rsid w:val="007C2424"/>
    <w:rsid w:val="007C2AE8"/>
    <w:rsid w:val="007C3174"/>
    <w:rsid w:val="007C341D"/>
    <w:rsid w:val="007C3769"/>
    <w:rsid w:val="007C3A7B"/>
    <w:rsid w:val="007C3C76"/>
    <w:rsid w:val="007C4F63"/>
    <w:rsid w:val="007C4F7A"/>
    <w:rsid w:val="007C5227"/>
    <w:rsid w:val="007C538E"/>
    <w:rsid w:val="007C6172"/>
    <w:rsid w:val="007C65D2"/>
    <w:rsid w:val="007C70F1"/>
    <w:rsid w:val="007C7240"/>
    <w:rsid w:val="007C767B"/>
    <w:rsid w:val="007C7A9E"/>
    <w:rsid w:val="007C7FC4"/>
    <w:rsid w:val="007D32F0"/>
    <w:rsid w:val="007D3A44"/>
    <w:rsid w:val="007D3D9F"/>
    <w:rsid w:val="007D4B98"/>
    <w:rsid w:val="007D58F1"/>
    <w:rsid w:val="007D5E82"/>
    <w:rsid w:val="007D6758"/>
    <w:rsid w:val="007D725B"/>
    <w:rsid w:val="007D7939"/>
    <w:rsid w:val="007E00FD"/>
    <w:rsid w:val="007E0222"/>
    <w:rsid w:val="007E0370"/>
    <w:rsid w:val="007E0AC5"/>
    <w:rsid w:val="007E13BA"/>
    <w:rsid w:val="007E1654"/>
    <w:rsid w:val="007E1DFB"/>
    <w:rsid w:val="007E29CF"/>
    <w:rsid w:val="007E3091"/>
    <w:rsid w:val="007E399B"/>
    <w:rsid w:val="007E4376"/>
    <w:rsid w:val="007E4545"/>
    <w:rsid w:val="007E4975"/>
    <w:rsid w:val="007E49EA"/>
    <w:rsid w:val="007E54ED"/>
    <w:rsid w:val="007E57C1"/>
    <w:rsid w:val="007E596A"/>
    <w:rsid w:val="007E6FA8"/>
    <w:rsid w:val="007E7007"/>
    <w:rsid w:val="007E7CF2"/>
    <w:rsid w:val="007E7DF4"/>
    <w:rsid w:val="007F04EA"/>
    <w:rsid w:val="007F0A14"/>
    <w:rsid w:val="007F0AC6"/>
    <w:rsid w:val="007F0D31"/>
    <w:rsid w:val="007F1483"/>
    <w:rsid w:val="007F1D87"/>
    <w:rsid w:val="007F2756"/>
    <w:rsid w:val="007F35BE"/>
    <w:rsid w:val="007F3BE9"/>
    <w:rsid w:val="007F3C25"/>
    <w:rsid w:val="007F3CF7"/>
    <w:rsid w:val="007F499C"/>
    <w:rsid w:val="007F4B52"/>
    <w:rsid w:val="007F4FB8"/>
    <w:rsid w:val="007F538F"/>
    <w:rsid w:val="007F53B6"/>
    <w:rsid w:val="007F54DF"/>
    <w:rsid w:val="007F5CE4"/>
    <w:rsid w:val="007F694C"/>
    <w:rsid w:val="007F6B31"/>
    <w:rsid w:val="007F6CBF"/>
    <w:rsid w:val="007F6ECB"/>
    <w:rsid w:val="007F7980"/>
    <w:rsid w:val="008003A6"/>
    <w:rsid w:val="00800A13"/>
    <w:rsid w:val="00800F1B"/>
    <w:rsid w:val="00801229"/>
    <w:rsid w:val="008020A7"/>
    <w:rsid w:val="0080224A"/>
    <w:rsid w:val="00802A7B"/>
    <w:rsid w:val="00802C8A"/>
    <w:rsid w:val="00802E53"/>
    <w:rsid w:val="00802F9C"/>
    <w:rsid w:val="00804584"/>
    <w:rsid w:val="00804C68"/>
    <w:rsid w:val="00804F1A"/>
    <w:rsid w:val="008059A8"/>
    <w:rsid w:val="00806A92"/>
    <w:rsid w:val="00806EEE"/>
    <w:rsid w:val="00806F2F"/>
    <w:rsid w:val="008104B8"/>
    <w:rsid w:val="008108E4"/>
    <w:rsid w:val="00810AAD"/>
    <w:rsid w:val="00811017"/>
    <w:rsid w:val="008110D2"/>
    <w:rsid w:val="0081164C"/>
    <w:rsid w:val="00811780"/>
    <w:rsid w:val="00812833"/>
    <w:rsid w:val="0081287A"/>
    <w:rsid w:val="00812C47"/>
    <w:rsid w:val="00812CD1"/>
    <w:rsid w:val="00812DC4"/>
    <w:rsid w:val="0081398C"/>
    <w:rsid w:val="008142F9"/>
    <w:rsid w:val="00814C5C"/>
    <w:rsid w:val="0081504B"/>
    <w:rsid w:val="008160B9"/>
    <w:rsid w:val="0081631A"/>
    <w:rsid w:val="008169CB"/>
    <w:rsid w:val="00816E18"/>
    <w:rsid w:val="0081708D"/>
    <w:rsid w:val="00817A8F"/>
    <w:rsid w:val="00817DCE"/>
    <w:rsid w:val="00817F99"/>
    <w:rsid w:val="008204EA"/>
    <w:rsid w:val="008208B4"/>
    <w:rsid w:val="00820F40"/>
    <w:rsid w:val="00821E6A"/>
    <w:rsid w:val="00821F26"/>
    <w:rsid w:val="0082263D"/>
    <w:rsid w:val="00822A74"/>
    <w:rsid w:val="00822BC0"/>
    <w:rsid w:val="00823C97"/>
    <w:rsid w:val="00823CE6"/>
    <w:rsid w:val="0082458F"/>
    <w:rsid w:val="00824598"/>
    <w:rsid w:val="00824A3C"/>
    <w:rsid w:val="00824C28"/>
    <w:rsid w:val="00824DEC"/>
    <w:rsid w:val="008262C0"/>
    <w:rsid w:val="00827072"/>
    <w:rsid w:val="00827461"/>
    <w:rsid w:val="008277C6"/>
    <w:rsid w:val="00827BE7"/>
    <w:rsid w:val="00827BF0"/>
    <w:rsid w:val="008311B4"/>
    <w:rsid w:val="00831206"/>
    <w:rsid w:val="00832243"/>
    <w:rsid w:val="0083266F"/>
    <w:rsid w:val="00832762"/>
    <w:rsid w:val="00833DC6"/>
    <w:rsid w:val="00834195"/>
    <w:rsid w:val="0083436B"/>
    <w:rsid w:val="00834462"/>
    <w:rsid w:val="0083477B"/>
    <w:rsid w:val="00834903"/>
    <w:rsid w:val="00834B64"/>
    <w:rsid w:val="00835BD2"/>
    <w:rsid w:val="008364ED"/>
    <w:rsid w:val="00836870"/>
    <w:rsid w:val="00836958"/>
    <w:rsid w:val="00836D4C"/>
    <w:rsid w:val="00836EE0"/>
    <w:rsid w:val="00837058"/>
    <w:rsid w:val="008375F0"/>
    <w:rsid w:val="008376E5"/>
    <w:rsid w:val="00840AA0"/>
    <w:rsid w:val="00840CD5"/>
    <w:rsid w:val="00840F7B"/>
    <w:rsid w:val="0084158F"/>
    <w:rsid w:val="0084177A"/>
    <w:rsid w:val="00841F3D"/>
    <w:rsid w:val="008421C9"/>
    <w:rsid w:val="00842A1B"/>
    <w:rsid w:val="0084345B"/>
    <w:rsid w:val="008436BE"/>
    <w:rsid w:val="00843FD1"/>
    <w:rsid w:val="00844009"/>
    <w:rsid w:val="0084485C"/>
    <w:rsid w:val="00844BC1"/>
    <w:rsid w:val="00844E55"/>
    <w:rsid w:val="00844E6D"/>
    <w:rsid w:val="008450FD"/>
    <w:rsid w:val="0084510D"/>
    <w:rsid w:val="00845B96"/>
    <w:rsid w:val="00845EE1"/>
    <w:rsid w:val="00846741"/>
    <w:rsid w:val="008468F4"/>
    <w:rsid w:val="00846942"/>
    <w:rsid w:val="00846DD6"/>
    <w:rsid w:val="00847ACE"/>
    <w:rsid w:val="008505C4"/>
    <w:rsid w:val="00850B94"/>
    <w:rsid w:val="0085118E"/>
    <w:rsid w:val="008514D6"/>
    <w:rsid w:val="008521CB"/>
    <w:rsid w:val="00852487"/>
    <w:rsid w:val="00852846"/>
    <w:rsid w:val="00852BE8"/>
    <w:rsid w:val="00852C6C"/>
    <w:rsid w:val="008532D3"/>
    <w:rsid w:val="008533D0"/>
    <w:rsid w:val="008538C4"/>
    <w:rsid w:val="00853A49"/>
    <w:rsid w:val="00853CE6"/>
    <w:rsid w:val="00853E88"/>
    <w:rsid w:val="008541F7"/>
    <w:rsid w:val="00854374"/>
    <w:rsid w:val="008543D3"/>
    <w:rsid w:val="008543E1"/>
    <w:rsid w:val="0085544E"/>
    <w:rsid w:val="008556EC"/>
    <w:rsid w:val="008560E3"/>
    <w:rsid w:val="00856178"/>
    <w:rsid w:val="008565E4"/>
    <w:rsid w:val="008569D7"/>
    <w:rsid w:val="00856A42"/>
    <w:rsid w:val="00856BB0"/>
    <w:rsid w:val="0085789E"/>
    <w:rsid w:val="00857B2A"/>
    <w:rsid w:val="00857D7D"/>
    <w:rsid w:val="00857DEA"/>
    <w:rsid w:val="00857FE4"/>
    <w:rsid w:val="008605B0"/>
    <w:rsid w:val="0086104E"/>
    <w:rsid w:val="008616D9"/>
    <w:rsid w:val="008619C3"/>
    <w:rsid w:val="00861BE3"/>
    <w:rsid w:val="00861CFD"/>
    <w:rsid w:val="00861D87"/>
    <w:rsid w:val="00861DFD"/>
    <w:rsid w:val="008621A5"/>
    <w:rsid w:val="008624E9"/>
    <w:rsid w:val="00862DC8"/>
    <w:rsid w:val="008641D3"/>
    <w:rsid w:val="00864857"/>
    <w:rsid w:val="00864AFE"/>
    <w:rsid w:val="00864D12"/>
    <w:rsid w:val="00865037"/>
    <w:rsid w:val="00865387"/>
    <w:rsid w:val="0086566B"/>
    <w:rsid w:val="008656C7"/>
    <w:rsid w:val="0086576A"/>
    <w:rsid w:val="00865A96"/>
    <w:rsid w:val="00865DC5"/>
    <w:rsid w:val="00865F19"/>
    <w:rsid w:val="00866C45"/>
    <w:rsid w:val="00867862"/>
    <w:rsid w:val="00867BA6"/>
    <w:rsid w:val="00870298"/>
    <w:rsid w:val="008706CC"/>
    <w:rsid w:val="008718A4"/>
    <w:rsid w:val="00872568"/>
    <w:rsid w:val="008729E4"/>
    <w:rsid w:val="00872D8E"/>
    <w:rsid w:val="00872F73"/>
    <w:rsid w:val="008731AB"/>
    <w:rsid w:val="00873739"/>
    <w:rsid w:val="00873E0D"/>
    <w:rsid w:val="008741FC"/>
    <w:rsid w:val="008745C6"/>
    <w:rsid w:val="0087486A"/>
    <w:rsid w:val="008752CF"/>
    <w:rsid w:val="00875945"/>
    <w:rsid w:val="008762C5"/>
    <w:rsid w:val="00876C53"/>
    <w:rsid w:val="0087782B"/>
    <w:rsid w:val="00880353"/>
    <w:rsid w:val="00880D58"/>
    <w:rsid w:val="00880D93"/>
    <w:rsid w:val="00881344"/>
    <w:rsid w:val="00881617"/>
    <w:rsid w:val="00881921"/>
    <w:rsid w:val="00881F92"/>
    <w:rsid w:val="0088209D"/>
    <w:rsid w:val="008828F7"/>
    <w:rsid w:val="00882E14"/>
    <w:rsid w:val="00883204"/>
    <w:rsid w:val="0088498E"/>
    <w:rsid w:val="00884CA5"/>
    <w:rsid w:val="00885291"/>
    <w:rsid w:val="00885F8B"/>
    <w:rsid w:val="008864E3"/>
    <w:rsid w:val="00886572"/>
    <w:rsid w:val="00886D3C"/>
    <w:rsid w:val="00887646"/>
    <w:rsid w:val="00890111"/>
    <w:rsid w:val="008901D4"/>
    <w:rsid w:val="00890C2A"/>
    <w:rsid w:val="00891638"/>
    <w:rsid w:val="008917A4"/>
    <w:rsid w:val="00891A6E"/>
    <w:rsid w:val="008924A8"/>
    <w:rsid w:val="00892FC5"/>
    <w:rsid w:val="00893895"/>
    <w:rsid w:val="00893F68"/>
    <w:rsid w:val="00894502"/>
    <w:rsid w:val="0089499D"/>
    <w:rsid w:val="00895934"/>
    <w:rsid w:val="008975D6"/>
    <w:rsid w:val="00897961"/>
    <w:rsid w:val="00897B40"/>
    <w:rsid w:val="00897D46"/>
    <w:rsid w:val="008A0150"/>
    <w:rsid w:val="008A0361"/>
    <w:rsid w:val="008A04F1"/>
    <w:rsid w:val="008A0533"/>
    <w:rsid w:val="008A0962"/>
    <w:rsid w:val="008A106B"/>
    <w:rsid w:val="008A1EFB"/>
    <w:rsid w:val="008A2AD3"/>
    <w:rsid w:val="008A36B5"/>
    <w:rsid w:val="008A3760"/>
    <w:rsid w:val="008A37EE"/>
    <w:rsid w:val="008A38FA"/>
    <w:rsid w:val="008A3FDA"/>
    <w:rsid w:val="008A4B87"/>
    <w:rsid w:val="008A60CD"/>
    <w:rsid w:val="008A66AC"/>
    <w:rsid w:val="008A6A11"/>
    <w:rsid w:val="008A6CDE"/>
    <w:rsid w:val="008A7C1D"/>
    <w:rsid w:val="008B022F"/>
    <w:rsid w:val="008B02CF"/>
    <w:rsid w:val="008B1105"/>
    <w:rsid w:val="008B1176"/>
    <w:rsid w:val="008B139C"/>
    <w:rsid w:val="008B2316"/>
    <w:rsid w:val="008B2486"/>
    <w:rsid w:val="008B2982"/>
    <w:rsid w:val="008B2FF6"/>
    <w:rsid w:val="008B307D"/>
    <w:rsid w:val="008B3403"/>
    <w:rsid w:val="008B44DD"/>
    <w:rsid w:val="008B45EC"/>
    <w:rsid w:val="008B4851"/>
    <w:rsid w:val="008B4EC5"/>
    <w:rsid w:val="008B5DA6"/>
    <w:rsid w:val="008B64FF"/>
    <w:rsid w:val="008B699B"/>
    <w:rsid w:val="008B6EF3"/>
    <w:rsid w:val="008B76A7"/>
    <w:rsid w:val="008C0021"/>
    <w:rsid w:val="008C0ED5"/>
    <w:rsid w:val="008C114A"/>
    <w:rsid w:val="008C16D0"/>
    <w:rsid w:val="008C1C4F"/>
    <w:rsid w:val="008C1D59"/>
    <w:rsid w:val="008C2A7C"/>
    <w:rsid w:val="008C2F25"/>
    <w:rsid w:val="008C313C"/>
    <w:rsid w:val="008C4333"/>
    <w:rsid w:val="008C4526"/>
    <w:rsid w:val="008C5235"/>
    <w:rsid w:val="008C571D"/>
    <w:rsid w:val="008C614B"/>
    <w:rsid w:val="008C6597"/>
    <w:rsid w:val="008C6F3D"/>
    <w:rsid w:val="008C72D3"/>
    <w:rsid w:val="008C76F8"/>
    <w:rsid w:val="008C7D7E"/>
    <w:rsid w:val="008C7FF0"/>
    <w:rsid w:val="008D0478"/>
    <w:rsid w:val="008D11EA"/>
    <w:rsid w:val="008D1E12"/>
    <w:rsid w:val="008D22CC"/>
    <w:rsid w:val="008D237D"/>
    <w:rsid w:val="008D29B5"/>
    <w:rsid w:val="008D2C53"/>
    <w:rsid w:val="008D377F"/>
    <w:rsid w:val="008D49C5"/>
    <w:rsid w:val="008D4CEB"/>
    <w:rsid w:val="008D5581"/>
    <w:rsid w:val="008D6020"/>
    <w:rsid w:val="008D605B"/>
    <w:rsid w:val="008D62C6"/>
    <w:rsid w:val="008D7228"/>
    <w:rsid w:val="008D740E"/>
    <w:rsid w:val="008D7AFA"/>
    <w:rsid w:val="008E03B5"/>
    <w:rsid w:val="008E058A"/>
    <w:rsid w:val="008E0E6D"/>
    <w:rsid w:val="008E14BE"/>
    <w:rsid w:val="008E1574"/>
    <w:rsid w:val="008E2233"/>
    <w:rsid w:val="008E2407"/>
    <w:rsid w:val="008E281C"/>
    <w:rsid w:val="008E2A04"/>
    <w:rsid w:val="008E318F"/>
    <w:rsid w:val="008E3389"/>
    <w:rsid w:val="008E3710"/>
    <w:rsid w:val="008E4E06"/>
    <w:rsid w:val="008E5E94"/>
    <w:rsid w:val="008E5F1E"/>
    <w:rsid w:val="008E6BF1"/>
    <w:rsid w:val="008E6D0A"/>
    <w:rsid w:val="008E72F8"/>
    <w:rsid w:val="008E77F8"/>
    <w:rsid w:val="008F023A"/>
    <w:rsid w:val="008F16F3"/>
    <w:rsid w:val="008F1D4E"/>
    <w:rsid w:val="008F1EAB"/>
    <w:rsid w:val="008F1F29"/>
    <w:rsid w:val="008F1FC8"/>
    <w:rsid w:val="008F2103"/>
    <w:rsid w:val="008F2B7A"/>
    <w:rsid w:val="008F2F06"/>
    <w:rsid w:val="008F30F9"/>
    <w:rsid w:val="008F3209"/>
    <w:rsid w:val="008F3473"/>
    <w:rsid w:val="008F4CA2"/>
    <w:rsid w:val="008F5639"/>
    <w:rsid w:val="008F5B2C"/>
    <w:rsid w:val="008F5C9C"/>
    <w:rsid w:val="008F6B62"/>
    <w:rsid w:val="008F7CBB"/>
    <w:rsid w:val="00900098"/>
    <w:rsid w:val="00900A5F"/>
    <w:rsid w:val="00901013"/>
    <w:rsid w:val="00901B1B"/>
    <w:rsid w:val="00902901"/>
    <w:rsid w:val="009033B7"/>
    <w:rsid w:val="00903640"/>
    <w:rsid w:val="00904D8F"/>
    <w:rsid w:val="00904ED2"/>
    <w:rsid w:val="009050BA"/>
    <w:rsid w:val="00906843"/>
    <w:rsid w:val="009105AE"/>
    <w:rsid w:val="0091070A"/>
    <w:rsid w:val="00911280"/>
    <w:rsid w:val="0091175D"/>
    <w:rsid w:val="009125DB"/>
    <w:rsid w:val="0091269B"/>
    <w:rsid w:val="009128D2"/>
    <w:rsid w:val="00913B0E"/>
    <w:rsid w:val="00913FA8"/>
    <w:rsid w:val="00914221"/>
    <w:rsid w:val="0091450D"/>
    <w:rsid w:val="00914D44"/>
    <w:rsid w:val="009151A9"/>
    <w:rsid w:val="00915AF1"/>
    <w:rsid w:val="00915BB4"/>
    <w:rsid w:val="00915C39"/>
    <w:rsid w:val="009162B5"/>
    <w:rsid w:val="00916C95"/>
    <w:rsid w:val="00917065"/>
    <w:rsid w:val="00917A57"/>
    <w:rsid w:val="00917FF8"/>
    <w:rsid w:val="009216F0"/>
    <w:rsid w:val="009219B8"/>
    <w:rsid w:val="00921D20"/>
    <w:rsid w:val="00921FEA"/>
    <w:rsid w:val="00922152"/>
    <w:rsid w:val="00922C35"/>
    <w:rsid w:val="009237CB"/>
    <w:rsid w:val="0092429F"/>
    <w:rsid w:val="009246E4"/>
    <w:rsid w:val="00924CCA"/>
    <w:rsid w:val="00924E7F"/>
    <w:rsid w:val="009250E6"/>
    <w:rsid w:val="00925A34"/>
    <w:rsid w:val="00925EFA"/>
    <w:rsid w:val="00926CA3"/>
    <w:rsid w:val="00927BE3"/>
    <w:rsid w:val="009307CF"/>
    <w:rsid w:val="009310A9"/>
    <w:rsid w:val="009313AA"/>
    <w:rsid w:val="0093142F"/>
    <w:rsid w:val="009326D4"/>
    <w:rsid w:val="00932F4D"/>
    <w:rsid w:val="0093360B"/>
    <w:rsid w:val="00933621"/>
    <w:rsid w:val="00933890"/>
    <w:rsid w:val="00933E62"/>
    <w:rsid w:val="009344D8"/>
    <w:rsid w:val="00934715"/>
    <w:rsid w:val="0093490F"/>
    <w:rsid w:val="00934A20"/>
    <w:rsid w:val="00934BF2"/>
    <w:rsid w:val="0093503E"/>
    <w:rsid w:val="009351C2"/>
    <w:rsid w:val="00935B9C"/>
    <w:rsid w:val="009362C3"/>
    <w:rsid w:val="009367E3"/>
    <w:rsid w:val="00936C68"/>
    <w:rsid w:val="009379FE"/>
    <w:rsid w:val="00937E32"/>
    <w:rsid w:val="00940ADA"/>
    <w:rsid w:val="00940B0F"/>
    <w:rsid w:val="00941324"/>
    <w:rsid w:val="00941A24"/>
    <w:rsid w:val="009429A2"/>
    <w:rsid w:val="00943356"/>
    <w:rsid w:val="0094440F"/>
    <w:rsid w:val="0094450B"/>
    <w:rsid w:val="00945145"/>
    <w:rsid w:val="009451A5"/>
    <w:rsid w:val="0094522B"/>
    <w:rsid w:val="0094593E"/>
    <w:rsid w:val="009464CC"/>
    <w:rsid w:val="0094653B"/>
    <w:rsid w:val="0094682D"/>
    <w:rsid w:val="00947628"/>
    <w:rsid w:val="00950051"/>
    <w:rsid w:val="00950C82"/>
    <w:rsid w:val="0095182B"/>
    <w:rsid w:val="00952815"/>
    <w:rsid w:val="00952CAE"/>
    <w:rsid w:val="00953197"/>
    <w:rsid w:val="009537F5"/>
    <w:rsid w:val="00953903"/>
    <w:rsid w:val="009541C0"/>
    <w:rsid w:val="009544A6"/>
    <w:rsid w:val="0095515B"/>
    <w:rsid w:val="009551C5"/>
    <w:rsid w:val="009560D8"/>
    <w:rsid w:val="009560DF"/>
    <w:rsid w:val="0095619E"/>
    <w:rsid w:val="00956825"/>
    <w:rsid w:val="00956847"/>
    <w:rsid w:val="00957972"/>
    <w:rsid w:val="00957CE0"/>
    <w:rsid w:val="009609F0"/>
    <w:rsid w:val="009626A1"/>
    <w:rsid w:val="00962D2D"/>
    <w:rsid w:val="00964134"/>
    <w:rsid w:val="009646B1"/>
    <w:rsid w:val="00964B48"/>
    <w:rsid w:val="00964E06"/>
    <w:rsid w:val="00965C85"/>
    <w:rsid w:val="00965CF7"/>
    <w:rsid w:val="00965D62"/>
    <w:rsid w:val="00966ABB"/>
    <w:rsid w:val="00966BBB"/>
    <w:rsid w:val="00967018"/>
    <w:rsid w:val="0096716E"/>
    <w:rsid w:val="0096737E"/>
    <w:rsid w:val="00967E0F"/>
    <w:rsid w:val="00967E1D"/>
    <w:rsid w:val="009705D5"/>
    <w:rsid w:val="0097085E"/>
    <w:rsid w:val="0097156E"/>
    <w:rsid w:val="00971C95"/>
    <w:rsid w:val="00972770"/>
    <w:rsid w:val="0097283A"/>
    <w:rsid w:val="00972948"/>
    <w:rsid w:val="00972FB1"/>
    <w:rsid w:val="00973238"/>
    <w:rsid w:val="00973257"/>
    <w:rsid w:val="009732C0"/>
    <w:rsid w:val="00973613"/>
    <w:rsid w:val="00974383"/>
    <w:rsid w:val="00974971"/>
    <w:rsid w:val="00975179"/>
    <w:rsid w:val="00975D10"/>
    <w:rsid w:val="0097614E"/>
    <w:rsid w:val="009779AB"/>
    <w:rsid w:val="00977B56"/>
    <w:rsid w:val="00977CE8"/>
    <w:rsid w:val="00977E18"/>
    <w:rsid w:val="00980DB6"/>
    <w:rsid w:val="00981180"/>
    <w:rsid w:val="00981668"/>
    <w:rsid w:val="0098172C"/>
    <w:rsid w:val="00981B16"/>
    <w:rsid w:val="00981FA3"/>
    <w:rsid w:val="009820A1"/>
    <w:rsid w:val="00982213"/>
    <w:rsid w:val="00983FCB"/>
    <w:rsid w:val="009842D4"/>
    <w:rsid w:val="009847A8"/>
    <w:rsid w:val="009852B6"/>
    <w:rsid w:val="00985796"/>
    <w:rsid w:val="009871EE"/>
    <w:rsid w:val="009902EE"/>
    <w:rsid w:val="009906F6"/>
    <w:rsid w:val="00990D5B"/>
    <w:rsid w:val="009919EC"/>
    <w:rsid w:val="00991A9F"/>
    <w:rsid w:val="00992323"/>
    <w:rsid w:val="00992994"/>
    <w:rsid w:val="00992ED6"/>
    <w:rsid w:val="0099308C"/>
    <w:rsid w:val="0099323B"/>
    <w:rsid w:val="009934F4"/>
    <w:rsid w:val="00993885"/>
    <w:rsid w:val="0099469F"/>
    <w:rsid w:val="00994C36"/>
    <w:rsid w:val="00995862"/>
    <w:rsid w:val="00995AC8"/>
    <w:rsid w:val="00996392"/>
    <w:rsid w:val="009967C6"/>
    <w:rsid w:val="00996FD4"/>
    <w:rsid w:val="00997494"/>
    <w:rsid w:val="0099787B"/>
    <w:rsid w:val="00997B8B"/>
    <w:rsid w:val="009A074A"/>
    <w:rsid w:val="009A08D6"/>
    <w:rsid w:val="009A0A07"/>
    <w:rsid w:val="009A0A16"/>
    <w:rsid w:val="009A1C1F"/>
    <w:rsid w:val="009A2C62"/>
    <w:rsid w:val="009A382F"/>
    <w:rsid w:val="009A4912"/>
    <w:rsid w:val="009A5349"/>
    <w:rsid w:val="009A57F9"/>
    <w:rsid w:val="009A615C"/>
    <w:rsid w:val="009A6365"/>
    <w:rsid w:val="009A6A7C"/>
    <w:rsid w:val="009A6DC3"/>
    <w:rsid w:val="009A7494"/>
    <w:rsid w:val="009A7A04"/>
    <w:rsid w:val="009B06AA"/>
    <w:rsid w:val="009B082B"/>
    <w:rsid w:val="009B0B47"/>
    <w:rsid w:val="009B0BC1"/>
    <w:rsid w:val="009B16F1"/>
    <w:rsid w:val="009B1856"/>
    <w:rsid w:val="009B2FFA"/>
    <w:rsid w:val="009B309E"/>
    <w:rsid w:val="009B345A"/>
    <w:rsid w:val="009B3C9C"/>
    <w:rsid w:val="009B4283"/>
    <w:rsid w:val="009B5B57"/>
    <w:rsid w:val="009B5C8E"/>
    <w:rsid w:val="009B69E7"/>
    <w:rsid w:val="009B6F2D"/>
    <w:rsid w:val="009C049E"/>
    <w:rsid w:val="009C0B87"/>
    <w:rsid w:val="009C18CE"/>
    <w:rsid w:val="009C1E11"/>
    <w:rsid w:val="009C2846"/>
    <w:rsid w:val="009C3228"/>
    <w:rsid w:val="009C3553"/>
    <w:rsid w:val="009C36CF"/>
    <w:rsid w:val="009C37E1"/>
    <w:rsid w:val="009C397E"/>
    <w:rsid w:val="009C3A1C"/>
    <w:rsid w:val="009C3F78"/>
    <w:rsid w:val="009C6090"/>
    <w:rsid w:val="009C6649"/>
    <w:rsid w:val="009C7BED"/>
    <w:rsid w:val="009C7E70"/>
    <w:rsid w:val="009D0213"/>
    <w:rsid w:val="009D029C"/>
    <w:rsid w:val="009D0828"/>
    <w:rsid w:val="009D098C"/>
    <w:rsid w:val="009D0CC4"/>
    <w:rsid w:val="009D1464"/>
    <w:rsid w:val="009D1592"/>
    <w:rsid w:val="009D1BC2"/>
    <w:rsid w:val="009D1E23"/>
    <w:rsid w:val="009D460A"/>
    <w:rsid w:val="009D46BE"/>
    <w:rsid w:val="009D5144"/>
    <w:rsid w:val="009D5533"/>
    <w:rsid w:val="009D56DA"/>
    <w:rsid w:val="009D63F6"/>
    <w:rsid w:val="009D64F9"/>
    <w:rsid w:val="009D69F9"/>
    <w:rsid w:val="009D6A34"/>
    <w:rsid w:val="009D7218"/>
    <w:rsid w:val="009D779D"/>
    <w:rsid w:val="009D78BF"/>
    <w:rsid w:val="009E0809"/>
    <w:rsid w:val="009E094B"/>
    <w:rsid w:val="009E0CED"/>
    <w:rsid w:val="009E167A"/>
    <w:rsid w:val="009E21C9"/>
    <w:rsid w:val="009E21DD"/>
    <w:rsid w:val="009E21ED"/>
    <w:rsid w:val="009E25B3"/>
    <w:rsid w:val="009E31D2"/>
    <w:rsid w:val="009E3822"/>
    <w:rsid w:val="009E3D3B"/>
    <w:rsid w:val="009E4177"/>
    <w:rsid w:val="009E48C4"/>
    <w:rsid w:val="009E4E04"/>
    <w:rsid w:val="009E503F"/>
    <w:rsid w:val="009E5301"/>
    <w:rsid w:val="009E556B"/>
    <w:rsid w:val="009E59CC"/>
    <w:rsid w:val="009E668B"/>
    <w:rsid w:val="009E6C54"/>
    <w:rsid w:val="009E7650"/>
    <w:rsid w:val="009E7727"/>
    <w:rsid w:val="009E7BC1"/>
    <w:rsid w:val="009E7F2D"/>
    <w:rsid w:val="009F0106"/>
    <w:rsid w:val="009F01D1"/>
    <w:rsid w:val="009F026B"/>
    <w:rsid w:val="009F0454"/>
    <w:rsid w:val="009F070B"/>
    <w:rsid w:val="009F08B8"/>
    <w:rsid w:val="009F0D74"/>
    <w:rsid w:val="009F0DEF"/>
    <w:rsid w:val="009F1312"/>
    <w:rsid w:val="009F13DC"/>
    <w:rsid w:val="009F19E8"/>
    <w:rsid w:val="009F1DC0"/>
    <w:rsid w:val="009F26E0"/>
    <w:rsid w:val="009F2FFD"/>
    <w:rsid w:val="009F3367"/>
    <w:rsid w:val="009F37B4"/>
    <w:rsid w:val="009F450D"/>
    <w:rsid w:val="009F4F18"/>
    <w:rsid w:val="009F5128"/>
    <w:rsid w:val="009F55ED"/>
    <w:rsid w:val="009F5DFE"/>
    <w:rsid w:val="009F5F94"/>
    <w:rsid w:val="009F635E"/>
    <w:rsid w:val="00A00E1B"/>
    <w:rsid w:val="00A01DF1"/>
    <w:rsid w:val="00A02365"/>
    <w:rsid w:val="00A023A9"/>
    <w:rsid w:val="00A027CF"/>
    <w:rsid w:val="00A028BC"/>
    <w:rsid w:val="00A028CE"/>
    <w:rsid w:val="00A0292D"/>
    <w:rsid w:val="00A02A18"/>
    <w:rsid w:val="00A035C1"/>
    <w:rsid w:val="00A03A05"/>
    <w:rsid w:val="00A03C16"/>
    <w:rsid w:val="00A040D1"/>
    <w:rsid w:val="00A04C16"/>
    <w:rsid w:val="00A04DB6"/>
    <w:rsid w:val="00A04F07"/>
    <w:rsid w:val="00A0538E"/>
    <w:rsid w:val="00A057BC"/>
    <w:rsid w:val="00A06DDA"/>
    <w:rsid w:val="00A06E43"/>
    <w:rsid w:val="00A10355"/>
    <w:rsid w:val="00A11BC0"/>
    <w:rsid w:val="00A11C92"/>
    <w:rsid w:val="00A1235F"/>
    <w:rsid w:val="00A12E13"/>
    <w:rsid w:val="00A12F24"/>
    <w:rsid w:val="00A13035"/>
    <w:rsid w:val="00A13662"/>
    <w:rsid w:val="00A1387A"/>
    <w:rsid w:val="00A14C8C"/>
    <w:rsid w:val="00A14DD1"/>
    <w:rsid w:val="00A1521C"/>
    <w:rsid w:val="00A15363"/>
    <w:rsid w:val="00A15431"/>
    <w:rsid w:val="00A158C3"/>
    <w:rsid w:val="00A15E3D"/>
    <w:rsid w:val="00A16F75"/>
    <w:rsid w:val="00A1715E"/>
    <w:rsid w:val="00A17862"/>
    <w:rsid w:val="00A17A0A"/>
    <w:rsid w:val="00A20672"/>
    <w:rsid w:val="00A20C02"/>
    <w:rsid w:val="00A213F0"/>
    <w:rsid w:val="00A2179B"/>
    <w:rsid w:val="00A223E0"/>
    <w:rsid w:val="00A230AB"/>
    <w:rsid w:val="00A23600"/>
    <w:rsid w:val="00A23F0D"/>
    <w:rsid w:val="00A240D8"/>
    <w:rsid w:val="00A24467"/>
    <w:rsid w:val="00A249DC"/>
    <w:rsid w:val="00A259A6"/>
    <w:rsid w:val="00A25BFD"/>
    <w:rsid w:val="00A25FCB"/>
    <w:rsid w:val="00A26496"/>
    <w:rsid w:val="00A267E7"/>
    <w:rsid w:val="00A26DBF"/>
    <w:rsid w:val="00A26E3A"/>
    <w:rsid w:val="00A26F38"/>
    <w:rsid w:val="00A27006"/>
    <w:rsid w:val="00A2772A"/>
    <w:rsid w:val="00A30040"/>
    <w:rsid w:val="00A301AB"/>
    <w:rsid w:val="00A30512"/>
    <w:rsid w:val="00A30698"/>
    <w:rsid w:val="00A3193F"/>
    <w:rsid w:val="00A32097"/>
    <w:rsid w:val="00A32722"/>
    <w:rsid w:val="00A3374A"/>
    <w:rsid w:val="00A33AF8"/>
    <w:rsid w:val="00A33DA3"/>
    <w:rsid w:val="00A350CC"/>
    <w:rsid w:val="00A36B2A"/>
    <w:rsid w:val="00A36FC1"/>
    <w:rsid w:val="00A36FDA"/>
    <w:rsid w:val="00A37025"/>
    <w:rsid w:val="00A37368"/>
    <w:rsid w:val="00A376DF"/>
    <w:rsid w:val="00A37BAD"/>
    <w:rsid w:val="00A4002D"/>
    <w:rsid w:val="00A40EA3"/>
    <w:rsid w:val="00A421DF"/>
    <w:rsid w:val="00A43435"/>
    <w:rsid w:val="00A43C50"/>
    <w:rsid w:val="00A443EE"/>
    <w:rsid w:val="00A4450C"/>
    <w:rsid w:val="00A46022"/>
    <w:rsid w:val="00A4610D"/>
    <w:rsid w:val="00A46E14"/>
    <w:rsid w:val="00A4706E"/>
    <w:rsid w:val="00A478B1"/>
    <w:rsid w:val="00A47DE9"/>
    <w:rsid w:val="00A50017"/>
    <w:rsid w:val="00A50280"/>
    <w:rsid w:val="00A5030F"/>
    <w:rsid w:val="00A50674"/>
    <w:rsid w:val="00A50777"/>
    <w:rsid w:val="00A50B0D"/>
    <w:rsid w:val="00A50DDC"/>
    <w:rsid w:val="00A51203"/>
    <w:rsid w:val="00A51F76"/>
    <w:rsid w:val="00A52508"/>
    <w:rsid w:val="00A5312D"/>
    <w:rsid w:val="00A533DF"/>
    <w:rsid w:val="00A535A0"/>
    <w:rsid w:val="00A53D8E"/>
    <w:rsid w:val="00A53F95"/>
    <w:rsid w:val="00A548F4"/>
    <w:rsid w:val="00A549AC"/>
    <w:rsid w:val="00A54F4E"/>
    <w:rsid w:val="00A55506"/>
    <w:rsid w:val="00A55C87"/>
    <w:rsid w:val="00A55EE4"/>
    <w:rsid w:val="00A570F0"/>
    <w:rsid w:val="00A573E7"/>
    <w:rsid w:val="00A577E5"/>
    <w:rsid w:val="00A57FDD"/>
    <w:rsid w:val="00A6006B"/>
    <w:rsid w:val="00A6046F"/>
    <w:rsid w:val="00A60F4E"/>
    <w:rsid w:val="00A615CB"/>
    <w:rsid w:val="00A61AEE"/>
    <w:rsid w:val="00A6214B"/>
    <w:rsid w:val="00A623D0"/>
    <w:rsid w:val="00A62E3E"/>
    <w:rsid w:val="00A634E7"/>
    <w:rsid w:val="00A6442D"/>
    <w:rsid w:val="00A66978"/>
    <w:rsid w:val="00A674AB"/>
    <w:rsid w:val="00A701B2"/>
    <w:rsid w:val="00A7084E"/>
    <w:rsid w:val="00A711A2"/>
    <w:rsid w:val="00A71200"/>
    <w:rsid w:val="00A71532"/>
    <w:rsid w:val="00A7205E"/>
    <w:rsid w:val="00A72447"/>
    <w:rsid w:val="00A72746"/>
    <w:rsid w:val="00A746DF"/>
    <w:rsid w:val="00A74767"/>
    <w:rsid w:val="00A7499B"/>
    <w:rsid w:val="00A74BEA"/>
    <w:rsid w:val="00A75191"/>
    <w:rsid w:val="00A759C6"/>
    <w:rsid w:val="00A76C48"/>
    <w:rsid w:val="00A7731F"/>
    <w:rsid w:val="00A77816"/>
    <w:rsid w:val="00A77DDB"/>
    <w:rsid w:val="00A8013F"/>
    <w:rsid w:val="00A801E5"/>
    <w:rsid w:val="00A80621"/>
    <w:rsid w:val="00A80714"/>
    <w:rsid w:val="00A80E11"/>
    <w:rsid w:val="00A80EB5"/>
    <w:rsid w:val="00A8107C"/>
    <w:rsid w:val="00A8119D"/>
    <w:rsid w:val="00A813E6"/>
    <w:rsid w:val="00A8221A"/>
    <w:rsid w:val="00A823B1"/>
    <w:rsid w:val="00A82471"/>
    <w:rsid w:val="00A82FFE"/>
    <w:rsid w:val="00A838B8"/>
    <w:rsid w:val="00A839CD"/>
    <w:rsid w:val="00A84EEF"/>
    <w:rsid w:val="00A84F40"/>
    <w:rsid w:val="00A85257"/>
    <w:rsid w:val="00A85649"/>
    <w:rsid w:val="00A856A0"/>
    <w:rsid w:val="00A866D1"/>
    <w:rsid w:val="00A86A25"/>
    <w:rsid w:val="00A86B3E"/>
    <w:rsid w:val="00A86EA7"/>
    <w:rsid w:val="00A87767"/>
    <w:rsid w:val="00A9010A"/>
    <w:rsid w:val="00A9075E"/>
    <w:rsid w:val="00A90912"/>
    <w:rsid w:val="00A917C8"/>
    <w:rsid w:val="00A91D15"/>
    <w:rsid w:val="00A922DD"/>
    <w:rsid w:val="00A92F9C"/>
    <w:rsid w:val="00A93547"/>
    <w:rsid w:val="00A936C6"/>
    <w:rsid w:val="00A93BDD"/>
    <w:rsid w:val="00A9569C"/>
    <w:rsid w:val="00A957AC"/>
    <w:rsid w:val="00A96B57"/>
    <w:rsid w:val="00A97669"/>
    <w:rsid w:val="00A97AB1"/>
    <w:rsid w:val="00A97AEF"/>
    <w:rsid w:val="00AA06D1"/>
    <w:rsid w:val="00AA06D3"/>
    <w:rsid w:val="00AA0A3A"/>
    <w:rsid w:val="00AA0D7E"/>
    <w:rsid w:val="00AA12A0"/>
    <w:rsid w:val="00AA209D"/>
    <w:rsid w:val="00AA2123"/>
    <w:rsid w:val="00AA22D1"/>
    <w:rsid w:val="00AA25D3"/>
    <w:rsid w:val="00AA3759"/>
    <w:rsid w:val="00AA396B"/>
    <w:rsid w:val="00AA3D2D"/>
    <w:rsid w:val="00AA4F23"/>
    <w:rsid w:val="00AA6E3C"/>
    <w:rsid w:val="00AA6F40"/>
    <w:rsid w:val="00AA75D6"/>
    <w:rsid w:val="00AA7873"/>
    <w:rsid w:val="00AB01D3"/>
    <w:rsid w:val="00AB02BE"/>
    <w:rsid w:val="00AB1686"/>
    <w:rsid w:val="00AB175D"/>
    <w:rsid w:val="00AB1F10"/>
    <w:rsid w:val="00AB237E"/>
    <w:rsid w:val="00AB25FB"/>
    <w:rsid w:val="00AB3513"/>
    <w:rsid w:val="00AB3CE2"/>
    <w:rsid w:val="00AB4D0A"/>
    <w:rsid w:val="00AB5BEC"/>
    <w:rsid w:val="00AB6030"/>
    <w:rsid w:val="00AB64E1"/>
    <w:rsid w:val="00AC00BF"/>
    <w:rsid w:val="00AC03A5"/>
    <w:rsid w:val="00AC03CF"/>
    <w:rsid w:val="00AC065C"/>
    <w:rsid w:val="00AC0AED"/>
    <w:rsid w:val="00AC118A"/>
    <w:rsid w:val="00AC1B96"/>
    <w:rsid w:val="00AC1CD3"/>
    <w:rsid w:val="00AC1E7C"/>
    <w:rsid w:val="00AC1EB9"/>
    <w:rsid w:val="00AC2F5C"/>
    <w:rsid w:val="00AC31F4"/>
    <w:rsid w:val="00AC37FB"/>
    <w:rsid w:val="00AC3F2F"/>
    <w:rsid w:val="00AC4411"/>
    <w:rsid w:val="00AC4B49"/>
    <w:rsid w:val="00AC558B"/>
    <w:rsid w:val="00AC5650"/>
    <w:rsid w:val="00AC5F32"/>
    <w:rsid w:val="00AC6075"/>
    <w:rsid w:val="00AC6608"/>
    <w:rsid w:val="00AD006C"/>
    <w:rsid w:val="00AD07D2"/>
    <w:rsid w:val="00AD0D5A"/>
    <w:rsid w:val="00AD109B"/>
    <w:rsid w:val="00AD2573"/>
    <w:rsid w:val="00AD2A7B"/>
    <w:rsid w:val="00AD2B30"/>
    <w:rsid w:val="00AD2E31"/>
    <w:rsid w:val="00AD375E"/>
    <w:rsid w:val="00AD3840"/>
    <w:rsid w:val="00AD3FB0"/>
    <w:rsid w:val="00AD4759"/>
    <w:rsid w:val="00AD5268"/>
    <w:rsid w:val="00AD5504"/>
    <w:rsid w:val="00AD5540"/>
    <w:rsid w:val="00AD5EF1"/>
    <w:rsid w:val="00AD5F85"/>
    <w:rsid w:val="00AD6863"/>
    <w:rsid w:val="00AD6FCA"/>
    <w:rsid w:val="00AD743B"/>
    <w:rsid w:val="00AD7B61"/>
    <w:rsid w:val="00AD7D7C"/>
    <w:rsid w:val="00AE0CCC"/>
    <w:rsid w:val="00AE0DD5"/>
    <w:rsid w:val="00AE1648"/>
    <w:rsid w:val="00AE1761"/>
    <w:rsid w:val="00AE1DC6"/>
    <w:rsid w:val="00AE21CC"/>
    <w:rsid w:val="00AE25B1"/>
    <w:rsid w:val="00AE2DB3"/>
    <w:rsid w:val="00AE2FF6"/>
    <w:rsid w:val="00AE3111"/>
    <w:rsid w:val="00AE3D68"/>
    <w:rsid w:val="00AE40CB"/>
    <w:rsid w:val="00AE4388"/>
    <w:rsid w:val="00AE4814"/>
    <w:rsid w:val="00AE49F2"/>
    <w:rsid w:val="00AE5CD7"/>
    <w:rsid w:val="00AE60EB"/>
    <w:rsid w:val="00AE6306"/>
    <w:rsid w:val="00AE6571"/>
    <w:rsid w:val="00AE77F2"/>
    <w:rsid w:val="00AE7900"/>
    <w:rsid w:val="00AF02D1"/>
    <w:rsid w:val="00AF0EF2"/>
    <w:rsid w:val="00AF121B"/>
    <w:rsid w:val="00AF1CDB"/>
    <w:rsid w:val="00AF1DCF"/>
    <w:rsid w:val="00AF2636"/>
    <w:rsid w:val="00AF2840"/>
    <w:rsid w:val="00AF2A19"/>
    <w:rsid w:val="00AF2C64"/>
    <w:rsid w:val="00AF38A1"/>
    <w:rsid w:val="00AF4360"/>
    <w:rsid w:val="00AF5405"/>
    <w:rsid w:val="00AF6435"/>
    <w:rsid w:val="00AF6639"/>
    <w:rsid w:val="00AF6710"/>
    <w:rsid w:val="00AF68C9"/>
    <w:rsid w:val="00AF6CF8"/>
    <w:rsid w:val="00AF78AA"/>
    <w:rsid w:val="00AF7C1B"/>
    <w:rsid w:val="00AF7C2E"/>
    <w:rsid w:val="00B01379"/>
    <w:rsid w:val="00B01E56"/>
    <w:rsid w:val="00B0206C"/>
    <w:rsid w:val="00B02483"/>
    <w:rsid w:val="00B028E1"/>
    <w:rsid w:val="00B02F8D"/>
    <w:rsid w:val="00B02FE7"/>
    <w:rsid w:val="00B04965"/>
    <w:rsid w:val="00B04BC0"/>
    <w:rsid w:val="00B04FEB"/>
    <w:rsid w:val="00B0519E"/>
    <w:rsid w:val="00B051FD"/>
    <w:rsid w:val="00B056DC"/>
    <w:rsid w:val="00B059F6"/>
    <w:rsid w:val="00B05F46"/>
    <w:rsid w:val="00B06E39"/>
    <w:rsid w:val="00B074DE"/>
    <w:rsid w:val="00B105CF"/>
    <w:rsid w:val="00B1177D"/>
    <w:rsid w:val="00B11C1B"/>
    <w:rsid w:val="00B120BE"/>
    <w:rsid w:val="00B12746"/>
    <w:rsid w:val="00B12848"/>
    <w:rsid w:val="00B12AB8"/>
    <w:rsid w:val="00B130DB"/>
    <w:rsid w:val="00B132C0"/>
    <w:rsid w:val="00B14713"/>
    <w:rsid w:val="00B14A9D"/>
    <w:rsid w:val="00B16116"/>
    <w:rsid w:val="00B16806"/>
    <w:rsid w:val="00B168F3"/>
    <w:rsid w:val="00B16D10"/>
    <w:rsid w:val="00B17B24"/>
    <w:rsid w:val="00B17D75"/>
    <w:rsid w:val="00B17DA5"/>
    <w:rsid w:val="00B20616"/>
    <w:rsid w:val="00B21072"/>
    <w:rsid w:val="00B21627"/>
    <w:rsid w:val="00B22431"/>
    <w:rsid w:val="00B224FE"/>
    <w:rsid w:val="00B22F22"/>
    <w:rsid w:val="00B22FBD"/>
    <w:rsid w:val="00B23700"/>
    <w:rsid w:val="00B24A5A"/>
    <w:rsid w:val="00B250FC"/>
    <w:rsid w:val="00B26CFA"/>
    <w:rsid w:val="00B26D67"/>
    <w:rsid w:val="00B26F8A"/>
    <w:rsid w:val="00B2781E"/>
    <w:rsid w:val="00B27D08"/>
    <w:rsid w:val="00B27F09"/>
    <w:rsid w:val="00B30448"/>
    <w:rsid w:val="00B30EEB"/>
    <w:rsid w:val="00B3142C"/>
    <w:rsid w:val="00B31C28"/>
    <w:rsid w:val="00B31FFB"/>
    <w:rsid w:val="00B32264"/>
    <w:rsid w:val="00B33594"/>
    <w:rsid w:val="00B336A1"/>
    <w:rsid w:val="00B33952"/>
    <w:rsid w:val="00B34115"/>
    <w:rsid w:val="00B342D2"/>
    <w:rsid w:val="00B347A0"/>
    <w:rsid w:val="00B35478"/>
    <w:rsid w:val="00B3580A"/>
    <w:rsid w:val="00B3582A"/>
    <w:rsid w:val="00B359B1"/>
    <w:rsid w:val="00B35BF8"/>
    <w:rsid w:val="00B35E5A"/>
    <w:rsid w:val="00B3645A"/>
    <w:rsid w:val="00B364A2"/>
    <w:rsid w:val="00B36DB8"/>
    <w:rsid w:val="00B36F08"/>
    <w:rsid w:val="00B376A0"/>
    <w:rsid w:val="00B378E8"/>
    <w:rsid w:val="00B37A03"/>
    <w:rsid w:val="00B37AE9"/>
    <w:rsid w:val="00B37E31"/>
    <w:rsid w:val="00B37F1E"/>
    <w:rsid w:val="00B4007B"/>
    <w:rsid w:val="00B40B55"/>
    <w:rsid w:val="00B41878"/>
    <w:rsid w:val="00B42695"/>
    <w:rsid w:val="00B42BA5"/>
    <w:rsid w:val="00B43513"/>
    <w:rsid w:val="00B43682"/>
    <w:rsid w:val="00B43C05"/>
    <w:rsid w:val="00B46D8D"/>
    <w:rsid w:val="00B47B48"/>
    <w:rsid w:val="00B50B38"/>
    <w:rsid w:val="00B50D66"/>
    <w:rsid w:val="00B50D90"/>
    <w:rsid w:val="00B517DC"/>
    <w:rsid w:val="00B51B34"/>
    <w:rsid w:val="00B520F2"/>
    <w:rsid w:val="00B5290C"/>
    <w:rsid w:val="00B52D59"/>
    <w:rsid w:val="00B52F3B"/>
    <w:rsid w:val="00B532F5"/>
    <w:rsid w:val="00B536B9"/>
    <w:rsid w:val="00B5376A"/>
    <w:rsid w:val="00B53C13"/>
    <w:rsid w:val="00B54AC5"/>
    <w:rsid w:val="00B5575E"/>
    <w:rsid w:val="00B565F9"/>
    <w:rsid w:val="00B56963"/>
    <w:rsid w:val="00B57729"/>
    <w:rsid w:val="00B607C3"/>
    <w:rsid w:val="00B60BAF"/>
    <w:rsid w:val="00B60CB0"/>
    <w:rsid w:val="00B60E5A"/>
    <w:rsid w:val="00B615B7"/>
    <w:rsid w:val="00B61FAD"/>
    <w:rsid w:val="00B62C7A"/>
    <w:rsid w:val="00B637E9"/>
    <w:rsid w:val="00B63A1B"/>
    <w:rsid w:val="00B63B68"/>
    <w:rsid w:val="00B63B8E"/>
    <w:rsid w:val="00B64329"/>
    <w:rsid w:val="00B64B25"/>
    <w:rsid w:val="00B6518E"/>
    <w:rsid w:val="00B653FC"/>
    <w:rsid w:val="00B6632A"/>
    <w:rsid w:val="00B667D2"/>
    <w:rsid w:val="00B66B08"/>
    <w:rsid w:val="00B66B3A"/>
    <w:rsid w:val="00B67165"/>
    <w:rsid w:val="00B67603"/>
    <w:rsid w:val="00B700A4"/>
    <w:rsid w:val="00B70452"/>
    <w:rsid w:val="00B7050B"/>
    <w:rsid w:val="00B707BE"/>
    <w:rsid w:val="00B70C2E"/>
    <w:rsid w:val="00B712AD"/>
    <w:rsid w:val="00B720A1"/>
    <w:rsid w:val="00B7292E"/>
    <w:rsid w:val="00B735B6"/>
    <w:rsid w:val="00B746CB"/>
    <w:rsid w:val="00B754A8"/>
    <w:rsid w:val="00B75925"/>
    <w:rsid w:val="00B7592B"/>
    <w:rsid w:val="00B76460"/>
    <w:rsid w:val="00B77590"/>
    <w:rsid w:val="00B776FC"/>
    <w:rsid w:val="00B7788F"/>
    <w:rsid w:val="00B77EC8"/>
    <w:rsid w:val="00B77FEF"/>
    <w:rsid w:val="00B81A29"/>
    <w:rsid w:val="00B82ED2"/>
    <w:rsid w:val="00B8317E"/>
    <w:rsid w:val="00B835C3"/>
    <w:rsid w:val="00B8496E"/>
    <w:rsid w:val="00B84B56"/>
    <w:rsid w:val="00B8528C"/>
    <w:rsid w:val="00B857C6"/>
    <w:rsid w:val="00B85A7B"/>
    <w:rsid w:val="00B860B2"/>
    <w:rsid w:val="00B862B4"/>
    <w:rsid w:val="00B86550"/>
    <w:rsid w:val="00B86A58"/>
    <w:rsid w:val="00B86D00"/>
    <w:rsid w:val="00B870FF"/>
    <w:rsid w:val="00B871D5"/>
    <w:rsid w:val="00B87772"/>
    <w:rsid w:val="00B87DAA"/>
    <w:rsid w:val="00B90168"/>
    <w:rsid w:val="00B91307"/>
    <w:rsid w:val="00B91447"/>
    <w:rsid w:val="00B920FA"/>
    <w:rsid w:val="00B936A6"/>
    <w:rsid w:val="00B936D2"/>
    <w:rsid w:val="00B93BE9"/>
    <w:rsid w:val="00B94372"/>
    <w:rsid w:val="00B947D0"/>
    <w:rsid w:val="00B94C36"/>
    <w:rsid w:val="00B951DB"/>
    <w:rsid w:val="00B955FD"/>
    <w:rsid w:val="00B95FB8"/>
    <w:rsid w:val="00B96045"/>
    <w:rsid w:val="00B96371"/>
    <w:rsid w:val="00B96ABD"/>
    <w:rsid w:val="00B96C6E"/>
    <w:rsid w:val="00B96EB3"/>
    <w:rsid w:val="00B970B9"/>
    <w:rsid w:val="00B970C1"/>
    <w:rsid w:val="00B971AB"/>
    <w:rsid w:val="00B9734C"/>
    <w:rsid w:val="00B97648"/>
    <w:rsid w:val="00B97EAC"/>
    <w:rsid w:val="00B97F3D"/>
    <w:rsid w:val="00BA0712"/>
    <w:rsid w:val="00BA0909"/>
    <w:rsid w:val="00BA0AA2"/>
    <w:rsid w:val="00BA0BB0"/>
    <w:rsid w:val="00BA189B"/>
    <w:rsid w:val="00BA2C2E"/>
    <w:rsid w:val="00BA340A"/>
    <w:rsid w:val="00BA3814"/>
    <w:rsid w:val="00BA4DE7"/>
    <w:rsid w:val="00BA5E2D"/>
    <w:rsid w:val="00BA5E31"/>
    <w:rsid w:val="00BA73E0"/>
    <w:rsid w:val="00BA76D8"/>
    <w:rsid w:val="00BA7893"/>
    <w:rsid w:val="00BA7EC4"/>
    <w:rsid w:val="00BB115D"/>
    <w:rsid w:val="00BB245B"/>
    <w:rsid w:val="00BB2D5A"/>
    <w:rsid w:val="00BB45F5"/>
    <w:rsid w:val="00BB4611"/>
    <w:rsid w:val="00BB54F3"/>
    <w:rsid w:val="00BB5DE4"/>
    <w:rsid w:val="00BB5E07"/>
    <w:rsid w:val="00BB6325"/>
    <w:rsid w:val="00BB6375"/>
    <w:rsid w:val="00BB66A0"/>
    <w:rsid w:val="00BB7AC4"/>
    <w:rsid w:val="00BC0E32"/>
    <w:rsid w:val="00BC1EEC"/>
    <w:rsid w:val="00BC2D1B"/>
    <w:rsid w:val="00BC357C"/>
    <w:rsid w:val="00BC4293"/>
    <w:rsid w:val="00BC4BA0"/>
    <w:rsid w:val="00BC53BD"/>
    <w:rsid w:val="00BC5991"/>
    <w:rsid w:val="00BC626B"/>
    <w:rsid w:val="00BC62B5"/>
    <w:rsid w:val="00BC636E"/>
    <w:rsid w:val="00BC68CC"/>
    <w:rsid w:val="00BC7276"/>
    <w:rsid w:val="00BC7E52"/>
    <w:rsid w:val="00BD002B"/>
    <w:rsid w:val="00BD01F6"/>
    <w:rsid w:val="00BD05C5"/>
    <w:rsid w:val="00BD06C5"/>
    <w:rsid w:val="00BD0E74"/>
    <w:rsid w:val="00BD0EDB"/>
    <w:rsid w:val="00BD149D"/>
    <w:rsid w:val="00BD1D1C"/>
    <w:rsid w:val="00BD21E8"/>
    <w:rsid w:val="00BD2C38"/>
    <w:rsid w:val="00BD2E8D"/>
    <w:rsid w:val="00BD4131"/>
    <w:rsid w:val="00BD453A"/>
    <w:rsid w:val="00BD614C"/>
    <w:rsid w:val="00BD6AF2"/>
    <w:rsid w:val="00BD7005"/>
    <w:rsid w:val="00BD71E2"/>
    <w:rsid w:val="00BD7987"/>
    <w:rsid w:val="00BD7E23"/>
    <w:rsid w:val="00BD7F5B"/>
    <w:rsid w:val="00BE0204"/>
    <w:rsid w:val="00BE0DD7"/>
    <w:rsid w:val="00BE110E"/>
    <w:rsid w:val="00BE14A0"/>
    <w:rsid w:val="00BE157A"/>
    <w:rsid w:val="00BE1967"/>
    <w:rsid w:val="00BE1D8C"/>
    <w:rsid w:val="00BE323D"/>
    <w:rsid w:val="00BE36C3"/>
    <w:rsid w:val="00BE3710"/>
    <w:rsid w:val="00BE3753"/>
    <w:rsid w:val="00BE37AE"/>
    <w:rsid w:val="00BE3FC1"/>
    <w:rsid w:val="00BE5052"/>
    <w:rsid w:val="00BE509C"/>
    <w:rsid w:val="00BE56EE"/>
    <w:rsid w:val="00BE5A23"/>
    <w:rsid w:val="00BE5E20"/>
    <w:rsid w:val="00BE6D79"/>
    <w:rsid w:val="00BE7EBF"/>
    <w:rsid w:val="00BE7FBA"/>
    <w:rsid w:val="00BF1E20"/>
    <w:rsid w:val="00BF1E37"/>
    <w:rsid w:val="00BF1FCA"/>
    <w:rsid w:val="00BF2685"/>
    <w:rsid w:val="00BF27C7"/>
    <w:rsid w:val="00BF2A9E"/>
    <w:rsid w:val="00BF318B"/>
    <w:rsid w:val="00BF3415"/>
    <w:rsid w:val="00BF3A65"/>
    <w:rsid w:val="00BF3E20"/>
    <w:rsid w:val="00BF3EB2"/>
    <w:rsid w:val="00BF4892"/>
    <w:rsid w:val="00BF4C3E"/>
    <w:rsid w:val="00BF4E60"/>
    <w:rsid w:val="00BF54CB"/>
    <w:rsid w:val="00BF589D"/>
    <w:rsid w:val="00BF58A0"/>
    <w:rsid w:val="00BF5B41"/>
    <w:rsid w:val="00BF6FA3"/>
    <w:rsid w:val="00BF7A18"/>
    <w:rsid w:val="00C018F0"/>
    <w:rsid w:val="00C01BD3"/>
    <w:rsid w:val="00C02632"/>
    <w:rsid w:val="00C02B7C"/>
    <w:rsid w:val="00C031B7"/>
    <w:rsid w:val="00C03268"/>
    <w:rsid w:val="00C032CC"/>
    <w:rsid w:val="00C03B7A"/>
    <w:rsid w:val="00C043C3"/>
    <w:rsid w:val="00C04E4B"/>
    <w:rsid w:val="00C05AF8"/>
    <w:rsid w:val="00C05E7F"/>
    <w:rsid w:val="00C0668E"/>
    <w:rsid w:val="00C06F2C"/>
    <w:rsid w:val="00C07015"/>
    <w:rsid w:val="00C0722E"/>
    <w:rsid w:val="00C077EF"/>
    <w:rsid w:val="00C0794A"/>
    <w:rsid w:val="00C10795"/>
    <w:rsid w:val="00C109C7"/>
    <w:rsid w:val="00C10DA7"/>
    <w:rsid w:val="00C119A6"/>
    <w:rsid w:val="00C12FA4"/>
    <w:rsid w:val="00C14B50"/>
    <w:rsid w:val="00C15274"/>
    <w:rsid w:val="00C1558D"/>
    <w:rsid w:val="00C16BE1"/>
    <w:rsid w:val="00C20029"/>
    <w:rsid w:val="00C22443"/>
    <w:rsid w:val="00C22B9D"/>
    <w:rsid w:val="00C22F22"/>
    <w:rsid w:val="00C22F3F"/>
    <w:rsid w:val="00C231B8"/>
    <w:rsid w:val="00C23503"/>
    <w:rsid w:val="00C23D95"/>
    <w:rsid w:val="00C23DC0"/>
    <w:rsid w:val="00C24180"/>
    <w:rsid w:val="00C24660"/>
    <w:rsid w:val="00C24831"/>
    <w:rsid w:val="00C25318"/>
    <w:rsid w:val="00C2539B"/>
    <w:rsid w:val="00C25486"/>
    <w:rsid w:val="00C25D7C"/>
    <w:rsid w:val="00C25E5D"/>
    <w:rsid w:val="00C25FC7"/>
    <w:rsid w:val="00C2615D"/>
    <w:rsid w:val="00C26688"/>
    <w:rsid w:val="00C26A9F"/>
    <w:rsid w:val="00C27193"/>
    <w:rsid w:val="00C27239"/>
    <w:rsid w:val="00C2744E"/>
    <w:rsid w:val="00C279EA"/>
    <w:rsid w:val="00C27E42"/>
    <w:rsid w:val="00C310A7"/>
    <w:rsid w:val="00C311DF"/>
    <w:rsid w:val="00C31714"/>
    <w:rsid w:val="00C31F61"/>
    <w:rsid w:val="00C32752"/>
    <w:rsid w:val="00C33F0E"/>
    <w:rsid w:val="00C344C3"/>
    <w:rsid w:val="00C34513"/>
    <w:rsid w:val="00C34899"/>
    <w:rsid w:val="00C34E7D"/>
    <w:rsid w:val="00C35282"/>
    <w:rsid w:val="00C35F2D"/>
    <w:rsid w:val="00C366F3"/>
    <w:rsid w:val="00C36997"/>
    <w:rsid w:val="00C36BC9"/>
    <w:rsid w:val="00C36C44"/>
    <w:rsid w:val="00C36C99"/>
    <w:rsid w:val="00C37151"/>
    <w:rsid w:val="00C37286"/>
    <w:rsid w:val="00C3764E"/>
    <w:rsid w:val="00C37A38"/>
    <w:rsid w:val="00C37D5B"/>
    <w:rsid w:val="00C40013"/>
    <w:rsid w:val="00C40124"/>
    <w:rsid w:val="00C407C4"/>
    <w:rsid w:val="00C40E7F"/>
    <w:rsid w:val="00C420EC"/>
    <w:rsid w:val="00C42D3A"/>
    <w:rsid w:val="00C43497"/>
    <w:rsid w:val="00C434A4"/>
    <w:rsid w:val="00C43668"/>
    <w:rsid w:val="00C439C8"/>
    <w:rsid w:val="00C43B95"/>
    <w:rsid w:val="00C4624D"/>
    <w:rsid w:val="00C4677F"/>
    <w:rsid w:val="00C468AC"/>
    <w:rsid w:val="00C47546"/>
    <w:rsid w:val="00C47B40"/>
    <w:rsid w:val="00C47ED6"/>
    <w:rsid w:val="00C500EC"/>
    <w:rsid w:val="00C500F1"/>
    <w:rsid w:val="00C5027F"/>
    <w:rsid w:val="00C52D40"/>
    <w:rsid w:val="00C5327A"/>
    <w:rsid w:val="00C53BFF"/>
    <w:rsid w:val="00C54FE8"/>
    <w:rsid w:val="00C55633"/>
    <w:rsid w:val="00C5575F"/>
    <w:rsid w:val="00C567B5"/>
    <w:rsid w:val="00C57BA0"/>
    <w:rsid w:val="00C619BB"/>
    <w:rsid w:val="00C61A21"/>
    <w:rsid w:val="00C61C14"/>
    <w:rsid w:val="00C629F1"/>
    <w:rsid w:val="00C636EA"/>
    <w:rsid w:val="00C637B5"/>
    <w:rsid w:val="00C63C09"/>
    <w:rsid w:val="00C64C5F"/>
    <w:rsid w:val="00C6552D"/>
    <w:rsid w:val="00C6629E"/>
    <w:rsid w:val="00C66D7E"/>
    <w:rsid w:val="00C677C6"/>
    <w:rsid w:val="00C67EEF"/>
    <w:rsid w:val="00C70030"/>
    <w:rsid w:val="00C701E5"/>
    <w:rsid w:val="00C7070F"/>
    <w:rsid w:val="00C707DF"/>
    <w:rsid w:val="00C70D0B"/>
    <w:rsid w:val="00C7154A"/>
    <w:rsid w:val="00C72A99"/>
    <w:rsid w:val="00C74A4C"/>
    <w:rsid w:val="00C74EBE"/>
    <w:rsid w:val="00C75C5E"/>
    <w:rsid w:val="00C77A06"/>
    <w:rsid w:val="00C80396"/>
    <w:rsid w:val="00C803F9"/>
    <w:rsid w:val="00C804AF"/>
    <w:rsid w:val="00C81395"/>
    <w:rsid w:val="00C8163B"/>
    <w:rsid w:val="00C81ECC"/>
    <w:rsid w:val="00C82067"/>
    <w:rsid w:val="00C82755"/>
    <w:rsid w:val="00C82B58"/>
    <w:rsid w:val="00C82EF5"/>
    <w:rsid w:val="00C83900"/>
    <w:rsid w:val="00C840B6"/>
    <w:rsid w:val="00C84D80"/>
    <w:rsid w:val="00C84F52"/>
    <w:rsid w:val="00C86FA1"/>
    <w:rsid w:val="00C8792E"/>
    <w:rsid w:val="00C926A1"/>
    <w:rsid w:val="00C928E8"/>
    <w:rsid w:val="00C92D2E"/>
    <w:rsid w:val="00C958EA"/>
    <w:rsid w:val="00C961FF"/>
    <w:rsid w:val="00C97025"/>
    <w:rsid w:val="00C975DE"/>
    <w:rsid w:val="00C97F3A"/>
    <w:rsid w:val="00CA0881"/>
    <w:rsid w:val="00CA1444"/>
    <w:rsid w:val="00CA16B1"/>
    <w:rsid w:val="00CA1B1E"/>
    <w:rsid w:val="00CA1FC8"/>
    <w:rsid w:val="00CA2036"/>
    <w:rsid w:val="00CA2789"/>
    <w:rsid w:val="00CA2E32"/>
    <w:rsid w:val="00CA3378"/>
    <w:rsid w:val="00CA4176"/>
    <w:rsid w:val="00CA46FC"/>
    <w:rsid w:val="00CA4872"/>
    <w:rsid w:val="00CA4A1B"/>
    <w:rsid w:val="00CA5466"/>
    <w:rsid w:val="00CA55F9"/>
    <w:rsid w:val="00CA5600"/>
    <w:rsid w:val="00CA58C6"/>
    <w:rsid w:val="00CA5F49"/>
    <w:rsid w:val="00CA6640"/>
    <w:rsid w:val="00CA6861"/>
    <w:rsid w:val="00CA72C3"/>
    <w:rsid w:val="00CA7322"/>
    <w:rsid w:val="00CA782D"/>
    <w:rsid w:val="00CB048E"/>
    <w:rsid w:val="00CB10BB"/>
    <w:rsid w:val="00CB140A"/>
    <w:rsid w:val="00CB1616"/>
    <w:rsid w:val="00CB26FE"/>
    <w:rsid w:val="00CB3B9D"/>
    <w:rsid w:val="00CB3DF8"/>
    <w:rsid w:val="00CB4231"/>
    <w:rsid w:val="00CB47A6"/>
    <w:rsid w:val="00CB5DB8"/>
    <w:rsid w:val="00CB6292"/>
    <w:rsid w:val="00CB6704"/>
    <w:rsid w:val="00CB7369"/>
    <w:rsid w:val="00CB77BF"/>
    <w:rsid w:val="00CB79C9"/>
    <w:rsid w:val="00CC0773"/>
    <w:rsid w:val="00CC09AC"/>
    <w:rsid w:val="00CC161A"/>
    <w:rsid w:val="00CC1B57"/>
    <w:rsid w:val="00CC2383"/>
    <w:rsid w:val="00CC23EF"/>
    <w:rsid w:val="00CC24E1"/>
    <w:rsid w:val="00CC28D5"/>
    <w:rsid w:val="00CC4C2D"/>
    <w:rsid w:val="00CC5965"/>
    <w:rsid w:val="00CC5D6C"/>
    <w:rsid w:val="00CC5EB0"/>
    <w:rsid w:val="00CC65C1"/>
    <w:rsid w:val="00CC68BE"/>
    <w:rsid w:val="00CC690B"/>
    <w:rsid w:val="00CC72C4"/>
    <w:rsid w:val="00CC7764"/>
    <w:rsid w:val="00CC7C0E"/>
    <w:rsid w:val="00CD03DA"/>
    <w:rsid w:val="00CD03ED"/>
    <w:rsid w:val="00CD1064"/>
    <w:rsid w:val="00CD1E75"/>
    <w:rsid w:val="00CD1F47"/>
    <w:rsid w:val="00CD2335"/>
    <w:rsid w:val="00CD2392"/>
    <w:rsid w:val="00CD277F"/>
    <w:rsid w:val="00CD3130"/>
    <w:rsid w:val="00CD3422"/>
    <w:rsid w:val="00CD376D"/>
    <w:rsid w:val="00CD395C"/>
    <w:rsid w:val="00CD3E56"/>
    <w:rsid w:val="00CD3FAD"/>
    <w:rsid w:val="00CD3FDA"/>
    <w:rsid w:val="00CD43DB"/>
    <w:rsid w:val="00CD597F"/>
    <w:rsid w:val="00CD5D5A"/>
    <w:rsid w:val="00CD5F32"/>
    <w:rsid w:val="00CD6DE9"/>
    <w:rsid w:val="00CD6E79"/>
    <w:rsid w:val="00CD6F5A"/>
    <w:rsid w:val="00CD7686"/>
    <w:rsid w:val="00CD78F1"/>
    <w:rsid w:val="00CD7B19"/>
    <w:rsid w:val="00CE0072"/>
    <w:rsid w:val="00CE0555"/>
    <w:rsid w:val="00CE0CA5"/>
    <w:rsid w:val="00CE126D"/>
    <w:rsid w:val="00CE21AF"/>
    <w:rsid w:val="00CE3075"/>
    <w:rsid w:val="00CE33BF"/>
    <w:rsid w:val="00CE3467"/>
    <w:rsid w:val="00CE356B"/>
    <w:rsid w:val="00CE537E"/>
    <w:rsid w:val="00CE57DE"/>
    <w:rsid w:val="00CE5B2F"/>
    <w:rsid w:val="00CE5B91"/>
    <w:rsid w:val="00CE69F5"/>
    <w:rsid w:val="00CE7042"/>
    <w:rsid w:val="00CF01B9"/>
    <w:rsid w:val="00CF0D99"/>
    <w:rsid w:val="00CF1508"/>
    <w:rsid w:val="00CF1623"/>
    <w:rsid w:val="00CF1766"/>
    <w:rsid w:val="00CF214E"/>
    <w:rsid w:val="00CF21EF"/>
    <w:rsid w:val="00CF25E9"/>
    <w:rsid w:val="00CF43ED"/>
    <w:rsid w:val="00CF4886"/>
    <w:rsid w:val="00CF4BCA"/>
    <w:rsid w:val="00CF4D22"/>
    <w:rsid w:val="00CF506A"/>
    <w:rsid w:val="00CF5432"/>
    <w:rsid w:val="00CF58BC"/>
    <w:rsid w:val="00CF7C67"/>
    <w:rsid w:val="00D00D6F"/>
    <w:rsid w:val="00D00DED"/>
    <w:rsid w:val="00D0115F"/>
    <w:rsid w:val="00D011B0"/>
    <w:rsid w:val="00D01B1D"/>
    <w:rsid w:val="00D01EFE"/>
    <w:rsid w:val="00D02454"/>
    <w:rsid w:val="00D024CB"/>
    <w:rsid w:val="00D03AFE"/>
    <w:rsid w:val="00D03D21"/>
    <w:rsid w:val="00D03F8F"/>
    <w:rsid w:val="00D04014"/>
    <w:rsid w:val="00D04184"/>
    <w:rsid w:val="00D04185"/>
    <w:rsid w:val="00D0534D"/>
    <w:rsid w:val="00D05464"/>
    <w:rsid w:val="00D05870"/>
    <w:rsid w:val="00D059EB"/>
    <w:rsid w:val="00D05AA6"/>
    <w:rsid w:val="00D05B66"/>
    <w:rsid w:val="00D06C39"/>
    <w:rsid w:val="00D07D3A"/>
    <w:rsid w:val="00D1086B"/>
    <w:rsid w:val="00D11548"/>
    <w:rsid w:val="00D11CC3"/>
    <w:rsid w:val="00D11D97"/>
    <w:rsid w:val="00D12F54"/>
    <w:rsid w:val="00D146EF"/>
    <w:rsid w:val="00D152A5"/>
    <w:rsid w:val="00D15AB0"/>
    <w:rsid w:val="00D15B53"/>
    <w:rsid w:val="00D1620C"/>
    <w:rsid w:val="00D1682F"/>
    <w:rsid w:val="00D17070"/>
    <w:rsid w:val="00D17193"/>
    <w:rsid w:val="00D175B2"/>
    <w:rsid w:val="00D17753"/>
    <w:rsid w:val="00D179AF"/>
    <w:rsid w:val="00D17C04"/>
    <w:rsid w:val="00D17C30"/>
    <w:rsid w:val="00D17DE7"/>
    <w:rsid w:val="00D20200"/>
    <w:rsid w:val="00D20444"/>
    <w:rsid w:val="00D20714"/>
    <w:rsid w:val="00D22299"/>
    <w:rsid w:val="00D232E4"/>
    <w:rsid w:val="00D23CE1"/>
    <w:rsid w:val="00D242D8"/>
    <w:rsid w:val="00D248D1"/>
    <w:rsid w:val="00D24D1B"/>
    <w:rsid w:val="00D24E7E"/>
    <w:rsid w:val="00D2597A"/>
    <w:rsid w:val="00D25BF7"/>
    <w:rsid w:val="00D2624C"/>
    <w:rsid w:val="00D263A4"/>
    <w:rsid w:val="00D26BC5"/>
    <w:rsid w:val="00D27805"/>
    <w:rsid w:val="00D3039A"/>
    <w:rsid w:val="00D303B9"/>
    <w:rsid w:val="00D3070D"/>
    <w:rsid w:val="00D30AF4"/>
    <w:rsid w:val="00D30D23"/>
    <w:rsid w:val="00D31495"/>
    <w:rsid w:val="00D3195E"/>
    <w:rsid w:val="00D3244A"/>
    <w:rsid w:val="00D32683"/>
    <w:rsid w:val="00D3298D"/>
    <w:rsid w:val="00D330E6"/>
    <w:rsid w:val="00D336B9"/>
    <w:rsid w:val="00D338C1"/>
    <w:rsid w:val="00D33B9B"/>
    <w:rsid w:val="00D33DBC"/>
    <w:rsid w:val="00D34162"/>
    <w:rsid w:val="00D34894"/>
    <w:rsid w:val="00D348BE"/>
    <w:rsid w:val="00D34FD1"/>
    <w:rsid w:val="00D358A1"/>
    <w:rsid w:val="00D358EA"/>
    <w:rsid w:val="00D35F73"/>
    <w:rsid w:val="00D367DE"/>
    <w:rsid w:val="00D36E98"/>
    <w:rsid w:val="00D37773"/>
    <w:rsid w:val="00D40C12"/>
    <w:rsid w:val="00D40CFD"/>
    <w:rsid w:val="00D41A98"/>
    <w:rsid w:val="00D42966"/>
    <w:rsid w:val="00D42968"/>
    <w:rsid w:val="00D429E9"/>
    <w:rsid w:val="00D42A55"/>
    <w:rsid w:val="00D438EB"/>
    <w:rsid w:val="00D43979"/>
    <w:rsid w:val="00D43DE9"/>
    <w:rsid w:val="00D449EA"/>
    <w:rsid w:val="00D452C7"/>
    <w:rsid w:val="00D45530"/>
    <w:rsid w:val="00D45F13"/>
    <w:rsid w:val="00D467A4"/>
    <w:rsid w:val="00D471ED"/>
    <w:rsid w:val="00D472DE"/>
    <w:rsid w:val="00D47470"/>
    <w:rsid w:val="00D50156"/>
    <w:rsid w:val="00D5072C"/>
    <w:rsid w:val="00D5074E"/>
    <w:rsid w:val="00D514D9"/>
    <w:rsid w:val="00D51716"/>
    <w:rsid w:val="00D51933"/>
    <w:rsid w:val="00D51F3E"/>
    <w:rsid w:val="00D52600"/>
    <w:rsid w:val="00D527FB"/>
    <w:rsid w:val="00D52B51"/>
    <w:rsid w:val="00D53072"/>
    <w:rsid w:val="00D533A9"/>
    <w:rsid w:val="00D53A27"/>
    <w:rsid w:val="00D53A73"/>
    <w:rsid w:val="00D53F45"/>
    <w:rsid w:val="00D5432E"/>
    <w:rsid w:val="00D54BD1"/>
    <w:rsid w:val="00D54DB5"/>
    <w:rsid w:val="00D55021"/>
    <w:rsid w:val="00D55488"/>
    <w:rsid w:val="00D55C7C"/>
    <w:rsid w:val="00D55CA1"/>
    <w:rsid w:val="00D55F9C"/>
    <w:rsid w:val="00D561A5"/>
    <w:rsid w:val="00D56868"/>
    <w:rsid w:val="00D56B02"/>
    <w:rsid w:val="00D56FA2"/>
    <w:rsid w:val="00D57504"/>
    <w:rsid w:val="00D57A9B"/>
    <w:rsid w:val="00D607E6"/>
    <w:rsid w:val="00D609E6"/>
    <w:rsid w:val="00D60ABF"/>
    <w:rsid w:val="00D615B3"/>
    <w:rsid w:val="00D61D0E"/>
    <w:rsid w:val="00D61D39"/>
    <w:rsid w:val="00D6281C"/>
    <w:rsid w:val="00D62A2D"/>
    <w:rsid w:val="00D638A8"/>
    <w:rsid w:val="00D6477D"/>
    <w:rsid w:val="00D65E2A"/>
    <w:rsid w:val="00D66DB4"/>
    <w:rsid w:val="00D671D6"/>
    <w:rsid w:val="00D67791"/>
    <w:rsid w:val="00D678B1"/>
    <w:rsid w:val="00D67DEB"/>
    <w:rsid w:val="00D706BA"/>
    <w:rsid w:val="00D709C1"/>
    <w:rsid w:val="00D716BA"/>
    <w:rsid w:val="00D7191A"/>
    <w:rsid w:val="00D71A92"/>
    <w:rsid w:val="00D72178"/>
    <w:rsid w:val="00D721F8"/>
    <w:rsid w:val="00D72394"/>
    <w:rsid w:val="00D73877"/>
    <w:rsid w:val="00D738D4"/>
    <w:rsid w:val="00D73C3D"/>
    <w:rsid w:val="00D73C5F"/>
    <w:rsid w:val="00D74216"/>
    <w:rsid w:val="00D74CEB"/>
    <w:rsid w:val="00D74D3D"/>
    <w:rsid w:val="00D74D85"/>
    <w:rsid w:val="00D75946"/>
    <w:rsid w:val="00D76076"/>
    <w:rsid w:val="00D7677A"/>
    <w:rsid w:val="00D777BA"/>
    <w:rsid w:val="00D80894"/>
    <w:rsid w:val="00D80CE2"/>
    <w:rsid w:val="00D838B5"/>
    <w:rsid w:val="00D83A61"/>
    <w:rsid w:val="00D84330"/>
    <w:rsid w:val="00D846F6"/>
    <w:rsid w:val="00D8471F"/>
    <w:rsid w:val="00D86631"/>
    <w:rsid w:val="00D87738"/>
    <w:rsid w:val="00D87BE3"/>
    <w:rsid w:val="00D87DD7"/>
    <w:rsid w:val="00D87F46"/>
    <w:rsid w:val="00D90008"/>
    <w:rsid w:val="00D90204"/>
    <w:rsid w:val="00D90ABC"/>
    <w:rsid w:val="00D90B32"/>
    <w:rsid w:val="00D91287"/>
    <w:rsid w:val="00D91776"/>
    <w:rsid w:val="00D918BF"/>
    <w:rsid w:val="00D920F0"/>
    <w:rsid w:val="00D9290E"/>
    <w:rsid w:val="00D93101"/>
    <w:rsid w:val="00D93B7C"/>
    <w:rsid w:val="00D96275"/>
    <w:rsid w:val="00D972CC"/>
    <w:rsid w:val="00D977AF"/>
    <w:rsid w:val="00D97806"/>
    <w:rsid w:val="00D979DE"/>
    <w:rsid w:val="00DA04E0"/>
    <w:rsid w:val="00DA04F4"/>
    <w:rsid w:val="00DA0804"/>
    <w:rsid w:val="00DA0BDC"/>
    <w:rsid w:val="00DA0D9A"/>
    <w:rsid w:val="00DA0DB0"/>
    <w:rsid w:val="00DA10D7"/>
    <w:rsid w:val="00DA1E79"/>
    <w:rsid w:val="00DA240A"/>
    <w:rsid w:val="00DA2AD7"/>
    <w:rsid w:val="00DA2B65"/>
    <w:rsid w:val="00DA2DC8"/>
    <w:rsid w:val="00DA2DDD"/>
    <w:rsid w:val="00DA3B1C"/>
    <w:rsid w:val="00DA3E44"/>
    <w:rsid w:val="00DA413E"/>
    <w:rsid w:val="00DA4951"/>
    <w:rsid w:val="00DA49A5"/>
    <w:rsid w:val="00DA50CA"/>
    <w:rsid w:val="00DA5253"/>
    <w:rsid w:val="00DA5C0C"/>
    <w:rsid w:val="00DA601D"/>
    <w:rsid w:val="00DA625F"/>
    <w:rsid w:val="00DA7297"/>
    <w:rsid w:val="00DA7E01"/>
    <w:rsid w:val="00DB1254"/>
    <w:rsid w:val="00DB147C"/>
    <w:rsid w:val="00DB20BA"/>
    <w:rsid w:val="00DB2728"/>
    <w:rsid w:val="00DB2A23"/>
    <w:rsid w:val="00DB3009"/>
    <w:rsid w:val="00DB339E"/>
    <w:rsid w:val="00DB3C39"/>
    <w:rsid w:val="00DB5D62"/>
    <w:rsid w:val="00DB60CA"/>
    <w:rsid w:val="00DB639D"/>
    <w:rsid w:val="00DB69B8"/>
    <w:rsid w:val="00DB6C36"/>
    <w:rsid w:val="00DB6DAF"/>
    <w:rsid w:val="00DB7200"/>
    <w:rsid w:val="00DB7E5F"/>
    <w:rsid w:val="00DC0B9A"/>
    <w:rsid w:val="00DC0DF6"/>
    <w:rsid w:val="00DC0E49"/>
    <w:rsid w:val="00DC0F8E"/>
    <w:rsid w:val="00DC1773"/>
    <w:rsid w:val="00DC1783"/>
    <w:rsid w:val="00DC1C09"/>
    <w:rsid w:val="00DC224A"/>
    <w:rsid w:val="00DC2EF1"/>
    <w:rsid w:val="00DC2FD2"/>
    <w:rsid w:val="00DC3BB5"/>
    <w:rsid w:val="00DC4276"/>
    <w:rsid w:val="00DC438F"/>
    <w:rsid w:val="00DC482F"/>
    <w:rsid w:val="00DC4925"/>
    <w:rsid w:val="00DC4FE9"/>
    <w:rsid w:val="00DC55C6"/>
    <w:rsid w:val="00DC5D8A"/>
    <w:rsid w:val="00DC609D"/>
    <w:rsid w:val="00DC6237"/>
    <w:rsid w:val="00DC6633"/>
    <w:rsid w:val="00DC6719"/>
    <w:rsid w:val="00DC6EBB"/>
    <w:rsid w:val="00DC72A1"/>
    <w:rsid w:val="00DC79CA"/>
    <w:rsid w:val="00DD0169"/>
    <w:rsid w:val="00DD02AA"/>
    <w:rsid w:val="00DD0501"/>
    <w:rsid w:val="00DD0FF0"/>
    <w:rsid w:val="00DD19FD"/>
    <w:rsid w:val="00DD275B"/>
    <w:rsid w:val="00DD2970"/>
    <w:rsid w:val="00DD32D5"/>
    <w:rsid w:val="00DD35BA"/>
    <w:rsid w:val="00DD364A"/>
    <w:rsid w:val="00DD48A0"/>
    <w:rsid w:val="00DD5C9E"/>
    <w:rsid w:val="00DD5D6A"/>
    <w:rsid w:val="00DD5F29"/>
    <w:rsid w:val="00DD6F9B"/>
    <w:rsid w:val="00DD7B03"/>
    <w:rsid w:val="00DD7EAE"/>
    <w:rsid w:val="00DE0163"/>
    <w:rsid w:val="00DE0DEE"/>
    <w:rsid w:val="00DE13D5"/>
    <w:rsid w:val="00DE1B50"/>
    <w:rsid w:val="00DE2B12"/>
    <w:rsid w:val="00DE2FDF"/>
    <w:rsid w:val="00DE313C"/>
    <w:rsid w:val="00DE34E0"/>
    <w:rsid w:val="00DE3ACC"/>
    <w:rsid w:val="00DE3BA0"/>
    <w:rsid w:val="00DE3D33"/>
    <w:rsid w:val="00DE3F5B"/>
    <w:rsid w:val="00DE4494"/>
    <w:rsid w:val="00DE49C5"/>
    <w:rsid w:val="00DE4BCD"/>
    <w:rsid w:val="00DE4EF8"/>
    <w:rsid w:val="00DE5165"/>
    <w:rsid w:val="00DE520A"/>
    <w:rsid w:val="00DE52F1"/>
    <w:rsid w:val="00DE53FC"/>
    <w:rsid w:val="00DE55C8"/>
    <w:rsid w:val="00DE5F92"/>
    <w:rsid w:val="00DE628F"/>
    <w:rsid w:val="00DE650D"/>
    <w:rsid w:val="00DE6A22"/>
    <w:rsid w:val="00DE6DB0"/>
    <w:rsid w:val="00DE754D"/>
    <w:rsid w:val="00DF0065"/>
    <w:rsid w:val="00DF019E"/>
    <w:rsid w:val="00DF069A"/>
    <w:rsid w:val="00DF074E"/>
    <w:rsid w:val="00DF0C07"/>
    <w:rsid w:val="00DF12EC"/>
    <w:rsid w:val="00DF1A24"/>
    <w:rsid w:val="00DF2160"/>
    <w:rsid w:val="00DF2509"/>
    <w:rsid w:val="00DF4416"/>
    <w:rsid w:val="00DF4574"/>
    <w:rsid w:val="00DF576C"/>
    <w:rsid w:val="00DF57ED"/>
    <w:rsid w:val="00DF674A"/>
    <w:rsid w:val="00DF798C"/>
    <w:rsid w:val="00DF7C77"/>
    <w:rsid w:val="00E00D4B"/>
    <w:rsid w:val="00E01439"/>
    <w:rsid w:val="00E01456"/>
    <w:rsid w:val="00E01487"/>
    <w:rsid w:val="00E01B2B"/>
    <w:rsid w:val="00E01C3B"/>
    <w:rsid w:val="00E01F76"/>
    <w:rsid w:val="00E0384C"/>
    <w:rsid w:val="00E0412D"/>
    <w:rsid w:val="00E0438F"/>
    <w:rsid w:val="00E04A7F"/>
    <w:rsid w:val="00E0569C"/>
    <w:rsid w:val="00E057AA"/>
    <w:rsid w:val="00E05FD4"/>
    <w:rsid w:val="00E061F8"/>
    <w:rsid w:val="00E073E5"/>
    <w:rsid w:val="00E07C99"/>
    <w:rsid w:val="00E07CA2"/>
    <w:rsid w:val="00E104A4"/>
    <w:rsid w:val="00E111E1"/>
    <w:rsid w:val="00E11790"/>
    <w:rsid w:val="00E12478"/>
    <w:rsid w:val="00E12504"/>
    <w:rsid w:val="00E126C4"/>
    <w:rsid w:val="00E127C5"/>
    <w:rsid w:val="00E12B32"/>
    <w:rsid w:val="00E12B5C"/>
    <w:rsid w:val="00E136C3"/>
    <w:rsid w:val="00E13E13"/>
    <w:rsid w:val="00E14327"/>
    <w:rsid w:val="00E143A0"/>
    <w:rsid w:val="00E14B36"/>
    <w:rsid w:val="00E155F7"/>
    <w:rsid w:val="00E15776"/>
    <w:rsid w:val="00E1579A"/>
    <w:rsid w:val="00E15AB8"/>
    <w:rsid w:val="00E1611C"/>
    <w:rsid w:val="00E16947"/>
    <w:rsid w:val="00E1752D"/>
    <w:rsid w:val="00E1791F"/>
    <w:rsid w:val="00E17BB4"/>
    <w:rsid w:val="00E20997"/>
    <w:rsid w:val="00E20A15"/>
    <w:rsid w:val="00E211AA"/>
    <w:rsid w:val="00E211C6"/>
    <w:rsid w:val="00E22094"/>
    <w:rsid w:val="00E22414"/>
    <w:rsid w:val="00E22C1F"/>
    <w:rsid w:val="00E22DE8"/>
    <w:rsid w:val="00E252BB"/>
    <w:rsid w:val="00E2542A"/>
    <w:rsid w:val="00E265AE"/>
    <w:rsid w:val="00E26947"/>
    <w:rsid w:val="00E269EF"/>
    <w:rsid w:val="00E26C39"/>
    <w:rsid w:val="00E26DAE"/>
    <w:rsid w:val="00E27278"/>
    <w:rsid w:val="00E278EC"/>
    <w:rsid w:val="00E27C33"/>
    <w:rsid w:val="00E30254"/>
    <w:rsid w:val="00E3084C"/>
    <w:rsid w:val="00E315A5"/>
    <w:rsid w:val="00E31889"/>
    <w:rsid w:val="00E320C4"/>
    <w:rsid w:val="00E33DDE"/>
    <w:rsid w:val="00E33E0B"/>
    <w:rsid w:val="00E3403B"/>
    <w:rsid w:val="00E3439C"/>
    <w:rsid w:val="00E34479"/>
    <w:rsid w:val="00E3715A"/>
    <w:rsid w:val="00E37711"/>
    <w:rsid w:val="00E379EA"/>
    <w:rsid w:val="00E40798"/>
    <w:rsid w:val="00E409E7"/>
    <w:rsid w:val="00E40E9A"/>
    <w:rsid w:val="00E41281"/>
    <w:rsid w:val="00E41B31"/>
    <w:rsid w:val="00E41B68"/>
    <w:rsid w:val="00E42494"/>
    <w:rsid w:val="00E42786"/>
    <w:rsid w:val="00E42CEE"/>
    <w:rsid w:val="00E431B5"/>
    <w:rsid w:val="00E43C9B"/>
    <w:rsid w:val="00E43EF7"/>
    <w:rsid w:val="00E448D2"/>
    <w:rsid w:val="00E44C91"/>
    <w:rsid w:val="00E453FC"/>
    <w:rsid w:val="00E4581F"/>
    <w:rsid w:val="00E4607B"/>
    <w:rsid w:val="00E4631E"/>
    <w:rsid w:val="00E466CB"/>
    <w:rsid w:val="00E46D0B"/>
    <w:rsid w:val="00E4775E"/>
    <w:rsid w:val="00E50109"/>
    <w:rsid w:val="00E50680"/>
    <w:rsid w:val="00E50AAA"/>
    <w:rsid w:val="00E511A0"/>
    <w:rsid w:val="00E518A2"/>
    <w:rsid w:val="00E51BE9"/>
    <w:rsid w:val="00E51D05"/>
    <w:rsid w:val="00E52209"/>
    <w:rsid w:val="00E53361"/>
    <w:rsid w:val="00E53497"/>
    <w:rsid w:val="00E5403A"/>
    <w:rsid w:val="00E54291"/>
    <w:rsid w:val="00E542E2"/>
    <w:rsid w:val="00E546BC"/>
    <w:rsid w:val="00E5484E"/>
    <w:rsid w:val="00E55BC9"/>
    <w:rsid w:val="00E55CAC"/>
    <w:rsid w:val="00E5606A"/>
    <w:rsid w:val="00E56178"/>
    <w:rsid w:val="00E576A0"/>
    <w:rsid w:val="00E57AFE"/>
    <w:rsid w:val="00E60021"/>
    <w:rsid w:val="00E604D4"/>
    <w:rsid w:val="00E60761"/>
    <w:rsid w:val="00E610D8"/>
    <w:rsid w:val="00E61202"/>
    <w:rsid w:val="00E613CF"/>
    <w:rsid w:val="00E619F4"/>
    <w:rsid w:val="00E61B29"/>
    <w:rsid w:val="00E6214A"/>
    <w:rsid w:val="00E62269"/>
    <w:rsid w:val="00E62B40"/>
    <w:rsid w:val="00E63EE7"/>
    <w:rsid w:val="00E63EF3"/>
    <w:rsid w:val="00E645BA"/>
    <w:rsid w:val="00E64C2F"/>
    <w:rsid w:val="00E64DFA"/>
    <w:rsid w:val="00E654AB"/>
    <w:rsid w:val="00E65C66"/>
    <w:rsid w:val="00E65DC4"/>
    <w:rsid w:val="00E66742"/>
    <w:rsid w:val="00E66C66"/>
    <w:rsid w:val="00E6704E"/>
    <w:rsid w:val="00E67EC1"/>
    <w:rsid w:val="00E70040"/>
    <w:rsid w:val="00E700F7"/>
    <w:rsid w:val="00E7089A"/>
    <w:rsid w:val="00E712AB"/>
    <w:rsid w:val="00E7158F"/>
    <w:rsid w:val="00E715FA"/>
    <w:rsid w:val="00E724A0"/>
    <w:rsid w:val="00E724B7"/>
    <w:rsid w:val="00E72902"/>
    <w:rsid w:val="00E72F20"/>
    <w:rsid w:val="00E72FE5"/>
    <w:rsid w:val="00E73E54"/>
    <w:rsid w:val="00E74690"/>
    <w:rsid w:val="00E75F3E"/>
    <w:rsid w:val="00E765A4"/>
    <w:rsid w:val="00E76C1F"/>
    <w:rsid w:val="00E76D3C"/>
    <w:rsid w:val="00E77A95"/>
    <w:rsid w:val="00E80AD8"/>
    <w:rsid w:val="00E80D60"/>
    <w:rsid w:val="00E81391"/>
    <w:rsid w:val="00E81580"/>
    <w:rsid w:val="00E82487"/>
    <w:rsid w:val="00E841FF"/>
    <w:rsid w:val="00E849AF"/>
    <w:rsid w:val="00E84BC2"/>
    <w:rsid w:val="00E84C16"/>
    <w:rsid w:val="00E84ED5"/>
    <w:rsid w:val="00E854BB"/>
    <w:rsid w:val="00E85AAE"/>
    <w:rsid w:val="00E86A38"/>
    <w:rsid w:val="00E87533"/>
    <w:rsid w:val="00E87996"/>
    <w:rsid w:val="00E87ABC"/>
    <w:rsid w:val="00E9029B"/>
    <w:rsid w:val="00E912BD"/>
    <w:rsid w:val="00E91902"/>
    <w:rsid w:val="00E92D5F"/>
    <w:rsid w:val="00E937D4"/>
    <w:rsid w:val="00E9390C"/>
    <w:rsid w:val="00E93C49"/>
    <w:rsid w:val="00E93CBF"/>
    <w:rsid w:val="00E9402A"/>
    <w:rsid w:val="00E94412"/>
    <w:rsid w:val="00E94B28"/>
    <w:rsid w:val="00E94D20"/>
    <w:rsid w:val="00E94EA7"/>
    <w:rsid w:val="00E95E5C"/>
    <w:rsid w:val="00E965B3"/>
    <w:rsid w:val="00E9665A"/>
    <w:rsid w:val="00E96AD4"/>
    <w:rsid w:val="00E96FFC"/>
    <w:rsid w:val="00E97D07"/>
    <w:rsid w:val="00EA042D"/>
    <w:rsid w:val="00EA06D8"/>
    <w:rsid w:val="00EA0B87"/>
    <w:rsid w:val="00EA151C"/>
    <w:rsid w:val="00EA1866"/>
    <w:rsid w:val="00EA1DD6"/>
    <w:rsid w:val="00EA21AB"/>
    <w:rsid w:val="00EA3124"/>
    <w:rsid w:val="00EA3795"/>
    <w:rsid w:val="00EA37A0"/>
    <w:rsid w:val="00EA3B6E"/>
    <w:rsid w:val="00EA4687"/>
    <w:rsid w:val="00EA5821"/>
    <w:rsid w:val="00EA5C06"/>
    <w:rsid w:val="00EA60C0"/>
    <w:rsid w:val="00EA6408"/>
    <w:rsid w:val="00EA64BB"/>
    <w:rsid w:val="00EA69BF"/>
    <w:rsid w:val="00EA6B01"/>
    <w:rsid w:val="00EA7E18"/>
    <w:rsid w:val="00EB1377"/>
    <w:rsid w:val="00EB17F6"/>
    <w:rsid w:val="00EB1877"/>
    <w:rsid w:val="00EB1FD4"/>
    <w:rsid w:val="00EB20EB"/>
    <w:rsid w:val="00EB25D7"/>
    <w:rsid w:val="00EB2AB0"/>
    <w:rsid w:val="00EB2DCB"/>
    <w:rsid w:val="00EB2EE7"/>
    <w:rsid w:val="00EB3142"/>
    <w:rsid w:val="00EB33F6"/>
    <w:rsid w:val="00EB37A4"/>
    <w:rsid w:val="00EB3F97"/>
    <w:rsid w:val="00EB4194"/>
    <w:rsid w:val="00EB43B0"/>
    <w:rsid w:val="00EB4B69"/>
    <w:rsid w:val="00EB4DC3"/>
    <w:rsid w:val="00EB4F67"/>
    <w:rsid w:val="00EB51B9"/>
    <w:rsid w:val="00EB5BE8"/>
    <w:rsid w:val="00EB6B7A"/>
    <w:rsid w:val="00EB73CE"/>
    <w:rsid w:val="00EB755A"/>
    <w:rsid w:val="00EB7753"/>
    <w:rsid w:val="00EB7B6A"/>
    <w:rsid w:val="00EB7B9D"/>
    <w:rsid w:val="00EC0387"/>
    <w:rsid w:val="00EC127F"/>
    <w:rsid w:val="00EC2896"/>
    <w:rsid w:val="00EC2EBD"/>
    <w:rsid w:val="00EC2F5D"/>
    <w:rsid w:val="00EC38AD"/>
    <w:rsid w:val="00EC3A65"/>
    <w:rsid w:val="00EC4A23"/>
    <w:rsid w:val="00EC5C8A"/>
    <w:rsid w:val="00EC5F2B"/>
    <w:rsid w:val="00EC65E9"/>
    <w:rsid w:val="00EC68A9"/>
    <w:rsid w:val="00EC6E8D"/>
    <w:rsid w:val="00EC71A5"/>
    <w:rsid w:val="00EC7ADA"/>
    <w:rsid w:val="00ED0924"/>
    <w:rsid w:val="00ED190F"/>
    <w:rsid w:val="00ED1BFD"/>
    <w:rsid w:val="00ED1E1D"/>
    <w:rsid w:val="00ED1FA8"/>
    <w:rsid w:val="00ED28C2"/>
    <w:rsid w:val="00ED2A97"/>
    <w:rsid w:val="00ED2DC2"/>
    <w:rsid w:val="00ED2F9D"/>
    <w:rsid w:val="00ED358A"/>
    <w:rsid w:val="00ED3EC7"/>
    <w:rsid w:val="00ED427A"/>
    <w:rsid w:val="00ED4373"/>
    <w:rsid w:val="00ED44F2"/>
    <w:rsid w:val="00ED4EF7"/>
    <w:rsid w:val="00ED58B4"/>
    <w:rsid w:val="00ED5946"/>
    <w:rsid w:val="00ED623F"/>
    <w:rsid w:val="00ED62B6"/>
    <w:rsid w:val="00ED65CE"/>
    <w:rsid w:val="00ED6BD0"/>
    <w:rsid w:val="00ED7341"/>
    <w:rsid w:val="00ED7C0A"/>
    <w:rsid w:val="00EE0268"/>
    <w:rsid w:val="00EE0E2B"/>
    <w:rsid w:val="00EE0F68"/>
    <w:rsid w:val="00EE1CBA"/>
    <w:rsid w:val="00EE270B"/>
    <w:rsid w:val="00EE3BD3"/>
    <w:rsid w:val="00EE3EE2"/>
    <w:rsid w:val="00EE507E"/>
    <w:rsid w:val="00EE516B"/>
    <w:rsid w:val="00EE575D"/>
    <w:rsid w:val="00EE592E"/>
    <w:rsid w:val="00EE5BB0"/>
    <w:rsid w:val="00EE621C"/>
    <w:rsid w:val="00EE6437"/>
    <w:rsid w:val="00EE707E"/>
    <w:rsid w:val="00EE785A"/>
    <w:rsid w:val="00EE7A5D"/>
    <w:rsid w:val="00EF00E1"/>
    <w:rsid w:val="00EF2448"/>
    <w:rsid w:val="00EF2905"/>
    <w:rsid w:val="00EF2F76"/>
    <w:rsid w:val="00EF2FCA"/>
    <w:rsid w:val="00EF3057"/>
    <w:rsid w:val="00EF3205"/>
    <w:rsid w:val="00EF33DF"/>
    <w:rsid w:val="00EF3AB9"/>
    <w:rsid w:val="00EF3D2A"/>
    <w:rsid w:val="00EF3D6D"/>
    <w:rsid w:val="00EF406B"/>
    <w:rsid w:val="00EF40EE"/>
    <w:rsid w:val="00EF41B2"/>
    <w:rsid w:val="00EF44FC"/>
    <w:rsid w:val="00EF4C25"/>
    <w:rsid w:val="00EF4DA5"/>
    <w:rsid w:val="00EF51BF"/>
    <w:rsid w:val="00EF54CB"/>
    <w:rsid w:val="00EF62A7"/>
    <w:rsid w:val="00EF6C93"/>
    <w:rsid w:val="00EF6EB5"/>
    <w:rsid w:val="00EF704E"/>
    <w:rsid w:val="00EF7CD5"/>
    <w:rsid w:val="00F0040C"/>
    <w:rsid w:val="00F0045B"/>
    <w:rsid w:val="00F005FE"/>
    <w:rsid w:val="00F00E73"/>
    <w:rsid w:val="00F011E7"/>
    <w:rsid w:val="00F01C27"/>
    <w:rsid w:val="00F02152"/>
    <w:rsid w:val="00F02826"/>
    <w:rsid w:val="00F03E7F"/>
    <w:rsid w:val="00F04E1F"/>
    <w:rsid w:val="00F05134"/>
    <w:rsid w:val="00F05144"/>
    <w:rsid w:val="00F057E1"/>
    <w:rsid w:val="00F0611B"/>
    <w:rsid w:val="00F06F72"/>
    <w:rsid w:val="00F07091"/>
    <w:rsid w:val="00F07EB6"/>
    <w:rsid w:val="00F10464"/>
    <w:rsid w:val="00F1065D"/>
    <w:rsid w:val="00F1099C"/>
    <w:rsid w:val="00F115A4"/>
    <w:rsid w:val="00F11A71"/>
    <w:rsid w:val="00F11D39"/>
    <w:rsid w:val="00F12E00"/>
    <w:rsid w:val="00F13DF1"/>
    <w:rsid w:val="00F14625"/>
    <w:rsid w:val="00F14DE8"/>
    <w:rsid w:val="00F1513B"/>
    <w:rsid w:val="00F15244"/>
    <w:rsid w:val="00F15BB9"/>
    <w:rsid w:val="00F16141"/>
    <w:rsid w:val="00F16351"/>
    <w:rsid w:val="00F1688C"/>
    <w:rsid w:val="00F171A5"/>
    <w:rsid w:val="00F1775D"/>
    <w:rsid w:val="00F17A40"/>
    <w:rsid w:val="00F17A6F"/>
    <w:rsid w:val="00F17DF2"/>
    <w:rsid w:val="00F17E64"/>
    <w:rsid w:val="00F21B86"/>
    <w:rsid w:val="00F21BFC"/>
    <w:rsid w:val="00F22048"/>
    <w:rsid w:val="00F22497"/>
    <w:rsid w:val="00F2259C"/>
    <w:rsid w:val="00F22672"/>
    <w:rsid w:val="00F2287B"/>
    <w:rsid w:val="00F228CB"/>
    <w:rsid w:val="00F23317"/>
    <w:rsid w:val="00F23462"/>
    <w:rsid w:val="00F240F5"/>
    <w:rsid w:val="00F243BD"/>
    <w:rsid w:val="00F24851"/>
    <w:rsid w:val="00F24B02"/>
    <w:rsid w:val="00F251CF"/>
    <w:rsid w:val="00F257F3"/>
    <w:rsid w:val="00F267E4"/>
    <w:rsid w:val="00F26849"/>
    <w:rsid w:val="00F276C5"/>
    <w:rsid w:val="00F30AB8"/>
    <w:rsid w:val="00F30D29"/>
    <w:rsid w:val="00F30D72"/>
    <w:rsid w:val="00F30D84"/>
    <w:rsid w:val="00F31128"/>
    <w:rsid w:val="00F312B9"/>
    <w:rsid w:val="00F31BB6"/>
    <w:rsid w:val="00F31BCC"/>
    <w:rsid w:val="00F32072"/>
    <w:rsid w:val="00F3264F"/>
    <w:rsid w:val="00F33743"/>
    <w:rsid w:val="00F33B57"/>
    <w:rsid w:val="00F33EFA"/>
    <w:rsid w:val="00F3414B"/>
    <w:rsid w:val="00F34BDE"/>
    <w:rsid w:val="00F35928"/>
    <w:rsid w:val="00F35BF1"/>
    <w:rsid w:val="00F361EB"/>
    <w:rsid w:val="00F3685F"/>
    <w:rsid w:val="00F3687D"/>
    <w:rsid w:val="00F37655"/>
    <w:rsid w:val="00F37838"/>
    <w:rsid w:val="00F37BBC"/>
    <w:rsid w:val="00F40BCD"/>
    <w:rsid w:val="00F411FC"/>
    <w:rsid w:val="00F418E0"/>
    <w:rsid w:val="00F41FBC"/>
    <w:rsid w:val="00F424BD"/>
    <w:rsid w:val="00F42694"/>
    <w:rsid w:val="00F4301B"/>
    <w:rsid w:val="00F43108"/>
    <w:rsid w:val="00F43578"/>
    <w:rsid w:val="00F435D3"/>
    <w:rsid w:val="00F43758"/>
    <w:rsid w:val="00F43D81"/>
    <w:rsid w:val="00F44AB6"/>
    <w:rsid w:val="00F450AA"/>
    <w:rsid w:val="00F45EC5"/>
    <w:rsid w:val="00F4621B"/>
    <w:rsid w:val="00F46690"/>
    <w:rsid w:val="00F46B8F"/>
    <w:rsid w:val="00F47144"/>
    <w:rsid w:val="00F50412"/>
    <w:rsid w:val="00F510A2"/>
    <w:rsid w:val="00F51336"/>
    <w:rsid w:val="00F513A9"/>
    <w:rsid w:val="00F52685"/>
    <w:rsid w:val="00F54706"/>
    <w:rsid w:val="00F54A19"/>
    <w:rsid w:val="00F5518D"/>
    <w:rsid w:val="00F5520B"/>
    <w:rsid w:val="00F5528E"/>
    <w:rsid w:val="00F55F8B"/>
    <w:rsid w:val="00F574CC"/>
    <w:rsid w:val="00F57B8A"/>
    <w:rsid w:val="00F57CC4"/>
    <w:rsid w:val="00F60158"/>
    <w:rsid w:val="00F60A73"/>
    <w:rsid w:val="00F60C57"/>
    <w:rsid w:val="00F61723"/>
    <w:rsid w:val="00F61AB4"/>
    <w:rsid w:val="00F61BDA"/>
    <w:rsid w:val="00F61C2E"/>
    <w:rsid w:val="00F629DA"/>
    <w:rsid w:val="00F62EE6"/>
    <w:rsid w:val="00F63298"/>
    <w:rsid w:val="00F63C52"/>
    <w:rsid w:val="00F645F3"/>
    <w:rsid w:val="00F6487E"/>
    <w:rsid w:val="00F64A39"/>
    <w:rsid w:val="00F64DB4"/>
    <w:rsid w:val="00F650FB"/>
    <w:rsid w:val="00F6588A"/>
    <w:rsid w:val="00F66DDB"/>
    <w:rsid w:val="00F67114"/>
    <w:rsid w:val="00F67B69"/>
    <w:rsid w:val="00F67CA2"/>
    <w:rsid w:val="00F67D2F"/>
    <w:rsid w:val="00F719C6"/>
    <w:rsid w:val="00F72025"/>
    <w:rsid w:val="00F72117"/>
    <w:rsid w:val="00F72DD6"/>
    <w:rsid w:val="00F72F48"/>
    <w:rsid w:val="00F7308B"/>
    <w:rsid w:val="00F73A63"/>
    <w:rsid w:val="00F73AD0"/>
    <w:rsid w:val="00F74701"/>
    <w:rsid w:val="00F74A07"/>
    <w:rsid w:val="00F74EA9"/>
    <w:rsid w:val="00F750C0"/>
    <w:rsid w:val="00F752AB"/>
    <w:rsid w:val="00F75616"/>
    <w:rsid w:val="00F75F32"/>
    <w:rsid w:val="00F760C8"/>
    <w:rsid w:val="00F765C6"/>
    <w:rsid w:val="00F76DC0"/>
    <w:rsid w:val="00F777C3"/>
    <w:rsid w:val="00F77C55"/>
    <w:rsid w:val="00F77FF7"/>
    <w:rsid w:val="00F80204"/>
    <w:rsid w:val="00F80466"/>
    <w:rsid w:val="00F80E09"/>
    <w:rsid w:val="00F81043"/>
    <w:rsid w:val="00F812C0"/>
    <w:rsid w:val="00F8188A"/>
    <w:rsid w:val="00F82E21"/>
    <w:rsid w:val="00F82E22"/>
    <w:rsid w:val="00F83766"/>
    <w:rsid w:val="00F844B2"/>
    <w:rsid w:val="00F84B60"/>
    <w:rsid w:val="00F84CAF"/>
    <w:rsid w:val="00F84CD7"/>
    <w:rsid w:val="00F8515D"/>
    <w:rsid w:val="00F8551A"/>
    <w:rsid w:val="00F86227"/>
    <w:rsid w:val="00F8623D"/>
    <w:rsid w:val="00F8631D"/>
    <w:rsid w:val="00F86D48"/>
    <w:rsid w:val="00F87653"/>
    <w:rsid w:val="00F87862"/>
    <w:rsid w:val="00F87B21"/>
    <w:rsid w:val="00F87C18"/>
    <w:rsid w:val="00F9027A"/>
    <w:rsid w:val="00F90AB5"/>
    <w:rsid w:val="00F90D7E"/>
    <w:rsid w:val="00F91CB1"/>
    <w:rsid w:val="00F9246D"/>
    <w:rsid w:val="00F9288C"/>
    <w:rsid w:val="00F9305A"/>
    <w:rsid w:val="00F930DF"/>
    <w:rsid w:val="00F94BB8"/>
    <w:rsid w:val="00F94E5C"/>
    <w:rsid w:val="00F957EB"/>
    <w:rsid w:val="00F95DDA"/>
    <w:rsid w:val="00F97391"/>
    <w:rsid w:val="00F97810"/>
    <w:rsid w:val="00FA0632"/>
    <w:rsid w:val="00FA0A14"/>
    <w:rsid w:val="00FA0A80"/>
    <w:rsid w:val="00FA0E09"/>
    <w:rsid w:val="00FA0FA5"/>
    <w:rsid w:val="00FA141C"/>
    <w:rsid w:val="00FA1740"/>
    <w:rsid w:val="00FA2179"/>
    <w:rsid w:val="00FA269E"/>
    <w:rsid w:val="00FA2DC0"/>
    <w:rsid w:val="00FA3F6C"/>
    <w:rsid w:val="00FA4662"/>
    <w:rsid w:val="00FA4CD9"/>
    <w:rsid w:val="00FA51EF"/>
    <w:rsid w:val="00FA5AD8"/>
    <w:rsid w:val="00FA65C8"/>
    <w:rsid w:val="00FA6C71"/>
    <w:rsid w:val="00FA7442"/>
    <w:rsid w:val="00FA77D9"/>
    <w:rsid w:val="00FA79ED"/>
    <w:rsid w:val="00FB013E"/>
    <w:rsid w:val="00FB0BE3"/>
    <w:rsid w:val="00FB11D1"/>
    <w:rsid w:val="00FB18CB"/>
    <w:rsid w:val="00FB2019"/>
    <w:rsid w:val="00FB2292"/>
    <w:rsid w:val="00FB255C"/>
    <w:rsid w:val="00FB29F5"/>
    <w:rsid w:val="00FB2D1B"/>
    <w:rsid w:val="00FB2F4B"/>
    <w:rsid w:val="00FB330E"/>
    <w:rsid w:val="00FB3B28"/>
    <w:rsid w:val="00FB469E"/>
    <w:rsid w:val="00FB4F2E"/>
    <w:rsid w:val="00FB52E5"/>
    <w:rsid w:val="00FB55DA"/>
    <w:rsid w:val="00FB5B46"/>
    <w:rsid w:val="00FB61FB"/>
    <w:rsid w:val="00FB62A9"/>
    <w:rsid w:val="00FB62AD"/>
    <w:rsid w:val="00FB64E6"/>
    <w:rsid w:val="00FB6DAB"/>
    <w:rsid w:val="00FB6F83"/>
    <w:rsid w:val="00FB7198"/>
    <w:rsid w:val="00FB7AA6"/>
    <w:rsid w:val="00FB7FA6"/>
    <w:rsid w:val="00FC07E0"/>
    <w:rsid w:val="00FC13D3"/>
    <w:rsid w:val="00FC1C57"/>
    <w:rsid w:val="00FC2177"/>
    <w:rsid w:val="00FC2863"/>
    <w:rsid w:val="00FC38D9"/>
    <w:rsid w:val="00FC3DC7"/>
    <w:rsid w:val="00FC467F"/>
    <w:rsid w:val="00FC46B2"/>
    <w:rsid w:val="00FC57AE"/>
    <w:rsid w:val="00FC59A2"/>
    <w:rsid w:val="00FC5C2F"/>
    <w:rsid w:val="00FC670B"/>
    <w:rsid w:val="00FC6E8B"/>
    <w:rsid w:val="00FC6EE0"/>
    <w:rsid w:val="00FC7261"/>
    <w:rsid w:val="00FC72E3"/>
    <w:rsid w:val="00FC7454"/>
    <w:rsid w:val="00FC76BD"/>
    <w:rsid w:val="00FC771D"/>
    <w:rsid w:val="00FC7F6E"/>
    <w:rsid w:val="00FD0EA1"/>
    <w:rsid w:val="00FD186B"/>
    <w:rsid w:val="00FD2673"/>
    <w:rsid w:val="00FD2C77"/>
    <w:rsid w:val="00FD30B2"/>
    <w:rsid w:val="00FD30C0"/>
    <w:rsid w:val="00FD38EB"/>
    <w:rsid w:val="00FD3927"/>
    <w:rsid w:val="00FD3A03"/>
    <w:rsid w:val="00FD4B9F"/>
    <w:rsid w:val="00FD4BFC"/>
    <w:rsid w:val="00FD4CDC"/>
    <w:rsid w:val="00FD54AA"/>
    <w:rsid w:val="00FD59F3"/>
    <w:rsid w:val="00FD5C66"/>
    <w:rsid w:val="00FD6BDA"/>
    <w:rsid w:val="00FD750F"/>
    <w:rsid w:val="00FD7900"/>
    <w:rsid w:val="00FD7B8A"/>
    <w:rsid w:val="00FD7BE7"/>
    <w:rsid w:val="00FD7F3F"/>
    <w:rsid w:val="00FE1BEB"/>
    <w:rsid w:val="00FE1D4C"/>
    <w:rsid w:val="00FE1FC6"/>
    <w:rsid w:val="00FE250A"/>
    <w:rsid w:val="00FE2B51"/>
    <w:rsid w:val="00FE2D67"/>
    <w:rsid w:val="00FE2E67"/>
    <w:rsid w:val="00FE33E7"/>
    <w:rsid w:val="00FE3DBC"/>
    <w:rsid w:val="00FE405B"/>
    <w:rsid w:val="00FE42A9"/>
    <w:rsid w:val="00FE45D0"/>
    <w:rsid w:val="00FE49C8"/>
    <w:rsid w:val="00FE4B8E"/>
    <w:rsid w:val="00FE503F"/>
    <w:rsid w:val="00FE50E4"/>
    <w:rsid w:val="00FE6BEA"/>
    <w:rsid w:val="00FE70E0"/>
    <w:rsid w:val="00FE72DD"/>
    <w:rsid w:val="00FE779D"/>
    <w:rsid w:val="00FF025B"/>
    <w:rsid w:val="00FF047F"/>
    <w:rsid w:val="00FF09C2"/>
    <w:rsid w:val="00FF0A5C"/>
    <w:rsid w:val="00FF131F"/>
    <w:rsid w:val="00FF1EDA"/>
    <w:rsid w:val="00FF2229"/>
    <w:rsid w:val="00FF22EE"/>
    <w:rsid w:val="00FF2918"/>
    <w:rsid w:val="00FF2AFA"/>
    <w:rsid w:val="00FF2F26"/>
    <w:rsid w:val="00FF3784"/>
    <w:rsid w:val="00FF4478"/>
    <w:rsid w:val="00FF454C"/>
    <w:rsid w:val="00FF4632"/>
    <w:rsid w:val="00FF4B8E"/>
    <w:rsid w:val="00FF4DDC"/>
    <w:rsid w:val="00FF4E7C"/>
    <w:rsid w:val="00FF557C"/>
    <w:rsid w:val="00FF587C"/>
    <w:rsid w:val="00FF5D64"/>
    <w:rsid w:val="00FF5F27"/>
    <w:rsid w:val="00FF6027"/>
    <w:rsid w:val="00FF6A08"/>
    <w:rsid w:val="00FF6BAA"/>
    <w:rsid w:val="00FF74D1"/>
    <w:rsid w:val="00FF7695"/>
    <w:rsid w:val="00FF79EF"/>
    <w:rsid w:val="00FF7C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B70A6"/>
  <w15:chartTrackingRefBased/>
  <w15:docId w15:val="{DE9D583E-C62D-4183-9E05-1EFCAE0FF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3DE9"/>
    <w:rPr>
      <w:rFonts w:eastAsia="Times New Roman"/>
      <w:sz w:val="22"/>
      <w:lang w:eastAsia="ja-JP"/>
    </w:rPr>
  </w:style>
  <w:style w:type="paragraph" w:styleId="Heading1">
    <w:name w:val="heading 1"/>
    <w:basedOn w:val="Normal"/>
    <w:next w:val="Normal"/>
    <w:link w:val="Heading1Char"/>
    <w:qFormat/>
    <w:rsid w:val="00D43DE9"/>
    <w:pPr>
      <w:ind w:left="567" w:hanging="567"/>
      <w:outlineLvl w:val="0"/>
    </w:pPr>
    <w:rPr>
      <w:b/>
      <w:caps/>
    </w:rPr>
  </w:style>
  <w:style w:type="paragraph" w:styleId="Heading2">
    <w:name w:val="heading 2"/>
    <w:basedOn w:val="Heading1"/>
    <w:next w:val="Normal"/>
    <w:link w:val="Heading2Char"/>
    <w:qFormat/>
    <w:rsid w:val="00D43DE9"/>
    <w:pPr>
      <w:outlineLvl w:val="1"/>
    </w:pPr>
    <w:rPr>
      <w:caps w:val="0"/>
    </w:rPr>
  </w:style>
  <w:style w:type="paragraph" w:styleId="Heading3">
    <w:name w:val="heading 3"/>
    <w:basedOn w:val="Normal"/>
    <w:next w:val="Normal"/>
    <w:link w:val="Heading3Char"/>
    <w:qFormat/>
    <w:rsid w:val="00D43DE9"/>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43DE9"/>
    <w:pPr>
      <w:tabs>
        <w:tab w:val="center" w:pos="4536"/>
        <w:tab w:val="right" w:pos="9072"/>
      </w:tabs>
    </w:pPr>
  </w:style>
  <w:style w:type="paragraph" w:styleId="Footer">
    <w:name w:val="footer"/>
    <w:basedOn w:val="Normal"/>
    <w:link w:val="FooterChar"/>
    <w:rsid w:val="00D43DE9"/>
    <w:rPr>
      <w:rFonts w:ascii="Arial" w:hAnsi="Arial"/>
      <w:sz w:val="16"/>
    </w:rPr>
  </w:style>
  <w:style w:type="character" w:styleId="PageNumber">
    <w:name w:val="page number"/>
    <w:rsid w:val="00D43DE9"/>
    <w:rPr>
      <w:rFonts w:ascii="Arial" w:hAnsi="Arial"/>
      <w:noProof/>
      <w:sz w:val="16"/>
    </w:rPr>
  </w:style>
  <w:style w:type="paragraph" w:styleId="EndnoteText">
    <w:name w:val="endnote text"/>
    <w:basedOn w:val="Normal"/>
    <w:next w:val="Normal"/>
    <w:link w:val="EndnoteTextChar"/>
    <w:semiHidden/>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basedOn w:val="Normal"/>
    <w:link w:val="CommentTextChar"/>
    <w:semiHidden/>
    <w:rPr>
      <w:sz w:val="20"/>
    </w:rPr>
  </w:style>
  <w:style w:type="paragraph" w:customStyle="1" w:styleId="Textoindependiente22">
    <w:name w:val="Texto independiente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Textoindependiente21">
    <w:name w:val="Texto independiente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ind w:left="567" w:hanging="567"/>
    </w:pPr>
    <w:rPr>
      <w:b/>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link w:val="BodyTextIndentChar"/>
    <w:pPr>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Annex">
    <w:name w:val="Annex"/>
    <w:basedOn w:val="Normal"/>
    <w:next w:val="Normal"/>
    <w:rsid w:val="00D43DE9"/>
    <w:pPr>
      <w:jc w:val="center"/>
    </w:pPr>
    <w:rPr>
      <w:b/>
    </w:rPr>
  </w:style>
  <w:style w:type="paragraph" w:customStyle="1" w:styleId="Description">
    <w:name w:val="Description"/>
    <w:basedOn w:val="Normal"/>
    <w:next w:val="Normal"/>
    <w:rsid w:val="00D43DE9"/>
  </w:style>
  <w:style w:type="paragraph" w:customStyle="1" w:styleId="HangingIndent">
    <w:name w:val="HangingIndent"/>
    <w:basedOn w:val="Normal"/>
    <w:rsid w:val="005C5FB8"/>
    <w:pPr>
      <w:ind w:left="567" w:hanging="567"/>
    </w:pPr>
  </w:style>
  <w:style w:type="paragraph" w:styleId="BalloonText">
    <w:name w:val="Balloon Text"/>
    <w:basedOn w:val="Normal"/>
    <w:link w:val="BalloonTextChar"/>
    <w:semiHidden/>
    <w:rPr>
      <w:rFonts w:ascii="Tahoma" w:hAnsi="Tahoma" w:cs="Tahoma"/>
      <w:sz w:val="16"/>
      <w:szCs w:val="16"/>
    </w:rPr>
  </w:style>
  <w:style w:type="paragraph" w:customStyle="1" w:styleId="EMEAEnBodyText">
    <w:name w:val="EMEA En Body Text"/>
    <w:basedOn w:val="Normal"/>
    <w:pPr>
      <w:spacing w:before="120" w:after="120"/>
      <w:jc w:val="both"/>
    </w:pPr>
    <w:rPr>
      <w:lang w:eastAsia="en-US"/>
    </w:rPr>
  </w:style>
  <w:style w:type="paragraph" w:customStyle="1" w:styleId="TextTi12">
    <w:name w:val="Text:Ti12"/>
    <w:basedOn w:val="Normal"/>
    <w:link w:val="TextTi12Char"/>
    <w:rsid w:val="008D29B5"/>
    <w:pPr>
      <w:spacing w:after="170" w:line="280" w:lineRule="atLeast"/>
      <w:jc w:val="both"/>
    </w:pPr>
    <w:rPr>
      <w:sz w:val="24"/>
      <w:szCs w:val="24"/>
      <w:lang w:eastAsia="de-DE"/>
    </w:rPr>
  </w:style>
  <w:style w:type="paragraph" w:styleId="CommentSubject">
    <w:name w:val="annotation subject"/>
    <w:basedOn w:val="CommentText"/>
    <w:next w:val="CommentText"/>
    <w:link w:val="CommentSubjectChar"/>
    <w:semiHidden/>
    <w:rPr>
      <w:b/>
      <w:bCs/>
    </w:rPr>
  </w:style>
  <w:style w:type="paragraph" w:customStyle="1" w:styleId="Standard1">
    <w:name w:val="Standard1"/>
    <w:qFormat/>
    <w:pPr>
      <w:autoSpaceDE w:val="0"/>
      <w:autoSpaceDN w:val="0"/>
      <w:adjustRightInd w:val="0"/>
    </w:pPr>
    <w:rPr>
      <w:rFonts w:ascii="Arial" w:hAnsi="Arial"/>
      <w:sz w:val="24"/>
      <w:szCs w:val="24"/>
      <w:lang w:val="fr-FR" w:eastAsia="fr-FR"/>
    </w:rPr>
  </w:style>
  <w:style w:type="character" w:customStyle="1" w:styleId="TextTi12Char">
    <w:name w:val="Text:Ti12 Char"/>
    <w:link w:val="TextTi12"/>
    <w:rsid w:val="008D29B5"/>
    <w:rPr>
      <w:sz w:val="24"/>
      <w:szCs w:val="24"/>
      <w:lang w:val="en-US" w:eastAsia="de-DE" w:bidi="ar-SA"/>
    </w:rPr>
  </w:style>
  <w:style w:type="table" w:styleId="TableGrid">
    <w:name w:val="Table Grid"/>
    <w:basedOn w:val="TableNormal"/>
    <w:rsid w:val="008B45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S8">
    <w:name w:val="SAS:8"/>
    <w:basedOn w:val="Normal"/>
    <w:link w:val="SAS8Char"/>
    <w:rsid w:val="00622638"/>
    <w:pPr>
      <w:spacing w:line="150" w:lineRule="exact"/>
    </w:pPr>
    <w:rPr>
      <w:rFonts w:ascii="Courier New" w:hAnsi="Courier New"/>
      <w:spacing w:val="-10"/>
      <w:sz w:val="16"/>
      <w:szCs w:val="16"/>
      <w:lang w:val="en-GB" w:eastAsia="de-DE"/>
    </w:rPr>
  </w:style>
  <w:style w:type="character" w:customStyle="1" w:styleId="SAS8Char">
    <w:name w:val="SAS:8 Char"/>
    <w:link w:val="SAS8"/>
    <w:rsid w:val="00622638"/>
    <w:rPr>
      <w:rFonts w:ascii="Courier New" w:hAnsi="Courier New"/>
      <w:spacing w:val="-10"/>
      <w:sz w:val="16"/>
      <w:szCs w:val="16"/>
      <w:lang w:val="en-GB" w:eastAsia="de-DE" w:bidi="ar-SA"/>
    </w:rPr>
  </w:style>
  <w:style w:type="paragraph" w:styleId="Caption">
    <w:name w:val="caption"/>
    <w:basedOn w:val="Normal"/>
    <w:next w:val="Normal"/>
    <w:qFormat/>
    <w:rsid w:val="006D23C2"/>
    <w:pPr>
      <w:spacing w:before="113" w:after="57" w:line="280" w:lineRule="atLeast"/>
      <w:ind w:left="1701" w:hanging="1701"/>
    </w:pPr>
    <w:rPr>
      <w:rFonts w:ascii="Arial" w:hAnsi="Arial"/>
      <w:b/>
      <w:bCs/>
      <w:sz w:val="24"/>
      <w:szCs w:val="24"/>
      <w:lang w:eastAsia="de-DE"/>
    </w:rPr>
  </w:style>
  <w:style w:type="paragraph" w:customStyle="1" w:styleId="HdTab1">
    <w:name w:val="Hd:Tab:1"/>
    <w:basedOn w:val="Caption"/>
    <w:next w:val="TextTi12"/>
    <w:link w:val="HdTab1Char"/>
    <w:rsid w:val="002F0B5C"/>
    <w:pPr>
      <w:keepNext/>
      <w:outlineLvl w:val="4"/>
    </w:pPr>
    <w:rPr>
      <w:bCs w:val="0"/>
      <w:szCs w:val="20"/>
      <w:lang w:eastAsia="ja-JP"/>
    </w:rPr>
  </w:style>
  <w:style w:type="paragraph" w:customStyle="1" w:styleId="AnnexHeading">
    <w:name w:val="Annex Heading"/>
    <w:basedOn w:val="Normal"/>
    <w:next w:val="Normal"/>
    <w:rsid w:val="00D43DE9"/>
    <w:pPr>
      <w:ind w:left="567" w:hanging="567"/>
    </w:pPr>
    <w:rPr>
      <w:b/>
    </w:rPr>
  </w:style>
  <w:style w:type="paragraph" w:styleId="BodyTextFirstIndent">
    <w:name w:val="Body Text First Indent"/>
    <w:basedOn w:val="BodyText"/>
    <w:link w:val="BodyTextFirstIndentChar"/>
    <w:rsid w:val="007541E2"/>
    <w:pPr>
      <w:spacing w:after="120"/>
      <w:ind w:firstLine="210"/>
    </w:pPr>
    <w:rPr>
      <w:b w:val="0"/>
      <w:i w:val="0"/>
    </w:rPr>
  </w:style>
  <w:style w:type="paragraph" w:styleId="BodyTextFirstIndent2">
    <w:name w:val="Body Text First Indent 2"/>
    <w:basedOn w:val="BodyTextIndent"/>
    <w:link w:val="BodyTextFirstIndent2Char"/>
    <w:rsid w:val="007541E2"/>
    <w:pPr>
      <w:spacing w:after="120"/>
      <w:ind w:left="360" w:firstLine="210"/>
    </w:pPr>
    <w:rPr>
      <w:b w:val="0"/>
      <w:color w:val="auto"/>
    </w:rPr>
  </w:style>
  <w:style w:type="paragraph" w:styleId="Closing">
    <w:name w:val="Closing"/>
    <w:basedOn w:val="Normal"/>
    <w:link w:val="ClosingChar"/>
    <w:rsid w:val="007541E2"/>
    <w:pPr>
      <w:ind w:left="4320"/>
    </w:pPr>
  </w:style>
  <w:style w:type="paragraph" w:styleId="Date">
    <w:name w:val="Date"/>
    <w:basedOn w:val="Normal"/>
    <w:next w:val="Normal"/>
    <w:link w:val="DateChar"/>
    <w:rsid w:val="007541E2"/>
  </w:style>
  <w:style w:type="paragraph" w:styleId="E-mailSignature">
    <w:name w:val="E-mail Signature"/>
    <w:basedOn w:val="Normal"/>
    <w:link w:val="E-mailSignatureChar"/>
    <w:rsid w:val="007541E2"/>
  </w:style>
  <w:style w:type="paragraph" w:styleId="EnvelopeAddress">
    <w:name w:val="envelope address"/>
    <w:basedOn w:val="Normal"/>
    <w:rsid w:val="007541E2"/>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541E2"/>
    <w:rPr>
      <w:rFonts w:ascii="Arial" w:hAnsi="Arial" w:cs="Arial"/>
      <w:sz w:val="20"/>
    </w:rPr>
  </w:style>
  <w:style w:type="paragraph" w:styleId="HTMLAddress">
    <w:name w:val="HTML Address"/>
    <w:basedOn w:val="Normal"/>
    <w:link w:val="HTMLAddressChar"/>
    <w:rsid w:val="007541E2"/>
    <w:rPr>
      <w:i/>
      <w:iCs/>
    </w:rPr>
  </w:style>
  <w:style w:type="paragraph" w:styleId="HTMLPreformatted">
    <w:name w:val="HTML Preformatted"/>
    <w:basedOn w:val="Normal"/>
    <w:link w:val="HTMLPreformattedChar"/>
    <w:rsid w:val="007541E2"/>
    <w:rPr>
      <w:rFonts w:ascii="Courier New" w:hAnsi="Courier New" w:cs="Courier New"/>
      <w:sz w:val="20"/>
    </w:rPr>
  </w:style>
  <w:style w:type="paragraph" w:styleId="Index1">
    <w:name w:val="index 1"/>
    <w:basedOn w:val="Normal"/>
    <w:next w:val="Normal"/>
    <w:autoRedefine/>
    <w:semiHidden/>
    <w:rsid w:val="007541E2"/>
    <w:pPr>
      <w:ind w:left="220" w:hanging="220"/>
    </w:pPr>
  </w:style>
  <w:style w:type="paragraph" w:styleId="Index2">
    <w:name w:val="index 2"/>
    <w:basedOn w:val="Normal"/>
    <w:next w:val="Normal"/>
    <w:autoRedefine/>
    <w:semiHidden/>
    <w:rsid w:val="007541E2"/>
    <w:pPr>
      <w:ind w:left="440" w:hanging="220"/>
    </w:pPr>
  </w:style>
  <w:style w:type="paragraph" w:styleId="Index3">
    <w:name w:val="index 3"/>
    <w:basedOn w:val="Normal"/>
    <w:next w:val="Normal"/>
    <w:autoRedefine/>
    <w:semiHidden/>
    <w:rsid w:val="007541E2"/>
    <w:pPr>
      <w:ind w:left="660" w:hanging="220"/>
    </w:pPr>
  </w:style>
  <w:style w:type="paragraph" w:styleId="Index4">
    <w:name w:val="index 4"/>
    <w:basedOn w:val="Normal"/>
    <w:next w:val="Normal"/>
    <w:autoRedefine/>
    <w:semiHidden/>
    <w:rsid w:val="007541E2"/>
    <w:pPr>
      <w:ind w:left="880" w:hanging="220"/>
    </w:pPr>
  </w:style>
  <w:style w:type="paragraph" w:styleId="Index5">
    <w:name w:val="index 5"/>
    <w:basedOn w:val="Normal"/>
    <w:next w:val="Normal"/>
    <w:autoRedefine/>
    <w:semiHidden/>
    <w:rsid w:val="007541E2"/>
    <w:pPr>
      <w:ind w:left="1100" w:hanging="220"/>
    </w:pPr>
  </w:style>
  <w:style w:type="paragraph" w:styleId="Index6">
    <w:name w:val="index 6"/>
    <w:basedOn w:val="Normal"/>
    <w:next w:val="Normal"/>
    <w:autoRedefine/>
    <w:semiHidden/>
    <w:rsid w:val="007541E2"/>
    <w:pPr>
      <w:ind w:left="1320" w:hanging="220"/>
    </w:pPr>
  </w:style>
  <w:style w:type="paragraph" w:styleId="Index7">
    <w:name w:val="index 7"/>
    <w:basedOn w:val="Normal"/>
    <w:next w:val="Normal"/>
    <w:autoRedefine/>
    <w:semiHidden/>
    <w:rsid w:val="007541E2"/>
    <w:pPr>
      <w:ind w:left="1540" w:hanging="220"/>
    </w:pPr>
  </w:style>
  <w:style w:type="paragraph" w:styleId="Index8">
    <w:name w:val="index 8"/>
    <w:basedOn w:val="Normal"/>
    <w:next w:val="Normal"/>
    <w:autoRedefine/>
    <w:semiHidden/>
    <w:rsid w:val="007541E2"/>
    <w:pPr>
      <w:ind w:left="1760" w:hanging="220"/>
    </w:pPr>
  </w:style>
  <w:style w:type="paragraph" w:styleId="Index9">
    <w:name w:val="index 9"/>
    <w:basedOn w:val="Normal"/>
    <w:next w:val="Normal"/>
    <w:autoRedefine/>
    <w:semiHidden/>
    <w:rsid w:val="007541E2"/>
    <w:pPr>
      <w:ind w:left="1980" w:hanging="220"/>
    </w:pPr>
  </w:style>
  <w:style w:type="paragraph" w:styleId="IndexHeading">
    <w:name w:val="index heading"/>
    <w:basedOn w:val="Normal"/>
    <w:next w:val="Index1"/>
    <w:semiHidden/>
    <w:rsid w:val="007541E2"/>
    <w:rPr>
      <w:rFonts w:ascii="Arial" w:hAnsi="Arial" w:cs="Arial"/>
      <w:b/>
      <w:bCs/>
    </w:rPr>
  </w:style>
  <w:style w:type="paragraph" w:styleId="List">
    <w:name w:val="List"/>
    <w:basedOn w:val="Normal"/>
    <w:rsid w:val="007541E2"/>
    <w:pPr>
      <w:ind w:left="360" w:hanging="360"/>
    </w:pPr>
  </w:style>
  <w:style w:type="paragraph" w:styleId="List2">
    <w:name w:val="List 2"/>
    <w:basedOn w:val="Normal"/>
    <w:rsid w:val="007541E2"/>
    <w:pPr>
      <w:ind w:left="720" w:hanging="360"/>
    </w:pPr>
  </w:style>
  <w:style w:type="paragraph" w:styleId="List3">
    <w:name w:val="List 3"/>
    <w:basedOn w:val="Normal"/>
    <w:rsid w:val="007541E2"/>
    <w:pPr>
      <w:ind w:left="1080" w:hanging="360"/>
    </w:pPr>
  </w:style>
  <w:style w:type="paragraph" w:styleId="List4">
    <w:name w:val="List 4"/>
    <w:basedOn w:val="Normal"/>
    <w:rsid w:val="007541E2"/>
    <w:pPr>
      <w:ind w:left="1440" w:hanging="360"/>
    </w:pPr>
  </w:style>
  <w:style w:type="paragraph" w:styleId="List5">
    <w:name w:val="List 5"/>
    <w:basedOn w:val="Normal"/>
    <w:rsid w:val="007541E2"/>
    <w:pPr>
      <w:ind w:left="1800" w:hanging="360"/>
    </w:pPr>
  </w:style>
  <w:style w:type="paragraph" w:styleId="ListBullet">
    <w:name w:val="List Bullet"/>
    <w:basedOn w:val="Normal"/>
    <w:rsid w:val="007541E2"/>
    <w:pPr>
      <w:numPr>
        <w:numId w:val="37"/>
      </w:numPr>
    </w:pPr>
  </w:style>
  <w:style w:type="paragraph" w:styleId="ListBullet2">
    <w:name w:val="List Bullet 2"/>
    <w:basedOn w:val="Normal"/>
    <w:rsid w:val="007541E2"/>
    <w:pPr>
      <w:numPr>
        <w:numId w:val="38"/>
      </w:numPr>
    </w:pPr>
  </w:style>
  <w:style w:type="paragraph" w:styleId="ListBullet3">
    <w:name w:val="List Bullet 3"/>
    <w:basedOn w:val="Normal"/>
    <w:rsid w:val="007541E2"/>
    <w:pPr>
      <w:numPr>
        <w:numId w:val="39"/>
      </w:numPr>
    </w:pPr>
  </w:style>
  <w:style w:type="paragraph" w:styleId="ListBullet4">
    <w:name w:val="List Bullet 4"/>
    <w:basedOn w:val="Normal"/>
    <w:rsid w:val="007541E2"/>
    <w:pPr>
      <w:numPr>
        <w:numId w:val="40"/>
      </w:numPr>
    </w:pPr>
  </w:style>
  <w:style w:type="paragraph" w:styleId="ListBullet5">
    <w:name w:val="List Bullet 5"/>
    <w:basedOn w:val="Normal"/>
    <w:rsid w:val="007541E2"/>
    <w:pPr>
      <w:numPr>
        <w:numId w:val="41"/>
      </w:numPr>
    </w:pPr>
  </w:style>
  <w:style w:type="paragraph" w:styleId="ListContinue">
    <w:name w:val="List Continue"/>
    <w:basedOn w:val="Normal"/>
    <w:rsid w:val="007541E2"/>
    <w:pPr>
      <w:spacing w:after="120"/>
      <w:ind w:left="360"/>
    </w:pPr>
  </w:style>
  <w:style w:type="paragraph" w:styleId="ListContinue2">
    <w:name w:val="List Continue 2"/>
    <w:basedOn w:val="Normal"/>
    <w:rsid w:val="007541E2"/>
    <w:pPr>
      <w:spacing w:after="120"/>
      <w:ind w:left="720"/>
    </w:pPr>
  </w:style>
  <w:style w:type="paragraph" w:styleId="ListContinue3">
    <w:name w:val="List Continue 3"/>
    <w:basedOn w:val="Normal"/>
    <w:rsid w:val="007541E2"/>
    <w:pPr>
      <w:spacing w:after="120"/>
      <w:ind w:left="1080"/>
    </w:pPr>
  </w:style>
  <w:style w:type="paragraph" w:styleId="ListContinue4">
    <w:name w:val="List Continue 4"/>
    <w:basedOn w:val="Normal"/>
    <w:rsid w:val="007541E2"/>
    <w:pPr>
      <w:spacing w:after="120"/>
      <w:ind w:left="1440"/>
    </w:pPr>
  </w:style>
  <w:style w:type="paragraph" w:styleId="ListContinue5">
    <w:name w:val="List Continue 5"/>
    <w:basedOn w:val="Normal"/>
    <w:rsid w:val="007541E2"/>
    <w:pPr>
      <w:spacing w:after="120"/>
      <w:ind w:left="1800"/>
    </w:pPr>
  </w:style>
  <w:style w:type="paragraph" w:styleId="ListNumber">
    <w:name w:val="List Number"/>
    <w:basedOn w:val="Normal"/>
    <w:rsid w:val="007541E2"/>
    <w:pPr>
      <w:numPr>
        <w:numId w:val="42"/>
      </w:numPr>
    </w:pPr>
  </w:style>
  <w:style w:type="paragraph" w:styleId="ListNumber2">
    <w:name w:val="List Number 2"/>
    <w:basedOn w:val="Normal"/>
    <w:rsid w:val="007541E2"/>
    <w:pPr>
      <w:numPr>
        <w:numId w:val="43"/>
      </w:numPr>
    </w:pPr>
  </w:style>
  <w:style w:type="paragraph" w:styleId="ListNumber3">
    <w:name w:val="List Number 3"/>
    <w:basedOn w:val="Normal"/>
    <w:rsid w:val="007541E2"/>
    <w:pPr>
      <w:numPr>
        <w:numId w:val="44"/>
      </w:numPr>
    </w:pPr>
  </w:style>
  <w:style w:type="paragraph" w:styleId="ListNumber4">
    <w:name w:val="List Number 4"/>
    <w:basedOn w:val="Normal"/>
    <w:rsid w:val="007541E2"/>
    <w:pPr>
      <w:tabs>
        <w:tab w:val="num" w:pos="1209"/>
      </w:tabs>
      <w:ind w:left="1209" w:hanging="360"/>
    </w:pPr>
  </w:style>
  <w:style w:type="paragraph" w:styleId="ListNumber5">
    <w:name w:val="List Number 5"/>
    <w:basedOn w:val="Normal"/>
    <w:rsid w:val="007541E2"/>
    <w:pPr>
      <w:numPr>
        <w:numId w:val="45"/>
      </w:numPr>
    </w:pPr>
  </w:style>
  <w:style w:type="paragraph" w:styleId="MacroText">
    <w:name w:val="macro"/>
    <w:link w:val="MacroTextChar"/>
    <w:semiHidden/>
    <w:rsid w:val="007541E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paragraph" w:styleId="MessageHeader">
    <w:name w:val="Message Header"/>
    <w:basedOn w:val="Normal"/>
    <w:link w:val="MessageHeaderChar"/>
    <w:rsid w:val="007541E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sid w:val="007541E2"/>
    <w:rPr>
      <w:sz w:val="24"/>
      <w:szCs w:val="24"/>
    </w:rPr>
  </w:style>
  <w:style w:type="paragraph" w:styleId="NormalIndent">
    <w:name w:val="Normal Indent"/>
    <w:basedOn w:val="Normal"/>
    <w:rsid w:val="007541E2"/>
    <w:pPr>
      <w:ind w:left="720"/>
    </w:pPr>
  </w:style>
  <w:style w:type="paragraph" w:styleId="NoteHeading">
    <w:name w:val="Note Heading"/>
    <w:basedOn w:val="Normal"/>
    <w:next w:val="Normal"/>
    <w:link w:val="NoteHeadingChar"/>
    <w:rsid w:val="007541E2"/>
  </w:style>
  <w:style w:type="paragraph" w:styleId="PlainText">
    <w:name w:val="Plain Text"/>
    <w:basedOn w:val="Normal"/>
    <w:link w:val="PlainTextChar"/>
    <w:rsid w:val="007541E2"/>
    <w:rPr>
      <w:rFonts w:ascii="Courier New" w:hAnsi="Courier New" w:cs="Courier New"/>
      <w:sz w:val="20"/>
    </w:rPr>
  </w:style>
  <w:style w:type="paragraph" w:styleId="Salutation">
    <w:name w:val="Salutation"/>
    <w:basedOn w:val="Normal"/>
    <w:next w:val="Normal"/>
    <w:link w:val="SalutationChar"/>
    <w:rsid w:val="007541E2"/>
  </w:style>
  <w:style w:type="paragraph" w:styleId="Signature">
    <w:name w:val="Signature"/>
    <w:basedOn w:val="Normal"/>
    <w:link w:val="SignatureChar"/>
    <w:rsid w:val="007541E2"/>
    <w:pPr>
      <w:ind w:left="4320"/>
    </w:pPr>
  </w:style>
  <w:style w:type="paragraph" w:styleId="Subtitle">
    <w:name w:val="Subtitle"/>
    <w:basedOn w:val="Normal"/>
    <w:link w:val="SubtitleChar"/>
    <w:qFormat/>
    <w:rsid w:val="007541E2"/>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541E2"/>
    <w:pPr>
      <w:ind w:left="220" w:hanging="220"/>
    </w:pPr>
  </w:style>
  <w:style w:type="paragraph" w:styleId="TableofFigures">
    <w:name w:val="table of figures"/>
    <w:basedOn w:val="Normal"/>
    <w:next w:val="Normal"/>
    <w:semiHidden/>
    <w:rsid w:val="007541E2"/>
  </w:style>
  <w:style w:type="paragraph" w:styleId="Title">
    <w:name w:val="Title"/>
    <w:basedOn w:val="Normal"/>
    <w:link w:val="TitleChar"/>
    <w:qFormat/>
    <w:rsid w:val="007541E2"/>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541E2"/>
    <w:pPr>
      <w:spacing w:before="120"/>
    </w:pPr>
    <w:rPr>
      <w:rFonts w:ascii="Arial" w:hAnsi="Arial" w:cs="Arial"/>
      <w:b/>
      <w:bCs/>
      <w:sz w:val="24"/>
      <w:szCs w:val="24"/>
    </w:rPr>
  </w:style>
  <w:style w:type="paragraph" w:styleId="TOC1">
    <w:name w:val="toc 1"/>
    <w:basedOn w:val="Normal"/>
    <w:next w:val="Normal"/>
    <w:autoRedefine/>
    <w:semiHidden/>
    <w:rsid w:val="007541E2"/>
  </w:style>
  <w:style w:type="paragraph" w:styleId="TOC2">
    <w:name w:val="toc 2"/>
    <w:basedOn w:val="Normal"/>
    <w:next w:val="Normal"/>
    <w:autoRedefine/>
    <w:semiHidden/>
    <w:rsid w:val="007541E2"/>
    <w:pPr>
      <w:ind w:left="220"/>
    </w:pPr>
  </w:style>
  <w:style w:type="paragraph" w:styleId="TOC3">
    <w:name w:val="toc 3"/>
    <w:basedOn w:val="Normal"/>
    <w:next w:val="Normal"/>
    <w:autoRedefine/>
    <w:semiHidden/>
    <w:rsid w:val="007541E2"/>
    <w:pPr>
      <w:ind w:left="440"/>
    </w:pPr>
  </w:style>
  <w:style w:type="paragraph" w:styleId="TOC4">
    <w:name w:val="toc 4"/>
    <w:basedOn w:val="Normal"/>
    <w:next w:val="Normal"/>
    <w:autoRedefine/>
    <w:semiHidden/>
    <w:rsid w:val="007541E2"/>
    <w:pPr>
      <w:ind w:left="660"/>
    </w:pPr>
  </w:style>
  <w:style w:type="paragraph" w:styleId="TOC5">
    <w:name w:val="toc 5"/>
    <w:basedOn w:val="Normal"/>
    <w:next w:val="Normal"/>
    <w:autoRedefine/>
    <w:semiHidden/>
    <w:rsid w:val="007541E2"/>
    <w:pPr>
      <w:ind w:left="880"/>
    </w:pPr>
  </w:style>
  <w:style w:type="paragraph" w:styleId="TOC6">
    <w:name w:val="toc 6"/>
    <w:basedOn w:val="Normal"/>
    <w:next w:val="Normal"/>
    <w:autoRedefine/>
    <w:semiHidden/>
    <w:rsid w:val="007541E2"/>
    <w:pPr>
      <w:ind w:left="1100"/>
    </w:pPr>
  </w:style>
  <w:style w:type="paragraph" w:styleId="TOC7">
    <w:name w:val="toc 7"/>
    <w:basedOn w:val="Normal"/>
    <w:next w:val="Normal"/>
    <w:autoRedefine/>
    <w:semiHidden/>
    <w:rsid w:val="007541E2"/>
    <w:pPr>
      <w:ind w:left="1320"/>
    </w:pPr>
  </w:style>
  <w:style w:type="paragraph" w:styleId="TOC8">
    <w:name w:val="toc 8"/>
    <w:basedOn w:val="Normal"/>
    <w:next w:val="Normal"/>
    <w:autoRedefine/>
    <w:semiHidden/>
    <w:rsid w:val="007541E2"/>
    <w:pPr>
      <w:ind w:left="1540"/>
    </w:pPr>
  </w:style>
  <w:style w:type="paragraph" w:styleId="TOC9">
    <w:name w:val="toc 9"/>
    <w:basedOn w:val="Normal"/>
    <w:next w:val="Normal"/>
    <w:autoRedefine/>
    <w:semiHidden/>
    <w:rsid w:val="007541E2"/>
    <w:pPr>
      <w:ind w:left="1760"/>
    </w:pPr>
  </w:style>
  <w:style w:type="character" w:customStyle="1" w:styleId="longtext">
    <w:name w:val="long_text"/>
    <w:basedOn w:val="DefaultParagraphFont"/>
    <w:rsid w:val="005C17C2"/>
    <w:rPr>
      <w:noProof/>
    </w:rPr>
  </w:style>
  <w:style w:type="character" w:customStyle="1" w:styleId="gt-icon-text1">
    <w:name w:val="gt-icon-text1"/>
    <w:basedOn w:val="DefaultParagraphFont"/>
    <w:rsid w:val="00E724B7"/>
    <w:rPr>
      <w:noProof/>
    </w:rPr>
  </w:style>
  <w:style w:type="paragraph" w:customStyle="1" w:styleId="HangingIndent0">
    <w:name w:val="Hanging Indent"/>
    <w:basedOn w:val="Normal"/>
    <w:rsid w:val="00D43DE9"/>
    <w:pPr>
      <w:ind w:left="567" w:hanging="567"/>
    </w:pPr>
  </w:style>
  <w:style w:type="character" w:customStyle="1" w:styleId="hps">
    <w:name w:val="hps"/>
    <w:rsid w:val="00903640"/>
  </w:style>
  <w:style w:type="paragraph" w:customStyle="1" w:styleId="Revision1">
    <w:name w:val="Revision1"/>
    <w:hidden/>
    <w:uiPriority w:val="99"/>
    <w:semiHidden/>
    <w:rsid w:val="00630CB6"/>
    <w:rPr>
      <w:sz w:val="22"/>
      <w:lang w:eastAsia="ja-JP"/>
    </w:rPr>
  </w:style>
  <w:style w:type="character" w:customStyle="1" w:styleId="Heading1Char">
    <w:name w:val="Heading 1 Char"/>
    <w:link w:val="Heading1"/>
    <w:rsid w:val="00553B72"/>
    <w:rPr>
      <w:rFonts w:eastAsia="Times New Roman"/>
      <w:b/>
      <w:caps/>
      <w:sz w:val="22"/>
      <w:lang w:eastAsia="ja-JP"/>
    </w:rPr>
  </w:style>
  <w:style w:type="character" w:customStyle="1" w:styleId="Heading2Char">
    <w:name w:val="Heading 2 Char"/>
    <w:link w:val="Heading2"/>
    <w:rsid w:val="00553B72"/>
    <w:rPr>
      <w:rFonts w:eastAsia="Times New Roman"/>
      <w:b/>
      <w:sz w:val="22"/>
      <w:lang w:eastAsia="ja-JP"/>
    </w:rPr>
  </w:style>
  <w:style w:type="character" w:customStyle="1" w:styleId="Heading3Char">
    <w:name w:val="Heading 3 Char"/>
    <w:link w:val="Heading3"/>
    <w:rsid w:val="00553B72"/>
    <w:rPr>
      <w:rFonts w:ascii="Arial" w:eastAsia="Times New Roman" w:hAnsi="Arial" w:cs="Arial"/>
      <w:b/>
      <w:bCs/>
      <w:sz w:val="26"/>
      <w:szCs w:val="26"/>
      <w:lang w:eastAsia="ja-JP"/>
    </w:rPr>
  </w:style>
  <w:style w:type="character" w:customStyle="1" w:styleId="Heading4Char">
    <w:name w:val="Heading 4 Char"/>
    <w:link w:val="Heading4"/>
    <w:rsid w:val="00553B72"/>
    <w:rPr>
      <w:b/>
      <w:noProof/>
      <w:sz w:val="22"/>
      <w:lang w:val="en-US" w:eastAsia="ja-JP"/>
    </w:rPr>
  </w:style>
  <w:style w:type="character" w:customStyle="1" w:styleId="Heading5Char">
    <w:name w:val="Heading 5 Char"/>
    <w:link w:val="Heading5"/>
    <w:rsid w:val="00553B72"/>
    <w:rPr>
      <w:noProof/>
      <w:sz w:val="22"/>
      <w:lang w:val="en-US" w:eastAsia="ja-JP"/>
    </w:rPr>
  </w:style>
  <w:style w:type="character" w:customStyle="1" w:styleId="Heading6Char">
    <w:name w:val="Heading 6 Char"/>
    <w:link w:val="Heading6"/>
    <w:rsid w:val="00553B72"/>
    <w:rPr>
      <w:i/>
      <w:sz w:val="22"/>
      <w:lang w:val="en-US" w:eastAsia="ja-JP"/>
    </w:rPr>
  </w:style>
  <w:style w:type="character" w:customStyle="1" w:styleId="Heading7Char">
    <w:name w:val="Heading 7 Char"/>
    <w:link w:val="Heading7"/>
    <w:rsid w:val="00553B72"/>
    <w:rPr>
      <w:i/>
      <w:sz w:val="22"/>
      <w:lang w:val="en-US" w:eastAsia="ja-JP"/>
    </w:rPr>
  </w:style>
  <w:style w:type="character" w:customStyle="1" w:styleId="Heading8Char">
    <w:name w:val="Heading 8 Char"/>
    <w:link w:val="Heading8"/>
    <w:rsid w:val="00553B72"/>
    <w:rPr>
      <w:b/>
      <w:i/>
      <w:sz w:val="22"/>
      <w:lang w:val="en-US" w:eastAsia="ja-JP"/>
    </w:rPr>
  </w:style>
  <w:style w:type="character" w:customStyle="1" w:styleId="Heading9Char">
    <w:name w:val="Heading 9 Char"/>
    <w:link w:val="Heading9"/>
    <w:rsid w:val="00553B72"/>
    <w:rPr>
      <w:b/>
      <w:i/>
      <w:sz w:val="22"/>
      <w:lang w:val="en-US" w:eastAsia="ja-JP"/>
    </w:rPr>
  </w:style>
  <w:style w:type="character" w:customStyle="1" w:styleId="HeaderChar">
    <w:name w:val="Header Char"/>
    <w:link w:val="Header"/>
    <w:rsid w:val="00553B72"/>
    <w:rPr>
      <w:rFonts w:eastAsia="Times New Roman"/>
      <w:sz w:val="22"/>
      <w:lang w:eastAsia="ja-JP"/>
    </w:rPr>
  </w:style>
  <w:style w:type="character" w:customStyle="1" w:styleId="FooterChar">
    <w:name w:val="Footer Char"/>
    <w:link w:val="Footer"/>
    <w:rsid w:val="00553B72"/>
    <w:rPr>
      <w:rFonts w:ascii="Arial" w:eastAsia="Times New Roman" w:hAnsi="Arial"/>
      <w:sz w:val="16"/>
      <w:lang w:eastAsia="ja-JP"/>
    </w:rPr>
  </w:style>
  <w:style w:type="character" w:customStyle="1" w:styleId="EndnoteTextChar">
    <w:name w:val="Endnote Text Char"/>
    <w:link w:val="EndnoteText"/>
    <w:semiHidden/>
    <w:rsid w:val="00553B72"/>
    <w:rPr>
      <w:sz w:val="22"/>
      <w:lang w:val="en-US" w:eastAsia="ja-JP"/>
    </w:rPr>
  </w:style>
  <w:style w:type="character" w:customStyle="1" w:styleId="CommentTextChar">
    <w:name w:val="Comment Text Char"/>
    <w:link w:val="CommentText"/>
    <w:semiHidden/>
    <w:rsid w:val="00553B72"/>
    <w:rPr>
      <w:lang w:val="en-US" w:eastAsia="ja-JP"/>
    </w:rPr>
  </w:style>
  <w:style w:type="character" w:customStyle="1" w:styleId="BodyTextChar">
    <w:name w:val="Body Text Char"/>
    <w:link w:val="BodyText"/>
    <w:rsid w:val="00553B72"/>
    <w:rPr>
      <w:b/>
      <w:i/>
      <w:sz w:val="22"/>
      <w:lang w:val="en-US" w:eastAsia="ja-JP"/>
    </w:rPr>
  </w:style>
  <w:style w:type="character" w:customStyle="1" w:styleId="BodyText3Char">
    <w:name w:val="Body Text 3 Char"/>
    <w:link w:val="BodyText3"/>
    <w:rsid w:val="00553B72"/>
    <w:rPr>
      <w:b/>
      <w:i/>
      <w:sz w:val="22"/>
      <w:lang w:val="en-US" w:eastAsia="ja-JP"/>
    </w:rPr>
  </w:style>
  <w:style w:type="character" w:customStyle="1" w:styleId="BodyTextIndent2Char">
    <w:name w:val="Body Text Indent 2 Char"/>
    <w:link w:val="BodyTextIndent2"/>
    <w:rsid w:val="00553B72"/>
    <w:rPr>
      <w:b/>
      <w:sz w:val="22"/>
      <w:lang w:val="en-US" w:eastAsia="ja-JP"/>
    </w:rPr>
  </w:style>
  <w:style w:type="character" w:customStyle="1" w:styleId="FootnoteTextChar">
    <w:name w:val="Footnote Text Char"/>
    <w:link w:val="FootnoteText"/>
    <w:semiHidden/>
    <w:rsid w:val="00553B72"/>
    <w:rPr>
      <w:lang w:val="en-US" w:eastAsia="ja-JP"/>
    </w:rPr>
  </w:style>
  <w:style w:type="character" w:customStyle="1" w:styleId="BodyTextIndent3Char">
    <w:name w:val="Body Text Indent 3 Char"/>
    <w:link w:val="BodyTextIndent3"/>
    <w:rsid w:val="00553B72"/>
    <w:rPr>
      <w:i/>
      <w:color w:val="008000"/>
      <w:sz w:val="22"/>
      <w:lang w:val="en-US" w:eastAsia="ja-JP"/>
    </w:rPr>
  </w:style>
  <w:style w:type="character" w:customStyle="1" w:styleId="BodyText2Char">
    <w:name w:val="Body Text 2 Char"/>
    <w:link w:val="BodyText2"/>
    <w:rsid w:val="00553B72"/>
    <w:rPr>
      <w:b/>
      <w:sz w:val="22"/>
      <w:lang w:val="en-US" w:eastAsia="ja-JP"/>
    </w:rPr>
  </w:style>
  <w:style w:type="character" w:customStyle="1" w:styleId="BodyTextIndentChar">
    <w:name w:val="Body Text Indent Char"/>
    <w:link w:val="BodyTextIndent"/>
    <w:rsid w:val="00553B72"/>
    <w:rPr>
      <w:b/>
      <w:color w:val="808080"/>
      <w:sz w:val="22"/>
      <w:lang w:val="en-US" w:eastAsia="ja-JP"/>
    </w:rPr>
  </w:style>
  <w:style w:type="character" w:customStyle="1" w:styleId="DocumentMapChar">
    <w:name w:val="Document Map Char"/>
    <w:link w:val="DocumentMap"/>
    <w:semiHidden/>
    <w:rsid w:val="00553B72"/>
    <w:rPr>
      <w:rFonts w:ascii="Tahoma" w:hAnsi="Tahoma"/>
      <w:sz w:val="22"/>
      <w:shd w:val="clear" w:color="auto" w:fill="000080"/>
      <w:lang w:val="en-US" w:eastAsia="ja-JP"/>
    </w:rPr>
  </w:style>
  <w:style w:type="character" w:customStyle="1" w:styleId="BalloonTextChar">
    <w:name w:val="Balloon Text Char"/>
    <w:link w:val="BalloonText"/>
    <w:semiHidden/>
    <w:rsid w:val="00553B72"/>
    <w:rPr>
      <w:rFonts w:ascii="Tahoma" w:hAnsi="Tahoma" w:cs="Tahoma"/>
      <w:sz w:val="16"/>
      <w:szCs w:val="16"/>
      <w:lang w:val="en-US" w:eastAsia="ja-JP"/>
    </w:rPr>
  </w:style>
  <w:style w:type="character" w:customStyle="1" w:styleId="CommentSubjectChar">
    <w:name w:val="Comment Subject Char"/>
    <w:link w:val="CommentSubject"/>
    <w:semiHidden/>
    <w:rsid w:val="00553B72"/>
    <w:rPr>
      <w:b/>
      <w:bCs/>
      <w:lang w:val="en-US" w:eastAsia="ja-JP"/>
    </w:rPr>
  </w:style>
  <w:style w:type="character" w:customStyle="1" w:styleId="BodyTextFirstIndentChar">
    <w:name w:val="Body Text First Indent Char"/>
    <w:link w:val="BodyTextFirstIndent"/>
    <w:rsid w:val="00553B72"/>
    <w:rPr>
      <w:sz w:val="22"/>
      <w:lang w:val="en-US" w:eastAsia="ja-JP"/>
    </w:rPr>
  </w:style>
  <w:style w:type="character" w:customStyle="1" w:styleId="BodyTextFirstIndent2Char">
    <w:name w:val="Body Text First Indent 2 Char"/>
    <w:link w:val="BodyTextFirstIndent2"/>
    <w:rsid w:val="00553B72"/>
    <w:rPr>
      <w:sz w:val="22"/>
      <w:lang w:val="en-US" w:eastAsia="ja-JP"/>
    </w:rPr>
  </w:style>
  <w:style w:type="character" w:customStyle="1" w:styleId="ClosingChar">
    <w:name w:val="Closing Char"/>
    <w:link w:val="Closing"/>
    <w:rsid w:val="00553B72"/>
    <w:rPr>
      <w:sz w:val="22"/>
      <w:lang w:val="en-US" w:eastAsia="ja-JP"/>
    </w:rPr>
  </w:style>
  <w:style w:type="character" w:customStyle="1" w:styleId="DateChar">
    <w:name w:val="Date Char"/>
    <w:link w:val="Date"/>
    <w:rsid w:val="00553B72"/>
    <w:rPr>
      <w:sz w:val="22"/>
      <w:lang w:val="en-US" w:eastAsia="ja-JP"/>
    </w:rPr>
  </w:style>
  <w:style w:type="character" w:customStyle="1" w:styleId="E-mailSignatureChar">
    <w:name w:val="E-mail Signature Char"/>
    <w:link w:val="E-mailSignature"/>
    <w:rsid w:val="00553B72"/>
    <w:rPr>
      <w:sz w:val="22"/>
      <w:lang w:val="en-US" w:eastAsia="ja-JP"/>
    </w:rPr>
  </w:style>
  <w:style w:type="character" w:customStyle="1" w:styleId="HTMLAddressChar">
    <w:name w:val="HTML Address Char"/>
    <w:link w:val="HTMLAddress"/>
    <w:rsid w:val="00553B72"/>
    <w:rPr>
      <w:i/>
      <w:iCs/>
      <w:sz w:val="22"/>
      <w:lang w:val="en-US" w:eastAsia="ja-JP"/>
    </w:rPr>
  </w:style>
  <w:style w:type="character" w:customStyle="1" w:styleId="HTMLPreformattedChar">
    <w:name w:val="HTML Preformatted Char"/>
    <w:link w:val="HTMLPreformatted"/>
    <w:rsid w:val="00553B72"/>
    <w:rPr>
      <w:rFonts w:ascii="Courier New" w:hAnsi="Courier New" w:cs="Courier New"/>
      <w:lang w:val="en-US" w:eastAsia="ja-JP"/>
    </w:rPr>
  </w:style>
  <w:style w:type="character" w:customStyle="1" w:styleId="MacroTextChar">
    <w:name w:val="Macro Text Char"/>
    <w:link w:val="MacroText"/>
    <w:semiHidden/>
    <w:rsid w:val="00553B72"/>
    <w:rPr>
      <w:rFonts w:ascii="Courier New" w:hAnsi="Courier New" w:cs="Courier New"/>
      <w:lang w:val="en-US" w:eastAsia="ja-JP"/>
    </w:rPr>
  </w:style>
  <w:style w:type="character" w:customStyle="1" w:styleId="MessageHeaderChar">
    <w:name w:val="Message Header Char"/>
    <w:link w:val="MessageHeader"/>
    <w:rsid w:val="00553B72"/>
    <w:rPr>
      <w:rFonts w:ascii="Arial" w:hAnsi="Arial" w:cs="Arial"/>
      <w:sz w:val="24"/>
      <w:szCs w:val="24"/>
      <w:shd w:val="pct20" w:color="auto" w:fill="auto"/>
      <w:lang w:val="en-US" w:eastAsia="ja-JP"/>
    </w:rPr>
  </w:style>
  <w:style w:type="character" w:customStyle="1" w:styleId="NoteHeadingChar">
    <w:name w:val="Note Heading Char"/>
    <w:link w:val="NoteHeading"/>
    <w:rsid w:val="00553B72"/>
    <w:rPr>
      <w:sz w:val="22"/>
      <w:lang w:val="en-US" w:eastAsia="ja-JP"/>
    </w:rPr>
  </w:style>
  <w:style w:type="character" w:customStyle="1" w:styleId="PlainTextChar">
    <w:name w:val="Plain Text Char"/>
    <w:link w:val="PlainText"/>
    <w:rsid w:val="00553B72"/>
    <w:rPr>
      <w:rFonts w:ascii="Courier New" w:hAnsi="Courier New" w:cs="Courier New"/>
      <w:lang w:val="en-US" w:eastAsia="ja-JP"/>
    </w:rPr>
  </w:style>
  <w:style w:type="character" w:customStyle="1" w:styleId="SalutationChar">
    <w:name w:val="Salutation Char"/>
    <w:link w:val="Salutation"/>
    <w:rsid w:val="00553B72"/>
    <w:rPr>
      <w:sz w:val="22"/>
      <w:lang w:val="en-US" w:eastAsia="ja-JP"/>
    </w:rPr>
  </w:style>
  <w:style w:type="character" w:customStyle="1" w:styleId="SignatureChar">
    <w:name w:val="Signature Char"/>
    <w:link w:val="Signature"/>
    <w:rsid w:val="00553B72"/>
    <w:rPr>
      <w:sz w:val="22"/>
      <w:lang w:val="en-US" w:eastAsia="ja-JP"/>
    </w:rPr>
  </w:style>
  <w:style w:type="character" w:customStyle="1" w:styleId="SubtitleChar">
    <w:name w:val="Subtitle Char"/>
    <w:link w:val="Subtitle"/>
    <w:rsid w:val="00553B72"/>
    <w:rPr>
      <w:rFonts w:ascii="Arial" w:hAnsi="Arial" w:cs="Arial"/>
      <w:sz w:val="24"/>
      <w:szCs w:val="24"/>
      <w:lang w:val="en-US" w:eastAsia="ja-JP"/>
    </w:rPr>
  </w:style>
  <w:style w:type="character" w:customStyle="1" w:styleId="TitleChar">
    <w:name w:val="Title Char"/>
    <w:link w:val="Title"/>
    <w:rsid w:val="00553B72"/>
    <w:rPr>
      <w:rFonts w:ascii="Arial" w:hAnsi="Arial" w:cs="Arial"/>
      <w:b/>
      <w:bCs/>
      <w:kern w:val="28"/>
      <w:sz w:val="32"/>
      <w:szCs w:val="32"/>
      <w:lang w:val="en-US" w:eastAsia="ja-JP"/>
    </w:rPr>
  </w:style>
  <w:style w:type="paragraph" w:customStyle="1" w:styleId="ListParagraph1">
    <w:name w:val="List Paragraph1"/>
    <w:basedOn w:val="Normal"/>
    <w:uiPriority w:val="34"/>
    <w:qFormat/>
    <w:rsid w:val="009A074A"/>
    <w:pPr>
      <w:ind w:left="720"/>
    </w:pPr>
  </w:style>
  <w:style w:type="paragraph" w:customStyle="1" w:styleId="Revisin1">
    <w:name w:val="Revisión1"/>
    <w:hidden/>
    <w:uiPriority w:val="99"/>
    <w:semiHidden/>
    <w:rsid w:val="00FD7BE7"/>
    <w:rPr>
      <w:sz w:val="22"/>
      <w:lang w:eastAsia="ja-JP"/>
    </w:rPr>
  </w:style>
  <w:style w:type="character" w:customStyle="1" w:styleId="apple-converted-space">
    <w:name w:val="apple-converted-space"/>
    <w:rsid w:val="00B32264"/>
  </w:style>
  <w:style w:type="paragraph" w:styleId="Revision">
    <w:name w:val="Revision"/>
    <w:hidden/>
    <w:uiPriority w:val="99"/>
    <w:semiHidden/>
    <w:rsid w:val="00D42966"/>
    <w:rPr>
      <w:sz w:val="22"/>
      <w:lang w:eastAsia="ja-JP"/>
    </w:rPr>
  </w:style>
  <w:style w:type="character" w:customStyle="1" w:styleId="HdTab1Char">
    <w:name w:val="Hd:Tab:1 Char"/>
    <w:link w:val="HdTab1"/>
    <w:rsid w:val="00D367DE"/>
    <w:rPr>
      <w:rFonts w:ascii="Arial" w:hAnsi="Arial"/>
      <w:b/>
      <w:sz w:val="24"/>
      <w:lang w:val="en-US" w:eastAsia="ja-JP"/>
    </w:rPr>
  </w:style>
  <w:style w:type="paragraph" w:customStyle="1" w:styleId="TextTi9">
    <w:name w:val="Text:Ti9"/>
    <w:basedOn w:val="Normal"/>
    <w:rsid w:val="00D367DE"/>
    <w:pPr>
      <w:spacing w:after="200"/>
    </w:pPr>
    <w:rPr>
      <w:rFonts w:ascii="Calibri" w:hAnsi="Calibri"/>
      <w:sz w:val="18"/>
      <w:szCs w:val="22"/>
      <w:lang w:eastAsia="zh-TW"/>
    </w:rPr>
  </w:style>
  <w:style w:type="character" w:customStyle="1" w:styleId="tl8wme">
    <w:name w:val="tl8wme"/>
    <w:rsid w:val="009F0106"/>
  </w:style>
  <w:style w:type="paragraph" w:customStyle="1" w:styleId="BodytextAgency">
    <w:name w:val="Body text (Agency)"/>
    <w:basedOn w:val="Normal"/>
    <w:link w:val="BodytextAgencyChar"/>
    <w:qFormat/>
    <w:rsid w:val="0048525C"/>
    <w:pPr>
      <w:spacing w:after="140" w:line="280" w:lineRule="atLeast"/>
    </w:pPr>
    <w:rPr>
      <w:rFonts w:ascii="Verdana" w:eastAsia="Verdana" w:hAnsi="Verdana"/>
      <w:sz w:val="18"/>
      <w:szCs w:val="18"/>
      <w:lang w:val="es-ES" w:eastAsia="es-ES" w:bidi="es-ES"/>
    </w:rPr>
  </w:style>
  <w:style w:type="paragraph" w:customStyle="1" w:styleId="No-numheading3Agency">
    <w:name w:val="No-num heading 3 (Agency)"/>
    <w:basedOn w:val="Normal"/>
    <w:next w:val="BodytextAgency"/>
    <w:link w:val="No-numheading3AgencyChar"/>
    <w:rsid w:val="0048525C"/>
    <w:pPr>
      <w:keepNext/>
      <w:spacing w:before="280" w:after="220"/>
      <w:outlineLvl w:val="2"/>
    </w:pPr>
    <w:rPr>
      <w:rFonts w:ascii="Verdana" w:eastAsia="Verdana" w:hAnsi="Verdana"/>
      <w:b/>
      <w:bCs/>
      <w:kern w:val="32"/>
      <w:szCs w:val="22"/>
      <w:lang w:val="es-ES" w:eastAsia="es-ES" w:bidi="es-ES"/>
    </w:rPr>
  </w:style>
  <w:style w:type="character" w:customStyle="1" w:styleId="BodytextAgencyChar">
    <w:name w:val="Body text (Agency) Char"/>
    <w:link w:val="BodytextAgency"/>
    <w:rsid w:val="0048525C"/>
    <w:rPr>
      <w:rFonts w:ascii="Verdana" w:eastAsia="Verdana" w:hAnsi="Verdana"/>
      <w:sz w:val="18"/>
      <w:szCs w:val="18"/>
      <w:lang w:eastAsia="es-ES" w:bidi="es-ES"/>
    </w:rPr>
  </w:style>
  <w:style w:type="character" w:customStyle="1" w:styleId="No-numheading3AgencyChar">
    <w:name w:val="No-num heading 3 (Agency) Char"/>
    <w:link w:val="No-numheading3Agency"/>
    <w:rsid w:val="0048525C"/>
    <w:rPr>
      <w:rFonts w:ascii="Verdana" w:eastAsia="Verdana" w:hAnsi="Verdana"/>
      <w:b/>
      <w:bCs/>
      <w:kern w:val="32"/>
      <w:sz w:val="22"/>
      <w:szCs w:val="22"/>
      <w:lang w:eastAsia="es-ES" w:bidi="es-ES"/>
    </w:rPr>
  </w:style>
  <w:style w:type="paragraph" w:styleId="Bibliography">
    <w:name w:val="Bibliography"/>
    <w:basedOn w:val="Normal"/>
    <w:next w:val="Normal"/>
    <w:uiPriority w:val="37"/>
    <w:semiHidden/>
    <w:unhideWhenUsed/>
    <w:rsid w:val="00A50280"/>
  </w:style>
  <w:style w:type="paragraph" w:styleId="IntenseQuote">
    <w:name w:val="Intense Quote"/>
    <w:basedOn w:val="Normal"/>
    <w:next w:val="Normal"/>
    <w:link w:val="IntenseQuoteChar"/>
    <w:uiPriority w:val="30"/>
    <w:qFormat/>
    <w:rsid w:val="00A50280"/>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50280"/>
    <w:rPr>
      <w:b/>
      <w:bCs/>
      <w:i/>
      <w:iCs/>
      <w:noProof/>
      <w:color w:val="4F81BD"/>
      <w:sz w:val="22"/>
      <w:lang w:eastAsia="ja-JP"/>
    </w:rPr>
  </w:style>
  <w:style w:type="paragraph" w:styleId="ListParagraph">
    <w:name w:val="List Paragraph"/>
    <w:basedOn w:val="Normal"/>
    <w:uiPriority w:val="34"/>
    <w:qFormat/>
    <w:rsid w:val="00A50280"/>
    <w:pPr>
      <w:ind w:left="720"/>
    </w:pPr>
  </w:style>
  <w:style w:type="paragraph" w:styleId="NoSpacing">
    <w:name w:val="No Spacing"/>
    <w:uiPriority w:val="1"/>
    <w:qFormat/>
    <w:rsid w:val="00A50280"/>
    <w:rPr>
      <w:sz w:val="22"/>
      <w:lang w:eastAsia="ja-JP"/>
    </w:rPr>
  </w:style>
  <w:style w:type="paragraph" w:styleId="Quote">
    <w:name w:val="Quote"/>
    <w:basedOn w:val="Normal"/>
    <w:next w:val="Normal"/>
    <w:link w:val="QuoteChar"/>
    <w:uiPriority w:val="29"/>
    <w:qFormat/>
    <w:rsid w:val="00A50280"/>
    <w:rPr>
      <w:i/>
      <w:iCs/>
      <w:color w:val="000000"/>
    </w:rPr>
  </w:style>
  <w:style w:type="character" w:customStyle="1" w:styleId="QuoteChar">
    <w:name w:val="Quote Char"/>
    <w:link w:val="Quote"/>
    <w:uiPriority w:val="29"/>
    <w:rsid w:val="00A50280"/>
    <w:rPr>
      <w:i/>
      <w:iCs/>
      <w:noProof/>
      <w:color w:val="000000"/>
      <w:sz w:val="22"/>
      <w:lang w:eastAsia="ja-JP"/>
    </w:rPr>
  </w:style>
  <w:style w:type="paragraph" w:styleId="TOCHeading">
    <w:name w:val="TOC Heading"/>
    <w:basedOn w:val="Heading1"/>
    <w:next w:val="Normal"/>
    <w:uiPriority w:val="39"/>
    <w:semiHidden/>
    <w:unhideWhenUsed/>
    <w:qFormat/>
    <w:rsid w:val="00A50280"/>
    <w:pPr>
      <w:keepNext/>
      <w:spacing w:before="240" w:after="60"/>
      <w:ind w:left="0" w:firstLine="0"/>
      <w:outlineLvl w:val="9"/>
    </w:pPr>
    <w:rPr>
      <w:rFonts w:ascii="Cambria" w:hAnsi="Cambria"/>
      <w:bCs/>
      <w:caps w:val="0"/>
      <w:kern w:val="32"/>
      <w:sz w:val="32"/>
      <w:szCs w:val="32"/>
    </w:rPr>
  </w:style>
  <w:style w:type="character" w:customStyle="1" w:styleId="systrantokenbase">
    <w:name w:val="systran_token_base"/>
    <w:rsid w:val="00EF704E"/>
  </w:style>
  <w:style w:type="character" w:customStyle="1" w:styleId="systranspace">
    <w:name w:val="systran_space"/>
    <w:rsid w:val="00EF704E"/>
  </w:style>
  <w:style w:type="character" w:customStyle="1" w:styleId="UnresolvedMention1">
    <w:name w:val="Unresolved Mention1"/>
    <w:basedOn w:val="DefaultParagraphFont"/>
    <w:uiPriority w:val="99"/>
    <w:semiHidden/>
    <w:unhideWhenUsed/>
    <w:rsid w:val="00802F9C"/>
    <w:rPr>
      <w:color w:val="605E5C"/>
      <w:shd w:val="clear" w:color="auto" w:fill="E1DFDD"/>
    </w:rPr>
  </w:style>
  <w:style w:type="character" w:customStyle="1" w:styleId="UnresolvedMention2">
    <w:name w:val="Unresolved Mention2"/>
    <w:basedOn w:val="DefaultParagraphFont"/>
    <w:uiPriority w:val="99"/>
    <w:semiHidden/>
    <w:unhideWhenUsed/>
    <w:rsid w:val="001335A4"/>
    <w:rPr>
      <w:color w:val="605E5C"/>
      <w:shd w:val="clear" w:color="auto" w:fill="E1DFDD"/>
    </w:rPr>
  </w:style>
  <w:style w:type="paragraph" w:customStyle="1" w:styleId="Standard">
    <w:name w:val="Standard"/>
    <w:qFormat/>
    <w:rsid w:val="005E6BE8"/>
    <w:rPr>
      <w:rFonts w:eastAsia="Times New Roman"/>
      <w:sz w:val="22"/>
      <w:lang w:eastAsia="ja-JP"/>
    </w:rPr>
  </w:style>
  <w:style w:type="character" w:customStyle="1" w:styleId="UnresolvedMention">
    <w:name w:val="Unresolved Mention"/>
    <w:basedOn w:val="DefaultParagraphFont"/>
    <w:uiPriority w:val="99"/>
    <w:semiHidden/>
    <w:unhideWhenUsed/>
    <w:rsid w:val="002D4C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4834">
      <w:bodyDiv w:val="1"/>
      <w:marLeft w:val="0"/>
      <w:marRight w:val="0"/>
      <w:marTop w:val="0"/>
      <w:marBottom w:val="0"/>
      <w:divBdr>
        <w:top w:val="none" w:sz="0" w:space="0" w:color="auto"/>
        <w:left w:val="none" w:sz="0" w:space="0" w:color="auto"/>
        <w:bottom w:val="none" w:sz="0" w:space="0" w:color="auto"/>
        <w:right w:val="none" w:sz="0" w:space="0" w:color="auto"/>
      </w:divBdr>
      <w:divsChild>
        <w:div w:id="1783842704">
          <w:marLeft w:val="0"/>
          <w:marRight w:val="0"/>
          <w:marTop w:val="0"/>
          <w:marBottom w:val="0"/>
          <w:divBdr>
            <w:top w:val="none" w:sz="0" w:space="0" w:color="auto"/>
            <w:left w:val="none" w:sz="0" w:space="0" w:color="auto"/>
            <w:bottom w:val="none" w:sz="0" w:space="0" w:color="auto"/>
            <w:right w:val="none" w:sz="0" w:space="0" w:color="auto"/>
          </w:divBdr>
          <w:divsChild>
            <w:div w:id="675153720">
              <w:marLeft w:val="0"/>
              <w:marRight w:val="0"/>
              <w:marTop w:val="0"/>
              <w:marBottom w:val="0"/>
              <w:divBdr>
                <w:top w:val="none" w:sz="0" w:space="0" w:color="auto"/>
                <w:left w:val="none" w:sz="0" w:space="0" w:color="auto"/>
                <w:bottom w:val="none" w:sz="0" w:space="0" w:color="auto"/>
                <w:right w:val="none" w:sz="0" w:space="0" w:color="auto"/>
              </w:divBdr>
              <w:divsChild>
                <w:div w:id="89661109">
                  <w:marLeft w:val="0"/>
                  <w:marRight w:val="0"/>
                  <w:marTop w:val="0"/>
                  <w:marBottom w:val="0"/>
                  <w:divBdr>
                    <w:top w:val="none" w:sz="0" w:space="0" w:color="auto"/>
                    <w:left w:val="none" w:sz="0" w:space="0" w:color="auto"/>
                    <w:bottom w:val="none" w:sz="0" w:space="0" w:color="auto"/>
                    <w:right w:val="none" w:sz="0" w:space="0" w:color="auto"/>
                  </w:divBdr>
                  <w:divsChild>
                    <w:div w:id="262811424">
                      <w:marLeft w:val="0"/>
                      <w:marRight w:val="0"/>
                      <w:marTop w:val="0"/>
                      <w:marBottom w:val="0"/>
                      <w:divBdr>
                        <w:top w:val="none" w:sz="0" w:space="0" w:color="auto"/>
                        <w:left w:val="none" w:sz="0" w:space="0" w:color="auto"/>
                        <w:bottom w:val="none" w:sz="0" w:space="0" w:color="auto"/>
                        <w:right w:val="none" w:sz="0" w:space="0" w:color="auto"/>
                      </w:divBdr>
                      <w:divsChild>
                        <w:div w:id="2079280644">
                          <w:marLeft w:val="0"/>
                          <w:marRight w:val="0"/>
                          <w:marTop w:val="0"/>
                          <w:marBottom w:val="0"/>
                          <w:divBdr>
                            <w:top w:val="none" w:sz="0" w:space="0" w:color="auto"/>
                            <w:left w:val="none" w:sz="0" w:space="0" w:color="auto"/>
                            <w:bottom w:val="none" w:sz="0" w:space="0" w:color="auto"/>
                            <w:right w:val="none" w:sz="0" w:space="0" w:color="auto"/>
                          </w:divBdr>
                          <w:divsChild>
                            <w:div w:id="1331107074">
                              <w:marLeft w:val="0"/>
                              <w:marRight w:val="0"/>
                              <w:marTop w:val="0"/>
                              <w:marBottom w:val="0"/>
                              <w:divBdr>
                                <w:top w:val="none" w:sz="0" w:space="0" w:color="auto"/>
                                <w:left w:val="none" w:sz="0" w:space="0" w:color="auto"/>
                                <w:bottom w:val="none" w:sz="0" w:space="0" w:color="auto"/>
                                <w:right w:val="none" w:sz="0" w:space="0" w:color="auto"/>
                              </w:divBdr>
                              <w:divsChild>
                                <w:div w:id="54449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77130">
      <w:bodyDiv w:val="1"/>
      <w:marLeft w:val="0"/>
      <w:marRight w:val="0"/>
      <w:marTop w:val="0"/>
      <w:marBottom w:val="0"/>
      <w:divBdr>
        <w:top w:val="none" w:sz="0" w:space="0" w:color="auto"/>
        <w:left w:val="none" w:sz="0" w:space="0" w:color="auto"/>
        <w:bottom w:val="none" w:sz="0" w:space="0" w:color="auto"/>
        <w:right w:val="none" w:sz="0" w:space="0" w:color="auto"/>
      </w:divBdr>
    </w:div>
    <w:div w:id="178663084">
      <w:bodyDiv w:val="1"/>
      <w:marLeft w:val="0"/>
      <w:marRight w:val="0"/>
      <w:marTop w:val="0"/>
      <w:marBottom w:val="0"/>
      <w:divBdr>
        <w:top w:val="none" w:sz="0" w:space="0" w:color="auto"/>
        <w:left w:val="none" w:sz="0" w:space="0" w:color="auto"/>
        <w:bottom w:val="none" w:sz="0" w:space="0" w:color="auto"/>
        <w:right w:val="none" w:sz="0" w:space="0" w:color="auto"/>
      </w:divBdr>
    </w:div>
    <w:div w:id="389498788">
      <w:bodyDiv w:val="1"/>
      <w:marLeft w:val="0"/>
      <w:marRight w:val="0"/>
      <w:marTop w:val="0"/>
      <w:marBottom w:val="0"/>
      <w:divBdr>
        <w:top w:val="none" w:sz="0" w:space="0" w:color="auto"/>
        <w:left w:val="none" w:sz="0" w:space="0" w:color="auto"/>
        <w:bottom w:val="none" w:sz="0" w:space="0" w:color="auto"/>
        <w:right w:val="none" w:sz="0" w:space="0" w:color="auto"/>
      </w:divBdr>
    </w:div>
    <w:div w:id="470707297">
      <w:bodyDiv w:val="1"/>
      <w:marLeft w:val="0"/>
      <w:marRight w:val="0"/>
      <w:marTop w:val="0"/>
      <w:marBottom w:val="0"/>
      <w:divBdr>
        <w:top w:val="none" w:sz="0" w:space="0" w:color="auto"/>
        <w:left w:val="none" w:sz="0" w:space="0" w:color="auto"/>
        <w:bottom w:val="none" w:sz="0" w:space="0" w:color="auto"/>
        <w:right w:val="none" w:sz="0" w:space="0" w:color="auto"/>
      </w:divBdr>
      <w:divsChild>
        <w:div w:id="896474879">
          <w:marLeft w:val="0"/>
          <w:marRight w:val="0"/>
          <w:marTop w:val="0"/>
          <w:marBottom w:val="0"/>
          <w:divBdr>
            <w:top w:val="none" w:sz="0" w:space="0" w:color="auto"/>
            <w:left w:val="none" w:sz="0" w:space="0" w:color="auto"/>
            <w:bottom w:val="none" w:sz="0" w:space="0" w:color="auto"/>
            <w:right w:val="none" w:sz="0" w:space="0" w:color="auto"/>
          </w:divBdr>
        </w:div>
        <w:div w:id="1660571578">
          <w:marLeft w:val="0"/>
          <w:marRight w:val="0"/>
          <w:marTop w:val="0"/>
          <w:marBottom w:val="0"/>
          <w:divBdr>
            <w:top w:val="none" w:sz="0" w:space="0" w:color="auto"/>
            <w:left w:val="none" w:sz="0" w:space="0" w:color="auto"/>
            <w:bottom w:val="none" w:sz="0" w:space="0" w:color="auto"/>
            <w:right w:val="none" w:sz="0" w:space="0" w:color="auto"/>
          </w:divBdr>
        </w:div>
      </w:divsChild>
    </w:div>
    <w:div w:id="480922868">
      <w:bodyDiv w:val="1"/>
      <w:marLeft w:val="0"/>
      <w:marRight w:val="0"/>
      <w:marTop w:val="0"/>
      <w:marBottom w:val="0"/>
      <w:divBdr>
        <w:top w:val="none" w:sz="0" w:space="0" w:color="auto"/>
        <w:left w:val="none" w:sz="0" w:space="0" w:color="auto"/>
        <w:bottom w:val="none" w:sz="0" w:space="0" w:color="auto"/>
        <w:right w:val="none" w:sz="0" w:space="0" w:color="auto"/>
      </w:divBdr>
    </w:div>
    <w:div w:id="524248232">
      <w:bodyDiv w:val="1"/>
      <w:marLeft w:val="0"/>
      <w:marRight w:val="0"/>
      <w:marTop w:val="0"/>
      <w:marBottom w:val="0"/>
      <w:divBdr>
        <w:top w:val="none" w:sz="0" w:space="0" w:color="auto"/>
        <w:left w:val="none" w:sz="0" w:space="0" w:color="auto"/>
        <w:bottom w:val="none" w:sz="0" w:space="0" w:color="auto"/>
        <w:right w:val="none" w:sz="0" w:space="0" w:color="auto"/>
      </w:divBdr>
      <w:divsChild>
        <w:div w:id="797916318">
          <w:marLeft w:val="0"/>
          <w:marRight w:val="0"/>
          <w:marTop w:val="0"/>
          <w:marBottom w:val="0"/>
          <w:divBdr>
            <w:top w:val="none" w:sz="0" w:space="0" w:color="auto"/>
            <w:left w:val="none" w:sz="0" w:space="0" w:color="auto"/>
            <w:bottom w:val="none" w:sz="0" w:space="0" w:color="auto"/>
            <w:right w:val="none" w:sz="0" w:space="0" w:color="auto"/>
          </w:divBdr>
          <w:divsChild>
            <w:div w:id="779035478">
              <w:marLeft w:val="0"/>
              <w:marRight w:val="0"/>
              <w:marTop w:val="0"/>
              <w:marBottom w:val="0"/>
              <w:divBdr>
                <w:top w:val="none" w:sz="0" w:space="0" w:color="auto"/>
                <w:left w:val="none" w:sz="0" w:space="0" w:color="auto"/>
                <w:bottom w:val="none" w:sz="0" w:space="0" w:color="auto"/>
                <w:right w:val="none" w:sz="0" w:space="0" w:color="auto"/>
              </w:divBdr>
              <w:divsChild>
                <w:div w:id="1156844699">
                  <w:marLeft w:val="0"/>
                  <w:marRight w:val="0"/>
                  <w:marTop w:val="0"/>
                  <w:marBottom w:val="0"/>
                  <w:divBdr>
                    <w:top w:val="none" w:sz="0" w:space="0" w:color="auto"/>
                    <w:left w:val="none" w:sz="0" w:space="0" w:color="auto"/>
                    <w:bottom w:val="none" w:sz="0" w:space="0" w:color="auto"/>
                    <w:right w:val="none" w:sz="0" w:space="0" w:color="auto"/>
                  </w:divBdr>
                  <w:divsChild>
                    <w:div w:id="1162504314">
                      <w:marLeft w:val="0"/>
                      <w:marRight w:val="0"/>
                      <w:marTop w:val="0"/>
                      <w:marBottom w:val="0"/>
                      <w:divBdr>
                        <w:top w:val="none" w:sz="0" w:space="0" w:color="auto"/>
                        <w:left w:val="none" w:sz="0" w:space="0" w:color="auto"/>
                        <w:bottom w:val="none" w:sz="0" w:space="0" w:color="auto"/>
                        <w:right w:val="none" w:sz="0" w:space="0" w:color="auto"/>
                      </w:divBdr>
                      <w:divsChild>
                        <w:div w:id="483549563">
                          <w:marLeft w:val="0"/>
                          <w:marRight w:val="0"/>
                          <w:marTop w:val="0"/>
                          <w:marBottom w:val="0"/>
                          <w:divBdr>
                            <w:top w:val="none" w:sz="0" w:space="0" w:color="auto"/>
                            <w:left w:val="none" w:sz="0" w:space="0" w:color="auto"/>
                            <w:bottom w:val="none" w:sz="0" w:space="0" w:color="auto"/>
                            <w:right w:val="none" w:sz="0" w:space="0" w:color="auto"/>
                          </w:divBdr>
                          <w:divsChild>
                            <w:div w:id="1209679760">
                              <w:marLeft w:val="0"/>
                              <w:marRight w:val="0"/>
                              <w:marTop w:val="0"/>
                              <w:marBottom w:val="0"/>
                              <w:divBdr>
                                <w:top w:val="none" w:sz="0" w:space="0" w:color="auto"/>
                                <w:left w:val="none" w:sz="0" w:space="0" w:color="auto"/>
                                <w:bottom w:val="none" w:sz="0" w:space="0" w:color="auto"/>
                                <w:right w:val="none" w:sz="0" w:space="0" w:color="auto"/>
                              </w:divBdr>
                              <w:divsChild>
                                <w:div w:id="66829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416440">
      <w:bodyDiv w:val="1"/>
      <w:marLeft w:val="0"/>
      <w:marRight w:val="0"/>
      <w:marTop w:val="0"/>
      <w:marBottom w:val="0"/>
      <w:divBdr>
        <w:top w:val="none" w:sz="0" w:space="0" w:color="auto"/>
        <w:left w:val="none" w:sz="0" w:space="0" w:color="auto"/>
        <w:bottom w:val="none" w:sz="0" w:space="0" w:color="auto"/>
        <w:right w:val="none" w:sz="0" w:space="0" w:color="auto"/>
      </w:divBdr>
    </w:div>
    <w:div w:id="564800213">
      <w:bodyDiv w:val="1"/>
      <w:marLeft w:val="0"/>
      <w:marRight w:val="0"/>
      <w:marTop w:val="0"/>
      <w:marBottom w:val="0"/>
      <w:divBdr>
        <w:top w:val="none" w:sz="0" w:space="0" w:color="auto"/>
        <w:left w:val="none" w:sz="0" w:space="0" w:color="auto"/>
        <w:bottom w:val="none" w:sz="0" w:space="0" w:color="auto"/>
        <w:right w:val="none" w:sz="0" w:space="0" w:color="auto"/>
      </w:divBdr>
      <w:divsChild>
        <w:div w:id="20741076">
          <w:marLeft w:val="0"/>
          <w:marRight w:val="0"/>
          <w:marTop w:val="0"/>
          <w:marBottom w:val="0"/>
          <w:divBdr>
            <w:top w:val="none" w:sz="0" w:space="0" w:color="auto"/>
            <w:left w:val="none" w:sz="0" w:space="0" w:color="auto"/>
            <w:bottom w:val="none" w:sz="0" w:space="0" w:color="auto"/>
            <w:right w:val="none" w:sz="0" w:space="0" w:color="auto"/>
          </w:divBdr>
          <w:divsChild>
            <w:div w:id="152675145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 w:id="615210975">
      <w:bodyDiv w:val="1"/>
      <w:marLeft w:val="0"/>
      <w:marRight w:val="0"/>
      <w:marTop w:val="0"/>
      <w:marBottom w:val="0"/>
      <w:divBdr>
        <w:top w:val="none" w:sz="0" w:space="0" w:color="auto"/>
        <w:left w:val="none" w:sz="0" w:space="0" w:color="auto"/>
        <w:bottom w:val="none" w:sz="0" w:space="0" w:color="auto"/>
        <w:right w:val="none" w:sz="0" w:space="0" w:color="auto"/>
      </w:divBdr>
      <w:divsChild>
        <w:div w:id="1504935178">
          <w:marLeft w:val="0"/>
          <w:marRight w:val="0"/>
          <w:marTop w:val="0"/>
          <w:marBottom w:val="0"/>
          <w:divBdr>
            <w:top w:val="none" w:sz="0" w:space="0" w:color="auto"/>
            <w:left w:val="none" w:sz="0" w:space="0" w:color="auto"/>
            <w:bottom w:val="none" w:sz="0" w:space="0" w:color="auto"/>
            <w:right w:val="none" w:sz="0" w:space="0" w:color="auto"/>
          </w:divBdr>
        </w:div>
        <w:div w:id="1525049844">
          <w:marLeft w:val="0"/>
          <w:marRight w:val="0"/>
          <w:marTop w:val="0"/>
          <w:marBottom w:val="0"/>
          <w:divBdr>
            <w:top w:val="none" w:sz="0" w:space="0" w:color="auto"/>
            <w:left w:val="none" w:sz="0" w:space="0" w:color="auto"/>
            <w:bottom w:val="none" w:sz="0" w:space="0" w:color="auto"/>
            <w:right w:val="none" w:sz="0" w:space="0" w:color="auto"/>
          </w:divBdr>
        </w:div>
      </w:divsChild>
    </w:div>
    <w:div w:id="681475746">
      <w:bodyDiv w:val="1"/>
      <w:marLeft w:val="0"/>
      <w:marRight w:val="0"/>
      <w:marTop w:val="0"/>
      <w:marBottom w:val="0"/>
      <w:divBdr>
        <w:top w:val="none" w:sz="0" w:space="0" w:color="auto"/>
        <w:left w:val="none" w:sz="0" w:space="0" w:color="auto"/>
        <w:bottom w:val="none" w:sz="0" w:space="0" w:color="auto"/>
        <w:right w:val="none" w:sz="0" w:space="0" w:color="auto"/>
      </w:divBdr>
    </w:div>
    <w:div w:id="703987968">
      <w:bodyDiv w:val="1"/>
      <w:marLeft w:val="0"/>
      <w:marRight w:val="0"/>
      <w:marTop w:val="0"/>
      <w:marBottom w:val="0"/>
      <w:divBdr>
        <w:top w:val="none" w:sz="0" w:space="0" w:color="auto"/>
        <w:left w:val="none" w:sz="0" w:space="0" w:color="auto"/>
        <w:bottom w:val="none" w:sz="0" w:space="0" w:color="auto"/>
        <w:right w:val="none" w:sz="0" w:space="0" w:color="auto"/>
      </w:divBdr>
    </w:div>
    <w:div w:id="708607852">
      <w:bodyDiv w:val="1"/>
      <w:marLeft w:val="0"/>
      <w:marRight w:val="0"/>
      <w:marTop w:val="0"/>
      <w:marBottom w:val="0"/>
      <w:divBdr>
        <w:top w:val="none" w:sz="0" w:space="0" w:color="auto"/>
        <w:left w:val="none" w:sz="0" w:space="0" w:color="auto"/>
        <w:bottom w:val="none" w:sz="0" w:space="0" w:color="auto"/>
        <w:right w:val="none" w:sz="0" w:space="0" w:color="auto"/>
      </w:divBdr>
      <w:divsChild>
        <w:div w:id="581178712">
          <w:marLeft w:val="0"/>
          <w:marRight w:val="0"/>
          <w:marTop w:val="0"/>
          <w:marBottom w:val="0"/>
          <w:divBdr>
            <w:top w:val="none" w:sz="0" w:space="0" w:color="auto"/>
            <w:left w:val="none" w:sz="0" w:space="0" w:color="auto"/>
            <w:bottom w:val="none" w:sz="0" w:space="0" w:color="auto"/>
            <w:right w:val="none" w:sz="0" w:space="0" w:color="auto"/>
          </w:divBdr>
        </w:div>
        <w:div w:id="664893169">
          <w:marLeft w:val="0"/>
          <w:marRight w:val="0"/>
          <w:marTop w:val="0"/>
          <w:marBottom w:val="0"/>
          <w:divBdr>
            <w:top w:val="none" w:sz="0" w:space="0" w:color="auto"/>
            <w:left w:val="none" w:sz="0" w:space="0" w:color="auto"/>
            <w:bottom w:val="none" w:sz="0" w:space="0" w:color="auto"/>
            <w:right w:val="none" w:sz="0" w:space="0" w:color="auto"/>
          </w:divBdr>
        </w:div>
        <w:div w:id="1348874584">
          <w:marLeft w:val="0"/>
          <w:marRight w:val="0"/>
          <w:marTop w:val="0"/>
          <w:marBottom w:val="0"/>
          <w:divBdr>
            <w:top w:val="none" w:sz="0" w:space="0" w:color="auto"/>
            <w:left w:val="none" w:sz="0" w:space="0" w:color="auto"/>
            <w:bottom w:val="none" w:sz="0" w:space="0" w:color="auto"/>
            <w:right w:val="none" w:sz="0" w:space="0" w:color="auto"/>
          </w:divBdr>
        </w:div>
        <w:div w:id="1689674565">
          <w:marLeft w:val="0"/>
          <w:marRight w:val="0"/>
          <w:marTop w:val="0"/>
          <w:marBottom w:val="0"/>
          <w:divBdr>
            <w:top w:val="none" w:sz="0" w:space="0" w:color="auto"/>
            <w:left w:val="none" w:sz="0" w:space="0" w:color="auto"/>
            <w:bottom w:val="none" w:sz="0" w:space="0" w:color="auto"/>
            <w:right w:val="none" w:sz="0" w:space="0" w:color="auto"/>
          </w:divBdr>
        </w:div>
        <w:div w:id="2005401614">
          <w:marLeft w:val="0"/>
          <w:marRight w:val="0"/>
          <w:marTop w:val="0"/>
          <w:marBottom w:val="0"/>
          <w:divBdr>
            <w:top w:val="none" w:sz="0" w:space="0" w:color="auto"/>
            <w:left w:val="none" w:sz="0" w:space="0" w:color="auto"/>
            <w:bottom w:val="none" w:sz="0" w:space="0" w:color="auto"/>
            <w:right w:val="none" w:sz="0" w:space="0" w:color="auto"/>
          </w:divBdr>
        </w:div>
        <w:div w:id="2070153896">
          <w:marLeft w:val="0"/>
          <w:marRight w:val="0"/>
          <w:marTop w:val="0"/>
          <w:marBottom w:val="0"/>
          <w:divBdr>
            <w:top w:val="none" w:sz="0" w:space="0" w:color="auto"/>
            <w:left w:val="none" w:sz="0" w:space="0" w:color="auto"/>
            <w:bottom w:val="none" w:sz="0" w:space="0" w:color="auto"/>
            <w:right w:val="none" w:sz="0" w:space="0" w:color="auto"/>
          </w:divBdr>
        </w:div>
      </w:divsChild>
    </w:div>
    <w:div w:id="777217874">
      <w:bodyDiv w:val="1"/>
      <w:marLeft w:val="0"/>
      <w:marRight w:val="0"/>
      <w:marTop w:val="0"/>
      <w:marBottom w:val="0"/>
      <w:divBdr>
        <w:top w:val="none" w:sz="0" w:space="0" w:color="auto"/>
        <w:left w:val="none" w:sz="0" w:space="0" w:color="auto"/>
        <w:bottom w:val="none" w:sz="0" w:space="0" w:color="auto"/>
        <w:right w:val="none" w:sz="0" w:space="0" w:color="auto"/>
      </w:divBdr>
    </w:div>
    <w:div w:id="804155387">
      <w:bodyDiv w:val="1"/>
      <w:marLeft w:val="0"/>
      <w:marRight w:val="0"/>
      <w:marTop w:val="0"/>
      <w:marBottom w:val="0"/>
      <w:divBdr>
        <w:top w:val="none" w:sz="0" w:space="0" w:color="auto"/>
        <w:left w:val="none" w:sz="0" w:space="0" w:color="auto"/>
        <w:bottom w:val="none" w:sz="0" w:space="0" w:color="auto"/>
        <w:right w:val="none" w:sz="0" w:space="0" w:color="auto"/>
      </w:divBdr>
    </w:div>
    <w:div w:id="838159477">
      <w:bodyDiv w:val="1"/>
      <w:marLeft w:val="0"/>
      <w:marRight w:val="0"/>
      <w:marTop w:val="0"/>
      <w:marBottom w:val="0"/>
      <w:divBdr>
        <w:top w:val="none" w:sz="0" w:space="0" w:color="auto"/>
        <w:left w:val="none" w:sz="0" w:space="0" w:color="auto"/>
        <w:bottom w:val="none" w:sz="0" w:space="0" w:color="auto"/>
        <w:right w:val="none" w:sz="0" w:space="0" w:color="auto"/>
      </w:divBdr>
    </w:div>
    <w:div w:id="909342720">
      <w:bodyDiv w:val="1"/>
      <w:marLeft w:val="0"/>
      <w:marRight w:val="0"/>
      <w:marTop w:val="0"/>
      <w:marBottom w:val="0"/>
      <w:divBdr>
        <w:top w:val="none" w:sz="0" w:space="0" w:color="auto"/>
        <w:left w:val="none" w:sz="0" w:space="0" w:color="auto"/>
        <w:bottom w:val="none" w:sz="0" w:space="0" w:color="auto"/>
        <w:right w:val="none" w:sz="0" w:space="0" w:color="auto"/>
      </w:divBdr>
    </w:div>
    <w:div w:id="982471262">
      <w:bodyDiv w:val="1"/>
      <w:marLeft w:val="0"/>
      <w:marRight w:val="0"/>
      <w:marTop w:val="0"/>
      <w:marBottom w:val="0"/>
      <w:divBdr>
        <w:top w:val="none" w:sz="0" w:space="0" w:color="auto"/>
        <w:left w:val="none" w:sz="0" w:space="0" w:color="auto"/>
        <w:bottom w:val="none" w:sz="0" w:space="0" w:color="auto"/>
        <w:right w:val="none" w:sz="0" w:space="0" w:color="auto"/>
      </w:divBdr>
      <w:divsChild>
        <w:div w:id="664868370">
          <w:marLeft w:val="0"/>
          <w:marRight w:val="0"/>
          <w:marTop w:val="0"/>
          <w:marBottom w:val="0"/>
          <w:divBdr>
            <w:top w:val="none" w:sz="0" w:space="0" w:color="auto"/>
            <w:left w:val="none" w:sz="0" w:space="0" w:color="auto"/>
            <w:bottom w:val="none" w:sz="0" w:space="0" w:color="auto"/>
            <w:right w:val="none" w:sz="0" w:space="0" w:color="auto"/>
          </w:divBdr>
        </w:div>
        <w:div w:id="1214193674">
          <w:marLeft w:val="0"/>
          <w:marRight w:val="0"/>
          <w:marTop w:val="0"/>
          <w:marBottom w:val="0"/>
          <w:divBdr>
            <w:top w:val="none" w:sz="0" w:space="0" w:color="auto"/>
            <w:left w:val="none" w:sz="0" w:space="0" w:color="auto"/>
            <w:bottom w:val="none" w:sz="0" w:space="0" w:color="auto"/>
            <w:right w:val="none" w:sz="0" w:space="0" w:color="auto"/>
          </w:divBdr>
        </w:div>
      </w:divsChild>
    </w:div>
    <w:div w:id="984579765">
      <w:bodyDiv w:val="1"/>
      <w:marLeft w:val="0"/>
      <w:marRight w:val="0"/>
      <w:marTop w:val="0"/>
      <w:marBottom w:val="0"/>
      <w:divBdr>
        <w:top w:val="none" w:sz="0" w:space="0" w:color="auto"/>
        <w:left w:val="none" w:sz="0" w:space="0" w:color="auto"/>
        <w:bottom w:val="none" w:sz="0" w:space="0" w:color="auto"/>
        <w:right w:val="none" w:sz="0" w:space="0" w:color="auto"/>
      </w:divBdr>
      <w:divsChild>
        <w:div w:id="1064178597">
          <w:marLeft w:val="0"/>
          <w:marRight w:val="0"/>
          <w:marTop w:val="0"/>
          <w:marBottom w:val="0"/>
          <w:divBdr>
            <w:top w:val="none" w:sz="0" w:space="0" w:color="auto"/>
            <w:left w:val="none" w:sz="0" w:space="0" w:color="auto"/>
            <w:bottom w:val="none" w:sz="0" w:space="0" w:color="auto"/>
            <w:right w:val="none" w:sz="0" w:space="0" w:color="auto"/>
          </w:divBdr>
          <w:divsChild>
            <w:div w:id="301473198">
              <w:marLeft w:val="0"/>
              <w:marRight w:val="0"/>
              <w:marTop w:val="0"/>
              <w:marBottom w:val="0"/>
              <w:divBdr>
                <w:top w:val="none" w:sz="0" w:space="0" w:color="auto"/>
                <w:left w:val="none" w:sz="0" w:space="0" w:color="auto"/>
                <w:bottom w:val="none" w:sz="0" w:space="0" w:color="auto"/>
                <w:right w:val="none" w:sz="0" w:space="0" w:color="auto"/>
              </w:divBdr>
              <w:divsChild>
                <w:div w:id="6491077">
                  <w:marLeft w:val="0"/>
                  <w:marRight w:val="0"/>
                  <w:marTop w:val="0"/>
                  <w:marBottom w:val="0"/>
                  <w:divBdr>
                    <w:top w:val="none" w:sz="0" w:space="0" w:color="auto"/>
                    <w:left w:val="none" w:sz="0" w:space="0" w:color="auto"/>
                    <w:bottom w:val="none" w:sz="0" w:space="0" w:color="auto"/>
                    <w:right w:val="none" w:sz="0" w:space="0" w:color="auto"/>
                  </w:divBdr>
                  <w:divsChild>
                    <w:div w:id="101607945">
                      <w:marLeft w:val="0"/>
                      <w:marRight w:val="0"/>
                      <w:marTop w:val="0"/>
                      <w:marBottom w:val="0"/>
                      <w:divBdr>
                        <w:top w:val="none" w:sz="0" w:space="0" w:color="auto"/>
                        <w:left w:val="none" w:sz="0" w:space="0" w:color="auto"/>
                        <w:bottom w:val="none" w:sz="0" w:space="0" w:color="auto"/>
                        <w:right w:val="none" w:sz="0" w:space="0" w:color="auto"/>
                      </w:divBdr>
                      <w:divsChild>
                        <w:div w:id="70395360">
                          <w:marLeft w:val="0"/>
                          <w:marRight w:val="0"/>
                          <w:marTop w:val="0"/>
                          <w:marBottom w:val="0"/>
                          <w:divBdr>
                            <w:top w:val="none" w:sz="0" w:space="0" w:color="auto"/>
                            <w:left w:val="none" w:sz="0" w:space="0" w:color="auto"/>
                            <w:bottom w:val="none" w:sz="0" w:space="0" w:color="auto"/>
                            <w:right w:val="none" w:sz="0" w:space="0" w:color="auto"/>
                          </w:divBdr>
                          <w:divsChild>
                            <w:div w:id="126511815">
                              <w:marLeft w:val="0"/>
                              <w:marRight w:val="0"/>
                              <w:marTop w:val="240"/>
                              <w:marBottom w:val="0"/>
                              <w:divBdr>
                                <w:top w:val="none" w:sz="0" w:space="0" w:color="auto"/>
                                <w:left w:val="none" w:sz="0" w:space="0" w:color="auto"/>
                                <w:bottom w:val="none" w:sz="0" w:space="0" w:color="auto"/>
                                <w:right w:val="none" w:sz="0" w:space="0" w:color="auto"/>
                              </w:divBdr>
                              <w:divsChild>
                                <w:div w:id="576981573">
                                  <w:marLeft w:val="0"/>
                                  <w:marRight w:val="240"/>
                                  <w:marTop w:val="0"/>
                                  <w:marBottom w:val="0"/>
                                  <w:divBdr>
                                    <w:top w:val="none" w:sz="0" w:space="0" w:color="auto"/>
                                    <w:left w:val="none" w:sz="0" w:space="0" w:color="auto"/>
                                    <w:bottom w:val="none" w:sz="0" w:space="0" w:color="auto"/>
                                    <w:right w:val="none" w:sz="0" w:space="0" w:color="auto"/>
                                  </w:divBdr>
                                </w:div>
                                <w:div w:id="1961498983">
                                  <w:marLeft w:val="0"/>
                                  <w:marRight w:val="240"/>
                                  <w:marTop w:val="0"/>
                                  <w:marBottom w:val="0"/>
                                  <w:divBdr>
                                    <w:top w:val="none" w:sz="0" w:space="0" w:color="auto"/>
                                    <w:left w:val="none" w:sz="0" w:space="0" w:color="auto"/>
                                    <w:bottom w:val="none" w:sz="0" w:space="0" w:color="auto"/>
                                    <w:right w:val="none" w:sz="0" w:space="0" w:color="auto"/>
                                  </w:divBdr>
                                </w:div>
                              </w:divsChild>
                            </w:div>
                            <w:div w:id="177083494">
                              <w:marLeft w:val="0"/>
                              <w:marRight w:val="0"/>
                              <w:marTop w:val="0"/>
                              <w:marBottom w:val="0"/>
                              <w:divBdr>
                                <w:top w:val="none" w:sz="0" w:space="0" w:color="auto"/>
                                <w:left w:val="none" w:sz="0" w:space="0" w:color="auto"/>
                                <w:bottom w:val="none" w:sz="0" w:space="0" w:color="auto"/>
                                <w:right w:val="none" w:sz="0" w:space="0" w:color="auto"/>
                              </w:divBdr>
                              <w:divsChild>
                                <w:div w:id="105644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1953321">
      <w:bodyDiv w:val="1"/>
      <w:marLeft w:val="0"/>
      <w:marRight w:val="0"/>
      <w:marTop w:val="0"/>
      <w:marBottom w:val="0"/>
      <w:divBdr>
        <w:top w:val="none" w:sz="0" w:space="0" w:color="auto"/>
        <w:left w:val="none" w:sz="0" w:space="0" w:color="auto"/>
        <w:bottom w:val="none" w:sz="0" w:space="0" w:color="auto"/>
        <w:right w:val="none" w:sz="0" w:space="0" w:color="auto"/>
      </w:divBdr>
    </w:div>
    <w:div w:id="1122655356">
      <w:bodyDiv w:val="1"/>
      <w:marLeft w:val="0"/>
      <w:marRight w:val="0"/>
      <w:marTop w:val="0"/>
      <w:marBottom w:val="0"/>
      <w:divBdr>
        <w:top w:val="none" w:sz="0" w:space="0" w:color="auto"/>
        <w:left w:val="none" w:sz="0" w:space="0" w:color="auto"/>
        <w:bottom w:val="none" w:sz="0" w:space="0" w:color="auto"/>
        <w:right w:val="none" w:sz="0" w:space="0" w:color="auto"/>
      </w:divBdr>
      <w:divsChild>
        <w:div w:id="379742217">
          <w:marLeft w:val="0"/>
          <w:marRight w:val="0"/>
          <w:marTop w:val="0"/>
          <w:marBottom w:val="0"/>
          <w:divBdr>
            <w:top w:val="none" w:sz="0" w:space="0" w:color="auto"/>
            <w:left w:val="none" w:sz="0" w:space="0" w:color="auto"/>
            <w:bottom w:val="none" w:sz="0" w:space="0" w:color="auto"/>
            <w:right w:val="none" w:sz="0" w:space="0" w:color="auto"/>
          </w:divBdr>
          <w:divsChild>
            <w:div w:id="2098942699">
              <w:marLeft w:val="0"/>
              <w:marRight w:val="0"/>
              <w:marTop w:val="0"/>
              <w:marBottom w:val="0"/>
              <w:divBdr>
                <w:top w:val="none" w:sz="0" w:space="0" w:color="auto"/>
                <w:left w:val="none" w:sz="0" w:space="0" w:color="auto"/>
                <w:bottom w:val="none" w:sz="0" w:space="0" w:color="auto"/>
                <w:right w:val="none" w:sz="0" w:space="0" w:color="auto"/>
              </w:divBdr>
              <w:divsChild>
                <w:div w:id="1388846265">
                  <w:marLeft w:val="0"/>
                  <w:marRight w:val="0"/>
                  <w:marTop w:val="0"/>
                  <w:marBottom w:val="0"/>
                  <w:divBdr>
                    <w:top w:val="none" w:sz="0" w:space="0" w:color="auto"/>
                    <w:left w:val="none" w:sz="0" w:space="0" w:color="auto"/>
                    <w:bottom w:val="none" w:sz="0" w:space="0" w:color="auto"/>
                    <w:right w:val="none" w:sz="0" w:space="0" w:color="auto"/>
                  </w:divBdr>
                  <w:divsChild>
                    <w:div w:id="343437068">
                      <w:marLeft w:val="0"/>
                      <w:marRight w:val="0"/>
                      <w:marTop w:val="0"/>
                      <w:marBottom w:val="0"/>
                      <w:divBdr>
                        <w:top w:val="none" w:sz="0" w:space="0" w:color="auto"/>
                        <w:left w:val="none" w:sz="0" w:space="0" w:color="auto"/>
                        <w:bottom w:val="none" w:sz="0" w:space="0" w:color="auto"/>
                        <w:right w:val="none" w:sz="0" w:space="0" w:color="auto"/>
                      </w:divBdr>
                      <w:divsChild>
                        <w:div w:id="116609417">
                          <w:marLeft w:val="0"/>
                          <w:marRight w:val="0"/>
                          <w:marTop w:val="0"/>
                          <w:marBottom w:val="0"/>
                          <w:divBdr>
                            <w:top w:val="none" w:sz="0" w:space="0" w:color="auto"/>
                            <w:left w:val="none" w:sz="0" w:space="0" w:color="auto"/>
                            <w:bottom w:val="none" w:sz="0" w:space="0" w:color="auto"/>
                            <w:right w:val="none" w:sz="0" w:space="0" w:color="auto"/>
                          </w:divBdr>
                          <w:divsChild>
                            <w:div w:id="1307664447">
                              <w:marLeft w:val="0"/>
                              <w:marRight w:val="0"/>
                              <w:marTop w:val="0"/>
                              <w:marBottom w:val="0"/>
                              <w:divBdr>
                                <w:top w:val="none" w:sz="0" w:space="0" w:color="auto"/>
                                <w:left w:val="none" w:sz="0" w:space="0" w:color="auto"/>
                                <w:bottom w:val="none" w:sz="0" w:space="0" w:color="auto"/>
                                <w:right w:val="none" w:sz="0" w:space="0" w:color="auto"/>
                              </w:divBdr>
                              <w:divsChild>
                                <w:div w:id="409236960">
                                  <w:marLeft w:val="0"/>
                                  <w:marRight w:val="0"/>
                                  <w:marTop w:val="0"/>
                                  <w:marBottom w:val="0"/>
                                  <w:divBdr>
                                    <w:top w:val="none" w:sz="0" w:space="0" w:color="auto"/>
                                    <w:left w:val="none" w:sz="0" w:space="0" w:color="auto"/>
                                    <w:bottom w:val="none" w:sz="0" w:space="0" w:color="auto"/>
                                    <w:right w:val="none" w:sz="0" w:space="0" w:color="auto"/>
                                  </w:divBdr>
                                  <w:divsChild>
                                    <w:div w:id="1207719849">
                                      <w:marLeft w:val="60"/>
                                      <w:marRight w:val="0"/>
                                      <w:marTop w:val="0"/>
                                      <w:marBottom w:val="0"/>
                                      <w:divBdr>
                                        <w:top w:val="none" w:sz="0" w:space="0" w:color="auto"/>
                                        <w:left w:val="none" w:sz="0" w:space="0" w:color="auto"/>
                                        <w:bottom w:val="none" w:sz="0" w:space="0" w:color="auto"/>
                                        <w:right w:val="none" w:sz="0" w:space="0" w:color="auto"/>
                                      </w:divBdr>
                                      <w:divsChild>
                                        <w:div w:id="446659207">
                                          <w:marLeft w:val="0"/>
                                          <w:marRight w:val="0"/>
                                          <w:marTop w:val="0"/>
                                          <w:marBottom w:val="0"/>
                                          <w:divBdr>
                                            <w:top w:val="none" w:sz="0" w:space="0" w:color="auto"/>
                                            <w:left w:val="none" w:sz="0" w:space="0" w:color="auto"/>
                                            <w:bottom w:val="none" w:sz="0" w:space="0" w:color="auto"/>
                                            <w:right w:val="none" w:sz="0" w:space="0" w:color="auto"/>
                                          </w:divBdr>
                                          <w:divsChild>
                                            <w:div w:id="466363462">
                                              <w:marLeft w:val="0"/>
                                              <w:marRight w:val="0"/>
                                              <w:marTop w:val="0"/>
                                              <w:marBottom w:val="120"/>
                                              <w:divBdr>
                                                <w:top w:val="single" w:sz="6" w:space="0" w:color="F5F5F5"/>
                                                <w:left w:val="single" w:sz="6" w:space="0" w:color="F5F5F5"/>
                                                <w:bottom w:val="single" w:sz="6" w:space="0" w:color="F5F5F5"/>
                                                <w:right w:val="single" w:sz="6" w:space="0" w:color="F5F5F5"/>
                                              </w:divBdr>
                                              <w:divsChild>
                                                <w:div w:id="1269580255">
                                                  <w:marLeft w:val="0"/>
                                                  <w:marRight w:val="0"/>
                                                  <w:marTop w:val="0"/>
                                                  <w:marBottom w:val="0"/>
                                                  <w:divBdr>
                                                    <w:top w:val="none" w:sz="0" w:space="0" w:color="auto"/>
                                                    <w:left w:val="none" w:sz="0" w:space="0" w:color="auto"/>
                                                    <w:bottom w:val="none" w:sz="0" w:space="0" w:color="auto"/>
                                                    <w:right w:val="none" w:sz="0" w:space="0" w:color="auto"/>
                                                  </w:divBdr>
                                                  <w:divsChild>
                                                    <w:div w:id="12094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0528475">
      <w:bodyDiv w:val="1"/>
      <w:marLeft w:val="0"/>
      <w:marRight w:val="0"/>
      <w:marTop w:val="0"/>
      <w:marBottom w:val="0"/>
      <w:divBdr>
        <w:top w:val="none" w:sz="0" w:space="0" w:color="auto"/>
        <w:left w:val="none" w:sz="0" w:space="0" w:color="auto"/>
        <w:bottom w:val="none" w:sz="0" w:space="0" w:color="auto"/>
        <w:right w:val="none" w:sz="0" w:space="0" w:color="auto"/>
      </w:divBdr>
      <w:divsChild>
        <w:div w:id="1787504661">
          <w:marLeft w:val="0"/>
          <w:marRight w:val="0"/>
          <w:marTop w:val="0"/>
          <w:marBottom w:val="0"/>
          <w:divBdr>
            <w:top w:val="none" w:sz="0" w:space="0" w:color="auto"/>
            <w:left w:val="none" w:sz="0" w:space="0" w:color="auto"/>
            <w:bottom w:val="none" w:sz="0" w:space="0" w:color="auto"/>
            <w:right w:val="none" w:sz="0" w:space="0" w:color="auto"/>
          </w:divBdr>
          <w:divsChild>
            <w:div w:id="1266157091">
              <w:marLeft w:val="0"/>
              <w:marRight w:val="0"/>
              <w:marTop w:val="0"/>
              <w:marBottom w:val="0"/>
              <w:divBdr>
                <w:top w:val="none" w:sz="0" w:space="0" w:color="auto"/>
                <w:left w:val="none" w:sz="0" w:space="0" w:color="auto"/>
                <w:bottom w:val="none" w:sz="0" w:space="0" w:color="auto"/>
                <w:right w:val="none" w:sz="0" w:space="0" w:color="auto"/>
              </w:divBdr>
              <w:divsChild>
                <w:div w:id="60757149">
                  <w:marLeft w:val="0"/>
                  <w:marRight w:val="0"/>
                  <w:marTop w:val="0"/>
                  <w:marBottom w:val="0"/>
                  <w:divBdr>
                    <w:top w:val="none" w:sz="0" w:space="0" w:color="auto"/>
                    <w:left w:val="none" w:sz="0" w:space="0" w:color="auto"/>
                    <w:bottom w:val="none" w:sz="0" w:space="0" w:color="auto"/>
                    <w:right w:val="none" w:sz="0" w:space="0" w:color="auto"/>
                  </w:divBdr>
                  <w:divsChild>
                    <w:div w:id="2141026676">
                      <w:marLeft w:val="0"/>
                      <w:marRight w:val="0"/>
                      <w:marTop w:val="0"/>
                      <w:marBottom w:val="0"/>
                      <w:divBdr>
                        <w:top w:val="none" w:sz="0" w:space="0" w:color="auto"/>
                        <w:left w:val="none" w:sz="0" w:space="0" w:color="auto"/>
                        <w:bottom w:val="none" w:sz="0" w:space="0" w:color="auto"/>
                        <w:right w:val="none" w:sz="0" w:space="0" w:color="auto"/>
                      </w:divBdr>
                      <w:divsChild>
                        <w:div w:id="1574504495">
                          <w:marLeft w:val="0"/>
                          <w:marRight w:val="0"/>
                          <w:marTop w:val="0"/>
                          <w:marBottom w:val="0"/>
                          <w:divBdr>
                            <w:top w:val="none" w:sz="0" w:space="0" w:color="auto"/>
                            <w:left w:val="none" w:sz="0" w:space="0" w:color="auto"/>
                            <w:bottom w:val="none" w:sz="0" w:space="0" w:color="auto"/>
                            <w:right w:val="none" w:sz="0" w:space="0" w:color="auto"/>
                          </w:divBdr>
                          <w:divsChild>
                            <w:div w:id="1407726848">
                              <w:marLeft w:val="0"/>
                              <w:marRight w:val="0"/>
                              <w:marTop w:val="0"/>
                              <w:marBottom w:val="0"/>
                              <w:divBdr>
                                <w:top w:val="none" w:sz="0" w:space="0" w:color="auto"/>
                                <w:left w:val="none" w:sz="0" w:space="0" w:color="auto"/>
                                <w:bottom w:val="none" w:sz="0" w:space="0" w:color="auto"/>
                                <w:right w:val="none" w:sz="0" w:space="0" w:color="auto"/>
                              </w:divBdr>
                              <w:divsChild>
                                <w:div w:id="6829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4968552">
      <w:bodyDiv w:val="1"/>
      <w:marLeft w:val="0"/>
      <w:marRight w:val="0"/>
      <w:marTop w:val="0"/>
      <w:marBottom w:val="0"/>
      <w:divBdr>
        <w:top w:val="none" w:sz="0" w:space="0" w:color="auto"/>
        <w:left w:val="none" w:sz="0" w:space="0" w:color="auto"/>
        <w:bottom w:val="none" w:sz="0" w:space="0" w:color="auto"/>
        <w:right w:val="none" w:sz="0" w:space="0" w:color="auto"/>
      </w:divBdr>
    </w:div>
    <w:div w:id="1295677796">
      <w:bodyDiv w:val="1"/>
      <w:marLeft w:val="0"/>
      <w:marRight w:val="0"/>
      <w:marTop w:val="0"/>
      <w:marBottom w:val="0"/>
      <w:divBdr>
        <w:top w:val="none" w:sz="0" w:space="0" w:color="auto"/>
        <w:left w:val="none" w:sz="0" w:space="0" w:color="auto"/>
        <w:bottom w:val="none" w:sz="0" w:space="0" w:color="auto"/>
        <w:right w:val="none" w:sz="0" w:space="0" w:color="auto"/>
      </w:divBdr>
    </w:div>
    <w:div w:id="1337659810">
      <w:bodyDiv w:val="1"/>
      <w:marLeft w:val="0"/>
      <w:marRight w:val="0"/>
      <w:marTop w:val="0"/>
      <w:marBottom w:val="0"/>
      <w:divBdr>
        <w:top w:val="none" w:sz="0" w:space="0" w:color="auto"/>
        <w:left w:val="none" w:sz="0" w:space="0" w:color="auto"/>
        <w:bottom w:val="none" w:sz="0" w:space="0" w:color="auto"/>
        <w:right w:val="none" w:sz="0" w:space="0" w:color="auto"/>
      </w:divBdr>
    </w:div>
    <w:div w:id="1522205975">
      <w:bodyDiv w:val="1"/>
      <w:marLeft w:val="0"/>
      <w:marRight w:val="0"/>
      <w:marTop w:val="0"/>
      <w:marBottom w:val="0"/>
      <w:divBdr>
        <w:top w:val="none" w:sz="0" w:space="0" w:color="auto"/>
        <w:left w:val="none" w:sz="0" w:space="0" w:color="auto"/>
        <w:bottom w:val="none" w:sz="0" w:space="0" w:color="auto"/>
        <w:right w:val="none" w:sz="0" w:space="0" w:color="auto"/>
      </w:divBdr>
      <w:divsChild>
        <w:div w:id="49157425">
          <w:marLeft w:val="0"/>
          <w:marRight w:val="0"/>
          <w:marTop w:val="0"/>
          <w:marBottom w:val="0"/>
          <w:divBdr>
            <w:top w:val="none" w:sz="0" w:space="0" w:color="auto"/>
            <w:left w:val="none" w:sz="0" w:space="0" w:color="auto"/>
            <w:bottom w:val="none" w:sz="0" w:space="0" w:color="auto"/>
            <w:right w:val="none" w:sz="0" w:space="0" w:color="auto"/>
          </w:divBdr>
        </w:div>
        <w:div w:id="145711537">
          <w:marLeft w:val="0"/>
          <w:marRight w:val="0"/>
          <w:marTop w:val="0"/>
          <w:marBottom w:val="0"/>
          <w:divBdr>
            <w:top w:val="none" w:sz="0" w:space="0" w:color="auto"/>
            <w:left w:val="none" w:sz="0" w:space="0" w:color="auto"/>
            <w:bottom w:val="none" w:sz="0" w:space="0" w:color="auto"/>
            <w:right w:val="none" w:sz="0" w:space="0" w:color="auto"/>
          </w:divBdr>
        </w:div>
        <w:div w:id="1048914767">
          <w:marLeft w:val="0"/>
          <w:marRight w:val="0"/>
          <w:marTop w:val="0"/>
          <w:marBottom w:val="0"/>
          <w:divBdr>
            <w:top w:val="none" w:sz="0" w:space="0" w:color="auto"/>
            <w:left w:val="none" w:sz="0" w:space="0" w:color="auto"/>
            <w:bottom w:val="none" w:sz="0" w:space="0" w:color="auto"/>
            <w:right w:val="none" w:sz="0" w:space="0" w:color="auto"/>
          </w:divBdr>
        </w:div>
        <w:div w:id="2096513330">
          <w:marLeft w:val="0"/>
          <w:marRight w:val="0"/>
          <w:marTop w:val="0"/>
          <w:marBottom w:val="0"/>
          <w:divBdr>
            <w:top w:val="none" w:sz="0" w:space="0" w:color="auto"/>
            <w:left w:val="none" w:sz="0" w:space="0" w:color="auto"/>
            <w:bottom w:val="none" w:sz="0" w:space="0" w:color="auto"/>
            <w:right w:val="none" w:sz="0" w:space="0" w:color="auto"/>
          </w:divBdr>
        </w:div>
      </w:divsChild>
    </w:div>
    <w:div w:id="1537739144">
      <w:bodyDiv w:val="1"/>
      <w:marLeft w:val="0"/>
      <w:marRight w:val="0"/>
      <w:marTop w:val="0"/>
      <w:marBottom w:val="0"/>
      <w:divBdr>
        <w:top w:val="none" w:sz="0" w:space="0" w:color="auto"/>
        <w:left w:val="none" w:sz="0" w:space="0" w:color="auto"/>
        <w:bottom w:val="none" w:sz="0" w:space="0" w:color="auto"/>
        <w:right w:val="none" w:sz="0" w:space="0" w:color="auto"/>
      </w:divBdr>
      <w:divsChild>
        <w:div w:id="1829515924">
          <w:marLeft w:val="0"/>
          <w:marRight w:val="0"/>
          <w:marTop w:val="0"/>
          <w:marBottom w:val="0"/>
          <w:divBdr>
            <w:top w:val="none" w:sz="0" w:space="0" w:color="auto"/>
            <w:left w:val="none" w:sz="0" w:space="0" w:color="auto"/>
            <w:bottom w:val="none" w:sz="0" w:space="0" w:color="auto"/>
            <w:right w:val="none" w:sz="0" w:space="0" w:color="auto"/>
          </w:divBdr>
        </w:div>
        <w:div w:id="1851874466">
          <w:marLeft w:val="0"/>
          <w:marRight w:val="0"/>
          <w:marTop w:val="0"/>
          <w:marBottom w:val="0"/>
          <w:divBdr>
            <w:top w:val="none" w:sz="0" w:space="0" w:color="auto"/>
            <w:left w:val="none" w:sz="0" w:space="0" w:color="auto"/>
            <w:bottom w:val="none" w:sz="0" w:space="0" w:color="auto"/>
            <w:right w:val="none" w:sz="0" w:space="0" w:color="auto"/>
          </w:divBdr>
        </w:div>
      </w:divsChild>
    </w:div>
    <w:div w:id="1636062654">
      <w:bodyDiv w:val="1"/>
      <w:marLeft w:val="0"/>
      <w:marRight w:val="0"/>
      <w:marTop w:val="0"/>
      <w:marBottom w:val="0"/>
      <w:divBdr>
        <w:top w:val="none" w:sz="0" w:space="0" w:color="auto"/>
        <w:left w:val="none" w:sz="0" w:space="0" w:color="auto"/>
        <w:bottom w:val="none" w:sz="0" w:space="0" w:color="auto"/>
        <w:right w:val="none" w:sz="0" w:space="0" w:color="auto"/>
      </w:divBdr>
      <w:divsChild>
        <w:div w:id="4795214">
          <w:marLeft w:val="0"/>
          <w:marRight w:val="0"/>
          <w:marTop w:val="0"/>
          <w:marBottom w:val="0"/>
          <w:divBdr>
            <w:top w:val="none" w:sz="0" w:space="0" w:color="auto"/>
            <w:left w:val="none" w:sz="0" w:space="0" w:color="auto"/>
            <w:bottom w:val="none" w:sz="0" w:space="0" w:color="auto"/>
            <w:right w:val="none" w:sz="0" w:space="0" w:color="auto"/>
          </w:divBdr>
          <w:divsChild>
            <w:div w:id="1292706765">
              <w:marLeft w:val="0"/>
              <w:marRight w:val="0"/>
              <w:marTop w:val="0"/>
              <w:marBottom w:val="0"/>
              <w:divBdr>
                <w:top w:val="none" w:sz="0" w:space="0" w:color="auto"/>
                <w:left w:val="none" w:sz="0" w:space="0" w:color="auto"/>
                <w:bottom w:val="none" w:sz="0" w:space="0" w:color="auto"/>
                <w:right w:val="none" w:sz="0" w:space="0" w:color="auto"/>
              </w:divBdr>
              <w:divsChild>
                <w:div w:id="1005666888">
                  <w:marLeft w:val="0"/>
                  <w:marRight w:val="0"/>
                  <w:marTop w:val="0"/>
                  <w:marBottom w:val="0"/>
                  <w:divBdr>
                    <w:top w:val="none" w:sz="0" w:space="0" w:color="auto"/>
                    <w:left w:val="none" w:sz="0" w:space="0" w:color="auto"/>
                    <w:bottom w:val="none" w:sz="0" w:space="0" w:color="auto"/>
                    <w:right w:val="none" w:sz="0" w:space="0" w:color="auto"/>
                  </w:divBdr>
                  <w:divsChild>
                    <w:div w:id="1675567842">
                      <w:marLeft w:val="0"/>
                      <w:marRight w:val="0"/>
                      <w:marTop w:val="0"/>
                      <w:marBottom w:val="0"/>
                      <w:divBdr>
                        <w:top w:val="none" w:sz="0" w:space="0" w:color="auto"/>
                        <w:left w:val="none" w:sz="0" w:space="0" w:color="auto"/>
                        <w:bottom w:val="none" w:sz="0" w:space="0" w:color="auto"/>
                        <w:right w:val="none" w:sz="0" w:space="0" w:color="auto"/>
                      </w:divBdr>
                      <w:divsChild>
                        <w:div w:id="681977961">
                          <w:marLeft w:val="0"/>
                          <w:marRight w:val="0"/>
                          <w:marTop w:val="0"/>
                          <w:marBottom w:val="0"/>
                          <w:divBdr>
                            <w:top w:val="none" w:sz="0" w:space="0" w:color="auto"/>
                            <w:left w:val="none" w:sz="0" w:space="0" w:color="auto"/>
                            <w:bottom w:val="none" w:sz="0" w:space="0" w:color="auto"/>
                            <w:right w:val="none" w:sz="0" w:space="0" w:color="auto"/>
                          </w:divBdr>
                          <w:divsChild>
                            <w:div w:id="2003969962">
                              <w:marLeft w:val="0"/>
                              <w:marRight w:val="0"/>
                              <w:marTop w:val="0"/>
                              <w:marBottom w:val="0"/>
                              <w:divBdr>
                                <w:top w:val="none" w:sz="0" w:space="0" w:color="auto"/>
                                <w:left w:val="none" w:sz="0" w:space="0" w:color="auto"/>
                                <w:bottom w:val="none" w:sz="0" w:space="0" w:color="auto"/>
                                <w:right w:val="none" w:sz="0" w:space="0" w:color="auto"/>
                              </w:divBdr>
                              <w:divsChild>
                                <w:div w:id="127355555">
                                  <w:marLeft w:val="0"/>
                                  <w:marRight w:val="0"/>
                                  <w:marTop w:val="0"/>
                                  <w:marBottom w:val="0"/>
                                  <w:divBdr>
                                    <w:top w:val="none" w:sz="0" w:space="0" w:color="auto"/>
                                    <w:left w:val="none" w:sz="0" w:space="0" w:color="auto"/>
                                    <w:bottom w:val="none" w:sz="0" w:space="0" w:color="auto"/>
                                    <w:right w:val="none" w:sz="0" w:space="0" w:color="auto"/>
                                  </w:divBdr>
                                  <w:divsChild>
                                    <w:div w:id="1960448422">
                                      <w:marLeft w:val="0"/>
                                      <w:marRight w:val="0"/>
                                      <w:marTop w:val="0"/>
                                      <w:marBottom w:val="0"/>
                                      <w:divBdr>
                                        <w:top w:val="single" w:sz="6" w:space="0" w:color="F5F5F5"/>
                                        <w:left w:val="single" w:sz="6" w:space="0" w:color="F5F5F5"/>
                                        <w:bottom w:val="single" w:sz="6" w:space="0" w:color="F5F5F5"/>
                                        <w:right w:val="single" w:sz="6" w:space="0" w:color="F5F5F5"/>
                                      </w:divBdr>
                                      <w:divsChild>
                                        <w:div w:id="2060132134">
                                          <w:marLeft w:val="0"/>
                                          <w:marRight w:val="0"/>
                                          <w:marTop w:val="0"/>
                                          <w:marBottom w:val="0"/>
                                          <w:divBdr>
                                            <w:top w:val="none" w:sz="0" w:space="0" w:color="auto"/>
                                            <w:left w:val="none" w:sz="0" w:space="0" w:color="auto"/>
                                            <w:bottom w:val="none" w:sz="0" w:space="0" w:color="auto"/>
                                            <w:right w:val="none" w:sz="0" w:space="0" w:color="auto"/>
                                          </w:divBdr>
                                          <w:divsChild>
                                            <w:div w:id="15839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0619241">
      <w:bodyDiv w:val="1"/>
      <w:marLeft w:val="0"/>
      <w:marRight w:val="0"/>
      <w:marTop w:val="0"/>
      <w:marBottom w:val="0"/>
      <w:divBdr>
        <w:top w:val="none" w:sz="0" w:space="0" w:color="auto"/>
        <w:left w:val="none" w:sz="0" w:space="0" w:color="auto"/>
        <w:bottom w:val="none" w:sz="0" w:space="0" w:color="auto"/>
        <w:right w:val="none" w:sz="0" w:space="0" w:color="auto"/>
      </w:divBdr>
      <w:divsChild>
        <w:div w:id="1039427771">
          <w:marLeft w:val="0"/>
          <w:marRight w:val="0"/>
          <w:marTop w:val="0"/>
          <w:marBottom w:val="0"/>
          <w:divBdr>
            <w:top w:val="none" w:sz="0" w:space="0" w:color="auto"/>
            <w:left w:val="none" w:sz="0" w:space="0" w:color="auto"/>
            <w:bottom w:val="none" w:sz="0" w:space="0" w:color="auto"/>
            <w:right w:val="none" w:sz="0" w:space="0" w:color="auto"/>
          </w:divBdr>
          <w:divsChild>
            <w:div w:id="1168718066">
              <w:marLeft w:val="0"/>
              <w:marRight w:val="0"/>
              <w:marTop w:val="0"/>
              <w:marBottom w:val="0"/>
              <w:divBdr>
                <w:top w:val="none" w:sz="0" w:space="0" w:color="auto"/>
                <w:left w:val="none" w:sz="0" w:space="0" w:color="auto"/>
                <w:bottom w:val="none" w:sz="0" w:space="0" w:color="auto"/>
                <w:right w:val="none" w:sz="0" w:space="0" w:color="auto"/>
              </w:divBdr>
              <w:divsChild>
                <w:div w:id="245118598">
                  <w:marLeft w:val="0"/>
                  <w:marRight w:val="0"/>
                  <w:marTop w:val="0"/>
                  <w:marBottom w:val="0"/>
                  <w:divBdr>
                    <w:top w:val="none" w:sz="0" w:space="0" w:color="auto"/>
                    <w:left w:val="none" w:sz="0" w:space="0" w:color="auto"/>
                    <w:bottom w:val="none" w:sz="0" w:space="0" w:color="auto"/>
                    <w:right w:val="none" w:sz="0" w:space="0" w:color="auto"/>
                  </w:divBdr>
                  <w:divsChild>
                    <w:div w:id="232666716">
                      <w:marLeft w:val="0"/>
                      <w:marRight w:val="0"/>
                      <w:marTop w:val="0"/>
                      <w:marBottom w:val="0"/>
                      <w:divBdr>
                        <w:top w:val="none" w:sz="0" w:space="0" w:color="auto"/>
                        <w:left w:val="none" w:sz="0" w:space="0" w:color="auto"/>
                        <w:bottom w:val="none" w:sz="0" w:space="0" w:color="auto"/>
                        <w:right w:val="none" w:sz="0" w:space="0" w:color="auto"/>
                      </w:divBdr>
                      <w:divsChild>
                        <w:div w:id="1225720669">
                          <w:marLeft w:val="0"/>
                          <w:marRight w:val="0"/>
                          <w:marTop w:val="0"/>
                          <w:marBottom w:val="0"/>
                          <w:divBdr>
                            <w:top w:val="none" w:sz="0" w:space="0" w:color="auto"/>
                            <w:left w:val="none" w:sz="0" w:space="0" w:color="auto"/>
                            <w:bottom w:val="none" w:sz="0" w:space="0" w:color="auto"/>
                            <w:right w:val="none" w:sz="0" w:space="0" w:color="auto"/>
                          </w:divBdr>
                          <w:divsChild>
                            <w:div w:id="484204452">
                              <w:marLeft w:val="0"/>
                              <w:marRight w:val="0"/>
                              <w:marTop w:val="0"/>
                              <w:marBottom w:val="0"/>
                              <w:divBdr>
                                <w:top w:val="none" w:sz="0" w:space="0" w:color="auto"/>
                                <w:left w:val="none" w:sz="0" w:space="0" w:color="auto"/>
                                <w:bottom w:val="none" w:sz="0" w:space="0" w:color="auto"/>
                                <w:right w:val="none" w:sz="0" w:space="0" w:color="auto"/>
                              </w:divBdr>
                              <w:divsChild>
                                <w:div w:id="204158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379218">
      <w:bodyDiv w:val="1"/>
      <w:marLeft w:val="0"/>
      <w:marRight w:val="0"/>
      <w:marTop w:val="0"/>
      <w:marBottom w:val="0"/>
      <w:divBdr>
        <w:top w:val="none" w:sz="0" w:space="0" w:color="auto"/>
        <w:left w:val="none" w:sz="0" w:space="0" w:color="auto"/>
        <w:bottom w:val="none" w:sz="0" w:space="0" w:color="auto"/>
        <w:right w:val="none" w:sz="0" w:space="0" w:color="auto"/>
      </w:divBdr>
    </w:div>
    <w:div w:id="1799255468">
      <w:bodyDiv w:val="1"/>
      <w:marLeft w:val="0"/>
      <w:marRight w:val="0"/>
      <w:marTop w:val="0"/>
      <w:marBottom w:val="0"/>
      <w:divBdr>
        <w:top w:val="none" w:sz="0" w:space="0" w:color="auto"/>
        <w:left w:val="none" w:sz="0" w:space="0" w:color="auto"/>
        <w:bottom w:val="none" w:sz="0" w:space="0" w:color="auto"/>
        <w:right w:val="none" w:sz="0" w:space="0" w:color="auto"/>
      </w:divBdr>
    </w:div>
    <w:div w:id="1873959066">
      <w:bodyDiv w:val="1"/>
      <w:marLeft w:val="0"/>
      <w:marRight w:val="0"/>
      <w:marTop w:val="0"/>
      <w:marBottom w:val="0"/>
      <w:divBdr>
        <w:top w:val="none" w:sz="0" w:space="0" w:color="auto"/>
        <w:left w:val="none" w:sz="0" w:space="0" w:color="auto"/>
        <w:bottom w:val="none" w:sz="0" w:space="0" w:color="auto"/>
        <w:right w:val="none" w:sz="0" w:space="0" w:color="auto"/>
      </w:divBdr>
      <w:divsChild>
        <w:div w:id="813526085">
          <w:marLeft w:val="0"/>
          <w:marRight w:val="0"/>
          <w:marTop w:val="0"/>
          <w:marBottom w:val="0"/>
          <w:divBdr>
            <w:top w:val="none" w:sz="0" w:space="0" w:color="auto"/>
            <w:left w:val="none" w:sz="0" w:space="0" w:color="auto"/>
            <w:bottom w:val="none" w:sz="0" w:space="0" w:color="auto"/>
            <w:right w:val="none" w:sz="0" w:space="0" w:color="auto"/>
          </w:divBdr>
        </w:div>
        <w:div w:id="1240604790">
          <w:marLeft w:val="0"/>
          <w:marRight w:val="0"/>
          <w:marTop w:val="0"/>
          <w:marBottom w:val="0"/>
          <w:divBdr>
            <w:top w:val="none" w:sz="0" w:space="0" w:color="auto"/>
            <w:left w:val="none" w:sz="0" w:space="0" w:color="auto"/>
            <w:bottom w:val="none" w:sz="0" w:space="0" w:color="auto"/>
            <w:right w:val="none" w:sz="0" w:space="0" w:color="auto"/>
          </w:divBdr>
        </w:div>
      </w:divsChild>
    </w:div>
    <w:div w:id="1958491045">
      <w:bodyDiv w:val="1"/>
      <w:marLeft w:val="0"/>
      <w:marRight w:val="0"/>
      <w:marTop w:val="0"/>
      <w:marBottom w:val="0"/>
      <w:divBdr>
        <w:top w:val="none" w:sz="0" w:space="0" w:color="auto"/>
        <w:left w:val="none" w:sz="0" w:space="0" w:color="auto"/>
        <w:bottom w:val="none" w:sz="0" w:space="0" w:color="auto"/>
        <w:right w:val="none" w:sz="0" w:space="0" w:color="auto"/>
      </w:divBdr>
      <w:divsChild>
        <w:div w:id="1024095980">
          <w:marLeft w:val="0"/>
          <w:marRight w:val="0"/>
          <w:marTop w:val="0"/>
          <w:marBottom w:val="0"/>
          <w:divBdr>
            <w:top w:val="none" w:sz="0" w:space="0" w:color="auto"/>
            <w:left w:val="none" w:sz="0" w:space="0" w:color="auto"/>
            <w:bottom w:val="none" w:sz="0" w:space="0" w:color="auto"/>
            <w:right w:val="none" w:sz="0" w:space="0" w:color="auto"/>
          </w:divBdr>
          <w:divsChild>
            <w:div w:id="1001618265">
              <w:marLeft w:val="0"/>
              <w:marRight w:val="0"/>
              <w:marTop w:val="0"/>
              <w:marBottom w:val="0"/>
              <w:divBdr>
                <w:top w:val="none" w:sz="0" w:space="0" w:color="auto"/>
                <w:left w:val="none" w:sz="0" w:space="0" w:color="auto"/>
                <w:bottom w:val="none" w:sz="0" w:space="0" w:color="auto"/>
                <w:right w:val="none" w:sz="0" w:space="0" w:color="auto"/>
              </w:divBdr>
              <w:divsChild>
                <w:div w:id="1719280217">
                  <w:marLeft w:val="0"/>
                  <w:marRight w:val="0"/>
                  <w:marTop w:val="0"/>
                  <w:marBottom w:val="0"/>
                  <w:divBdr>
                    <w:top w:val="none" w:sz="0" w:space="0" w:color="auto"/>
                    <w:left w:val="none" w:sz="0" w:space="0" w:color="auto"/>
                    <w:bottom w:val="none" w:sz="0" w:space="0" w:color="auto"/>
                    <w:right w:val="none" w:sz="0" w:space="0" w:color="auto"/>
                  </w:divBdr>
                  <w:divsChild>
                    <w:div w:id="59141657">
                      <w:marLeft w:val="0"/>
                      <w:marRight w:val="0"/>
                      <w:marTop w:val="0"/>
                      <w:marBottom w:val="0"/>
                      <w:divBdr>
                        <w:top w:val="none" w:sz="0" w:space="0" w:color="auto"/>
                        <w:left w:val="none" w:sz="0" w:space="0" w:color="auto"/>
                        <w:bottom w:val="none" w:sz="0" w:space="0" w:color="auto"/>
                        <w:right w:val="none" w:sz="0" w:space="0" w:color="auto"/>
                      </w:divBdr>
                      <w:divsChild>
                        <w:div w:id="555624744">
                          <w:marLeft w:val="0"/>
                          <w:marRight w:val="0"/>
                          <w:marTop w:val="0"/>
                          <w:marBottom w:val="0"/>
                          <w:divBdr>
                            <w:top w:val="none" w:sz="0" w:space="0" w:color="auto"/>
                            <w:left w:val="none" w:sz="0" w:space="0" w:color="auto"/>
                            <w:bottom w:val="none" w:sz="0" w:space="0" w:color="auto"/>
                            <w:right w:val="none" w:sz="0" w:space="0" w:color="auto"/>
                          </w:divBdr>
                          <w:divsChild>
                            <w:div w:id="39015367">
                              <w:marLeft w:val="0"/>
                              <w:marRight w:val="0"/>
                              <w:marTop w:val="0"/>
                              <w:marBottom w:val="0"/>
                              <w:divBdr>
                                <w:top w:val="none" w:sz="0" w:space="0" w:color="auto"/>
                                <w:left w:val="none" w:sz="0" w:space="0" w:color="auto"/>
                                <w:bottom w:val="none" w:sz="0" w:space="0" w:color="auto"/>
                                <w:right w:val="none" w:sz="0" w:space="0" w:color="auto"/>
                              </w:divBdr>
                              <w:divsChild>
                                <w:div w:id="19685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989509">
      <w:bodyDiv w:val="1"/>
      <w:marLeft w:val="0"/>
      <w:marRight w:val="0"/>
      <w:marTop w:val="0"/>
      <w:marBottom w:val="0"/>
      <w:divBdr>
        <w:top w:val="none" w:sz="0" w:space="0" w:color="auto"/>
        <w:left w:val="none" w:sz="0" w:space="0" w:color="auto"/>
        <w:bottom w:val="none" w:sz="0" w:space="0" w:color="auto"/>
        <w:right w:val="none" w:sz="0" w:space="0" w:color="auto"/>
      </w:divBdr>
    </w:div>
    <w:div w:id="2087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hyperlink" Target="https://www.ema.europa.eu/en/medicines/human/epar/vabysmo"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yperlink" Target="https://www.ema.europa.eu/en/medicines/human/epar/roactemr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1.xml"/><Relationship Id="rId43" Type="http://schemas.openxmlformats.org/officeDocument/2006/relationships/customXml" Target="../customXml/item6.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T:\SPC_10H.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EMADOC-1700519818-3047611</_dlc_DocId>
    <_dlc_DocIdUrl xmlns="a034c160-bfb7-45f5-8632-2eb7e0508071">
      <Url>https://euema.sharepoint.com/sites/CRM/_layouts/15/DocIdRedir.aspx?ID=EMADOC-1700519818-3047611</Url>
      <Description>EMADOC-1700519818-3047611</Description>
    </_dlc_DocIdUrl>
  </documentManagement>
</p:properties>
</file>

<file path=customXml/itemProps1.xml><?xml version="1.0" encoding="utf-8"?>
<ds:datastoreItem xmlns:ds="http://schemas.openxmlformats.org/officeDocument/2006/customXml" ds:itemID="{E0B5DF03-CB7D-4D93-A463-4DE308980C98}">
  <ds:schemaRefs>
    <ds:schemaRef ds:uri="http://schemas.microsoft.com/office/2006/metadata/longProperties"/>
  </ds:schemaRefs>
</ds:datastoreItem>
</file>

<file path=customXml/itemProps2.xml><?xml version="1.0" encoding="utf-8"?>
<ds:datastoreItem xmlns:ds="http://schemas.openxmlformats.org/officeDocument/2006/customXml" ds:itemID="{CE6E86AF-98A2-4EE0-9FD3-3A8EB14E5F8A}">
  <ds:schemaRefs>
    <ds:schemaRef ds:uri="http://schemas.openxmlformats.org/officeDocument/2006/bibliography"/>
  </ds:schemaRefs>
</ds:datastoreItem>
</file>

<file path=customXml/itemProps3.xml><?xml version="1.0" encoding="utf-8"?>
<ds:datastoreItem xmlns:ds="http://schemas.openxmlformats.org/officeDocument/2006/customXml" ds:itemID="{40D16B39-8C0F-4795-9635-48B9400E1D84}"/>
</file>

<file path=customXml/itemProps4.xml><?xml version="1.0" encoding="utf-8"?>
<ds:datastoreItem xmlns:ds="http://schemas.openxmlformats.org/officeDocument/2006/customXml" ds:itemID="{0BDD509F-4CDC-417B-A7BD-6D5291197E0C}"/>
</file>

<file path=customXml/itemProps5.xml><?xml version="1.0" encoding="utf-8"?>
<ds:datastoreItem xmlns:ds="http://schemas.openxmlformats.org/officeDocument/2006/customXml" ds:itemID="{4B1763BB-189D-4A47-9DDC-035C5EDEEA7B}"/>
</file>

<file path=customXml/itemProps6.xml><?xml version="1.0" encoding="utf-8"?>
<ds:datastoreItem xmlns:ds="http://schemas.openxmlformats.org/officeDocument/2006/customXml" ds:itemID="{0B5E15A5-0471-4558-BBBB-AED3A175635F}"/>
</file>

<file path=docProps/app.xml><?xml version="1.0" encoding="utf-8"?>
<Properties xmlns="http://schemas.openxmlformats.org/officeDocument/2006/extended-properties" xmlns:vt="http://schemas.openxmlformats.org/officeDocument/2006/docPropsVTypes">
  <Template>SPC_10H</Template>
  <TotalTime>84</TotalTime>
  <Pages>183</Pages>
  <Words>70532</Words>
  <Characters>372345</Characters>
  <Application>Microsoft Office Word</Application>
  <DocSecurity>0</DocSecurity>
  <Lines>10513</Lines>
  <Paragraphs>4386</Paragraphs>
  <ScaleCrop>false</ScaleCrop>
  <HeadingPairs>
    <vt:vector size="2" baseType="variant">
      <vt:variant>
        <vt:lpstr>Title</vt:lpstr>
      </vt:variant>
      <vt:variant>
        <vt:i4>1</vt:i4>
      </vt:variant>
    </vt:vector>
  </HeadingPairs>
  <TitlesOfParts>
    <vt:vector size="1" baseType="lpstr">
      <vt:lpstr>RoActemra: EPAR – Product information - tracked changes</vt:lpstr>
    </vt:vector>
  </TitlesOfParts>
  <Manager/>
  <Company>EMEA</Company>
  <LinksUpToDate>false</LinksUpToDate>
  <CharactersWithSpaces>441398</CharactersWithSpaces>
  <SharedDoc>false</SharedDoc>
  <HLinks>
    <vt:vector size="78" baseType="variant">
      <vt:variant>
        <vt:i4>1245197</vt:i4>
      </vt:variant>
      <vt:variant>
        <vt:i4>39</vt:i4>
      </vt:variant>
      <vt:variant>
        <vt:i4>0</vt:i4>
      </vt:variant>
      <vt:variant>
        <vt:i4>5</vt:i4>
      </vt:variant>
      <vt:variant>
        <vt:lpwstr>http://www.ema.europa.eu/</vt:lpwstr>
      </vt:variant>
      <vt:variant>
        <vt:lpwstr/>
      </vt:variant>
      <vt:variant>
        <vt:i4>2490456</vt:i4>
      </vt:variant>
      <vt:variant>
        <vt:i4>36</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33</vt:i4>
      </vt:variant>
      <vt:variant>
        <vt:i4>0</vt:i4>
      </vt:variant>
      <vt:variant>
        <vt:i4>5</vt:i4>
      </vt:variant>
      <vt:variant>
        <vt:lpwstr>http://www.ema.europa.eu/</vt:lpwstr>
      </vt:variant>
      <vt:variant>
        <vt:lpwstr/>
      </vt:variant>
      <vt:variant>
        <vt:i4>2490456</vt:i4>
      </vt:variant>
      <vt:variant>
        <vt:i4>30</vt:i4>
      </vt:variant>
      <vt:variant>
        <vt:i4>0</vt:i4>
      </vt:variant>
      <vt:variant>
        <vt:i4>5</vt:i4>
      </vt:variant>
      <vt:variant>
        <vt:lpwstr>https://www.ema.europa.eu/documents/template-form/appendix-v-adverse-drug-reaction-reporting-details_en.doc</vt:lpwstr>
      </vt:variant>
      <vt:variant>
        <vt:lpwstr/>
      </vt:variant>
      <vt:variant>
        <vt:i4>2490456</vt:i4>
      </vt:variant>
      <vt:variant>
        <vt:i4>24</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21</vt:i4>
      </vt:variant>
      <vt:variant>
        <vt:i4>0</vt:i4>
      </vt:variant>
      <vt:variant>
        <vt:i4>5</vt:i4>
      </vt:variant>
      <vt:variant>
        <vt:lpwstr>http://www.ema.europa.eu/</vt:lpwstr>
      </vt:variant>
      <vt:variant>
        <vt:lpwstr/>
      </vt:variant>
      <vt:variant>
        <vt:i4>3801208</vt:i4>
      </vt:variant>
      <vt:variant>
        <vt:i4>18</vt:i4>
      </vt:variant>
      <vt:variant>
        <vt:i4>0</vt:i4>
      </vt:variant>
      <vt:variant>
        <vt:i4>5</vt:i4>
      </vt:variant>
      <vt:variant>
        <vt:lpwstr>https://www.ema.europa.eu/</vt:lpwstr>
      </vt:variant>
      <vt:variant>
        <vt:lpwstr/>
      </vt:variant>
      <vt:variant>
        <vt:i4>2490456</vt:i4>
      </vt:variant>
      <vt:variant>
        <vt:i4>15</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12</vt:i4>
      </vt:variant>
      <vt:variant>
        <vt:i4>0</vt:i4>
      </vt:variant>
      <vt:variant>
        <vt:i4>5</vt:i4>
      </vt:variant>
      <vt:variant>
        <vt:lpwstr>http://www.ema.europa.eu/</vt:lpwstr>
      </vt:variant>
      <vt:variant>
        <vt:lpwstr/>
      </vt:variant>
      <vt:variant>
        <vt:i4>2490456</vt:i4>
      </vt:variant>
      <vt:variant>
        <vt:i4>9</vt:i4>
      </vt:variant>
      <vt:variant>
        <vt:i4>0</vt:i4>
      </vt:variant>
      <vt:variant>
        <vt:i4>5</vt:i4>
      </vt:variant>
      <vt:variant>
        <vt:lpwstr>https://www.ema.europa.eu/documents/template-form/appendix-v-adverse-drug-reaction-reporting-details_en.doc</vt:lpwstr>
      </vt:variant>
      <vt:variant>
        <vt:lpwstr/>
      </vt:variant>
      <vt:variant>
        <vt:i4>1245197</vt:i4>
      </vt:variant>
      <vt:variant>
        <vt:i4>6</vt:i4>
      </vt:variant>
      <vt:variant>
        <vt:i4>0</vt:i4>
      </vt:variant>
      <vt:variant>
        <vt:i4>5</vt:i4>
      </vt:variant>
      <vt:variant>
        <vt:lpwstr>http://www.ema.europa.eu/</vt:lpwstr>
      </vt:variant>
      <vt:variant>
        <vt:lpwstr/>
      </vt:variant>
      <vt:variant>
        <vt:i4>3801208</vt:i4>
      </vt:variant>
      <vt:variant>
        <vt:i4>3</vt:i4>
      </vt:variant>
      <vt:variant>
        <vt:i4>0</vt:i4>
      </vt:variant>
      <vt:variant>
        <vt:i4>5</vt:i4>
      </vt:variant>
      <vt:variant>
        <vt:lpwstr>https://www.ema.europa.eu/</vt:lpwstr>
      </vt:variant>
      <vt:variant>
        <vt:lpwstr/>
      </vt:variant>
      <vt:variant>
        <vt:i4>2490456</vt:i4>
      </vt:variant>
      <vt:variant>
        <vt:i4>0</vt:i4>
      </vt:variant>
      <vt:variant>
        <vt:i4>0</vt:i4>
      </vt:variant>
      <vt:variant>
        <vt:i4>5</vt:i4>
      </vt:variant>
      <vt:variant>
        <vt:lpwstr>https://www.ema.europa.eu/documents/template-form/appendix-v-adverse-drug-reaction-reporting-details_en.doc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RoActemra: EPAR – Product information - tracked changes</dc:title>
  <dc:subject>EPAR</dc:subject>
  <dc:creator>CHMP</dc:creator>
  <cp:keywords>RoActemra: EPAR – Product information - tracked changes</cp:keywords>
  <dc:description>Version 10.1 04/2016_x000d_
Downloaded 110516 (es)</dc:description>
  <cp:lastModifiedBy>TCS</cp:lastModifiedBy>
  <cp:revision>41</cp:revision>
  <dcterms:created xsi:type="dcterms:W3CDTF">2026-02-24T15:45:00Z</dcterms:created>
  <dcterms:modified xsi:type="dcterms:W3CDTF">2026-03-19T09:45:00Z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 Version">
    <vt:lpwstr>1.4</vt:lpwstr>
  </property>
  <property fmtid="{D5CDD505-2E9C-101B-9397-08002B2CF9AE}" pid="3" name="ContentTypeId">
    <vt:lpwstr>0x0101000DA6AD19014FF648A49316945EE786F90200176DED4FF78CD74995F64A0F46B59E48</vt:lpwstr>
  </property>
  <property fmtid="{D5CDD505-2E9C-101B-9397-08002B2CF9AE}" pid="4" name="_dlc_DocIdItemGuid">
    <vt:lpwstr>843e1d8a-a944-4310-80d0-55ef0e33c439</vt:lpwstr>
  </property>
</Properties>
</file>